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7BDF" w14:textId="6B9D1404" w:rsidR="00D32A3C" w:rsidRPr="00846FDD" w:rsidRDefault="00846FDD">
      <w:pPr>
        <w:rPr>
          <w:rFonts w:ascii="Helvetica" w:hAnsi="Helvetica"/>
          <w:b/>
        </w:rPr>
      </w:pPr>
      <w:r w:rsidRPr="00846FDD">
        <w:rPr>
          <w:rFonts w:ascii="Helvetica" w:hAnsi="Helvetica"/>
          <w:b/>
        </w:rPr>
        <w:t>Suppl</w:t>
      </w:r>
      <w:r>
        <w:rPr>
          <w:rFonts w:ascii="Helvetica" w:hAnsi="Helvetica"/>
          <w:b/>
        </w:rPr>
        <w:t>e</w:t>
      </w:r>
      <w:r w:rsidRPr="00846FDD">
        <w:rPr>
          <w:rFonts w:ascii="Helvetica" w:hAnsi="Helvetica"/>
          <w:b/>
        </w:rPr>
        <w:t>mental Materials</w:t>
      </w:r>
    </w:p>
    <w:p w14:paraId="121733C4" w14:textId="77777777" w:rsidR="00846FDD" w:rsidRDefault="00846FDD" w:rsidP="00846FDD">
      <w:pPr>
        <w:spacing w:line="276" w:lineRule="auto"/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</w:pPr>
    </w:p>
    <w:p w14:paraId="72A63972" w14:textId="60756100" w:rsidR="00846FDD" w:rsidRPr="00846FDD" w:rsidRDefault="00846FDD" w:rsidP="00846FDD">
      <w:pPr>
        <w:spacing w:line="276" w:lineRule="auto"/>
        <w:rPr>
          <w:rFonts w:ascii="Helvetica" w:hAnsi="Helvetica" w:cs="Times New Roman"/>
          <w:b/>
          <w:color w:val="000000" w:themeColor="text1"/>
          <w:sz w:val="22"/>
          <w:szCs w:val="22"/>
        </w:rPr>
      </w:pPr>
      <w:r w:rsidRPr="00846FDD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A novel subcutaneous intrathecal catheter system for repeated outpatient dosing of </w:t>
      </w:r>
      <w:proofErr w:type="spellStart"/>
      <w:r w:rsidRPr="00846FDD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nusinersen</w:t>
      </w:r>
      <w:proofErr w:type="spellEnd"/>
      <w:r w:rsidRPr="00846FDD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: preliminary observations of safety and tolerability</w:t>
      </w:r>
    </w:p>
    <w:p w14:paraId="0D6E8500" w14:textId="1F2995DC" w:rsidR="00846FDD" w:rsidRDefault="00846FDD" w:rsidP="00846FDD">
      <w:pPr>
        <w:spacing w:line="480" w:lineRule="auto"/>
        <w:ind w:firstLine="720"/>
        <w:rPr>
          <w:rFonts w:ascii="Helvetica" w:eastAsia="Times New Roman" w:hAnsi="Helvetica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E19F2E1" w14:textId="36A3153E" w:rsidR="00846FDD" w:rsidRPr="00D50629" w:rsidRDefault="00846FDD" w:rsidP="00846FDD">
      <w:pPr>
        <w:spacing w:line="480" w:lineRule="auto"/>
        <w:ind w:firstLine="720"/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</w:pP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The</w:t>
      </w:r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313E7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weight-adjusted </w:t>
      </w:r>
      <w:bookmarkStart w:id="0" w:name="_GoBack"/>
      <w:bookmarkEnd w:id="0"/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SMA Force Index (SFI) is a novel parameter designed to capture the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change in motor power </w:t>
      </w:r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distribution characteristic of SMA. As the disease progresses, 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proximal and extensor muscle groups weaken while intrinsic muscle strength (e.g. that which allows for digital pinching) is preserved or even increases over time. The SFI incorporates 4 (among 12) dynamometry maneuvers (measured in Newtons, N) with the strongest Pearson correlations to patient age</w:t>
      </w:r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(Table S1), which include 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shoulder abduction (SA;  r = -0.91, r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= 0.83, p = 0.0006), elbow extension (EE;  r = -0.83, r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= 0.68, p = 0.0061),  hand grip (G; r = -0.87, r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= 0.76, p = 0.0023), and three-point pinch (P; r = 0.94, r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= 0.88, p = 0.0002)</w:t>
      </w:r>
      <w:r w:rsidR="006A6ABE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. It is </w:t>
      </w:r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calculated from these four measures as follows: </w:t>
      </w:r>
      <w:r w:rsidRPr="00D50629">
        <w:rPr>
          <w:rFonts w:ascii="Helvetica" w:eastAsia="Times New Roman" w:hAnsi="Helvetica" w:cs="Arial"/>
          <w:b/>
          <w:color w:val="000000" w:themeColor="text1"/>
          <w:sz w:val="22"/>
          <w:szCs w:val="22"/>
          <w:shd w:val="clear" w:color="auto" w:fill="FFFFFF"/>
        </w:rPr>
        <w:t xml:space="preserve">SFI </w:t>
      </w:r>
      <w:proofErr w:type="gramStart"/>
      <w:r w:rsidRPr="00D50629">
        <w:rPr>
          <w:rFonts w:ascii="Helvetica" w:eastAsia="Times New Roman" w:hAnsi="Helvetica" w:cs="Arial"/>
          <w:b/>
          <w:color w:val="000000" w:themeColor="text1"/>
          <w:sz w:val="22"/>
          <w:szCs w:val="22"/>
          <w:shd w:val="clear" w:color="auto" w:fill="FFFFFF"/>
        </w:rPr>
        <w:t>=  [</w:t>
      </w:r>
      <w:proofErr w:type="gramEnd"/>
      <w:r w:rsidRPr="00D50629">
        <w:rPr>
          <w:rFonts w:ascii="Helvetica" w:eastAsia="Times New Roman" w:hAnsi="Helvetica" w:cs="Arial"/>
          <w:b/>
          <w:color w:val="000000" w:themeColor="text1"/>
          <w:sz w:val="22"/>
          <w:szCs w:val="22"/>
          <w:shd w:val="clear" w:color="auto" w:fill="FFFFFF"/>
        </w:rPr>
        <w:t>(SA + EE + G)/P]</w:t>
      </w:r>
      <w:r w:rsidRPr="00D50629">
        <w:rPr>
          <w:rFonts w:ascii="Helvetica" w:eastAsia="Times New Roman" w:hAnsi="Helvetica" w:cs="Arial"/>
          <w:b/>
          <w:color w:val="000000" w:themeColor="text1"/>
          <w:sz w:val="22"/>
          <w:szCs w:val="22"/>
          <w:shd w:val="clear" w:color="auto" w:fill="FFFFFF"/>
          <w:vertAlign w:val="superscript"/>
        </w:rPr>
        <w:t>0.5</w:t>
      </w:r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. Indexed 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to body weight, </w:t>
      </w:r>
      <w:r w:rsidR="006A6ABE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the SFI</w:t>
      </w:r>
      <w: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correlates strongly with age and natural disease course (r = -0.94, 95% CI -0.74 to -0.99, r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D5062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 = 0.89, p = 0.0001).   </w:t>
      </w:r>
    </w:p>
    <w:p w14:paraId="399156CF" w14:textId="77777777" w:rsidR="00846FDD" w:rsidRDefault="00846FDD"/>
    <w:tbl>
      <w:tblPr>
        <w:tblW w:w="10045" w:type="dxa"/>
        <w:tblLook w:val="04A0" w:firstRow="1" w:lastRow="0" w:firstColumn="1" w:lastColumn="0" w:noHBand="0" w:noVBand="1"/>
      </w:tblPr>
      <w:tblGrid>
        <w:gridCol w:w="2876"/>
        <w:gridCol w:w="787"/>
        <w:gridCol w:w="2681"/>
        <w:gridCol w:w="1627"/>
        <w:gridCol w:w="2074"/>
      </w:tblGrid>
      <w:tr w:rsidR="00846FDD" w:rsidRPr="00846FDD" w14:paraId="11782DF0" w14:textId="77777777" w:rsidTr="00846FDD">
        <w:trPr>
          <w:trHeight w:val="371"/>
        </w:trPr>
        <w:tc>
          <w:tcPr>
            <w:tcW w:w="10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7B0B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</w:rPr>
              <w:t>Table S1.</w:t>
            </w: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Dynometry</w:t>
            </w:r>
            <w:proofErr w:type="spellEnd"/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correlations with age among six SMA subjects with 3 copies of </w:t>
            </w:r>
            <w:r w:rsidRPr="00846FDD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SMN2</w:t>
            </w:r>
          </w:p>
        </w:tc>
      </w:tr>
      <w:tr w:rsidR="00846FDD" w:rsidRPr="00846FDD" w14:paraId="1ED2794B" w14:textId="77777777" w:rsidTr="00846FDD">
        <w:trPr>
          <w:trHeight w:val="371"/>
        </w:trPr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1AF7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Maneuver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5A36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935A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8CFB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R squared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563F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sz w:val="18"/>
                <w:szCs w:val="18"/>
              </w:rPr>
              <w:t>P (two-tailed)</w:t>
            </w:r>
          </w:p>
        </w:tc>
      </w:tr>
      <w:tr w:rsidR="00846FDD" w:rsidRPr="00846FDD" w14:paraId="7368E297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B83F3E3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Pinch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030036F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D00AD77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0.7314 to 0.9874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E0B768A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8CF4A79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0.0002</w:t>
            </w:r>
          </w:p>
        </w:tc>
      </w:tr>
      <w:tr w:rsidR="00846FDD" w:rsidRPr="00846FDD" w14:paraId="42B429CA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A482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Elbow Flexors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C73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BD4E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-0.4351 to 0.8124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21A4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7548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0.3980</w:t>
            </w:r>
          </w:p>
        </w:tc>
      </w:tr>
      <w:tr w:rsidR="00846FDD" w:rsidRPr="00846FDD" w14:paraId="3F24DF09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1409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Knee Flexors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5517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398F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-0.4378 to 0.8113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F37F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317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0.4026</w:t>
            </w:r>
          </w:p>
        </w:tc>
      </w:tr>
      <w:tr w:rsidR="00846FDD" w:rsidRPr="00846FDD" w14:paraId="49CCE088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2268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Hip Abductors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3DB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EB9D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-0.4755 to 0.7944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4D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D83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0.4728</w:t>
            </w:r>
          </w:p>
        </w:tc>
      </w:tr>
      <w:tr w:rsidR="00846FDD" w:rsidRPr="00846FDD" w14:paraId="2F5DAEF5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A85B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Wrist Extensors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9AED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5735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-0.5525 to 0.7524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F51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9FB5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0.6499</w:t>
            </w:r>
          </w:p>
        </w:tc>
      </w:tr>
      <w:tr w:rsidR="00846FDD" w:rsidRPr="00846FDD" w14:paraId="12DFCF5A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C6E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Foot Dorsiflexors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901F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5AB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-0.7493 to 0.5574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51A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B3C1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0.6629</w:t>
            </w:r>
          </w:p>
        </w:tc>
      </w:tr>
      <w:tr w:rsidR="00846FDD" w:rsidRPr="00846FDD" w14:paraId="27905105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7A2D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Hip Flexors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D8F4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E2DA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-0.7972 to 0.4694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B9B5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3FE6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0.4608</w:t>
            </w:r>
          </w:p>
        </w:tc>
      </w:tr>
      <w:tr w:rsidR="00846FDD" w:rsidRPr="00846FDD" w14:paraId="47969DE9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709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Neck Flexors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2346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40ED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-0.8151 to 0.4288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764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300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0.3872</w:t>
            </w:r>
          </w:p>
        </w:tc>
      </w:tr>
      <w:tr w:rsidR="00846FDD" w:rsidRPr="00846FDD" w14:paraId="6A706BBE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BDAC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Knee Extensors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5B0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286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-0.8789 to 0.2254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E41B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DBF8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0.1550</w:t>
            </w:r>
          </w:p>
        </w:tc>
      </w:tr>
      <w:tr w:rsidR="00846FDD" w:rsidRPr="00846FDD" w14:paraId="659860F3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E25021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Elbow Extensors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62908B7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3FF85E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-0.9622 to -0.3573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4282E94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8FA422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0.0061</w:t>
            </w:r>
          </w:p>
        </w:tc>
      </w:tr>
      <w:tr w:rsidR="00846FDD" w:rsidRPr="00846FDD" w14:paraId="54F1A602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CC37C0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Grip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28382B0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396DC7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-0.9722 to -0.4853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357551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E24805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0.0023</w:t>
            </w:r>
          </w:p>
        </w:tc>
      </w:tr>
      <w:tr w:rsidR="00846FDD" w:rsidRPr="00846FDD" w14:paraId="782678BB" w14:textId="77777777" w:rsidTr="00846FDD">
        <w:trPr>
          <w:trHeight w:val="371"/>
        </w:trPr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57A6B6C" w14:textId="77777777" w:rsidR="00846FDD" w:rsidRPr="00846FDD" w:rsidRDefault="00846FDD" w:rsidP="00846FD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Shoulder Abductors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4780020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AA9A910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-0.9813 to -0.6243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9C791B1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82D2D0E" w14:textId="77777777" w:rsidR="00846FDD" w:rsidRPr="00846FDD" w:rsidRDefault="00846FDD" w:rsidP="00846FDD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6FD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0.0006</w:t>
            </w:r>
          </w:p>
        </w:tc>
      </w:tr>
    </w:tbl>
    <w:p w14:paraId="51455D84" w14:textId="1966E07B" w:rsidR="00846FDD" w:rsidRDefault="00846FDD"/>
    <w:sectPr w:rsidR="00846FDD" w:rsidSect="00846F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DD"/>
    <w:rsid w:val="000768D4"/>
    <w:rsid w:val="00153ED5"/>
    <w:rsid w:val="00204FD3"/>
    <w:rsid w:val="00306067"/>
    <w:rsid w:val="00323DAC"/>
    <w:rsid w:val="00343875"/>
    <w:rsid w:val="004313E7"/>
    <w:rsid w:val="0045233C"/>
    <w:rsid w:val="00482F5F"/>
    <w:rsid w:val="004B0ECF"/>
    <w:rsid w:val="004B1581"/>
    <w:rsid w:val="005D5A7C"/>
    <w:rsid w:val="006A6ABE"/>
    <w:rsid w:val="006D699C"/>
    <w:rsid w:val="0072697A"/>
    <w:rsid w:val="00846FDD"/>
    <w:rsid w:val="008B3030"/>
    <w:rsid w:val="00A0648A"/>
    <w:rsid w:val="00A421FD"/>
    <w:rsid w:val="00CC0997"/>
    <w:rsid w:val="00D32A3C"/>
    <w:rsid w:val="00E85F08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54EBC"/>
  <w15:chartTrackingRefBased/>
  <w15:docId w15:val="{4DE5E108-70EB-DB4F-BB44-789349C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2018-06-23T21:57:00Z</dcterms:created>
  <dcterms:modified xsi:type="dcterms:W3CDTF">2018-06-24T12:29:00Z</dcterms:modified>
</cp:coreProperties>
</file>