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19A" w:rsidRPr="00F365DA" w:rsidRDefault="00B6719A" w:rsidP="00B6719A">
      <w:pPr>
        <w:rPr>
          <w:b/>
        </w:rPr>
      </w:pPr>
      <w:r w:rsidRPr="00F365DA">
        <w:rPr>
          <w:b/>
        </w:rPr>
        <w:t xml:space="preserve">Supplemental Digital </w:t>
      </w:r>
      <w:r w:rsidR="00BA7449" w:rsidRPr="00F365DA">
        <w:rPr>
          <w:b/>
        </w:rPr>
        <w:t>Content</w:t>
      </w:r>
    </w:p>
    <w:p w:rsidR="00B6719A" w:rsidRPr="00F365DA" w:rsidRDefault="00B6719A" w:rsidP="00B6719A">
      <w:pPr>
        <w:rPr>
          <w:b/>
        </w:rPr>
      </w:pPr>
    </w:p>
    <w:p w:rsidR="00B6719A" w:rsidRDefault="00B6719A" w:rsidP="00B6719A">
      <w:pPr>
        <w:rPr>
          <w:b/>
        </w:rPr>
      </w:pPr>
      <w:r w:rsidRPr="00F365DA">
        <w:rPr>
          <w:b/>
        </w:rPr>
        <w:t xml:space="preserve">Table 1: </w:t>
      </w:r>
      <w:r w:rsidR="00F365DA">
        <w:rPr>
          <w:b/>
        </w:rPr>
        <w:t xml:space="preserve">Details of </w:t>
      </w:r>
      <w:r w:rsidR="00D63C3A">
        <w:rPr>
          <w:b/>
        </w:rPr>
        <w:t>Studies</w:t>
      </w:r>
    </w:p>
    <w:p w:rsidR="002153EF" w:rsidRPr="00F365DA" w:rsidRDefault="002153EF" w:rsidP="00B6719A">
      <w:pPr>
        <w:rPr>
          <w:b/>
        </w:rPr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000000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"/>
        <w:gridCol w:w="1316"/>
        <w:gridCol w:w="1205"/>
        <w:gridCol w:w="1594"/>
        <w:gridCol w:w="1952"/>
        <w:gridCol w:w="1494"/>
        <w:gridCol w:w="1672"/>
      </w:tblGrid>
      <w:tr w:rsidR="00F365DA" w:rsidRPr="00F365DA" w:rsidTr="00577521">
        <w:trPr>
          <w:trHeight w:val="386"/>
          <w:jc w:val="center"/>
        </w:trPr>
        <w:tc>
          <w:tcPr>
            <w:tcW w:w="488" w:type="pct"/>
            <w:tcBorders>
              <w:bottom w:val="single" w:sz="4" w:space="0" w:color="auto"/>
            </w:tcBorders>
            <w:vAlign w:val="center"/>
          </w:tcPr>
          <w:p w:rsidR="00B6719A" w:rsidRPr="00F365DA" w:rsidRDefault="00B6719A" w:rsidP="00B6719A">
            <w:pPr>
              <w:rPr>
                <w:b/>
                <w:sz w:val="20"/>
                <w:szCs w:val="20"/>
              </w:rPr>
            </w:pPr>
            <w:r w:rsidRPr="00F365DA">
              <w:rPr>
                <w:b/>
                <w:sz w:val="20"/>
                <w:szCs w:val="20"/>
              </w:rPr>
              <w:t>Author</w:t>
            </w:r>
          </w:p>
          <w:p w:rsidR="00B6719A" w:rsidRPr="00F365DA" w:rsidRDefault="00B6719A" w:rsidP="00B6719A">
            <w:pPr>
              <w:rPr>
                <w:b/>
                <w:sz w:val="20"/>
                <w:szCs w:val="20"/>
              </w:rPr>
            </w:pPr>
            <w:r w:rsidRPr="00F365DA">
              <w:rPr>
                <w:b/>
                <w:sz w:val="20"/>
                <w:szCs w:val="20"/>
              </w:rPr>
              <w:t>(Year)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19A" w:rsidRPr="00F365DA" w:rsidRDefault="00B6719A" w:rsidP="00B6719A">
            <w:pPr>
              <w:rPr>
                <w:b/>
                <w:sz w:val="20"/>
                <w:szCs w:val="20"/>
              </w:rPr>
            </w:pPr>
            <w:r w:rsidRPr="00F365DA">
              <w:rPr>
                <w:b/>
                <w:sz w:val="20"/>
                <w:szCs w:val="20"/>
              </w:rPr>
              <w:t>Study Design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19A" w:rsidRPr="00F365DA" w:rsidRDefault="00B6719A" w:rsidP="00B6719A">
            <w:pPr>
              <w:rPr>
                <w:b/>
                <w:sz w:val="20"/>
                <w:szCs w:val="20"/>
              </w:rPr>
            </w:pPr>
            <w:r w:rsidRPr="00F365DA">
              <w:rPr>
                <w:b/>
                <w:sz w:val="20"/>
                <w:szCs w:val="20"/>
              </w:rPr>
              <w:t>Population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vAlign w:val="center"/>
          </w:tcPr>
          <w:p w:rsidR="00B6719A" w:rsidRPr="00F365DA" w:rsidRDefault="00B6719A" w:rsidP="00B6719A">
            <w:pPr>
              <w:rPr>
                <w:b/>
                <w:sz w:val="20"/>
                <w:szCs w:val="20"/>
              </w:rPr>
            </w:pPr>
            <w:r w:rsidRPr="00F365DA">
              <w:rPr>
                <w:b/>
                <w:sz w:val="20"/>
                <w:szCs w:val="20"/>
              </w:rPr>
              <w:t>Purpose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19A" w:rsidRPr="00F365DA" w:rsidRDefault="00B6719A" w:rsidP="00B6719A">
            <w:pPr>
              <w:rPr>
                <w:b/>
                <w:sz w:val="20"/>
                <w:szCs w:val="20"/>
              </w:rPr>
            </w:pPr>
            <w:r w:rsidRPr="00F365DA">
              <w:rPr>
                <w:b/>
                <w:sz w:val="20"/>
                <w:szCs w:val="20"/>
              </w:rPr>
              <w:t>Inclusion/Exclusion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:rsidR="00B6719A" w:rsidRPr="00F365DA" w:rsidRDefault="00B6719A" w:rsidP="00B6719A">
            <w:pPr>
              <w:rPr>
                <w:b/>
                <w:sz w:val="20"/>
                <w:szCs w:val="20"/>
              </w:rPr>
            </w:pPr>
            <w:r w:rsidRPr="00F365DA">
              <w:rPr>
                <w:b/>
                <w:sz w:val="20"/>
                <w:szCs w:val="20"/>
              </w:rPr>
              <w:t>Treatment</w:t>
            </w: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719A" w:rsidRPr="00F365DA" w:rsidRDefault="00B6719A" w:rsidP="00B6719A">
            <w:pPr>
              <w:rPr>
                <w:b/>
                <w:sz w:val="20"/>
                <w:szCs w:val="20"/>
              </w:rPr>
            </w:pPr>
            <w:r w:rsidRPr="00F365DA">
              <w:rPr>
                <w:b/>
                <w:sz w:val="20"/>
                <w:szCs w:val="20"/>
              </w:rPr>
              <w:t>How ASP Defined</w:t>
            </w:r>
          </w:p>
          <w:p w:rsidR="00B6719A" w:rsidRPr="00F365DA" w:rsidRDefault="00B6719A" w:rsidP="00B6719A">
            <w:pPr>
              <w:rPr>
                <w:b/>
                <w:sz w:val="20"/>
                <w:szCs w:val="20"/>
              </w:rPr>
            </w:pPr>
            <w:r w:rsidRPr="00F365DA">
              <w:rPr>
                <w:b/>
                <w:sz w:val="20"/>
                <w:szCs w:val="20"/>
              </w:rPr>
              <w:t>and Classified</w:t>
            </w:r>
          </w:p>
        </w:tc>
      </w:tr>
      <w:tr w:rsidR="00F365DA" w:rsidRPr="00F365DA" w:rsidTr="00577521">
        <w:trPr>
          <w:trHeight w:val="242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B6719A" w:rsidRPr="00F365DA" w:rsidRDefault="00B6719A" w:rsidP="00B6719A">
            <w:r w:rsidRPr="00F365DA">
              <w:rPr>
                <w:b/>
              </w:rPr>
              <w:t>TDR versus Fusion</w:t>
            </w:r>
          </w:p>
        </w:tc>
      </w:tr>
      <w:tr w:rsidR="00F365DA" w:rsidRPr="00F365DA" w:rsidTr="00577521">
        <w:trPr>
          <w:trHeight w:val="386"/>
          <w:jc w:val="center"/>
        </w:trPr>
        <w:tc>
          <w:tcPr>
            <w:tcW w:w="488" w:type="pct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Berg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(2009)</w:t>
            </w:r>
          </w:p>
        </w:tc>
        <w:tc>
          <w:tcPr>
            <w:tcW w:w="488" w:type="pct"/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Randomized controlled trial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F/U time: 48 months</w:t>
            </w:r>
          </w:p>
        </w:tc>
        <w:tc>
          <w:tcPr>
            <w:tcW w:w="640" w:type="pct"/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N  = 152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Age: 39.4 ± 8.0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Mean age: 40 years (range, 21–55 years)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Sex: 41% male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F/U rate: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Total 152/152 (100%)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TDR 80/80 (100%)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Fusion 72/72 (100%)</w:t>
            </w:r>
          </w:p>
        </w:tc>
        <w:tc>
          <w:tcPr>
            <w:tcW w:w="701" w:type="pct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Compare TDR with posterior fusion, in terms of clinical outcome, in patients referred to spine clinic for surgical evaluation</w:t>
            </w:r>
          </w:p>
        </w:tc>
        <w:tc>
          <w:tcPr>
            <w:tcW w:w="1159" w:type="pct"/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Inclusion:</w:t>
            </w:r>
          </w:p>
          <w:p w:rsidR="00B6719A" w:rsidRPr="00F365DA" w:rsidRDefault="00B6719A" w:rsidP="00B6719A">
            <w:pPr>
              <w:numPr>
                <w:ilvl w:val="0"/>
                <w:numId w:val="6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Age 20 to 55 years</w:t>
            </w:r>
          </w:p>
          <w:p w:rsidR="00B6719A" w:rsidRPr="00F365DA" w:rsidRDefault="00B6719A" w:rsidP="00B6719A">
            <w:pPr>
              <w:numPr>
                <w:ilvl w:val="0"/>
                <w:numId w:val="6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LBP with or without leg pain for &gt; one year</w:t>
            </w:r>
          </w:p>
          <w:p w:rsidR="00B6719A" w:rsidRPr="00F365DA" w:rsidRDefault="00B6719A" w:rsidP="00B6719A">
            <w:pPr>
              <w:numPr>
                <w:ilvl w:val="0"/>
                <w:numId w:val="6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Failed three months of conservative treatment </w:t>
            </w:r>
          </w:p>
          <w:p w:rsidR="00B6719A" w:rsidRPr="00F365DA" w:rsidRDefault="00B6719A" w:rsidP="00B6719A">
            <w:pPr>
              <w:numPr>
                <w:ilvl w:val="0"/>
                <w:numId w:val="6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Confirmation of disc degeneration on MRI</w:t>
            </w:r>
          </w:p>
          <w:p w:rsidR="00B6719A" w:rsidRPr="00D63C3A" w:rsidRDefault="00B6719A" w:rsidP="00B6719A">
            <w:pPr>
              <w:numPr>
                <w:ilvl w:val="0"/>
                <w:numId w:val="6"/>
              </w:numPr>
              <w:ind w:left="252" w:hanging="180"/>
              <w:contextualSpacing/>
              <w:rPr>
                <w:sz w:val="20"/>
                <w:szCs w:val="20"/>
              </w:rPr>
            </w:pPr>
            <w:proofErr w:type="spellStart"/>
            <w:r w:rsidRPr="00D63C3A">
              <w:rPr>
                <w:sz w:val="20"/>
                <w:szCs w:val="20"/>
              </w:rPr>
              <w:t>Oswestry</w:t>
            </w:r>
            <w:proofErr w:type="spellEnd"/>
            <w:r w:rsidRPr="00D63C3A">
              <w:rPr>
                <w:sz w:val="20"/>
                <w:szCs w:val="20"/>
              </w:rPr>
              <w:t xml:space="preserve"> &gt; 30 or VAS 50/100 week before inclusion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Exclusion: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Spinal stenosis requiring decompression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Moderate or worse facet joint arthritis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Three or more painful levels at examination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No obvious painful level with diagnostic injection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lastRenderedPageBreak/>
              <w:t xml:space="preserve">Isthmic spondylolysis or </w:t>
            </w:r>
            <w:proofErr w:type="spellStart"/>
            <w:r w:rsidRPr="00F365DA">
              <w:rPr>
                <w:sz w:val="20"/>
                <w:szCs w:val="20"/>
              </w:rPr>
              <w:t>olisthesis</w:t>
            </w:r>
            <w:proofErr w:type="spellEnd"/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Degenerative spondylolisthesis &gt; 3 mm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Major deformity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Manifest osteoporosis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Previous lumbar fusion or decompression with postoperative instability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Compromised vertebral body</w:t>
            </w:r>
          </w:p>
          <w:p w:rsidR="00B6719A" w:rsidRPr="00F365DA" w:rsidRDefault="00B6719A" w:rsidP="00D63C3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Previous spinal infection or tumor</w:t>
            </w:r>
          </w:p>
        </w:tc>
        <w:tc>
          <w:tcPr>
            <w:tcW w:w="823" w:type="pct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lastRenderedPageBreak/>
              <w:t>TDR (N = 80)</w:t>
            </w:r>
          </w:p>
          <w:p w:rsidR="00B6719A" w:rsidRPr="00F365DA" w:rsidRDefault="00B6719A" w:rsidP="00B6719A">
            <w:pPr>
              <w:numPr>
                <w:ilvl w:val="0"/>
                <w:numId w:val="4"/>
              </w:numPr>
              <w:ind w:left="252" w:hanging="180"/>
              <w:contextualSpacing/>
              <w:rPr>
                <w:sz w:val="20"/>
                <w:szCs w:val="20"/>
              </w:rPr>
            </w:pPr>
            <w:proofErr w:type="spellStart"/>
            <w:r w:rsidRPr="00F365DA">
              <w:rPr>
                <w:sz w:val="20"/>
                <w:szCs w:val="20"/>
              </w:rPr>
              <w:t>Charité</w:t>
            </w:r>
            <w:proofErr w:type="spellEnd"/>
          </w:p>
          <w:p w:rsidR="00B6719A" w:rsidRPr="00F365DA" w:rsidRDefault="00B6719A" w:rsidP="00B6719A">
            <w:pPr>
              <w:numPr>
                <w:ilvl w:val="0"/>
                <w:numId w:val="4"/>
              </w:numPr>
              <w:ind w:left="252" w:hanging="180"/>
              <w:contextualSpacing/>
              <w:rPr>
                <w:sz w:val="20"/>
                <w:szCs w:val="20"/>
              </w:rPr>
            </w:pPr>
            <w:proofErr w:type="spellStart"/>
            <w:r w:rsidRPr="00F365DA">
              <w:rPr>
                <w:sz w:val="20"/>
                <w:szCs w:val="20"/>
              </w:rPr>
              <w:t>Prodisc</w:t>
            </w:r>
            <w:proofErr w:type="spellEnd"/>
          </w:p>
          <w:p w:rsidR="00B6719A" w:rsidRPr="00F365DA" w:rsidRDefault="00B6719A" w:rsidP="00B6719A">
            <w:pPr>
              <w:numPr>
                <w:ilvl w:val="0"/>
                <w:numId w:val="4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Maverick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Age: 40.2 ± 8.1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Sex: 40% male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Fusion (N = 72)</w:t>
            </w:r>
          </w:p>
          <w:p w:rsidR="00B6719A" w:rsidRPr="00F365DA" w:rsidRDefault="00B6719A" w:rsidP="00B6719A">
            <w:pPr>
              <w:numPr>
                <w:ilvl w:val="0"/>
                <w:numId w:val="3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Posterior lateral fusion (n = 44)</w:t>
            </w:r>
          </w:p>
          <w:p w:rsidR="00B6719A" w:rsidRPr="00F365DA" w:rsidRDefault="00B6719A" w:rsidP="00B6719A">
            <w:pPr>
              <w:numPr>
                <w:ilvl w:val="0"/>
                <w:numId w:val="3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Posterior lumbar interbody fusion (n = 28)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Age: 38.5 ± 7.8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Sex: 42% male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Operation at an adjacent level. No description of ASP conditions.</w:t>
            </w:r>
          </w:p>
        </w:tc>
      </w:tr>
      <w:tr w:rsidR="00F365DA" w:rsidRPr="00F365DA" w:rsidTr="00577521">
        <w:trPr>
          <w:trHeight w:val="386"/>
          <w:jc w:val="center"/>
        </w:trPr>
        <w:tc>
          <w:tcPr>
            <w:tcW w:w="488" w:type="pct"/>
            <w:tcBorders>
              <w:bottom w:val="single" w:sz="4" w:space="0" w:color="auto"/>
            </w:tcBorders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proofErr w:type="spellStart"/>
            <w:r w:rsidRPr="00F365DA">
              <w:rPr>
                <w:sz w:val="20"/>
                <w:szCs w:val="20"/>
              </w:rPr>
              <w:lastRenderedPageBreak/>
              <w:t>Guyer</w:t>
            </w:r>
            <w:proofErr w:type="spellEnd"/>
            <w:r w:rsidRPr="00F365DA">
              <w:rPr>
                <w:sz w:val="20"/>
                <w:szCs w:val="20"/>
              </w:rPr>
              <w:t>*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(2009)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Randomized controlled trial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F/U time: 60 months</w:t>
            </w:r>
          </w:p>
        </w:tc>
        <w:tc>
          <w:tcPr>
            <w:tcW w:w="640" w:type="pct"/>
            <w:tcBorders>
              <w:bottom w:val="single" w:sz="4" w:space="0" w:color="auto"/>
            </w:tcBorders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N = 233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Mean age: 40 years (range, 19–60 years)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Sex: 53% male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F/U rate: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Total 133/233 (57%)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proofErr w:type="spellStart"/>
            <w:r w:rsidRPr="00F365DA">
              <w:rPr>
                <w:sz w:val="20"/>
                <w:szCs w:val="20"/>
              </w:rPr>
              <w:t>Charité</w:t>
            </w:r>
            <w:proofErr w:type="spellEnd"/>
            <w:r w:rsidRPr="00F365DA">
              <w:rPr>
                <w:sz w:val="20"/>
                <w:szCs w:val="20"/>
              </w:rPr>
              <w:t xml:space="preserve"> NR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ALIF NR</w:t>
            </w:r>
          </w:p>
        </w:tc>
        <w:tc>
          <w:tcPr>
            <w:tcW w:w="701" w:type="pct"/>
            <w:tcBorders>
              <w:bottom w:val="single" w:sz="4" w:space="0" w:color="auto"/>
            </w:tcBorders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Compare the safety and effectiveness at the five-year follow-up time point of lumbar TDR using the </w:t>
            </w:r>
            <w:proofErr w:type="spellStart"/>
            <w:r w:rsidRPr="00F365DA">
              <w:rPr>
                <w:sz w:val="20"/>
                <w:szCs w:val="20"/>
              </w:rPr>
              <w:t>Charité</w:t>
            </w:r>
            <w:proofErr w:type="spellEnd"/>
            <w:r w:rsidRPr="00F365DA">
              <w:rPr>
                <w:sz w:val="20"/>
                <w:szCs w:val="20"/>
              </w:rPr>
              <w:t xml:space="preserve"> artificial disc with that of anterior interbody fusion with BAK cages for the treatment of single-level degenerative disc disease from L4 to S1</w:t>
            </w:r>
          </w:p>
        </w:tc>
        <w:tc>
          <w:tcPr>
            <w:tcW w:w="1159" w:type="pct"/>
            <w:tcBorders>
              <w:bottom w:val="single" w:sz="4" w:space="0" w:color="auto"/>
            </w:tcBorders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Inclusion:</w:t>
            </w:r>
          </w:p>
          <w:p w:rsidR="00B6719A" w:rsidRPr="00F365DA" w:rsidRDefault="00B6719A" w:rsidP="00B6719A">
            <w:pPr>
              <w:numPr>
                <w:ilvl w:val="0"/>
                <w:numId w:val="6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Age 18 to 60 years</w:t>
            </w:r>
          </w:p>
          <w:p w:rsidR="00B6719A" w:rsidRPr="00F365DA" w:rsidRDefault="00B6719A" w:rsidP="00B6719A">
            <w:pPr>
              <w:numPr>
                <w:ilvl w:val="0"/>
                <w:numId w:val="6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Symptomatic DDD confirmed by discography</w:t>
            </w:r>
          </w:p>
          <w:p w:rsidR="00B6719A" w:rsidRPr="00F365DA" w:rsidRDefault="00B6719A" w:rsidP="00B6719A">
            <w:pPr>
              <w:numPr>
                <w:ilvl w:val="0"/>
                <w:numId w:val="6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Single level DDD at L4-L5 or L5-S1</w:t>
            </w:r>
          </w:p>
          <w:p w:rsidR="00B6719A" w:rsidRPr="00F365DA" w:rsidRDefault="00B6719A" w:rsidP="00B6719A">
            <w:pPr>
              <w:numPr>
                <w:ilvl w:val="0"/>
                <w:numId w:val="6"/>
              </w:numPr>
              <w:ind w:left="252" w:hanging="180"/>
              <w:contextualSpacing/>
              <w:rPr>
                <w:sz w:val="20"/>
                <w:szCs w:val="20"/>
              </w:rPr>
            </w:pPr>
            <w:proofErr w:type="spellStart"/>
            <w:r w:rsidRPr="00F365DA">
              <w:rPr>
                <w:sz w:val="20"/>
                <w:szCs w:val="20"/>
              </w:rPr>
              <w:t>Oswestry</w:t>
            </w:r>
            <w:proofErr w:type="spellEnd"/>
            <w:r w:rsidRPr="00F365DA">
              <w:rPr>
                <w:sz w:val="20"/>
                <w:szCs w:val="20"/>
              </w:rPr>
              <w:t xml:space="preserve"> </w:t>
            </w:r>
            <w:r w:rsidRPr="00F365DA">
              <w:rPr>
                <w:sz w:val="20"/>
                <w:szCs w:val="20"/>
                <w:u w:val="single"/>
              </w:rPr>
              <w:t>&gt;</w:t>
            </w:r>
            <w:r w:rsidRPr="00F365DA">
              <w:rPr>
                <w:sz w:val="20"/>
                <w:szCs w:val="20"/>
              </w:rPr>
              <w:t xml:space="preserve"> 30 or VAS </w:t>
            </w:r>
            <w:r w:rsidRPr="00F365DA">
              <w:rPr>
                <w:sz w:val="20"/>
                <w:szCs w:val="20"/>
                <w:u w:val="single"/>
              </w:rPr>
              <w:t>&gt;</w:t>
            </w:r>
            <w:r w:rsidRPr="00F365DA">
              <w:rPr>
                <w:sz w:val="20"/>
                <w:szCs w:val="20"/>
              </w:rPr>
              <w:t xml:space="preserve"> 40/100 </w:t>
            </w:r>
          </w:p>
          <w:p w:rsidR="00B6719A" w:rsidRPr="00F365DA" w:rsidRDefault="00B6719A" w:rsidP="00B6719A">
            <w:pPr>
              <w:numPr>
                <w:ilvl w:val="0"/>
                <w:numId w:val="6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Failed 6 months of nonoperative care</w:t>
            </w:r>
          </w:p>
          <w:p w:rsidR="00B6719A" w:rsidRPr="00D63C3A" w:rsidRDefault="00B6719A" w:rsidP="00B6719A">
            <w:pPr>
              <w:numPr>
                <w:ilvl w:val="0"/>
                <w:numId w:val="6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D63C3A">
              <w:rPr>
                <w:sz w:val="20"/>
                <w:szCs w:val="20"/>
              </w:rPr>
              <w:t>Back and/or leg pain with no nerve root compression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Exclusion: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Previous thoracic or lumbar fusion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Current or prior </w:t>
            </w:r>
            <w:r w:rsidRPr="00F365DA">
              <w:rPr>
                <w:sz w:val="20"/>
                <w:szCs w:val="20"/>
              </w:rPr>
              <w:lastRenderedPageBreak/>
              <w:t>fracture at L4, L5, or S1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Symptomatic multilevel degeneration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Non-contained herniated nucleus pulposus 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Spondylosis 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Spondylolisthesis &gt; 3 mm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Scoliosis &gt; 11°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Mid-sagittal stenosis &lt; 8 mm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Spinal tumor or infection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Osteoporosis, osteopenia, or metabolic bone disease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Facet joint </w:t>
            </w:r>
            <w:proofErr w:type="spellStart"/>
            <w:r w:rsidRPr="00F365DA">
              <w:rPr>
                <w:sz w:val="20"/>
                <w:szCs w:val="20"/>
              </w:rPr>
              <w:t>arthrosis</w:t>
            </w:r>
            <w:proofErr w:type="spellEnd"/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Psychosocial disorder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Morbid obesity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Metal allergy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Use of bone growth stimulator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Participation in another study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proofErr w:type="spellStart"/>
            <w:r w:rsidRPr="00F365DA">
              <w:rPr>
                <w:sz w:val="20"/>
                <w:szCs w:val="20"/>
              </w:rPr>
              <w:t>Arachnoiditis</w:t>
            </w:r>
            <w:proofErr w:type="spellEnd"/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Chronic steroid use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Autoimmune disorder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Pregnancy</w:t>
            </w:r>
          </w:p>
          <w:p w:rsidR="00B6719A" w:rsidRPr="00F365DA" w:rsidRDefault="00B6719A" w:rsidP="00B6719A">
            <w:pPr>
              <w:numPr>
                <w:ilvl w:val="0"/>
                <w:numId w:val="7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Other spinal surgery at affected level </w:t>
            </w:r>
            <w:r w:rsidRPr="00F365DA">
              <w:rPr>
                <w:sz w:val="20"/>
                <w:szCs w:val="20"/>
              </w:rPr>
              <w:lastRenderedPageBreak/>
              <w:t xml:space="preserve">(excluding discectomy, </w:t>
            </w:r>
            <w:proofErr w:type="spellStart"/>
            <w:r w:rsidRPr="00F365DA">
              <w:rPr>
                <w:sz w:val="20"/>
                <w:szCs w:val="20"/>
              </w:rPr>
              <w:t>laminotomy</w:t>
            </w:r>
            <w:proofErr w:type="spellEnd"/>
            <w:r w:rsidRPr="00F365DA">
              <w:rPr>
                <w:sz w:val="20"/>
                <w:szCs w:val="20"/>
              </w:rPr>
              <w:t xml:space="preserve">, laminectomy, without accompanying </w:t>
            </w:r>
            <w:proofErr w:type="spellStart"/>
            <w:r w:rsidRPr="00F365DA">
              <w:rPr>
                <w:sz w:val="20"/>
                <w:szCs w:val="20"/>
              </w:rPr>
              <w:t>facetotomy</w:t>
            </w:r>
            <w:proofErr w:type="spellEnd"/>
            <w:r w:rsidRPr="00F365DA">
              <w:rPr>
                <w:sz w:val="20"/>
                <w:szCs w:val="20"/>
              </w:rPr>
              <w:t xml:space="preserve"> or </w:t>
            </w:r>
            <w:proofErr w:type="spellStart"/>
            <w:r w:rsidRPr="00F365DA">
              <w:rPr>
                <w:sz w:val="20"/>
                <w:szCs w:val="20"/>
              </w:rPr>
              <w:t>nucleolysis</w:t>
            </w:r>
            <w:proofErr w:type="spellEnd"/>
            <w:r w:rsidRPr="00F365DA">
              <w:rPr>
                <w:sz w:val="20"/>
                <w:szCs w:val="20"/>
              </w:rPr>
              <w:t xml:space="preserve"> at the same level to be treated)</w:t>
            </w:r>
          </w:p>
        </w:tc>
        <w:tc>
          <w:tcPr>
            <w:tcW w:w="823" w:type="pct"/>
            <w:tcBorders>
              <w:bottom w:val="single" w:sz="4" w:space="0" w:color="auto"/>
            </w:tcBorders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proofErr w:type="spellStart"/>
            <w:r w:rsidRPr="00F365DA">
              <w:rPr>
                <w:sz w:val="20"/>
                <w:szCs w:val="20"/>
              </w:rPr>
              <w:lastRenderedPageBreak/>
              <w:t>Charité</w:t>
            </w:r>
            <w:proofErr w:type="spellEnd"/>
            <w:r w:rsidRPr="00F365DA">
              <w:rPr>
                <w:sz w:val="20"/>
                <w:szCs w:val="20"/>
              </w:rPr>
              <w:t xml:space="preserve"> artificial disc (N = 90)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Age: 40.0 ± 8.6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Sex: 52% male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Anterior lumbar interbody fusion with BAK cages (n = 43)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Age: 38.8 ± 8.7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Sex: 56% male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bottom w:val="single" w:sz="4" w:space="0" w:color="auto"/>
            </w:tcBorders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Operation at an adjacent level. No description of ASP conditions.</w:t>
            </w:r>
          </w:p>
        </w:tc>
      </w:tr>
      <w:tr w:rsidR="00F365DA" w:rsidRPr="00F365DA" w:rsidTr="00577521">
        <w:trPr>
          <w:trHeight w:val="197"/>
          <w:jc w:val="center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B6719A" w:rsidRPr="00F365DA" w:rsidRDefault="00B6719A" w:rsidP="00B6719A">
            <w:r w:rsidRPr="00F365DA">
              <w:rPr>
                <w:b/>
              </w:rPr>
              <w:lastRenderedPageBreak/>
              <w:t>Motion Preservation Devices versus Fusion</w:t>
            </w:r>
          </w:p>
        </w:tc>
      </w:tr>
      <w:tr w:rsidR="00F365DA" w:rsidRPr="00F365DA" w:rsidTr="00577521">
        <w:trPr>
          <w:trHeight w:val="386"/>
          <w:jc w:val="center"/>
        </w:trPr>
        <w:tc>
          <w:tcPr>
            <w:tcW w:w="488" w:type="pct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proofErr w:type="spellStart"/>
            <w:r w:rsidRPr="00F365DA">
              <w:rPr>
                <w:sz w:val="20"/>
                <w:szCs w:val="20"/>
              </w:rPr>
              <w:t>Kanayama</w:t>
            </w:r>
            <w:proofErr w:type="spellEnd"/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(2009)</w:t>
            </w:r>
          </w:p>
        </w:tc>
        <w:tc>
          <w:tcPr>
            <w:tcW w:w="488" w:type="pct"/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Retrospective cohort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F/U time: 48 months</w:t>
            </w:r>
          </w:p>
        </w:tc>
        <w:tc>
          <w:tcPr>
            <w:tcW w:w="640" w:type="pct"/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N = 224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Mean age: 63 years 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Sex: 42% male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F/U rate: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Total 218/224 (97.3%)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Graf 65/67 (97.0%)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PLF 75/77 (97.4%)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PLIF 78/80 (97.5%)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Determine the prevalence and nature of adjacent segment deterioration after posterior ligamentoplasty, posterolateral lumbar fusion or posterior lumbar interbody fusion</w:t>
            </w:r>
          </w:p>
        </w:tc>
        <w:tc>
          <w:tcPr>
            <w:tcW w:w="1159" w:type="pct"/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Inclusion: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Degenerative </w:t>
            </w:r>
            <w:proofErr w:type="spellStart"/>
            <w:r w:rsidRPr="00F365DA">
              <w:rPr>
                <w:sz w:val="20"/>
                <w:szCs w:val="20"/>
              </w:rPr>
              <w:t>olisthesis</w:t>
            </w:r>
            <w:proofErr w:type="spellEnd"/>
            <w:r w:rsidRPr="00F365DA">
              <w:rPr>
                <w:sz w:val="20"/>
                <w:szCs w:val="20"/>
              </w:rPr>
              <w:t xml:space="preserve"> 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Isthmic </w:t>
            </w:r>
            <w:proofErr w:type="spellStart"/>
            <w:r w:rsidRPr="00F365DA">
              <w:rPr>
                <w:sz w:val="20"/>
                <w:szCs w:val="20"/>
              </w:rPr>
              <w:t>olisthesis</w:t>
            </w:r>
            <w:proofErr w:type="spellEnd"/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Herniated disc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Spinal stenosis</w:t>
            </w:r>
          </w:p>
          <w:p w:rsidR="00B6719A" w:rsidRPr="00D63C3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D63C3A">
              <w:rPr>
                <w:sz w:val="20"/>
                <w:szCs w:val="20"/>
              </w:rPr>
              <w:t>Foraminal stenosis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Exclusion: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Degenerative scoliosis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ind w:left="252"/>
              <w:contextualSpacing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Graf ligamentoplasty (n = 65)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Mean age: 63 years 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Sex: 34% male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Posterior lateral fusion (n = 75)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Mean age: 64 years 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Sex: 41% male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Posterior lumbar interbody fusion (n = 78)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Mean age: 60 years 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Sex: 49% male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Adjacent segment disease defined as radiculopathy associated with newly developed pathologies at L1-L2, L2-L3, L3-L4, and L5-S1. 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ASD diagnosed on the basis of clinical presentation, not only radiographic findings.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Asymptomatic adjacent segment pathologies were not included.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</w:tc>
      </w:tr>
      <w:tr w:rsidR="00F365DA" w:rsidRPr="00F365DA" w:rsidTr="00577521">
        <w:trPr>
          <w:trHeight w:val="386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proofErr w:type="spellStart"/>
            <w:r w:rsidRPr="00F365DA">
              <w:rPr>
                <w:sz w:val="20"/>
                <w:szCs w:val="20"/>
              </w:rPr>
              <w:t>Kanayama</w:t>
            </w:r>
            <w:proofErr w:type="spellEnd"/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(2001)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Retrospective cohort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F/U time: 60 months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N = 70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Mean age: 57 years 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Sex: 49% male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F/U rate: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lastRenderedPageBreak/>
              <w:t>Total 45/70 (64.3%)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Graf 18/28 (64.3%)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PLF 27/42 (64.3%)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lastRenderedPageBreak/>
              <w:t xml:space="preserve">Assess the adjacent segment morbidity of Graf ligamentoplasty compared with </w:t>
            </w:r>
            <w:r w:rsidRPr="00F365DA">
              <w:rPr>
                <w:sz w:val="20"/>
                <w:szCs w:val="20"/>
              </w:rPr>
              <w:lastRenderedPageBreak/>
              <w:t>posterolateral fusion in which instrumentation was used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lastRenderedPageBreak/>
              <w:t>Inclusion: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Flexion instability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No or minimal disc space narrowing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Degenerative spondylolisthesis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lastRenderedPageBreak/>
              <w:t>Massive disc herniation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Spinal stenosis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Isthmic </w:t>
            </w:r>
            <w:proofErr w:type="spellStart"/>
            <w:r w:rsidRPr="00F365DA">
              <w:rPr>
                <w:sz w:val="20"/>
                <w:szCs w:val="20"/>
              </w:rPr>
              <w:t>olisthesis</w:t>
            </w:r>
            <w:proofErr w:type="spellEnd"/>
          </w:p>
          <w:p w:rsidR="00B6719A" w:rsidRPr="00D63C3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D63C3A">
              <w:rPr>
                <w:sz w:val="20"/>
                <w:szCs w:val="20"/>
              </w:rPr>
              <w:t>Recurrent disc herniation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Exclusion: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NR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ind w:left="252"/>
              <w:contextualSpacing/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lastRenderedPageBreak/>
              <w:t>Graf ligamentoplasty (n = 18)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Mean age: 55 ± 15 years 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Sex: 44% male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lastRenderedPageBreak/>
              <w:t>Posterior lateral fusion (n = 27)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Mean age: 58 ± 11 years 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Sex: 52% male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lastRenderedPageBreak/>
              <w:t xml:space="preserve">Radiographic evidence of adjacent segment morbidity includes disc space narrowing, spur formation, </w:t>
            </w:r>
            <w:r w:rsidRPr="00F365DA">
              <w:rPr>
                <w:sz w:val="20"/>
                <w:szCs w:val="20"/>
              </w:rPr>
              <w:lastRenderedPageBreak/>
              <w:t>spondylolisthesis, and vacuum phenomenon.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Clinical evidence of adjacent segment morbidity was determined by the rate of salvage operation for adjacent segment lesions.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</w:tc>
      </w:tr>
      <w:tr w:rsidR="00F365DA" w:rsidRPr="00F365DA" w:rsidTr="00577521">
        <w:trPr>
          <w:trHeight w:val="386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proofErr w:type="spellStart"/>
            <w:r w:rsidRPr="00F365DA">
              <w:rPr>
                <w:sz w:val="20"/>
                <w:szCs w:val="20"/>
              </w:rPr>
              <w:lastRenderedPageBreak/>
              <w:t>Kaner</w:t>
            </w:r>
            <w:proofErr w:type="spellEnd"/>
            <w:r w:rsidRPr="00F365DA">
              <w:rPr>
                <w:sz w:val="20"/>
                <w:szCs w:val="20"/>
              </w:rPr>
              <w:t xml:space="preserve"> 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(2010)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Prospective cohort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F/U time: 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Dynamic: 38 months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Rigid: 44 months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N = 46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Mean age: 62 years (range, 45-89 years)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Sex: 28% male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F/U rate: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Total 46/46 (100%)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Dynamic 26/26 (100%)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Rigid 20/20 (100%)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To compare posterior dynamic transpedicular stabilization and posterior rigid transpedicular stabilization with fusion after decompression in the treatment of degenerative spondylolisthesis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Inclusion: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Single level grade I or II degenerative spondylolisthesis causing central and/or lateral recess syndrome</w:t>
            </w:r>
          </w:p>
          <w:p w:rsidR="00B6719A" w:rsidRPr="00D63C3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D63C3A">
              <w:rPr>
                <w:sz w:val="20"/>
                <w:szCs w:val="20"/>
              </w:rPr>
              <w:t>Failed previous medical treatment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Exclusion: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Isthmic spondylolisthesis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Degenerative spondylolisthesis at more than one level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History of previous lumbar fusions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Infections of the spine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Systemic diseases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Lumbar decompression and posterior dynamic transpedicular stabilization (n = 26)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Mean age: 64 years 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Sex: 23% male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Lumbar decompression and rigid transpedicular stabilization with fusion (n = 20)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Mean age: 62 years 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Sex: 35% male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Operation at an adjacent level. No description of ASP conditions.</w:t>
            </w:r>
          </w:p>
        </w:tc>
      </w:tr>
      <w:tr w:rsidR="00F365DA" w:rsidRPr="00F365DA" w:rsidTr="00577521">
        <w:trPr>
          <w:trHeight w:val="386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proofErr w:type="spellStart"/>
            <w:r w:rsidRPr="00F365DA">
              <w:rPr>
                <w:sz w:val="20"/>
                <w:szCs w:val="20"/>
              </w:rPr>
              <w:t>Korovessis</w:t>
            </w:r>
            <w:proofErr w:type="spellEnd"/>
            <w:r w:rsidRPr="00F365DA">
              <w:rPr>
                <w:sz w:val="20"/>
                <w:szCs w:val="20"/>
              </w:rPr>
              <w:t xml:space="preserve"> (2004)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Randomized controlled </w:t>
            </w:r>
            <w:r w:rsidRPr="00F365DA">
              <w:rPr>
                <w:sz w:val="20"/>
                <w:szCs w:val="20"/>
              </w:rPr>
              <w:lastRenderedPageBreak/>
              <w:t>trial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F/U time: mean 47 ± 14 months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lastRenderedPageBreak/>
              <w:t>N = 45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Mean age: </w:t>
            </w:r>
            <w:r w:rsidRPr="00F365DA">
              <w:rPr>
                <w:sz w:val="20"/>
                <w:szCs w:val="20"/>
              </w:rPr>
              <w:lastRenderedPageBreak/>
              <w:t xml:space="preserve">62 years 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Sex: 76% male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F/U rate</w:t>
            </w:r>
            <w:proofErr w:type="gramStart"/>
            <w:r w:rsidRPr="00F365DA">
              <w:rPr>
                <w:sz w:val="20"/>
                <w:szCs w:val="20"/>
              </w:rPr>
              <w:t>:</w:t>
            </w:r>
            <w:proofErr w:type="gramEnd"/>
            <w:r w:rsidRPr="00F365DA">
              <w:rPr>
                <w:sz w:val="20"/>
                <w:szCs w:val="20"/>
              </w:rPr>
              <w:br/>
              <w:t>Total 45/45 (100%)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Dynamic 15/15 (100%)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Semi-rigid 15/15 (100%)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Rigid 15/15 (100%)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lastRenderedPageBreak/>
              <w:t xml:space="preserve">To compare the short-term </w:t>
            </w:r>
            <w:r w:rsidRPr="00F365DA">
              <w:rPr>
                <w:sz w:val="20"/>
                <w:szCs w:val="20"/>
              </w:rPr>
              <w:lastRenderedPageBreak/>
              <w:t>effects of rigid versus semi-rigid and dynamic stabilization on the global and segmental lumbar spine profile, subjective evaluation of the result, and the associated complications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lastRenderedPageBreak/>
              <w:t>Inclusion: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Symptomatic </w:t>
            </w:r>
            <w:r w:rsidRPr="00F365DA">
              <w:rPr>
                <w:sz w:val="20"/>
                <w:szCs w:val="20"/>
              </w:rPr>
              <w:lastRenderedPageBreak/>
              <w:t>degenerative lumbar spinal stenosis for at least one year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Exclusion: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Prior spine surgery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Active infection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Congenital deformity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proofErr w:type="spellStart"/>
            <w:r w:rsidRPr="00F365DA">
              <w:rPr>
                <w:sz w:val="20"/>
                <w:szCs w:val="20"/>
              </w:rPr>
              <w:lastRenderedPageBreak/>
              <w:t>Twinflex</w:t>
            </w:r>
            <w:proofErr w:type="spellEnd"/>
            <w:r w:rsidRPr="00F365DA">
              <w:rPr>
                <w:sz w:val="20"/>
                <w:szCs w:val="20"/>
              </w:rPr>
              <w:t xml:space="preserve"> Dynamic </w:t>
            </w:r>
            <w:r w:rsidRPr="00F365DA">
              <w:rPr>
                <w:sz w:val="20"/>
                <w:szCs w:val="20"/>
              </w:rPr>
              <w:lastRenderedPageBreak/>
              <w:t>stabilization (n = 15)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Mean age: 62 ± 10 years 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Sex: NR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Semi-rigid Claris instrumentation (n = 15)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Mean age: 59 ± 16 years 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Sex: NR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Rigid Segmental Contouring System (n = 15)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Mean age: 65 ± 9 years 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Sex: NR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lastRenderedPageBreak/>
              <w:t xml:space="preserve">Adjacent segment degeneration is </w:t>
            </w:r>
            <w:r w:rsidRPr="00F365DA">
              <w:rPr>
                <w:sz w:val="20"/>
                <w:szCs w:val="20"/>
              </w:rPr>
              <w:lastRenderedPageBreak/>
              <w:t xml:space="preserve">the presence of </w:t>
            </w:r>
            <w:proofErr w:type="spellStart"/>
            <w:r w:rsidRPr="00F365DA">
              <w:rPr>
                <w:sz w:val="20"/>
                <w:szCs w:val="20"/>
              </w:rPr>
              <w:t>olisthesis</w:t>
            </w:r>
            <w:proofErr w:type="spellEnd"/>
            <w:r w:rsidRPr="00F365DA">
              <w:rPr>
                <w:sz w:val="20"/>
                <w:szCs w:val="20"/>
              </w:rPr>
              <w:t>, osteophytes, and disc degeneration above or below the instrumented spine.</w:t>
            </w:r>
          </w:p>
        </w:tc>
      </w:tr>
      <w:tr w:rsidR="00F365DA" w:rsidRPr="00F365DA" w:rsidTr="00577521">
        <w:trPr>
          <w:trHeight w:val="386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lastRenderedPageBreak/>
              <w:br w:type="page"/>
            </w:r>
            <w:r w:rsidRPr="00F365DA">
              <w:rPr>
                <w:sz w:val="20"/>
                <w:szCs w:val="20"/>
              </w:rPr>
              <w:t>Satoh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(2006)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Retrospective 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cohort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F/U time: 60 months 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N = 398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Mean age: 40 years 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Sex: 72% male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F/U rate: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Total 351/398 (88.2%)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Discectomy NR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PLIF NR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To examine whether lumbar disc herniation with massive extrusion and/or segmental instability can be an indicator for spinal fusion or not, by comparing the outcome of posterior lumbar interbody fusion and discectomy alone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Inclusion:</w:t>
            </w:r>
          </w:p>
          <w:p w:rsidR="00B6719A" w:rsidRPr="00F365DA" w:rsidRDefault="00B6719A" w:rsidP="00B6719A">
            <w:pPr>
              <w:numPr>
                <w:ilvl w:val="0"/>
                <w:numId w:val="8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Massive herniation defined as a complete block on myelogram</w:t>
            </w:r>
          </w:p>
          <w:p w:rsidR="00B6719A" w:rsidRPr="00F365DA" w:rsidRDefault="00B6719A" w:rsidP="00B6719A">
            <w:pPr>
              <w:numPr>
                <w:ilvl w:val="0"/>
                <w:numId w:val="8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Segmental instability defined as anterior slip &gt; 3 mm and/or local kyphosis of  &gt; 5° on lateral radiograph of maximal flexion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Exclusion: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NR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Discectomy (n = 177)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Mean age: 39 years 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Sex: 67% male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Posterior lumbar interbody fusion (n = 174)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Mean age: 42 years 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Sex: 78% male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Adjacent level instability defined as anterior slip &gt; 3 mm and/or local kyphosis &gt; 5° at maximal flexion on lateral radiographs.</w:t>
            </w:r>
          </w:p>
        </w:tc>
      </w:tr>
      <w:tr w:rsidR="00F365DA" w:rsidRPr="00F365DA" w:rsidTr="00577521">
        <w:trPr>
          <w:trHeight w:val="22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:rsidR="00B6719A" w:rsidRPr="00F365DA" w:rsidRDefault="00B6719A" w:rsidP="00B6719A">
            <w:r w:rsidRPr="00F365DA">
              <w:rPr>
                <w:b/>
              </w:rPr>
              <w:lastRenderedPageBreak/>
              <w:t>Motion Preservation Devices versus Other Motion Preservation Devices</w:t>
            </w:r>
          </w:p>
        </w:tc>
      </w:tr>
      <w:tr w:rsidR="00F365DA" w:rsidRPr="00F365DA" w:rsidTr="00577521">
        <w:trPr>
          <w:trHeight w:val="386"/>
          <w:jc w:val="center"/>
        </w:trPr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proofErr w:type="spellStart"/>
            <w:r w:rsidRPr="00F365DA">
              <w:rPr>
                <w:sz w:val="20"/>
                <w:szCs w:val="20"/>
              </w:rPr>
              <w:t>Putzier</w:t>
            </w:r>
            <w:proofErr w:type="spellEnd"/>
            <w:r w:rsidRPr="00F365DA">
              <w:rPr>
                <w:sz w:val="20"/>
                <w:szCs w:val="20"/>
              </w:rPr>
              <w:t xml:space="preserve"> </w:t>
            </w:r>
            <w:r w:rsidRPr="00F365DA">
              <w:rPr>
                <w:sz w:val="20"/>
                <w:szCs w:val="20"/>
              </w:rPr>
              <w:br/>
              <w:t>(2005)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Retrospective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cohort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F/U time: 34 months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N = 84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Mean age: 37 years (range, 21–59 years)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Sex: 61% male  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F/U rate</w:t>
            </w:r>
            <w:proofErr w:type="gramStart"/>
            <w:r w:rsidRPr="00F365DA">
              <w:rPr>
                <w:sz w:val="20"/>
                <w:szCs w:val="20"/>
              </w:rPr>
              <w:t>:</w:t>
            </w:r>
            <w:proofErr w:type="gramEnd"/>
            <w:r w:rsidRPr="00F365DA">
              <w:rPr>
                <w:sz w:val="20"/>
                <w:szCs w:val="20"/>
              </w:rPr>
              <w:br/>
              <w:t>Total 82/84 (97.6%)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Dynamic and nucleotomy 35/35 (100%)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Nucleotomy alone 47/49 (95.9%)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To investigate the effect of dynamic stabilization compared with nucleotomy alone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Inclusion:</w:t>
            </w:r>
          </w:p>
          <w:p w:rsidR="00B6719A" w:rsidRPr="00F365DA" w:rsidRDefault="00B6719A" w:rsidP="00B6719A">
            <w:pPr>
              <w:numPr>
                <w:ilvl w:val="0"/>
                <w:numId w:val="8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Therapy-resistant lumbar radicular complaints </w:t>
            </w:r>
          </w:p>
          <w:p w:rsidR="00B6719A" w:rsidRPr="00F365DA" w:rsidRDefault="00B6719A" w:rsidP="00B6719A">
            <w:pPr>
              <w:numPr>
                <w:ilvl w:val="0"/>
                <w:numId w:val="8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Disc prolapse shown on MRI</w:t>
            </w:r>
          </w:p>
          <w:p w:rsidR="00B6719A" w:rsidRPr="00F365DA" w:rsidRDefault="00B6719A" w:rsidP="00B6719A">
            <w:pPr>
              <w:numPr>
                <w:ilvl w:val="0"/>
                <w:numId w:val="8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Stage I disc degeneration according to </w:t>
            </w:r>
            <w:proofErr w:type="spellStart"/>
            <w:r w:rsidRPr="00F365DA">
              <w:rPr>
                <w:sz w:val="20"/>
                <w:szCs w:val="20"/>
              </w:rPr>
              <w:t>Modic</w:t>
            </w:r>
            <w:proofErr w:type="spellEnd"/>
            <w:r w:rsidRPr="00F365DA">
              <w:rPr>
                <w:sz w:val="20"/>
                <w:szCs w:val="20"/>
              </w:rPr>
              <w:t xml:space="preserve"> in a maximum of two segments</w:t>
            </w:r>
          </w:p>
          <w:p w:rsidR="00B6719A" w:rsidRPr="00F365DA" w:rsidRDefault="00B6719A" w:rsidP="00B6719A">
            <w:pPr>
              <w:numPr>
                <w:ilvl w:val="0"/>
                <w:numId w:val="8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Clinical symptoms equivalent to radicular syndrome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Exclusion: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Epidural adhesions and/or </w:t>
            </w:r>
            <w:proofErr w:type="spellStart"/>
            <w:r w:rsidRPr="00F365DA">
              <w:rPr>
                <w:sz w:val="20"/>
                <w:szCs w:val="20"/>
              </w:rPr>
              <w:t>periradicular</w:t>
            </w:r>
            <w:proofErr w:type="spellEnd"/>
            <w:r w:rsidRPr="00F365DA">
              <w:rPr>
                <w:sz w:val="20"/>
                <w:szCs w:val="20"/>
              </w:rPr>
              <w:t xml:space="preserve"> fibrosis after precedent nucleotomy depicted on MRI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Significant changes in the posterior section of the motion segment like marked facet joint arthritis, absolute spinal stenosis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Spondylolisthesis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Lumbar scoliosis &gt; 10°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Stage II and III degenerative </w:t>
            </w:r>
            <w:r w:rsidRPr="00F365DA">
              <w:rPr>
                <w:sz w:val="20"/>
                <w:szCs w:val="20"/>
              </w:rPr>
              <w:lastRenderedPageBreak/>
              <w:t xml:space="preserve">changes according to </w:t>
            </w:r>
            <w:proofErr w:type="spellStart"/>
            <w:r w:rsidRPr="00F365DA">
              <w:rPr>
                <w:sz w:val="20"/>
                <w:szCs w:val="20"/>
              </w:rPr>
              <w:t>Modic</w:t>
            </w:r>
            <w:proofErr w:type="spellEnd"/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Pain greater than stage II according to </w:t>
            </w:r>
            <w:proofErr w:type="spellStart"/>
            <w:r w:rsidRPr="00F365DA">
              <w:rPr>
                <w:sz w:val="20"/>
                <w:szCs w:val="20"/>
              </w:rPr>
              <w:t>Gerbershagen</w:t>
            </w:r>
            <w:proofErr w:type="spellEnd"/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Clinical, laboratory and/or radiologic signs of osteoporosis or other metabolic bone diseases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Presence of malignant tumors</w:t>
            </w:r>
          </w:p>
          <w:p w:rsidR="00B6719A" w:rsidRPr="00F365DA" w:rsidRDefault="00B6719A" w:rsidP="00B6719A">
            <w:pPr>
              <w:numPr>
                <w:ilvl w:val="0"/>
                <w:numId w:val="5"/>
              </w:numPr>
              <w:ind w:left="252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BMI &gt; 30 kg/m²</w:t>
            </w:r>
          </w:p>
        </w:tc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lastRenderedPageBreak/>
              <w:t>Dynamic stabilization and nucleotomy (n = 35)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Mean age: 39 years (range, 23–58 years)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Sex: 63% male  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Nucleotomy alone (n = 49)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Mean age: 36 years (range, 21–59 years)</w:t>
            </w:r>
          </w:p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Sex: 59% male 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Adjacent segment disease defined as presence of axis deviation or osseous remodeling processes, stenosis, or </w:t>
            </w:r>
            <w:proofErr w:type="spellStart"/>
            <w:r w:rsidRPr="00F365DA">
              <w:rPr>
                <w:sz w:val="20"/>
                <w:szCs w:val="20"/>
              </w:rPr>
              <w:t>spondyloarthroses</w:t>
            </w:r>
            <w:proofErr w:type="spellEnd"/>
            <w:r w:rsidRPr="00F365DA">
              <w:rPr>
                <w:sz w:val="20"/>
                <w:szCs w:val="20"/>
              </w:rPr>
              <w:t xml:space="preserve"> assessed by the degree of hydration of the intervertebral discs on T2 weighted sagittal MRIs.</w:t>
            </w:r>
          </w:p>
        </w:tc>
      </w:tr>
    </w:tbl>
    <w:p w:rsidR="00B6719A" w:rsidRPr="00F365DA" w:rsidRDefault="00B6719A" w:rsidP="00B6719A">
      <w:pPr>
        <w:rPr>
          <w:sz w:val="20"/>
          <w:szCs w:val="20"/>
        </w:rPr>
      </w:pPr>
      <w:r w:rsidRPr="00F365DA">
        <w:rPr>
          <w:sz w:val="20"/>
          <w:szCs w:val="20"/>
        </w:rPr>
        <w:lastRenderedPageBreak/>
        <w:t>*Longer-term outcome study of 60 months. Original study (Blumenthal &amp; McAfee) done at 48 month F/U.</w:t>
      </w:r>
    </w:p>
    <w:p w:rsidR="00B6719A" w:rsidRPr="00F365DA" w:rsidRDefault="00B6719A" w:rsidP="00B6719A">
      <w:pPr>
        <w:rPr>
          <w:b/>
        </w:rPr>
        <w:sectPr w:rsidR="00B6719A" w:rsidRPr="00F365DA" w:rsidSect="00B6719A">
          <w:pgSz w:w="15840" w:h="12240" w:orient="landscape"/>
          <w:pgMar w:top="1440" w:right="1440" w:bottom="1440" w:left="1440" w:header="720" w:footer="720" w:gutter="0"/>
          <w:cols w:space="720"/>
          <w:docGrid w:linePitch="326"/>
        </w:sectPr>
      </w:pPr>
    </w:p>
    <w:p w:rsidR="00B6719A" w:rsidRPr="00F365DA" w:rsidRDefault="00B6719A" w:rsidP="00B6719A"/>
    <w:p w:rsidR="00B6719A" w:rsidRPr="00F365DA" w:rsidRDefault="00B6719A" w:rsidP="00B6719A"/>
    <w:p w:rsidR="00B6719A" w:rsidRPr="00F365DA" w:rsidRDefault="00B6719A">
      <w:pPr>
        <w:rPr>
          <w:b/>
        </w:rPr>
      </w:pPr>
      <w:r w:rsidRPr="00F365DA">
        <w:rPr>
          <w:b/>
        </w:rPr>
        <w:br w:type="page"/>
      </w:r>
    </w:p>
    <w:p w:rsidR="00B6719A" w:rsidRDefault="00B6719A" w:rsidP="00B6719A">
      <w:pPr>
        <w:ind w:right="-630"/>
        <w:rPr>
          <w:b/>
        </w:rPr>
      </w:pPr>
      <w:r w:rsidRPr="00F365DA">
        <w:rPr>
          <w:b/>
        </w:rPr>
        <w:lastRenderedPageBreak/>
        <w:t xml:space="preserve">Table 2: Level of Evidence </w:t>
      </w:r>
      <w:r w:rsidR="00B51BA8" w:rsidRPr="00F365DA">
        <w:rPr>
          <w:b/>
        </w:rPr>
        <w:t>of</w:t>
      </w:r>
      <w:r w:rsidRPr="00F365DA">
        <w:rPr>
          <w:b/>
        </w:rPr>
        <w:t xml:space="preserve"> Included Studies</w:t>
      </w:r>
    </w:p>
    <w:p w:rsidR="002153EF" w:rsidRPr="00F365DA" w:rsidRDefault="002153EF" w:rsidP="00B6719A">
      <w:pPr>
        <w:ind w:right="-630"/>
      </w:pPr>
    </w:p>
    <w:tbl>
      <w:tblPr>
        <w:tblW w:w="99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4"/>
        <w:gridCol w:w="750"/>
        <w:gridCol w:w="761"/>
        <w:gridCol w:w="1150"/>
        <w:gridCol w:w="1150"/>
        <w:gridCol w:w="761"/>
        <w:gridCol w:w="1139"/>
        <w:gridCol w:w="813"/>
        <w:gridCol w:w="838"/>
      </w:tblGrid>
      <w:tr w:rsidR="00577521" w:rsidRPr="00F365DA" w:rsidTr="00577521">
        <w:trPr>
          <w:trHeight w:val="260"/>
          <w:jc w:val="center"/>
        </w:trPr>
        <w:tc>
          <w:tcPr>
            <w:tcW w:w="1761" w:type="pct"/>
            <w:vMerge w:val="restart"/>
            <w:shd w:val="clear" w:color="auto" w:fill="auto"/>
            <w:vAlign w:val="center"/>
          </w:tcPr>
          <w:p w:rsidR="00577521" w:rsidRPr="00F365DA" w:rsidRDefault="00577521" w:rsidP="00B51BA8">
            <w:pPr>
              <w:rPr>
                <w:b/>
                <w:sz w:val="22"/>
                <w:szCs w:val="22"/>
              </w:rPr>
            </w:pPr>
            <w:r w:rsidRPr="00F365DA">
              <w:rPr>
                <w:b/>
                <w:sz w:val="22"/>
                <w:szCs w:val="22"/>
              </w:rPr>
              <w:t>Methodological Principle</w:t>
            </w:r>
          </w:p>
        </w:tc>
        <w:tc>
          <w:tcPr>
            <w:tcW w:w="376" w:type="pct"/>
            <w:shd w:val="clear" w:color="auto" w:fill="auto"/>
          </w:tcPr>
          <w:p w:rsidR="00577521" w:rsidRPr="00F365DA" w:rsidRDefault="00577521" w:rsidP="00577521">
            <w:pPr>
              <w:jc w:val="center"/>
              <w:rPr>
                <w:b/>
                <w:sz w:val="20"/>
                <w:szCs w:val="20"/>
              </w:rPr>
            </w:pPr>
            <w:r w:rsidRPr="00F365DA">
              <w:rPr>
                <w:b/>
                <w:sz w:val="20"/>
                <w:szCs w:val="20"/>
              </w:rPr>
              <w:t>Berg</w:t>
            </w:r>
          </w:p>
        </w:tc>
        <w:tc>
          <w:tcPr>
            <w:tcW w:w="385" w:type="pct"/>
            <w:shd w:val="clear" w:color="auto" w:fill="auto"/>
          </w:tcPr>
          <w:p w:rsidR="00577521" w:rsidRPr="00F365DA" w:rsidRDefault="00577521" w:rsidP="005775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365DA">
              <w:rPr>
                <w:b/>
                <w:sz w:val="20"/>
                <w:szCs w:val="20"/>
              </w:rPr>
              <w:t>Guyer</w:t>
            </w:r>
            <w:proofErr w:type="spellEnd"/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365DA">
              <w:rPr>
                <w:b/>
                <w:sz w:val="20"/>
                <w:szCs w:val="20"/>
              </w:rPr>
              <w:t>Kanayama</w:t>
            </w:r>
            <w:proofErr w:type="spellEnd"/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365DA">
              <w:rPr>
                <w:b/>
                <w:sz w:val="20"/>
                <w:szCs w:val="20"/>
              </w:rPr>
              <w:t>Kanayama</w:t>
            </w:r>
            <w:proofErr w:type="spellEnd"/>
          </w:p>
        </w:tc>
        <w:tc>
          <w:tcPr>
            <w:tcW w:w="309" w:type="pct"/>
            <w:shd w:val="clear" w:color="auto" w:fill="auto"/>
          </w:tcPr>
          <w:p w:rsidR="00577521" w:rsidRPr="00F365DA" w:rsidRDefault="00577521" w:rsidP="005775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365DA">
              <w:rPr>
                <w:b/>
                <w:sz w:val="20"/>
                <w:szCs w:val="20"/>
              </w:rPr>
              <w:t>Kaner</w:t>
            </w:r>
            <w:proofErr w:type="spellEnd"/>
          </w:p>
        </w:tc>
        <w:tc>
          <w:tcPr>
            <w:tcW w:w="461" w:type="pct"/>
          </w:tcPr>
          <w:p w:rsidR="00577521" w:rsidRPr="00F365DA" w:rsidRDefault="00577521" w:rsidP="005775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Korovessis</w:t>
            </w:r>
            <w:proofErr w:type="spellEnd"/>
          </w:p>
        </w:tc>
        <w:tc>
          <w:tcPr>
            <w:tcW w:w="439" w:type="pct"/>
            <w:shd w:val="clear" w:color="auto" w:fill="auto"/>
          </w:tcPr>
          <w:p w:rsidR="00577521" w:rsidRPr="002153EF" w:rsidRDefault="00577521" w:rsidP="00577521">
            <w:pPr>
              <w:jc w:val="center"/>
              <w:rPr>
                <w:b/>
                <w:sz w:val="20"/>
                <w:szCs w:val="20"/>
              </w:rPr>
            </w:pPr>
            <w:r w:rsidRPr="002153EF">
              <w:rPr>
                <w:b/>
                <w:sz w:val="20"/>
                <w:szCs w:val="20"/>
              </w:rPr>
              <w:t>Satoh</w:t>
            </w:r>
          </w:p>
        </w:tc>
        <w:tc>
          <w:tcPr>
            <w:tcW w:w="339" w:type="pct"/>
            <w:shd w:val="clear" w:color="auto" w:fill="auto"/>
          </w:tcPr>
          <w:p w:rsidR="00577521" w:rsidRPr="002153EF" w:rsidRDefault="00577521" w:rsidP="0057752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2153EF">
              <w:rPr>
                <w:b/>
                <w:sz w:val="20"/>
                <w:szCs w:val="20"/>
              </w:rPr>
              <w:t>Putzier</w:t>
            </w:r>
            <w:proofErr w:type="spellEnd"/>
          </w:p>
        </w:tc>
      </w:tr>
      <w:tr w:rsidR="00577521" w:rsidRPr="00F365DA" w:rsidTr="00577521">
        <w:trPr>
          <w:trHeight w:val="260"/>
          <w:jc w:val="center"/>
        </w:trPr>
        <w:tc>
          <w:tcPr>
            <w:tcW w:w="1761" w:type="pct"/>
            <w:vMerge/>
            <w:shd w:val="clear" w:color="auto" w:fill="auto"/>
            <w:vAlign w:val="center"/>
          </w:tcPr>
          <w:p w:rsidR="00577521" w:rsidRPr="00F365DA" w:rsidRDefault="00577521" w:rsidP="00B6719A">
            <w:pPr>
              <w:rPr>
                <w:b/>
                <w:sz w:val="22"/>
                <w:szCs w:val="22"/>
              </w:rPr>
            </w:pPr>
          </w:p>
        </w:tc>
        <w:tc>
          <w:tcPr>
            <w:tcW w:w="376" w:type="pct"/>
            <w:shd w:val="clear" w:color="auto" w:fill="auto"/>
          </w:tcPr>
          <w:p w:rsidR="00577521" w:rsidRPr="00F365DA" w:rsidRDefault="00577521" w:rsidP="00577521">
            <w:pPr>
              <w:jc w:val="center"/>
              <w:rPr>
                <w:b/>
              </w:rPr>
            </w:pPr>
            <w:r w:rsidRPr="00F365DA">
              <w:rPr>
                <w:b/>
                <w:sz w:val="20"/>
                <w:szCs w:val="20"/>
              </w:rPr>
              <w:t>(2009)</w:t>
            </w:r>
          </w:p>
        </w:tc>
        <w:tc>
          <w:tcPr>
            <w:tcW w:w="385" w:type="pct"/>
            <w:shd w:val="clear" w:color="auto" w:fill="auto"/>
          </w:tcPr>
          <w:p w:rsidR="00577521" w:rsidRPr="00F365DA" w:rsidRDefault="00577521" w:rsidP="00577521">
            <w:pPr>
              <w:jc w:val="center"/>
              <w:rPr>
                <w:b/>
              </w:rPr>
            </w:pPr>
            <w:r w:rsidRPr="00F365DA">
              <w:rPr>
                <w:b/>
                <w:sz w:val="20"/>
                <w:szCs w:val="20"/>
              </w:rPr>
              <w:t>(2009)</w:t>
            </w: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  <w:rPr>
                <w:b/>
              </w:rPr>
            </w:pPr>
            <w:r w:rsidRPr="00F365DA">
              <w:rPr>
                <w:b/>
                <w:sz w:val="20"/>
                <w:szCs w:val="20"/>
              </w:rPr>
              <w:t>(2009)</w:t>
            </w: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  <w:rPr>
                <w:b/>
              </w:rPr>
            </w:pPr>
            <w:r w:rsidRPr="00F365DA">
              <w:rPr>
                <w:b/>
                <w:sz w:val="20"/>
                <w:szCs w:val="20"/>
              </w:rPr>
              <w:t>(2001)</w:t>
            </w:r>
          </w:p>
        </w:tc>
        <w:tc>
          <w:tcPr>
            <w:tcW w:w="309" w:type="pct"/>
            <w:shd w:val="clear" w:color="auto" w:fill="auto"/>
          </w:tcPr>
          <w:p w:rsidR="00577521" w:rsidRPr="00F365DA" w:rsidRDefault="00577521" w:rsidP="00577521">
            <w:pPr>
              <w:jc w:val="center"/>
              <w:rPr>
                <w:b/>
              </w:rPr>
            </w:pPr>
            <w:r w:rsidRPr="00F365DA">
              <w:rPr>
                <w:b/>
                <w:sz w:val="20"/>
                <w:szCs w:val="20"/>
              </w:rPr>
              <w:t>(2010)</w:t>
            </w:r>
          </w:p>
        </w:tc>
        <w:tc>
          <w:tcPr>
            <w:tcW w:w="461" w:type="pct"/>
          </w:tcPr>
          <w:p w:rsidR="00577521" w:rsidRPr="00F365DA" w:rsidRDefault="00577521" w:rsidP="0057752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(2004)</w:t>
            </w:r>
          </w:p>
        </w:tc>
        <w:tc>
          <w:tcPr>
            <w:tcW w:w="439" w:type="pct"/>
            <w:shd w:val="clear" w:color="auto" w:fill="auto"/>
          </w:tcPr>
          <w:p w:rsidR="00577521" w:rsidRPr="002153EF" w:rsidRDefault="00577521" w:rsidP="00577521">
            <w:pPr>
              <w:jc w:val="center"/>
              <w:rPr>
                <w:b/>
                <w:sz w:val="20"/>
                <w:szCs w:val="20"/>
              </w:rPr>
            </w:pPr>
            <w:r w:rsidRPr="002153EF">
              <w:rPr>
                <w:b/>
                <w:sz w:val="20"/>
                <w:szCs w:val="20"/>
              </w:rPr>
              <w:t>(2006)</w:t>
            </w:r>
          </w:p>
        </w:tc>
        <w:tc>
          <w:tcPr>
            <w:tcW w:w="339" w:type="pct"/>
            <w:shd w:val="clear" w:color="auto" w:fill="auto"/>
          </w:tcPr>
          <w:p w:rsidR="00577521" w:rsidRPr="002153EF" w:rsidRDefault="00577521" w:rsidP="00577521">
            <w:pPr>
              <w:jc w:val="center"/>
              <w:rPr>
                <w:b/>
                <w:sz w:val="20"/>
                <w:szCs w:val="20"/>
              </w:rPr>
            </w:pPr>
            <w:r w:rsidRPr="002153EF">
              <w:rPr>
                <w:b/>
                <w:sz w:val="20"/>
                <w:szCs w:val="20"/>
              </w:rPr>
              <w:t>(2005)</w:t>
            </w:r>
          </w:p>
        </w:tc>
      </w:tr>
      <w:tr w:rsidR="00577521" w:rsidRPr="00F365DA" w:rsidTr="00577521">
        <w:trPr>
          <w:trHeight w:val="480"/>
          <w:jc w:val="center"/>
        </w:trPr>
        <w:tc>
          <w:tcPr>
            <w:tcW w:w="1761" w:type="pct"/>
            <w:shd w:val="clear" w:color="auto" w:fill="auto"/>
            <w:vAlign w:val="center"/>
          </w:tcPr>
          <w:p w:rsidR="00577521" w:rsidRPr="00F365DA" w:rsidRDefault="00577521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Study design</w:t>
            </w:r>
          </w:p>
        </w:tc>
        <w:tc>
          <w:tcPr>
            <w:tcW w:w="376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309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61" w:type="pct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39" w:type="pct"/>
          </w:tcPr>
          <w:p w:rsidR="00577521" w:rsidRPr="006543AA" w:rsidRDefault="00577521" w:rsidP="00577521">
            <w:pPr>
              <w:jc w:val="center"/>
            </w:pPr>
          </w:p>
        </w:tc>
        <w:tc>
          <w:tcPr>
            <w:tcW w:w="339" w:type="pct"/>
          </w:tcPr>
          <w:p w:rsidR="00577521" w:rsidRPr="007842B4" w:rsidRDefault="00577521" w:rsidP="00577521">
            <w:pPr>
              <w:jc w:val="center"/>
            </w:pPr>
          </w:p>
        </w:tc>
      </w:tr>
      <w:tr w:rsidR="00577521" w:rsidRPr="00F365DA" w:rsidTr="00577521">
        <w:trPr>
          <w:trHeight w:val="480"/>
          <w:jc w:val="center"/>
        </w:trPr>
        <w:tc>
          <w:tcPr>
            <w:tcW w:w="1761" w:type="pct"/>
            <w:shd w:val="clear" w:color="auto" w:fill="auto"/>
            <w:vAlign w:val="center"/>
          </w:tcPr>
          <w:p w:rsidR="00577521" w:rsidRPr="00F365DA" w:rsidRDefault="00577521" w:rsidP="00B6719A">
            <w:pPr>
              <w:ind w:left="180"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Randomized controlled trial</w:t>
            </w:r>
          </w:p>
        </w:tc>
        <w:tc>
          <w:tcPr>
            <w:tcW w:w="376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38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309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61" w:type="pct"/>
          </w:tcPr>
          <w:p w:rsidR="00577521" w:rsidRPr="00F365DA" w:rsidRDefault="00577521" w:rsidP="00577521">
            <w:pPr>
              <w:jc w:val="center"/>
            </w:pPr>
            <w:r w:rsidRPr="002153EF">
              <w:t>√</w:t>
            </w:r>
          </w:p>
        </w:tc>
        <w:tc>
          <w:tcPr>
            <w:tcW w:w="439" w:type="pct"/>
          </w:tcPr>
          <w:p w:rsidR="00577521" w:rsidRPr="006543AA" w:rsidRDefault="00577521" w:rsidP="00577521">
            <w:pPr>
              <w:jc w:val="center"/>
            </w:pPr>
          </w:p>
        </w:tc>
        <w:tc>
          <w:tcPr>
            <w:tcW w:w="339" w:type="pct"/>
          </w:tcPr>
          <w:p w:rsidR="00577521" w:rsidRPr="007842B4" w:rsidRDefault="00577521" w:rsidP="00577521">
            <w:pPr>
              <w:jc w:val="center"/>
            </w:pPr>
          </w:p>
        </w:tc>
      </w:tr>
      <w:tr w:rsidR="00577521" w:rsidRPr="00F365DA" w:rsidTr="00577521">
        <w:trPr>
          <w:trHeight w:val="480"/>
          <w:jc w:val="center"/>
        </w:trPr>
        <w:tc>
          <w:tcPr>
            <w:tcW w:w="1761" w:type="pct"/>
            <w:shd w:val="clear" w:color="auto" w:fill="auto"/>
            <w:vAlign w:val="center"/>
          </w:tcPr>
          <w:p w:rsidR="00577521" w:rsidRPr="00F365DA" w:rsidRDefault="00577521" w:rsidP="00B6719A">
            <w:pPr>
              <w:ind w:left="180"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Cohort Study</w:t>
            </w:r>
          </w:p>
        </w:tc>
        <w:tc>
          <w:tcPr>
            <w:tcW w:w="376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309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461" w:type="pct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39" w:type="pct"/>
          </w:tcPr>
          <w:p w:rsidR="00577521" w:rsidRPr="006543AA" w:rsidRDefault="00577521" w:rsidP="00577521">
            <w:pPr>
              <w:jc w:val="center"/>
            </w:pPr>
            <w:r w:rsidRPr="006543AA">
              <w:t>√</w:t>
            </w:r>
          </w:p>
        </w:tc>
        <w:tc>
          <w:tcPr>
            <w:tcW w:w="339" w:type="pct"/>
          </w:tcPr>
          <w:p w:rsidR="00577521" w:rsidRPr="007842B4" w:rsidRDefault="00577521" w:rsidP="00577521">
            <w:pPr>
              <w:jc w:val="center"/>
            </w:pPr>
            <w:r w:rsidRPr="007842B4">
              <w:t>√</w:t>
            </w:r>
          </w:p>
        </w:tc>
      </w:tr>
      <w:tr w:rsidR="00577521" w:rsidRPr="00F365DA" w:rsidTr="00577521">
        <w:trPr>
          <w:trHeight w:val="93"/>
          <w:jc w:val="center"/>
        </w:trPr>
        <w:tc>
          <w:tcPr>
            <w:tcW w:w="1761" w:type="pct"/>
            <w:shd w:val="clear" w:color="auto" w:fill="auto"/>
            <w:vAlign w:val="center"/>
          </w:tcPr>
          <w:p w:rsidR="00577521" w:rsidRPr="00F365DA" w:rsidRDefault="00577521" w:rsidP="00B51BA8">
            <w:pPr>
              <w:ind w:left="180"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Case Series</w:t>
            </w:r>
          </w:p>
        </w:tc>
        <w:tc>
          <w:tcPr>
            <w:tcW w:w="376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309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61" w:type="pct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39" w:type="pct"/>
          </w:tcPr>
          <w:p w:rsidR="00577521" w:rsidRPr="006543AA" w:rsidRDefault="00577521" w:rsidP="00577521">
            <w:pPr>
              <w:jc w:val="center"/>
            </w:pPr>
          </w:p>
        </w:tc>
        <w:tc>
          <w:tcPr>
            <w:tcW w:w="339" w:type="pct"/>
          </w:tcPr>
          <w:p w:rsidR="00577521" w:rsidRPr="007842B4" w:rsidRDefault="00577521" w:rsidP="00577521">
            <w:pPr>
              <w:jc w:val="center"/>
            </w:pPr>
          </w:p>
        </w:tc>
      </w:tr>
      <w:tr w:rsidR="00577521" w:rsidRPr="00F365DA" w:rsidTr="00577521">
        <w:trPr>
          <w:trHeight w:val="501"/>
          <w:jc w:val="center"/>
        </w:trPr>
        <w:tc>
          <w:tcPr>
            <w:tcW w:w="1761" w:type="pct"/>
            <w:shd w:val="clear" w:color="auto" w:fill="auto"/>
            <w:vAlign w:val="center"/>
          </w:tcPr>
          <w:p w:rsidR="00577521" w:rsidRPr="00F365DA" w:rsidRDefault="00577521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Statement of concealed allocation†</w:t>
            </w:r>
          </w:p>
        </w:tc>
        <w:tc>
          <w:tcPr>
            <w:tcW w:w="376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38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309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61" w:type="pct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39" w:type="pct"/>
          </w:tcPr>
          <w:p w:rsidR="00577521" w:rsidRPr="006543AA" w:rsidRDefault="00577521" w:rsidP="00577521">
            <w:pPr>
              <w:jc w:val="center"/>
            </w:pPr>
          </w:p>
        </w:tc>
        <w:tc>
          <w:tcPr>
            <w:tcW w:w="339" w:type="pct"/>
          </w:tcPr>
          <w:p w:rsidR="00577521" w:rsidRPr="007842B4" w:rsidRDefault="00577521" w:rsidP="00577521">
            <w:pPr>
              <w:jc w:val="center"/>
            </w:pPr>
          </w:p>
        </w:tc>
      </w:tr>
      <w:tr w:rsidR="00577521" w:rsidRPr="00F365DA" w:rsidTr="00577521">
        <w:trPr>
          <w:trHeight w:val="530"/>
          <w:jc w:val="center"/>
        </w:trPr>
        <w:tc>
          <w:tcPr>
            <w:tcW w:w="1761" w:type="pct"/>
            <w:shd w:val="clear" w:color="auto" w:fill="auto"/>
            <w:vAlign w:val="center"/>
          </w:tcPr>
          <w:p w:rsidR="00577521" w:rsidRPr="00F365DA" w:rsidRDefault="00577521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Intention to treat†</w:t>
            </w:r>
          </w:p>
        </w:tc>
        <w:tc>
          <w:tcPr>
            <w:tcW w:w="376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38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309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61" w:type="pct"/>
          </w:tcPr>
          <w:p w:rsidR="00577521" w:rsidRPr="00F365DA" w:rsidRDefault="00577521" w:rsidP="00577521">
            <w:pPr>
              <w:jc w:val="center"/>
            </w:pPr>
            <w:r w:rsidRPr="002153EF">
              <w:t>√</w:t>
            </w:r>
          </w:p>
        </w:tc>
        <w:tc>
          <w:tcPr>
            <w:tcW w:w="439" w:type="pct"/>
          </w:tcPr>
          <w:p w:rsidR="00577521" w:rsidRPr="006543AA" w:rsidRDefault="00577521" w:rsidP="00577521">
            <w:pPr>
              <w:jc w:val="center"/>
            </w:pPr>
          </w:p>
        </w:tc>
        <w:tc>
          <w:tcPr>
            <w:tcW w:w="339" w:type="pct"/>
          </w:tcPr>
          <w:p w:rsidR="00577521" w:rsidRPr="007842B4" w:rsidRDefault="00577521" w:rsidP="00577521">
            <w:pPr>
              <w:jc w:val="center"/>
            </w:pPr>
          </w:p>
        </w:tc>
      </w:tr>
      <w:tr w:rsidR="00577521" w:rsidRPr="00F365DA" w:rsidTr="00577521">
        <w:trPr>
          <w:trHeight w:val="480"/>
          <w:jc w:val="center"/>
        </w:trPr>
        <w:tc>
          <w:tcPr>
            <w:tcW w:w="1761" w:type="pct"/>
            <w:shd w:val="clear" w:color="auto" w:fill="auto"/>
            <w:vAlign w:val="center"/>
          </w:tcPr>
          <w:p w:rsidR="00577521" w:rsidRPr="00F365DA" w:rsidRDefault="00577521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Independent or blind assessment</w:t>
            </w:r>
          </w:p>
        </w:tc>
        <w:tc>
          <w:tcPr>
            <w:tcW w:w="376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38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309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61" w:type="pct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439" w:type="pct"/>
          </w:tcPr>
          <w:p w:rsidR="00577521" w:rsidRPr="006543AA" w:rsidRDefault="00577521" w:rsidP="00577521">
            <w:pPr>
              <w:jc w:val="center"/>
            </w:pPr>
            <w:r w:rsidRPr="006543AA">
              <w:t>√</w:t>
            </w:r>
          </w:p>
        </w:tc>
        <w:tc>
          <w:tcPr>
            <w:tcW w:w="339" w:type="pct"/>
          </w:tcPr>
          <w:p w:rsidR="00577521" w:rsidRPr="007842B4" w:rsidRDefault="00577521" w:rsidP="00577521">
            <w:pPr>
              <w:jc w:val="center"/>
            </w:pPr>
          </w:p>
        </w:tc>
      </w:tr>
      <w:tr w:rsidR="00577521" w:rsidRPr="00F365DA" w:rsidTr="00577521">
        <w:trPr>
          <w:trHeight w:val="485"/>
          <w:jc w:val="center"/>
        </w:trPr>
        <w:tc>
          <w:tcPr>
            <w:tcW w:w="1761" w:type="pct"/>
            <w:shd w:val="clear" w:color="auto" w:fill="auto"/>
            <w:vAlign w:val="center"/>
          </w:tcPr>
          <w:p w:rsidR="00577521" w:rsidRPr="00F365DA" w:rsidRDefault="00577521" w:rsidP="00B6719A">
            <w:pPr>
              <w:tabs>
                <w:tab w:val="left" w:pos="432"/>
              </w:tabs>
              <w:ind w:left="-18"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Co-interventions applied equally</w:t>
            </w:r>
          </w:p>
        </w:tc>
        <w:tc>
          <w:tcPr>
            <w:tcW w:w="376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38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309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461" w:type="pct"/>
          </w:tcPr>
          <w:p w:rsidR="00577521" w:rsidRPr="00F85DDC" w:rsidRDefault="00577521" w:rsidP="00577521">
            <w:pPr>
              <w:jc w:val="center"/>
            </w:pPr>
            <w:r w:rsidRPr="00F85DDC">
              <w:t>√</w:t>
            </w:r>
          </w:p>
        </w:tc>
        <w:tc>
          <w:tcPr>
            <w:tcW w:w="439" w:type="pct"/>
          </w:tcPr>
          <w:p w:rsidR="00577521" w:rsidRPr="006543AA" w:rsidRDefault="00577521" w:rsidP="00577521">
            <w:pPr>
              <w:jc w:val="center"/>
            </w:pPr>
            <w:r w:rsidRPr="006543AA">
              <w:t>√</w:t>
            </w:r>
          </w:p>
        </w:tc>
        <w:tc>
          <w:tcPr>
            <w:tcW w:w="339" w:type="pct"/>
          </w:tcPr>
          <w:p w:rsidR="00577521" w:rsidRPr="007842B4" w:rsidRDefault="00577521" w:rsidP="00577521">
            <w:pPr>
              <w:jc w:val="center"/>
            </w:pPr>
            <w:r w:rsidRPr="007842B4">
              <w:t>√</w:t>
            </w:r>
          </w:p>
        </w:tc>
      </w:tr>
      <w:tr w:rsidR="00577521" w:rsidRPr="00F365DA" w:rsidTr="00577521">
        <w:trPr>
          <w:trHeight w:val="440"/>
          <w:jc w:val="center"/>
        </w:trPr>
        <w:tc>
          <w:tcPr>
            <w:tcW w:w="1761" w:type="pct"/>
            <w:shd w:val="clear" w:color="auto" w:fill="auto"/>
            <w:vAlign w:val="center"/>
          </w:tcPr>
          <w:p w:rsidR="00577521" w:rsidRPr="00F365DA" w:rsidRDefault="00577521" w:rsidP="00F365D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Complete follow-up of ≥ 80%</w:t>
            </w:r>
          </w:p>
        </w:tc>
        <w:tc>
          <w:tcPr>
            <w:tcW w:w="376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38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*</w:t>
            </w: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309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461" w:type="pct"/>
          </w:tcPr>
          <w:p w:rsidR="00577521" w:rsidRDefault="00577521" w:rsidP="00577521">
            <w:pPr>
              <w:jc w:val="center"/>
            </w:pPr>
            <w:r w:rsidRPr="00F85DDC">
              <w:t>√</w:t>
            </w:r>
          </w:p>
        </w:tc>
        <w:tc>
          <w:tcPr>
            <w:tcW w:w="439" w:type="pct"/>
          </w:tcPr>
          <w:p w:rsidR="00577521" w:rsidRPr="006543AA" w:rsidRDefault="00577521" w:rsidP="00577521">
            <w:pPr>
              <w:jc w:val="center"/>
            </w:pPr>
            <w:r w:rsidRPr="006543AA">
              <w:t>√</w:t>
            </w:r>
          </w:p>
        </w:tc>
        <w:tc>
          <w:tcPr>
            <w:tcW w:w="339" w:type="pct"/>
          </w:tcPr>
          <w:p w:rsidR="00577521" w:rsidRPr="007842B4" w:rsidRDefault="00577521" w:rsidP="00577521">
            <w:pPr>
              <w:jc w:val="center"/>
            </w:pPr>
            <w:r w:rsidRPr="007842B4">
              <w:t>√</w:t>
            </w:r>
          </w:p>
        </w:tc>
      </w:tr>
      <w:tr w:rsidR="00577521" w:rsidRPr="00F365DA" w:rsidTr="00577521">
        <w:trPr>
          <w:trHeight w:val="521"/>
          <w:jc w:val="center"/>
        </w:trPr>
        <w:tc>
          <w:tcPr>
            <w:tcW w:w="1761" w:type="pct"/>
            <w:shd w:val="clear" w:color="auto" w:fill="auto"/>
            <w:vAlign w:val="center"/>
          </w:tcPr>
          <w:p w:rsidR="00577521" w:rsidRPr="00F365DA" w:rsidRDefault="00577521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Adequate sample size</w:t>
            </w:r>
          </w:p>
        </w:tc>
        <w:tc>
          <w:tcPr>
            <w:tcW w:w="376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38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309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61" w:type="pct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39" w:type="pct"/>
          </w:tcPr>
          <w:p w:rsidR="00577521" w:rsidRPr="006543AA" w:rsidRDefault="00577521" w:rsidP="00577521">
            <w:pPr>
              <w:jc w:val="center"/>
            </w:pPr>
            <w:r w:rsidRPr="006543AA">
              <w:t>√</w:t>
            </w:r>
          </w:p>
        </w:tc>
        <w:tc>
          <w:tcPr>
            <w:tcW w:w="339" w:type="pct"/>
          </w:tcPr>
          <w:p w:rsidR="00577521" w:rsidRPr="007842B4" w:rsidRDefault="00577521" w:rsidP="00577521">
            <w:pPr>
              <w:jc w:val="center"/>
            </w:pPr>
          </w:p>
        </w:tc>
      </w:tr>
      <w:tr w:rsidR="00577521" w:rsidRPr="00F365DA" w:rsidTr="00577521">
        <w:trPr>
          <w:trHeight w:val="539"/>
          <w:jc w:val="center"/>
        </w:trPr>
        <w:tc>
          <w:tcPr>
            <w:tcW w:w="1761" w:type="pct"/>
            <w:shd w:val="clear" w:color="auto" w:fill="auto"/>
            <w:vAlign w:val="center"/>
          </w:tcPr>
          <w:p w:rsidR="00577521" w:rsidRPr="00F365DA" w:rsidRDefault="00577521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Controlling for possible confounding</w:t>
            </w:r>
          </w:p>
        </w:tc>
        <w:tc>
          <w:tcPr>
            <w:tcW w:w="376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38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309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61" w:type="pct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39" w:type="pct"/>
          </w:tcPr>
          <w:p w:rsidR="00577521" w:rsidRPr="006543AA" w:rsidRDefault="00577521" w:rsidP="00577521">
            <w:pPr>
              <w:jc w:val="center"/>
            </w:pPr>
          </w:p>
        </w:tc>
        <w:tc>
          <w:tcPr>
            <w:tcW w:w="339" w:type="pct"/>
          </w:tcPr>
          <w:p w:rsidR="00577521" w:rsidRPr="007842B4" w:rsidRDefault="00577521" w:rsidP="00577521">
            <w:pPr>
              <w:jc w:val="center"/>
            </w:pPr>
          </w:p>
        </w:tc>
      </w:tr>
      <w:tr w:rsidR="00577521" w:rsidRPr="00F365DA" w:rsidTr="00577521">
        <w:trPr>
          <w:trHeight w:val="530"/>
          <w:jc w:val="center"/>
        </w:trPr>
        <w:tc>
          <w:tcPr>
            <w:tcW w:w="1761" w:type="pct"/>
            <w:shd w:val="clear" w:color="auto" w:fill="auto"/>
            <w:vAlign w:val="center"/>
          </w:tcPr>
          <w:p w:rsidR="00577521" w:rsidRPr="00F365DA" w:rsidRDefault="00577521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Prospective study</w:t>
            </w:r>
          </w:p>
        </w:tc>
        <w:tc>
          <w:tcPr>
            <w:tcW w:w="376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38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465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</w:p>
        </w:tc>
        <w:tc>
          <w:tcPr>
            <w:tcW w:w="309" w:type="pct"/>
            <w:shd w:val="clear" w:color="auto" w:fill="auto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461" w:type="pct"/>
          </w:tcPr>
          <w:p w:rsidR="00577521" w:rsidRPr="00F365DA" w:rsidRDefault="00577521" w:rsidP="00577521">
            <w:pPr>
              <w:jc w:val="center"/>
            </w:pPr>
            <w:r w:rsidRPr="00F365DA">
              <w:t>√</w:t>
            </w:r>
          </w:p>
        </w:tc>
        <w:tc>
          <w:tcPr>
            <w:tcW w:w="439" w:type="pct"/>
          </w:tcPr>
          <w:p w:rsidR="00577521" w:rsidRPr="006543AA" w:rsidRDefault="00577521" w:rsidP="00577521">
            <w:pPr>
              <w:jc w:val="center"/>
            </w:pPr>
          </w:p>
        </w:tc>
        <w:tc>
          <w:tcPr>
            <w:tcW w:w="339" w:type="pct"/>
          </w:tcPr>
          <w:p w:rsidR="00577521" w:rsidRPr="007842B4" w:rsidRDefault="00577521" w:rsidP="00577521">
            <w:pPr>
              <w:jc w:val="center"/>
            </w:pPr>
          </w:p>
        </w:tc>
      </w:tr>
      <w:tr w:rsidR="00577521" w:rsidRPr="00F365DA" w:rsidTr="00577521">
        <w:trPr>
          <w:trHeight w:val="260"/>
          <w:jc w:val="center"/>
        </w:trPr>
        <w:tc>
          <w:tcPr>
            <w:tcW w:w="1761" w:type="pct"/>
            <w:shd w:val="clear" w:color="auto" w:fill="D9D9D9" w:themeFill="background1" w:themeFillShade="D9"/>
            <w:vAlign w:val="center"/>
          </w:tcPr>
          <w:p w:rsidR="00577521" w:rsidRPr="00F365DA" w:rsidRDefault="00577521" w:rsidP="00B6719A">
            <w:pPr>
              <w:rPr>
                <w:b/>
                <w:sz w:val="22"/>
                <w:szCs w:val="22"/>
              </w:rPr>
            </w:pPr>
            <w:r w:rsidRPr="00F365DA">
              <w:rPr>
                <w:b/>
                <w:sz w:val="22"/>
                <w:szCs w:val="22"/>
              </w:rPr>
              <w:t>Evidence Level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577521" w:rsidRPr="00F365DA" w:rsidRDefault="00577521" w:rsidP="00577521">
            <w:pPr>
              <w:jc w:val="center"/>
              <w:rPr>
                <w:b/>
                <w:sz w:val="22"/>
                <w:szCs w:val="22"/>
              </w:rPr>
            </w:pPr>
            <w:r w:rsidRPr="00F365DA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385" w:type="pct"/>
            <w:shd w:val="clear" w:color="auto" w:fill="D9D9D9" w:themeFill="background1" w:themeFillShade="D9"/>
          </w:tcPr>
          <w:p w:rsidR="00577521" w:rsidRPr="00F365DA" w:rsidRDefault="00577521" w:rsidP="00577521">
            <w:pPr>
              <w:jc w:val="center"/>
              <w:rPr>
                <w:b/>
                <w:sz w:val="22"/>
                <w:szCs w:val="22"/>
              </w:rPr>
            </w:pPr>
            <w:r w:rsidRPr="00F365DA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577521" w:rsidRPr="00F365DA" w:rsidRDefault="00577521" w:rsidP="00577521">
            <w:pPr>
              <w:jc w:val="center"/>
              <w:rPr>
                <w:b/>
                <w:sz w:val="22"/>
                <w:szCs w:val="22"/>
              </w:rPr>
            </w:pPr>
            <w:r w:rsidRPr="00F365DA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465" w:type="pct"/>
            <w:shd w:val="clear" w:color="auto" w:fill="D9D9D9" w:themeFill="background1" w:themeFillShade="D9"/>
          </w:tcPr>
          <w:p w:rsidR="00577521" w:rsidRPr="00F365DA" w:rsidRDefault="00577521" w:rsidP="00577521">
            <w:pPr>
              <w:jc w:val="center"/>
              <w:rPr>
                <w:b/>
                <w:sz w:val="22"/>
                <w:szCs w:val="22"/>
              </w:rPr>
            </w:pPr>
            <w:r w:rsidRPr="00F365DA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309" w:type="pct"/>
            <w:shd w:val="clear" w:color="auto" w:fill="D9D9D9" w:themeFill="background1" w:themeFillShade="D9"/>
          </w:tcPr>
          <w:p w:rsidR="00577521" w:rsidRPr="00F365DA" w:rsidRDefault="00577521" w:rsidP="00577521">
            <w:pPr>
              <w:jc w:val="center"/>
              <w:rPr>
                <w:b/>
                <w:sz w:val="22"/>
                <w:szCs w:val="22"/>
              </w:rPr>
            </w:pPr>
            <w:r w:rsidRPr="00F365DA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461" w:type="pct"/>
            <w:shd w:val="clear" w:color="auto" w:fill="D9D9D9" w:themeFill="background1" w:themeFillShade="D9"/>
          </w:tcPr>
          <w:p w:rsidR="00577521" w:rsidRPr="00F365DA" w:rsidRDefault="00577521" w:rsidP="00577521">
            <w:pPr>
              <w:jc w:val="center"/>
              <w:rPr>
                <w:b/>
                <w:sz w:val="22"/>
                <w:szCs w:val="22"/>
              </w:rPr>
            </w:pPr>
            <w:r w:rsidRPr="002153EF">
              <w:rPr>
                <w:b/>
                <w:sz w:val="22"/>
                <w:szCs w:val="22"/>
              </w:rPr>
              <w:t>II</w:t>
            </w:r>
          </w:p>
        </w:tc>
        <w:tc>
          <w:tcPr>
            <w:tcW w:w="439" w:type="pct"/>
            <w:shd w:val="clear" w:color="auto" w:fill="D9D9D9" w:themeFill="background1" w:themeFillShade="D9"/>
          </w:tcPr>
          <w:p w:rsidR="00577521" w:rsidRPr="002153EF" w:rsidRDefault="00577521" w:rsidP="00577521">
            <w:pPr>
              <w:jc w:val="center"/>
              <w:rPr>
                <w:b/>
                <w:sz w:val="22"/>
                <w:szCs w:val="22"/>
              </w:rPr>
            </w:pPr>
            <w:r w:rsidRPr="002153EF">
              <w:rPr>
                <w:b/>
                <w:sz w:val="22"/>
                <w:szCs w:val="22"/>
              </w:rPr>
              <w:t>III</w:t>
            </w:r>
          </w:p>
        </w:tc>
        <w:tc>
          <w:tcPr>
            <w:tcW w:w="339" w:type="pct"/>
            <w:shd w:val="clear" w:color="auto" w:fill="D9D9D9" w:themeFill="background1" w:themeFillShade="D9"/>
          </w:tcPr>
          <w:p w:rsidR="00577521" w:rsidRPr="002153EF" w:rsidRDefault="00577521" w:rsidP="00577521">
            <w:pPr>
              <w:jc w:val="center"/>
              <w:rPr>
                <w:b/>
                <w:sz w:val="22"/>
                <w:szCs w:val="22"/>
              </w:rPr>
            </w:pPr>
            <w:r w:rsidRPr="002153EF">
              <w:rPr>
                <w:b/>
                <w:sz w:val="22"/>
                <w:szCs w:val="22"/>
              </w:rPr>
              <w:t>III</w:t>
            </w:r>
          </w:p>
        </w:tc>
      </w:tr>
      <w:tr w:rsidR="00577521" w:rsidRPr="00F365DA" w:rsidTr="00577521">
        <w:trPr>
          <w:trHeight w:val="260"/>
          <w:jc w:val="center"/>
        </w:trPr>
        <w:tc>
          <w:tcPr>
            <w:tcW w:w="5000" w:type="pct"/>
            <w:gridSpan w:val="9"/>
            <w:shd w:val="clear" w:color="auto" w:fill="auto"/>
            <w:noWrap/>
          </w:tcPr>
          <w:p w:rsidR="00577521" w:rsidRPr="00F365DA" w:rsidRDefault="00577521" w:rsidP="00577521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†applies to randomized controlled trials only</w:t>
            </w:r>
          </w:p>
          <w:p w:rsidR="00577521" w:rsidRPr="00F365DA" w:rsidRDefault="00577521" w:rsidP="00577521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*The follow-up rate for both arms of this trial was very low; therefore, results should be interpreted with caution.</w:t>
            </w:r>
          </w:p>
          <w:p w:rsidR="00577521" w:rsidRPr="00F365DA" w:rsidRDefault="00577521" w:rsidP="00577521">
            <w:pPr>
              <w:rPr>
                <w:sz w:val="22"/>
                <w:szCs w:val="22"/>
              </w:rPr>
            </w:pPr>
          </w:p>
        </w:tc>
      </w:tr>
    </w:tbl>
    <w:p w:rsidR="00B6719A" w:rsidRPr="00F365DA" w:rsidRDefault="00B6719A" w:rsidP="00B6719A">
      <w:pPr>
        <w:sectPr w:rsidR="00B6719A" w:rsidRPr="00F365DA" w:rsidSect="00B6719A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26"/>
        </w:sectPr>
      </w:pPr>
    </w:p>
    <w:p w:rsidR="00577521" w:rsidRDefault="00B6719A" w:rsidP="00B6719A">
      <w:pPr>
        <w:rPr>
          <w:b/>
        </w:rPr>
      </w:pPr>
      <w:r w:rsidRPr="00F365DA">
        <w:rPr>
          <w:b/>
        </w:rPr>
        <w:lastRenderedPageBreak/>
        <w:t>Table 3: Strength of Evidence</w:t>
      </w:r>
    </w:p>
    <w:p w:rsidR="00B6719A" w:rsidRPr="00F365DA" w:rsidRDefault="00B6719A" w:rsidP="00B6719A">
      <w:pPr>
        <w:rPr>
          <w:b/>
        </w:rPr>
      </w:pPr>
      <w:r w:rsidRPr="00F365DA">
        <w:rPr>
          <w:b/>
        </w:rPr>
        <w:t xml:space="preserve"> </w:t>
      </w:r>
    </w:p>
    <w:tbl>
      <w:tblPr>
        <w:tblW w:w="9907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857"/>
        <w:gridCol w:w="1722"/>
        <w:gridCol w:w="3084"/>
        <w:gridCol w:w="902"/>
        <w:gridCol w:w="991"/>
        <w:gridCol w:w="1351"/>
      </w:tblGrid>
      <w:tr w:rsidR="00F365DA" w:rsidRPr="00F365DA" w:rsidTr="00577521">
        <w:trPr>
          <w:trHeight w:val="421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19A" w:rsidRPr="00F365DA" w:rsidRDefault="00B6719A" w:rsidP="00B6719A">
            <w:pPr>
              <w:rPr>
                <w:sz w:val="20"/>
              </w:rPr>
            </w:pPr>
            <w:r w:rsidRPr="00F365DA">
              <w:rPr>
                <w:bCs/>
                <w:sz w:val="20"/>
                <w:u w:val="single"/>
              </w:rPr>
              <w:t>Baseline Quality</w:t>
            </w:r>
            <w:r w:rsidRPr="00F365DA">
              <w:rPr>
                <w:bCs/>
                <w:sz w:val="20"/>
              </w:rPr>
              <w:t xml:space="preserve">:  </w:t>
            </w:r>
            <w:r w:rsidRPr="00F365DA">
              <w:rPr>
                <w:sz w:val="20"/>
              </w:rPr>
              <w:t>HIGH = majority of article Level I/II; LOW = majority of article Level III/IV</w:t>
            </w:r>
          </w:p>
          <w:p w:rsidR="00B6719A" w:rsidRPr="00F365DA" w:rsidRDefault="00B6719A" w:rsidP="00B6719A">
            <w:pPr>
              <w:rPr>
                <w:sz w:val="20"/>
              </w:rPr>
            </w:pPr>
            <w:r w:rsidRPr="00F365DA">
              <w:rPr>
                <w:bCs/>
                <w:sz w:val="20"/>
                <w:u w:val="single"/>
              </w:rPr>
              <w:t>UPGRADE:</w:t>
            </w:r>
            <w:r w:rsidRPr="00F365DA">
              <w:rPr>
                <w:bCs/>
                <w:sz w:val="20"/>
              </w:rPr>
              <w:t xml:space="preserve">  </w:t>
            </w:r>
            <w:r w:rsidRPr="00F365DA">
              <w:rPr>
                <w:sz w:val="20"/>
              </w:rPr>
              <w:t>Large magnitude of effect (1 or 2 levels); dose response gradient (1 level)</w:t>
            </w:r>
          </w:p>
          <w:p w:rsidR="00B6719A" w:rsidRPr="00F365DA" w:rsidRDefault="00B6719A" w:rsidP="00B6719A">
            <w:pPr>
              <w:ind w:right="-144"/>
              <w:rPr>
                <w:bCs/>
                <w:sz w:val="20"/>
                <w:szCs w:val="20"/>
              </w:rPr>
            </w:pPr>
            <w:r w:rsidRPr="00F365DA">
              <w:rPr>
                <w:bCs/>
                <w:sz w:val="20"/>
                <w:u w:val="single"/>
              </w:rPr>
              <w:t>DOWNGRADE</w:t>
            </w:r>
            <w:r w:rsidRPr="00F365DA">
              <w:rPr>
                <w:bCs/>
                <w:sz w:val="20"/>
              </w:rPr>
              <w:t xml:space="preserve">:  </w:t>
            </w:r>
            <w:r w:rsidRPr="00F365DA">
              <w:rPr>
                <w:sz w:val="20"/>
              </w:rPr>
              <w:t>Inconsistency of results (1 or 2 levels); indirectness of evidence (1 or 2 levels); imprecision of effect estimates (1 or 2 levels)</w:t>
            </w:r>
          </w:p>
        </w:tc>
      </w:tr>
      <w:tr w:rsidR="00577521" w:rsidRPr="00F365DA" w:rsidTr="00577521">
        <w:trPr>
          <w:trHeight w:val="421"/>
          <w:jc w:val="center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19A" w:rsidRPr="00F365DA" w:rsidRDefault="00B6719A" w:rsidP="00B6719A">
            <w:pPr>
              <w:rPr>
                <w:b/>
                <w:sz w:val="20"/>
                <w:szCs w:val="20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19A" w:rsidRPr="00F365DA" w:rsidRDefault="00B6719A" w:rsidP="00B51BA8">
            <w:pPr>
              <w:ind w:left="-119" w:right="-144"/>
              <w:rPr>
                <w:b/>
                <w:sz w:val="20"/>
                <w:szCs w:val="20"/>
              </w:rPr>
            </w:pPr>
            <w:r w:rsidRPr="00F365DA">
              <w:rPr>
                <w:b/>
                <w:bCs/>
                <w:sz w:val="20"/>
                <w:szCs w:val="20"/>
              </w:rPr>
              <w:t xml:space="preserve">Strength of </w:t>
            </w:r>
            <w:r w:rsidR="00B51BA8" w:rsidRPr="00F365DA">
              <w:rPr>
                <w:b/>
                <w:bCs/>
                <w:sz w:val="20"/>
                <w:szCs w:val="20"/>
              </w:rPr>
              <w:t>E</w:t>
            </w:r>
            <w:r w:rsidRPr="00F365DA">
              <w:rPr>
                <w:b/>
                <w:bCs/>
                <w:sz w:val="20"/>
                <w:szCs w:val="20"/>
              </w:rPr>
              <w:t>vidence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19A" w:rsidRPr="00F365DA" w:rsidRDefault="00B6719A" w:rsidP="00B6719A">
            <w:pPr>
              <w:rPr>
                <w:b/>
                <w:sz w:val="20"/>
                <w:szCs w:val="20"/>
              </w:rPr>
            </w:pPr>
            <w:r w:rsidRPr="00F365DA">
              <w:rPr>
                <w:b/>
                <w:bCs/>
                <w:sz w:val="20"/>
                <w:szCs w:val="20"/>
              </w:rPr>
              <w:t>Conclusions/Comments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719A" w:rsidRPr="00F365DA" w:rsidRDefault="00B6719A" w:rsidP="00B6719A">
            <w:pPr>
              <w:ind w:left="-54" w:right="-144"/>
              <w:jc w:val="center"/>
              <w:rPr>
                <w:b/>
                <w:sz w:val="20"/>
                <w:szCs w:val="20"/>
              </w:rPr>
            </w:pPr>
            <w:r w:rsidRPr="00577521">
              <w:rPr>
                <w:b/>
                <w:bCs/>
                <w:sz w:val="18"/>
                <w:szCs w:val="18"/>
              </w:rPr>
              <w:t>Baselin</w:t>
            </w:r>
            <w:r w:rsidRPr="00F365DA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719A" w:rsidRPr="00577521" w:rsidRDefault="00B6719A" w:rsidP="00B6719A">
            <w:pPr>
              <w:ind w:left="-54" w:right="-54"/>
              <w:jc w:val="center"/>
              <w:rPr>
                <w:b/>
                <w:sz w:val="18"/>
                <w:szCs w:val="18"/>
              </w:rPr>
            </w:pPr>
            <w:r w:rsidRPr="00577521">
              <w:rPr>
                <w:b/>
                <w:bCs/>
                <w:sz w:val="18"/>
                <w:szCs w:val="18"/>
              </w:rPr>
              <w:t>UPGRADE (levels)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719A" w:rsidRPr="00577521" w:rsidRDefault="00B6719A" w:rsidP="00B6719A">
            <w:pPr>
              <w:ind w:left="-144" w:right="-144"/>
              <w:jc w:val="center"/>
              <w:rPr>
                <w:b/>
                <w:bCs/>
                <w:sz w:val="18"/>
                <w:szCs w:val="18"/>
              </w:rPr>
            </w:pPr>
            <w:r w:rsidRPr="00577521">
              <w:rPr>
                <w:b/>
                <w:bCs/>
                <w:sz w:val="18"/>
                <w:szCs w:val="18"/>
              </w:rPr>
              <w:t>DOWNGRADE</w:t>
            </w:r>
          </w:p>
          <w:p w:rsidR="00B6719A" w:rsidRPr="00F365DA" w:rsidRDefault="00B6719A" w:rsidP="00B6719A">
            <w:pPr>
              <w:ind w:left="-144" w:right="-144"/>
              <w:jc w:val="center"/>
              <w:rPr>
                <w:b/>
                <w:sz w:val="20"/>
                <w:szCs w:val="20"/>
              </w:rPr>
            </w:pPr>
            <w:r w:rsidRPr="00577521">
              <w:rPr>
                <w:b/>
                <w:bCs/>
                <w:sz w:val="18"/>
                <w:szCs w:val="18"/>
              </w:rPr>
              <w:t>(levels)</w:t>
            </w:r>
          </w:p>
        </w:tc>
      </w:tr>
      <w:tr w:rsidR="00577521" w:rsidRPr="00F365DA" w:rsidTr="00577521">
        <w:trPr>
          <w:trHeight w:val="28"/>
          <w:jc w:val="center"/>
        </w:trPr>
        <w:tc>
          <w:tcPr>
            <w:tcW w:w="3363" w:type="pct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Question 1: Is there evidence that TDR is associated with a lower risk of radiographic or clinical ASP compared to fusion?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19A" w:rsidRPr="00F365DA" w:rsidRDefault="00B6719A" w:rsidP="00B6719A">
            <w:pPr>
              <w:ind w:left="-107" w:right="-58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19A" w:rsidRPr="00F365DA" w:rsidRDefault="00B6719A" w:rsidP="00B6719A">
            <w:pPr>
              <w:ind w:left="-107" w:right="-58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6719A" w:rsidRPr="00F365DA" w:rsidRDefault="00B6719A" w:rsidP="00B6719A">
            <w:pPr>
              <w:ind w:left="-107" w:right="-58"/>
              <w:rPr>
                <w:sz w:val="20"/>
                <w:szCs w:val="20"/>
              </w:rPr>
            </w:pPr>
          </w:p>
        </w:tc>
      </w:tr>
      <w:tr w:rsidR="00577521" w:rsidRPr="00F365DA" w:rsidTr="00577521">
        <w:trPr>
          <w:trHeight w:val="28"/>
          <w:jc w:val="center"/>
        </w:trPr>
        <w:tc>
          <w:tcPr>
            <w:tcW w:w="9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19A" w:rsidRPr="00F365DA" w:rsidRDefault="00B6719A" w:rsidP="00B6719A">
            <w:pPr>
              <w:numPr>
                <w:ilvl w:val="0"/>
                <w:numId w:val="2"/>
              </w:numPr>
              <w:ind w:left="73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TDR versus fusion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19A" w:rsidRPr="00F365DA" w:rsidRDefault="003A7660" w:rsidP="00B6719A">
            <w:pPr>
              <w:ind w:left="-144" w:right="-1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B6719A" w:rsidRPr="00F365DA">
              <w:rPr>
                <w:b/>
                <w:sz w:val="20"/>
                <w:szCs w:val="20"/>
              </w:rPr>
              <w:t>MODERATE</w:t>
            </w: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The pooled risk of clinical ASP (treated surgically) was 1.2% and 7.0% in the TDR and fusion groups, respectively</w:t>
            </w:r>
            <w:bookmarkStart w:id="0" w:name="_GoBack"/>
            <w:bookmarkEnd w:id="0"/>
            <w:r w:rsidRPr="00F365DA">
              <w:rPr>
                <w:sz w:val="20"/>
                <w:szCs w:val="20"/>
              </w:rPr>
              <w:t>. The pooled relative risk of clinical ASP (treated surgically) comparing the fusion to the TDR group was 5.9, the pooled attributable risk was 5.8%, and the number needed to harm was 17.3.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9A" w:rsidRPr="00F365DA" w:rsidRDefault="00B6719A" w:rsidP="00B6719A">
            <w:pPr>
              <w:numPr>
                <w:ilvl w:val="0"/>
                <w:numId w:val="1"/>
              </w:numPr>
              <w:tabs>
                <w:tab w:val="left" w:pos="126"/>
              </w:tabs>
              <w:ind w:left="129" w:right="-58" w:hanging="187"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HIGH</w:t>
            </w:r>
          </w:p>
          <w:p w:rsidR="00B6719A" w:rsidRPr="00F365DA" w:rsidRDefault="00B6719A" w:rsidP="00B6719A">
            <w:pPr>
              <w:numPr>
                <w:ilvl w:val="0"/>
                <w:numId w:val="1"/>
              </w:numPr>
              <w:tabs>
                <w:tab w:val="left" w:pos="126"/>
              </w:tabs>
              <w:ind w:left="129" w:right="-58" w:hanging="187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9A" w:rsidRPr="00F365DA" w:rsidRDefault="00B6719A" w:rsidP="00B6719A">
            <w:pPr>
              <w:numPr>
                <w:ilvl w:val="0"/>
                <w:numId w:val="1"/>
              </w:numPr>
              <w:tabs>
                <w:tab w:val="left" w:pos="126"/>
              </w:tabs>
              <w:ind w:left="129" w:right="-58" w:hanging="187"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NO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9A" w:rsidRPr="00F365DA" w:rsidRDefault="00B6719A" w:rsidP="00B6719A">
            <w:pPr>
              <w:numPr>
                <w:ilvl w:val="0"/>
                <w:numId w:val="1"/>
              </w:numPr>
              <w:tabs>
                <w:tab w:val="left" w:pos="126"/>
              </w:tabs>
              <w:ind w:left="129" w:right="-58" w:hanging="187"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Imprecision  (1)</w:t>
            </w:r>
          </w:p>
        </w:tc>
      </w:tr>
      <w:tr w:rsidR="00577521" w:rsidRPr="00F365DA" w:rsidTr="00577521">
        <w:trPr>
          <w:trHeight w:val="28"/>
          <w:jc w:val="center"/>
        </w:trPr>
        <w:tc>
          <w:tcPr>
            <w:tcW w:w="3363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19A" w:rsidRPr="00F365DA" w:rsidRDefault="00B6719A" w:rsidP="00B6719A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Question 2:  Is there evidence that other motion preservation devices are associated with a lower risk of radiographic or clinical ASP compared to fusion?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6719A" w:rsidRPr="00F365DA" w:rsidRDefault="00B6719A" w:rsidP="00B6719A">
            <w:pPr>
              <w:tabs>
                <w:tab w:val="left" w:pos="126"/>
              </w:tabs>
              <w:ind w:left="-58" w:right="-58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6719A" w:rsidRPr="00F365DA" w:rsidRDefault="00B6719A" w:rsidP="00B6719A">
            <w:pPr>
              <w:tabs>
                <w:tab w:val="left" w:pos="126"/>
              </w:tabs>
              <w:ind w:left="-58" w:right="-58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6719A" w:rsidRPr="00F365DA" w:rsidRDefault="00B6719A" w:rsidP="00B6719A">
            <w:pPr>
              <w:tabs>
                <w:tab w:val="left" w:pos="126"/>
              </w:tabs>
              <w:ind w:left="-58" w:right="-58"/>
              <w:rPr>
                <w:sz w:val="20"/>
                <w:szCs w:val="20"/>
              </w:rPr>
            </w:pPr>
          </w:p>
        </w:tc>
      </w:tr>
      <w:tr w:rsidR="00577521" w:rsidRPr="00F365DA" w:rsidTr="00577521">
        <w:trPr>
          <w:trHeight w:val="28"/>
          <w:jc w:val="center"/>
        </w:trPr>
        <w:tc>
          <w:tcPr>
            <w:tcW w:w="9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19A" w:rsidRPr="00F365DA" w:rsidRDefault="00B6719A" w:rsidP="00B6719A">
            <w:pPr>
              <w:numPr>
                <w:ilvl w:val="0"/>
                <w:numId w:val="2"/>
              </w:numPr>
              <w:ind w:left="73" w:right="-197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Graf ligamentoplasty versus fusion 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19A" w:rsidRPr="00F365DA" w:rsidRDefault="00B6719A" w:rsidP="00FA007C">
            <w:pPr>
              <w:rPr>
                <w:b/>
                <w:sz w:val="20"/>
                <w:szCs w:val="20"/>
              </w:rPr>
            </w:pPr>
            <w:r w:rsidRPr="00F365DA">
              <w:rPr>
                <w:b/>
                <w:sz w:val="20"/>
                <w:szCs w:val="20"/>
              </w:rPr>
              <w:t>LOW</w:t>
            </w:r>
          </w:p>
        </w:tc>
        <w:tc>
          <w:tcPr>
            <w:tcW w:w="1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19A" w:rsidRPr="00F365DA" w:rsidRDefault="00B6719A" w:rsidP="00B6719A">
            <w:pPr>
              <w:tabs>
                <w:tab w:val="left" w:pos="126"/>
              </w:tabs>
              <w:ind w:right="-58"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The pooled risk of clinical ASP was 2.4% and 8.9% in the ligamentoplasty and fusion groups, respectively. The pooled relative risk of clinical ASP comparing the fusion group to the Graf ligamentoplasty group was 3.7, the pooled attributable risk was 6.4%, and the number needed to harm was 15.4.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719A" w:rsidRPr="00F365DA" w:rsidRDefault="00B6719A" w:rsidP="00B6719A">
            <w:pPr>
              <w:numPr>
                <w:ilvl w:val="0"/>
                <w:numId w:val="1"/>
              </w:numPr>
              <w:tabs>
                <w:tab w:val="left" w:pos="126"/>
              </w:tabs>
              <w:ind w:left="129" w:right="-58" w:hanging="187"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LOW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719A" w:rsidRPr="00F365DA" w:rsidRDefault="00B6719A" w:rsidP="00B6719A">
            <w:pPr>
              <w:numPr>
                <w:ilvl w:val="0"/>
                <w:numId w:val="1"/>
              </w:numPr>
              <w:tabs>
                <w:tab w:val="left" w:pos="126"/>
              </w:tabs>
              <w:ind w:left="129" w:right="-58" w:hanging="187"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Large effect (1)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719A" w:rsidRPr="00F365DA" w:rsidRDefault="00B6719A" w:rsidP="00B6719A">
            <w:pPr>
              <w:numPr>
                <w:ilvl w:val="0"/>
                <w:numId w:val="1"/>
              </w:numPr>
              <w:tabs>
                <w:tab w:val="left" w:pos="126"/>
              </w:tabs>
              <w:ind w:left="129" w:right="-58" w:hanging="187"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Imprecision  (1)</w:t>
            </w:r>
          </w:p>
        </w:tc>
      </w:tr>
      <w:tr w:rsidR="00577521" w:rsidRPr="00F365DA" w:rsidTr="00577521">
        <w:trPr>
          <w:trHeight w:val="28"/>
          <w:jc w:val="center"/>
        </w:trPr>
        <w:tc>
          <w:tcPr>
            <w:tcW w:w="9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19A" w:rsidRPr="00F365DA" w:rsidRDefault="00B6719A" w:rsidP="00B6719A">
            <w:pPr>
              <w:numPr>
                <w:ilvl w:val="0"/>
                <w:numId w:val="2"/>
              </w:numPr>
              <w:ind w:left="73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Dynamic stabilization </w:t>
            </w:r>
            <w:r w:rsidRPr="00F365DA">
              <w:rPr>
                <w:sz w:val="20"/>
                <w:szCs w:val="20"/>
              </w:rPr>
              <w:lastRenderedPageBreak/>
              <w:t>versus semi-rigid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19A" w:rsidRPr="00F365DA" w:rsidRDefault="00B6719A" w:rsidP="00FA007C">
            <w:pPr>
              <w:ind w:left="-91" w:right="-107"/>
              <w:rPr>
                <w:b/>
                <w:sz w:val="20"/>
                <w:szCs w:val="20"/>
              </w:rPr>
            </w:pPr>
            <w:r w:rsidRPr="00F365DA">
              <w:rPr>
                <w:b/>
                <w:sz w:val="20"/>
                <w:szCs w:val="20"/>
              </w:rPr>
              <w:lastRenderedPageBreak/>
              <w:t>INSUFFICIENT</w:t>
            </w:r>
          </w:p>
        </w:tc>
        <w:tc>
          <w:tcPr>
            <w:tcW w:w="1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19A" w:rsidRPr="00F365DA" w:rsidRDefault="00B6719A" w:rsidP="00B6719A">
            <w:pPr>
              <w:tabs>
                <w:tab w:val="left" w:pos="126"/>
              </w:tabs>
              <w:ind w:right="-58"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There was only one reported observations of ASP in a fusion </w:t>
            </w:r>
            <w:r w:rsidRPr="00F365DA">
              <w:rPr>
                <w:sz w:val="20"/>
                <w:szCs w:val="20"/>
              </w:rPr>
              <w:lastRenderedPageBreak/>
              <w:t>arm in two studies making this comparison.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719A" w:rsidRPr="00F365DA" w:rsidRDefault="00B6719A" w:rsidP="00B6719A">
            <w:pPr>
              <w:numPr>
                <w:ilvl w:val="0"/>
                <w:numId w:val="1"/>
              </w:numPr>
              <w:tabs>
                <w:tab w:val="left" w:pos="126"/>
              </w:tabs>
              <w:ind w:left="129" w:right="-58" w:hanging="187"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lastRenderedPageBreak/>
              <w:t>LOW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719A" w:rsidRPr="00F365DA" w:rsidRDefault="00B6719A" w:rsidP="00B6719A">
            <w:pPr>
              <w:numPr>
                <w:ilvl w:val="0"/>
                <w:numId w:val="1"/>
              </w:numPr>
              <w:tabs>
                <w:tab w:val="left" w:pos="126"/>
              </w:tabs>
              <w:ind w:left="129" w:right="-58" w:hanging="187"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NO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719A" w:rsidRPr="00F365DA" w:rsidRDefault="00B6719A" w:rsidP="00B6719A">
            <w:pPr>
              <w:numPr>
                <w:ilvl w:val="0"/>
                <w:numId w:val="1"/>
              </w:numPr>
              <w:tabs>
                <w:tab w:val="left" w:pos="126"/>
              </w:tabs>
              <w:ind w:left="129" w:right="-58" w:hanging="187"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Imprecision (1)</w:t>
            </w:r>
          </w:p>
        </w:tc>
      </w:tr>
      <w:tr w:rsidR="00577521" w:rsidRPr="00F365DA" w:rsidTr="00577521">
        <w:trPr>
          <w:trHeight w:val="28"/>
          <w:jc w:val="center"/>
        </w:trPr>
        <w:tc>
          <w:tcPr>
            <w:tcW w:w="9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19A" w:rsidRPr="00F365DA" w:rsidRDefault="00B6719A" w:rsidP="00B6719A">
            <w:pPr>
              <w:numPr>
                <w:ilvl w:val="0"/>
                <w:numId w:val="2"/>
              </w:numPr>
              <w:ind w:left="73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lastRenderedPageBreak/>
              <w:t xml:space="preserve">Discectomy versus fusion 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19A" w:rsidRPr="00F365DA" w:rsidRDefault="00B6719A" w:rsidP="00FA007C">
            <w:pPr>
              <w:ind w:left="-91" w:right="-107"/>
              <w:rPr>
                <w:b/>
                <w:sz w:val="20"/>
                <w:szCs w:val="20"/>
              </w:rPr>
            </w:pPr>
            <w:r w:rsidRPr="00F365DA">
              <w:rPr>
                <w:b/>
                <w:sz w:val="20"/>
                <w:szCs w:val="20"/>
              </w:rPr>
              <w:t>INSUFFICIENT</w:t>
            </w:r>
          </w:p>
        </w:tc>
        <w:tc>
          <w:tcPr>
            <w:tcW w:w="1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19A" w:rsidRPr="00F365DA" w:rsidRDefault="00B6719A" w:rsidP="00B6719A">
            <w:pPr>
              <w:tabs>
                <w:tab w:val="left" w:pos="126"/>
              </w:tabs>
              <w:ind w:right="-58"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 xml:space="preserve">In a single study, the risk of radiographic ASP was 8.6% and 1.7% in the PLIF and discectomy groups, respectively. The risk of clinical ASP was 6.9% and 3.4% in the PLIF and discectomy groups, respectively. This difference was not statistically significant. 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719A" w:rsidRPr="00F365DA" w:rsidRDefault="00B6719A" w:rsidP="00B6719A">
            <w:pPr>
              <w:numPr>
                <w:ilvl w:val="0"/>
                <w:numId w:val="1"/>
              </w:numPr>
              <w:tabs>
                <w:tab w:val="left" w:pos="126"/>
              </w:tabs>
              <w:ind w:left="129" w:right="-58" w:hanging="187"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LOW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719A" w:rsidRPr="00F365DA" w:rsidRDefault="00B6719A" w:rsidP="00B6719A">
            <w:pPr>
              <w:numPr>
                <w:ilvl w:val="0"/>
                <w:numId w:val="1"/>
              </w:numPr>
              <w:tabs>
                <w:tab w:val="left" w:pos="126"/>
              </w:tabs>
              <w:ind w:left="129" w:right="-58" w:hanging="187"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NO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719A" w:rsidRPr="00F365DA" w:rsidRDefault="00B6719A" w:rsidP="00B6719A">
            <w:pPr>
              <w:numPr>
                <w:ilvl w:val="0"/>
                <w:numId w:val="1"/>
              </w:numPr>
              <w:tabs>
                <w:tab w:val="left" w:pos="126"/>
              </w:tabs>
              <w:ind w:left="129" w:right="-58" w:hanging="187"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Imprecision  and single study (1)</w:t>
            </w:r>
          </w:p>
        </w:tc>
      </w:tr>
      <w:tr w:rsidR="00577521" w:rsidRPr="00F365DA" w:rsidTr="00577521">
        <w:trPr>
          <w:trHeight w:val="28"/>
          <w:jc w:val="center"/>
        </w:trPr>
        <w:tc>
          <w:tcPr>
            <w:tcW w:w="3363" w:type="pct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19A" w:rsidRPr="00F365DA" w:rsidRDefault="00B6719A" w:rsidP="00FA007C">
            <w:pPr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Question 3: Is one type of motion preservation device associated with a lower risk of ASP compared with other</w:t>
            </w:r>
            <w:r w:rsidR="00B51BA8" w:rsidRPr="00F365DA">
              <w:rPr>
                <w:sz w:val="20"/>
                <w:szCs w:val="20"/>
              </w:rPr>
              <w:t xml:space="preserve"> types</w:t>
            </w:r>
            <w:r w:rsidRPr="00F365DA">
              <w:rPr>
                <w:sz w:val="20"/>
                <w:szCs w:val="20"/>
              </w:rPr>
              <w:t>? 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6719A" w:rsidRPr="00F365DA" w:rsidRDefault="00B6719A" w:rsidP="00B6719A">
            <w:pPr>
              <w:ind w:left="-107" w:right="-58"/>
              <w:rPr>
                <w:sz w:val="20"/>
                <w:szCs w:val="20"/>
              </w:rPr>
            </w:pPr>
          </w:p>
        </w:tc>
        <w:tc>
          <w:tcPr>
            <w:tcW w:w="500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6719A" w:rsidRPr="00F365DA" w:rsidRDefault="00B6719A" w:rsidP="00B6719A">
            <w:pPr>
              <w:ind w:left="-107" w:right="-58"/>
              <w:rPr>
                <w:sz w:val="20"/>
                <w:szCs w:val="20"/>
              </w:rPr>
            </w:pPr>
          </w:p>
        </w:tc>
        <w:tc>
          <w:tcPr>
            <w:tcW w:w="683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B6719A" w:rsidRPr="00F365DA" w:rsidRDefault="00B6719A" w:rsidP="00B6719A">
            <w:pPr>
              <w:ind w:left="-107" w:right="-58"/>
              <w:rPr>
                <w:sz w:val="20"/>
                <w:szCs w:val="20"/>
              </w:rPr>
            </w:pPr>
          </w:p>
        </w:tc>
      </w:tr>
      <w:tr w:rsidR="00577521" w:rsidRPr="00F365DA" w:rsidTr="00577521">
        <w:trPr>
          <w:trHeight w:val="28"/>
          <w:jc w:val="center"/>
        </w:trPr>
        <w:tc>
          <w:tcPr>
            <w:tcW w:w="937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19A" w:rsidRPr="00F365DA" w:rsidRDefault="00B6719A" w:rsidP="00B6719A">
            <w:pPr>
              <w:numPr>
                <w:ilvl w:val="0"/>
                <w:numId w:val="2"/>
              </w:numPr>
              <w:ind w:left="73" w:hanging="180"/>
              <w:contextualSpacing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Dynamic stabilization with nucleotomy versus nucleotomy</w:t>
            </w:r>
          </w:p>
        </w:tc>
        <w:tc>
          <w:tcPr>
            <w:tcW w:w="8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19A" w:rsidRPr="00F365DA" w:rsidRDefault="00B6719A" w:rsidP="00B6719A">
            <w:pPr>
              <w:rPr>
                <w:b/>
                <w:sz w:val="20"/>
                <w:szCs w:val="20"/>
              </w:rPr>
            </w:pPr>
            <w:r w:rsidRPr="00F365DA">
              <w:rPr>
                <w:b/>
                <w:sz w:val="20"/>
                <w:szCs w:val="20"/>
              </w:rPr>
              <w:t>INSUFFICIENT</w:t>
            </w:r>
          </w:p>
        </w:tc>
        <w:tc>
          <w:tcPr>
            <w:tcW w:w="15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6719A" w:rsidRPr="00F365DA" w:rsidRDefault="00B6719A" w:rsidP="00B6719A">
            <w:pPr>
              <w:tabs>
                <w:tab w:val="left" w:pos="126"/>
              </w:tabs>
              <w:ind w:right="-58"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There were no reported observations of ASP in either treatment arm in a single study.</w:t>
            </w:r>
          </w:p>
        </w:tc>
        <w:tc>
          <w:tcPr>
            <w:tcW w:w="4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719A" w:rsidRPr="00F365DA" w:rsidRDefault="00B6719A" w:rsidP="00B6719A">
            <w:pPr>
              <w:numPr>
                <w:ilvl w:val="0"/>
                <w:numId w:val="1"/>
              </w:numPr>
              <w:tabs>
                <w:tab w:val="left" w:pos="126"/>
              </w:tabs>
              <w:ind w:left="129" w:right="-58" w:hanging="187"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LOW</w:t>
            </w:r>
          </w:p>
        </w:tc>
        <w:tc>
          <w:tcPr>
            <w:tcW w:w="5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719A" w:rsidRPr="00F365DA" w:rsidRDefault="00B6719A" w:rsidP="00B6719A">
            <w:pPr>
              <w:numPr>
                <w:ilvl w:val="0"/>
                <w:numId w:val="1"/>
              </w:numPr>
              <w:tabs>
                <w:tab w:val="left" w:pos="126"/>
              </w:tabs>
              <w:ind w:left="129" w:right="-58" w:hanging="187"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NO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B6719A" w:rsidRPr="00F365DA" w:rsidRDefault="00B6719A" w:rsidP="00B6719A">
            <w:pPr>
              <w:numPr>
                <w:ilvl w:val="0"/>
                <w:numId w:val="1"/>
              </w:numPr>
              <w:tabs>
                <w:tab w:val="left" w:pos="126"/>
              </w:tabs>
              <w:ind w:left="129" w:right="-58" w:hanging="187"/>
              <w:rPr>
                <w:sz w:val="20"/>
                <w:szCs w:val="20"/>
              </w:rPr>
            </w:pPr>
            <w:r w:rsidRPr="00F365DA">
              <w:rPr>
                <w:sz w:val="20"/>
                <w:szCs w:val="20"/>
              </w:rPr>
              <w:t>Single study (1)</w:t>
            </w:r>
          </w:p>
        </w:tc>
      </w:tr>
    </w:tbl>
    <w:p w:rsidR="00B6719A" w:rsidRPr="00F365DA" w:rsidRDefault="00B6719A" w:rsidP="00B6719A"/>
    <w:p w:rsidR="00515667" w:rsidRPr="00F365DA" w:rsidRDefault="00515667"/>
    <w:sectPr w:rsidR="00515667" w:rsidRPr="00F365DA" w:rsidSect="00FE64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7D9D"/>
    <w:multiLevelType w:val="hybridMultilevel"/>
    <w:tmpl w:val="6DE68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70F0"/>
    <w:multiLevelType w:val="hybridMultilevel"/>
    <w:tmpl w:val="05C6C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E695A"/>
    <w:multiLevelType w:val="hybridMultilevel"/>
    <w:tmpl w:val="FC96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42ADB"/>
    <w:multiLevelType w:val="hybridMultilevel"/>
    <w:tmpl w:val="B2C01FDE"/>
    <w:lvl w:ilvl="0" w:tplc="DF5EB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66BE8"/>
    <w:multiLevelType w:val="hybridMultilevel"/>
    <w:tmpl w:val="E5A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C373E"/>
    <w:multiLevelType w:val="hybridMultilevel"/>
    <w:tmpl w:val="272AC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081591"/>
    <w:multiLevelType w:val="hybridMultilevel"/>
    <w:tmpl w:val="0D62A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32FE5"/>
    <w:multiLevelType w:val="hybridMultilevel"/>
    <w:tmpl w:val="31448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68"/>
    <w:rsid w:val="002153EF"/>
    <w:rsid w:val="003A7660"/>
    <w:rsid w:val="00515667"/>
    <w:rsid w:val="00577521"/>
    <w:rsid w:val="00B51BA8"/>
    <w:rsid w:val="00B6719A"/>
    <w:rsid w:val="00BA7449"/>
    <w:rsid w:val="00BB0EC3"/>
    <w:rsid w:val="00D63C3A"/>
    <w:rsid w:val="00F365DA"/>
    <w:rsid w:val="00FA007C"/>
    <w:rsid w:val="00FE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6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468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4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 Medical Center</Company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2012-06-01T17:29:00Z</dcterms:created>
  <dcterms:modified xsi:type="dcterms:W3CDTF">2012-06-01T17:30:00Z</dcterms:modified>
</cp:coreProperties>
</file>