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1" w:rsidRDefault="00715801" w:rsidP="00715801">
      <w:r>
        <w:t xml:space="preserve">Supplemental digital Material </w:t>
      </w:r>
    </w:p>
    <w:p w:rsidR="00715801" w:rsidRDefault="00715801" w:rsidP="00715801"/>
    <w:p w:rsidR="00715801" w:rsidRDefault="00715801" w:rsidP="00715801"/>
    <w:p w:rsidR="00715801" w:rsidRPr="00B51C57" w:rsidRDefault="00715801" w:rsidP="00715801">
      <w:pPr>
        <w:ind w:right="-720"/>
        <w:rPr>
          <w:rFonts w:cs="Calibri"/>
          <w:sz w:val="20"/>
          <w:szCs w:val="20"/>
        </w:rPr>
      </w:pPr>
      <w:proofErr w:type="gramStart"/>
      <w:r w:rsidRPr="00B51C57">
        <w:rPr>
          <w:rFonts w:cs="Calibri"/>
          <w:sz w:val="20"/>
          <w:szCs w:val="20"/>
        </w:rPr>
        <w:t>Level of evidence (</w:t>
      </w:r>
      <w:proofErr w:type="spellStart"/>
      <w:r w:rsidRPr="00B51C57">
        <w:rPr>
          <w:rFonts w:cs="Calibri"/>
          <w:sz w:val="20"/>
          <w:szCs w:val="20"/>
        </w:rPr>
        <w:t>LoE</w:t>
      </w:r>
      <w:proofErr w:type="spellEnd"/>
      <w:r w:rsidRPr="00B51C57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 xml:space="preserve">summary table </w:t>
      </w:r>
      <w:r w:rsidRPr="00B51C57">
        <w:rPr>
          <w:rFonts w:cs="Calibri"/>
          <w:sz w:val="20"/>
          <w:szCs w:val="20"/>
        </w:rPr>
        <w:t xml:space="preserve">for prognosis of development of ASD due to postsurgical </w:t>
      </w:r>
      <w:proofErr w:type="spellStart"/>
      <w:r w:rsidRPr="00B51C57">
        <w:rPr>
          <w:rFonts w:cs="Calibri"/>
          <w:sz w:val="20"/>
          <w:szCs w:val="20"/>
        </w:rPr>
        <w:t>malalignment</w:t>
      </w:r>
      <w:proofErr w:type="spellEnd"/>
      <w:r w:rsidRPr="00B51C57">
        <w:rPr>
          <w:rFonts w:cs="Calibri"/>
          <w:sz w:val="20"/>
          <w:szCs w:val="20"/>
        </w:rPr>
        <w:t xml:space="preserve"> in the cervical spine.</w:t>
      </w:r>
      <w:proofErr w:type="gramEnd"/>
    </w:p>
    <w:p w:rsidR="00715801" w:rsidRDefault="00715801" w:rsidP="00715801">
      <w:pPr>
        <w:ind w:right="-720"/>
        <w:rPr>
          <w:szCs w:val="20"/>
        </w:rPr>
      </w:pPr>
    </w:p>
    <w:tbl>
      <w:tblPr>
        <w:tblW w:w="8028" w:type="dxa"/>
        <w:tblLayout w:type="fixed"/>
        <w:tblLook w:val="0000" w:firstRow="0" w:lastRow="0" w:firstColumn="0" w:lastColumn="0" w:noHBand="0" w:noVBand="0"/>
      </w:tblPr>
      <w:tblGrid>
        <w:gridCol w:w="3258"/>
        <w:gridCol w:w="990"/>
        <w:gridCol w:w="900"/>
        <w:gridCol w:w="990"/>
        <w:gridCol w:w="900"/>
        <w:gridCol w:w="990"/>
      </w:tblGrid>
      <w:tr w:rsidR="00715801" w:rsidRPr="007C2138" w:rsidTr="00205DBC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b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color w:val="FFFFFF"/>
                <w:kern w:val="36"/>
                <w:sz w:val="18"/>
                <w:szCs w:val="18"/>
              </w:rPr>
              <w:t>Methodological principle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bottom"/>
          </w:tcPr>
          <w:p w:rsidR="00715801" w:rsidRPr="007C2138" w:rsidRDefault="00715801" w:rsidP="00205DBC">
            <w:pPr>
              <w:snapToGrid w:val="0"/>
              <w:ind w:left="-90" w:right="-108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Faldini</w:t>
            </w:r>
            <w:proofErr w:type="spellEnd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 xml:space="preserve"> (2011)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715801" w:rsidRPr="007C2138" w:rsidRDefault="00715801" w:rsidP="00205DBC">
            <w:pPr>
              <w:snapToGrid w:val="0"/>
              <w:ind w:left="-108" w:right="-108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Ishihara (2004)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bottom"/>
          </w:tcPr>
          <w:p w:rsidR="00715801" w:rsidRPr="007C2138" w:rsidRDefault="00715801" w:rsidP="00205DBC">
            <w:pPr>
              <w:snapToGrid w:val="0"/>
              <w:ind w:left="-90" w:right="-108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Katsuura</w:t>
            </w:r>
            <w:proofErr w:type="spellEnd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 xml:space="preserve"> (2001)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715801" w:rsidRPr="007C2138" w:rsidRDefault="00715801" w:rsidP="00205DBC">
            <w:pPr>
              <w:snapToGrid w:val="0"/>
              <w:ind w:left="-90" w:right="-108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Kulkarni</w:t>
            </w:r>
            <w:proofErr w:type="spellEnd"/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 xml:space="preserve"> (2004)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715801" w:rsidRPr="007C2138" w:rsidRDefault="00715801" w:rsidP="00205DBC">
            <w:pPr>
              <w:snapToGrid w:val="0"/>
              <w:ind w:left="-90" w:right="-108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Matsumoto (2010)</w:t>
            </w: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Study design</w:t>
            </w: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Prospective cohort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Webdings" w:eastAsia="Calibri" w:hAnsi="Webdings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Retrospective cohort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715801" w:rsidRPr="007C2138" w:rsidTr="00205DBC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Case-control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Cross-sectional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Case-series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  <w:t>COHORT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Patients at similar point in the course of their disease or treatment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Complete follow-up of  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  <w:u w:val="single"/>
              </w:rPr>
              <w:t>&gt;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 80%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Patients followed long enough for outcomes to occur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943634"/>
                <w:kern w:val="36"/>
                <w:sz w:val="18"/>
                <w:szCs w:val="18"/>
              </w:rPr>
              <w:t>+</w:t>
            </w: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Accounting for other prognostic factors*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  <w:t>CASE-CONTROL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20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Incidence cases from defined population over a specified time period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20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Controls represent the population from which the cases come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Exposure precedes an outcome of interest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Accounting for other prognostic factors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color w:val="000000"/>
                <w:kern w:val="36"/>
                <w:sz w:val="18"/>
                <w:szCs w:val="18"/>
              </w:rPr>
              <w:t>CROSS-SECTIONAL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A</w:t>
            </w:r>
            <w:r w:rsidRPr="007C2138">
              <w:rPr>
                <w:rFonts w:eastAsia="Calibri"/>
                <w:color w:val="000000"/>
                <w:kern w:val="36"/>
                <w:sz w:val="18"/>
                <w:szCs w:val="18"/>
              </w:rPr>
              <w:t xml:space="preserve"> representative sample of the population of interest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E</w:t>
            </w:r>
            <w:r w:rsidRPr="007C2138">
              <w:rPr>
                <w:rFonts w:eastAsia="Calibri"/>
                <w:color w:val="000000"/>
                <w:kern w:val="36"/>
                <w:sz w:val="18"/>
                <w:szCs w:val="18"/>
              </w:rPr>
              <w:t>xposure that precedes an outcome of interest (e.g., sex, genetic factor)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>A</w:t>
            </w:r>
            <w:r w:rsidRPr="007C2138">
              <w:rPr>
                <w:rFonts w:eastAsia="Calibri"/>
                <w:color w:val="000000"/>
                <w:kern w:val="36"/>
                <w:sz w:val="18"/>
                <w:szCs w:val="18"/>
              </w:rPr>
              <w:t>ccounting for other prognostic factors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18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For surveys, a </w:t>
            </w:r>
            <w:r w:rsidRPr="007C2138">
              <w:rPr>
                <w:rFonts w:eastAsia="Calibri"/>
                <w:color w:val="000000"/>
                <w:kern w:val="36"/>
                <w:sz w:val="18"/>
                <w:szCs w:val="18"/>
              </w:rPr>
              <w:t>return rate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 of  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  <w:u w:val="single"/>
              </w:rPr>
              <w:t>&gt;</w:t>
            </w:r>
            <w:r w:rsidRPr="007C2138">
              <w:rPr>
                <w:rFonts w:eastAsia="Calibri" w:cs="Arial"/>
                <w:color w:val="000000"/>
                <w:kern w:val="36"/>
                <w:sz w:val="18"/>
                <w:szCs w:val="18"/>
              </w:rPr>
              <w:t xml:space="preserve"> 80%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ind w:left="9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801" w:rsidRPr="007C2138" w:rsidRDefault="00715801" w:rsidP="00205DBC">
            <w:pPr>
              <w:snapToGrid w:val="0"/>
              <w:jc w:val="center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715801" w:rsidRPr="007C2138" w:rsidTr="00205DBC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rPr>
                <w:rFonts w:eastAsia="Calibri" w:cs="Arial"/>
                <w:b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color w:val="FFFFFF"/>
                <w:kern w:val="36"/>
                <w:sz w:val="18"/>
                <w:szCs w:val="18"/>
              </w:rPr>
              <w:t>Evidence class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</w:t>
            </w:r>
            <w:r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</w:t>
            </w: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715801" w:rsidRPr="007C2138" w:rsidRDefault="00715801" w:rsidP="00205DBC">
            <w:pPr>
              <w:snapToGrid w:val="0"/>
              <w:jc w:val="center"/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</w:pPr>
            <w:r w:rsidRPr="007C2138">
              <w:rPr>
                <w:rFonts w:eastAsia="Calibri" w:cs="Arial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</w:tr>
    </w:tbl>
    <w:p w:rsidR="00715801" w:rsidRPr="00B51C57" w:rsidRDefault="00715801" w:rsidP="00715801">
      <w:pPr>
        <w:ind w:right="-720"/>
        <w:rPr>
          <w:szCs w:val="20"/>
        </w:rPr>
      </w:pPr>
    </w:p>
    <w:p w:rsidR="00715801" w:rsidRPr="00B51C57" w:rsidRDefault="00715801" w:rsidP="00715801">
      <w:pPr>
        <w:ind w:right="-720"/>
        <w:rPr>
          <w:rFonts w:eastAsia="PMingLiU"/>
          <w:b/>
        </w:rPr>
      </w:pPr>
    </w:p>
    <w:p w:rsidR="00715801" w:rsidRDefault="00715801" w:rsidP="00715801">
      <w:pPr>
        <w:rPr>
          <w:rFonts w:eastAsia="PMingLiU"/>
          <w:b/>
        </w:rPr>
      </w:pPr>
      <w:r>
        <w:rPr>
          <w:rFonts w:eastAsia="PMingLiU"/>
          <w:b/>
        </w:rPr>
        <w:br w:type="page"/>
      </w:r>
    </w:p>
    <w:p w:rsidR="005E5F53" w:rsidRDefault="005E5F53" w:rsidP="00715801">
      <w:pPr>
        <w:ind w:right="-720"/>
        <w:rPr>
          <w:rFonts w:eastAsia="PMingLiU"/>
          <w:b/>
        </w:rPr>
        <w:sectPr w:rsidR="005E5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5801" w:rsidRPr="00062681" w:rsidRDefault="00715801" w:rsidP="00715801">
      <w:pPr>
        <w:ind w:right="-720"/>
        <w:rPr>
          <w:rFonts w:eastAsia="PMingLiU"/>
          <w:b/>
        </w:rPr>
      </w:pPr>
      <w:proofErr w:type="gramStart"/>
      <w:r w:rsidRPr="00B51C57">
        <w:rPr>
          <w:rFonts w:eastAsia="PMingLiU"/>
          <w:b/>
        </w:rPr>
        <w:lastRenderedPageBreak/>
        <w:t>Overall body of evidence summary.</w:t>
      </w:r>
      <w:proofErr w:type="gramEnd"/>
    </w:p>
    <w:tbl>
      <w:tblPr>
        <w:tblW w:w="11520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420"/>
        <w:gridCol w:w="1530"/>
        <w:gridCol w:w="1170"/>
        <w:gridCol w:w="1440"/>
      </w:tblGrid>
      <w:tr w:rsidR="00715801" w:rsidRPr="008C09A2" w:rsidTr="00DA3324">
        <w:trPr>
          <w:trHeight w:val="421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062681" w:rsidRDefault="00715801" w:rsidP="00205DBC">
            <w:pPr>
              <w:rPr>
                <w:sz w:val="20"/>
              </w:rPr>
            </w:pPr>
            <w:r w:rsidRPr="00062681">
              <w:rPr>
                <w:bCs/>
                <w:sz w:val="20"/>
                <w:u w:val="single"/>
              </w:rPr>
              <w:t>Baseline quality</w:t>
            </w:r>
            <w:r w:rsidRPr="00062681">
              <w:rPr>
                <w:bCs/>
                <w:sz w:val="20"/>
              </w:rPr>
              <w:t xml:space="preserve">:  </w:t>
            </w:r>
            <w:r w:rsidRPr="00062681">
              <w:rPr>
                <w:sz w:val="20"/>
              </w:rPr>
              <w:t>HIGH = majority of article Level I/II.  LOW = majority of articles Level III/IV.</w:t>
            </w:r>
          </w:p>
          <w:p w:rsidR="00715801" w:rsidRPr="00062681" w:rsidRDefault="00715801" w:rsidP="00205DBC">
            <w:pPr>
              <w:rPr>
                <w:sz w:val="20"/>
              </w:rPr>
            </w:pPr>
            <w:r w:rsidRPr="00062681">
              <w:rPr>
                <w:bCs/>
                <w:sz w:val="20"/>
                <w:u w:val="single"/>
              </w:rPr>
              <w:t>UPGRADE:</w:t>
            </w:r>
            <w:r w:rsidRPr="00062681">
              <w:rPr>
                <w:bCs/>
                <w:sz w:val="20"/>
              </w:rPr>
              <w:t xml:space="preserve">  </w:t>
            </w:r>
            <w:r w:rsidRPr="00062681">
              <w:rPr>
                <w:sz w:val="20"/>
              </w:rPr>
              <w:t>Large magnitude of effect (1 or 2 levels); dose response gradient (1 level)</w:t>
            </w:r>
          </w:p>
          <w:p w:rsidR="00715801" w:rsidRPr="00062681" w:rsidRDefault="00715801" w:rsidP="00205DBC">
            <w:pPr>
              <w:ind w:right="-144"/>
              <w:rPr>
                <w:bCs/>
                <w:sz w:val="20"/>
                <w:szCs w:val="20"/>
              </w:rPr>
            </w:pPr>
            <w:r w:rsidRPr="00062681">
              <w:rPr>
                <w:bCs/>
                <w:sz w:val="20"/>
                <w:u w:val="single"/>
              </w:rPr>
              <w:t>DOWNGRADE</w:t>
            </w:r>
            <w:r w:rsidRPr="00062681">
              <w:rPr>
                <w:bCs/>
                <w:sz w:val="20"/>
              </w:rPr>
              <w:t xml:space="preserve">:  </w:t>
            </w:r>
            <w:r w:rsidRPr="00062681">
              <w:rPr>
                <w:sz w:val="20"/>
              </w:rPr>
              <w:t>Inconsistency of results (1 or 2 levels); indirectness of evidence (1 or 2 levels); imprecision of effect estimates (1 or 2 levels)</w:t>
            </w:r>
          </w:p>
        </w:tc>
      </w:tr>
      <w:tr w:rsidR="00715801" w:rsidRPr="008C09A2" w:rsidTr="00DA3324">
        <w:trPr>
          <w:trHeight w:val="421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062681" w:rsidRDefault="00715801" w:rsidP="00205DB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062681" w:rsidRDefault="00715801" w:rsidP="00205DBC">
            <w:pPr>
              <w:ind w:left="-119" w:right="-144"/>
              <w:jc w:val="center"/>
              <w:rPr>
                <w:b/>
                <w:sz w:val="20"/>
                <w:szCs w:val="20"/>
              </w:rPr>
            </w:pPr>
            <w:r w:rsidRPr="00062681">
              <w:rPr>
                <w:b/>
                <w:bCs/>
                <w:sz w:val="20"/>
                <w:szCs w:val="20"/>
              </w:rPr>
              <w:t>Strength of evidence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062681" w:rsidRDefault="00715801" w:rsidP="00205DBC">
            <w:pPr>
              <w:rPr>
                <w:b/>
                <w:sz w:val="20"/>
                <w:szCs w:val="20"/>
              </w:rPr>
            </w:pPr>
            <w:r w:rsidRPr="00062681">
              <w:rPr>
                <w:b/>
                <w:bCs/>
                <w:sz w:val="20"/>
                <w:szCs w:val="20"/>
              </w:rPr>
              <w:t>Conclusions/Comments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000000"/>
            </w:tcBorders>
          </w:tcPr>
          <w:p w:rsidR="00715801" w:rsidRPr="00062681" w:rsidRDefault="00715801" w:rsidP="00205DBC">
            <w:pPr>
              <w:ind w:left="-54" w:right="-144"/>
              <w:jc w:val="center"/>
              <w:rPr>
                <w:b/>
                <w:sz w:val="20"/>
                <w:szCs w:val="20"/>
              </w:rPr>
            </w:pPr>
            <w:r w:rsidRPr="00062681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000000"/>
            </w:tcBorders>
          </w:tcPr>
          <w:p w:rsidR="00715801" w:rsidRPr="00062681" w:rsidRDefault="00715801" w:rsidP="00205DBC">
            <w:pPr>
              <w:jc w:val="center"/>
              <w:rPr>
                <w:b/>
                <w:sz w:val="18"/>
                <w:szCs w:val="18"/>
              </w:rPr>
            </w:pPr>
            <w:r w:rsidRPr="00062681">
              <w:rPr>
                <w:b/>
                <w:bCs/>
                <w:sz w:val="18"/>
                <w:szCs w:val="18"/>
              </w:rPr>
              <w:t>UPGRADE (levels)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/>
            </w:tcBorders>
          </w:tcPr>
          <w:p w:rsidR="00715801" w:rsidRPr="00062681" w:rsidRDefault="00715801" w:rsidP="00205DBC">
            <w:pPr>
              <w:jc w:val="center"/>
              <w:rPr>
                <w:b/>
                <w:bCs/>
                <w:sz w:val="18"/>
                <w:szCs w:val="18"/>
              </w:rPr>
            </w:pPr>
            <w:r w:rsidRPr="00062681">
              <w:rPr>
                <w:b/>
                <w:bCs/>
                <w:sz w:val="18"/>
                <w:szCs w:val="18"/>
              </w:rPr>
              <w:t>DOWN-GRADE</w:t>
            </w:r>
          </w:p>
          <w:p w:rsidR="00715801" w:rsidRPr="00062681" w:rsidRDefault="00715801" w:rsidP="00205DBC">
            <w:pPr>
              <w:jc w:val="center"/>
              <w:rPr>
                <w:b/>
                <w:sz w:val="18"/>
                <w:szCs w:val="18"/>
              </w:rPr>
            </w:pPr>
            <w:r w:rsidRPr="00062681">
              <w:rPr>
                <w:b/>
                <w:bCs/>
                <w:sz w:val="18"/>
                <w:szCs w:val="18"/>
              </w:rPr>
              <w:t>(levels)</w:t>
            </w:r>
          </w:p>
        </w:tc>
      </w:tr>
      <w:tr w:rsidR="00715801" w:rsidRPr="008C09A2" w:rsidTr="00DA3324">
        <w:trPr>
          <w:trHeight w:val="529"/>
        </w:trPr>
        <w:tc>
          <w:tcPr>
            <w:tcW w:w="11520" w:type="dxa"/>
            <w:gridSpan w:val="6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062681" w:rsidRDefault="00715801" w:rsidP="00205DBC">
            <w:pPr>
              <w:ind w:left="36" w:right="-58"/>
              <w:rPr>
                <w:sz w:val="20"/>
                <w:szCs w:val="20"/>
              </w:rPr>
            </w:pPr>
            <w:r w:rsidRPr="00084E21">
              <w:rPr>
                <w:sz w:val="20"/>
                <w:szCs w:val="20"/>
              </w:rPr>
              <w:t>Question:</w:t>
            </w:r>
            <w:r w:rsidRPr="00084E21">
              <w:rPr>
                <w:rFonts w:eastAsia="MS Mincho"/>
                <w:sz w:val="20"/>
                <w:szCs w:val="20"/>
                <w:lang w:val="en-AU" w:eastAsia="ja-JP"/>
              </w:rPr>
              <w:t xml:space="preserve"> Does the presence or magnitude of postsurgical </w:t>
            </w:r>
            <w:proofErr w:type="spellStart"/>
            <w:r w:rsidRPr="00084E21">
              <w:rPr>
                <w:rFonts w:eastAsia="MS Mincho"/>
                <w:sz w:val="20"/>
                <w:szCs w:val="20"/>
                <w:lang w:val="en-AU" w:eastAsia="ja-JP"/>
              </w:rPr>
              <w:t>malalignment</w:t>
            </w:r>
            <w:proofErr w:type="spellEnd"/>
            <w:r w:rsidRPr="00084E21">
              <w:rPr>
                <w:rFonts w:eastAsia="MS Mincho"/>
                <w:sz w:val="20"/>
                <w:szCs w:val="20"/>
                <w:lang w:val="en-AU" w:eastAsia="ja-JP"/>
              </w:rPr>
              <w:t xml:space="preserve"> in the coronal (scoliosis) or sagittal plane (kyphosis/</w:t>
            </w:r>
            <w:proofErr w:type="spellStart"/>
            <w:r w:rsidRPr="00084E21">
              <w:rPr>
                <w:rFonts w:eastAsia="MS Mincho"/>
                <w:sz w:val="20"/>
                <w:szCs w:val="20"/>
                <w:lang w:val="en-AU" w:eastAsia="ja-JP"/>
              </w:rPr>
              <w:t>lordosis</w:t>
            </w:r>
            <w:proofErr w:type="spellEnd"/>
            <w:r w:rsidRPr="00084E21">
              <w:rPr>
                <w:rFonts w:eastAsia="MS Mincho"/>
                <w:sz w:val="20"/>
                <w:szCs w:val="20"/>
                <w:lang w:val="en-AU" w:eastAsia="ja-JP"/>
              </w:rPr>
              <w:t xml:space="preserve">) </w:t>
            </w:r>
            <w:r>
              <w:rPr>
                <w:rFonts w:eastAsia="MS Mincho"/>
                <w:sz w:val="20"/>
                <w:szCs w:val="20"/>
                <w:lang w:val="en-AU" w:eastAsia="ja-JP"/>
              </w:rPr>
              <w:t>affect the risk of cervical ASD?</w:t>
            </w:r>
          </w:p>
        </w:tc>
      </w:tr>
      <w:tr w:rsidR="00715801" w:rsidRPr="008C09A2" w:rsidTr="00DA3324">
        <w:trPr>
          <w:trHeight w:val="28"/>
        </w:trPr>
        <w:tc>
          <w:tcPr>
            <w:tcW w:w="198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pStyle w:val="ListParagraph"/>
              <w:ind w:left="216"/>
              <w:rPr>
                <w:sz w:val="20"/>
                <w:szCs w:val="20"/>
              </w:rPr>
            </w:pPr>
            <w:r w:rsidRPr="002D346D">
              <w:t xml:space="preserve">Sagittal  </w:t>
            </w:r>
            <w:proofErr w:type="spellStart"/>
            <w:r w:rsidRPr="002D346D">
              <w:t>malalignment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ind w:left="36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tabs>
                <w:tab w:val="left" w:pos="126"/>
              </w:tabs>
              <w:ind w:left="129" w:right="-58"/>
              <w:rPr>
                <w:sz w:val="20"/>
                <w:szCs w:val="20"/>
              </w:rPr>
            </w:pPr>
            <w:r w:rsidRPr="002D346D">
              <w:rPr>
                <w:sz w:val="20"/>
                <w:szCs w:val="20"/>
              </w:rPr>
              <w:t xml:space="preserve">Limited data from </w:t>
            </w:r>
            <w:r w:rsidRPr="005B6EFA">
              <w:rPr>
                <w:sz w:val="20"/>
                <w:szCs w:val="20"/>
              </w:rPr>
              <w:t>3</w:t>
            </w:r>
            <w:r w:rsidRPr="002D346D">
              <w:rPr>
                <w:sz w:val="20"/>
                <w:szCs w:val="20"/>
              </w:rPr>
              <w:t xml:space="preserve"> </w:t>
            </w:r>
            <w:proofErr w:type="spellStart"/>
            <w:r w:rsidRPr="002D346D">
              <w:rPr>
                <w:sz w:val="20"/>
                <w:szCs w:val="20"/>
              </w:rPr>
              <w:t>LoE</w:t>
            </w:r>
            <w:proofErr w:type="spellEnd"/>
            <w:r w:rsidRPr="002D346D">
              <w:rPr>
                <w:sz w:val="20"/>
                <w:szCs w:val="20"/>
              </w:rPr>
              <w:t xml:space="preserve"> </w:t>
            </w:r>
            <w:r w:rsidR="00DA3324">
              <w:rPr>
                <w:sz w:val="20"/>
                <w:szCs w:val="20"/>
              </w:rPr>
              <w:t xml:space="preserve">III </w:t>
            </w:r>
            <w:r w:rsidRPr="002D346D">
              <w:rPr>
                <w:sz w:val="20"/>
                <w:szCs w:val="20"/>
              </w:rPr>
              <w:t xml:space="preserve">retrospective cohorts suggests that risk of ASD may be increased when </w:t>
            </w:r>
            <w:proofErr w:type="spellStart"/>
            <w:r w:rsidRPr="002D346D">
              <w:rPr>
                <w:sz w:val="20"/>
                <w:szCs w:val="20"/>
              </w:rPr>
              <w:t>malalignment</w:t>
            </w:r>
            <w:proofErr w:type="spellEnd"/>
            <w:r w:rsidRPr="002D346D">
              <w:rPr>
                <w:sz w:val="20"/>
                <w:szCs w:val="20"/>
              </w:rPr>
              <w:t xml:space="preserve"> occurs post-operatively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15801" w:rsidRPr="002D346D" w:rsidRDefault="00715801" w:rsidP="00205DBC">
            <w:pPr>
              <w:tabs>
                <w:tab w:val="left" w:pos="270"/>
              </w:tabs>
              <w:ind w:left="267" w:right="-5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D346D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15801" w:rsidRPr="002D346D" w:rsidRDefault="00715801" w:rsidP="00205DBC">
            <w:pPr>
              <w:pStyle w:val="ListParagraph"/>
              <w:tabs>
                <w:tab w:val="left" w:pos="270"/>
              </w:tabs>
              <w:ind w:lef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5801" w:rsidRPr="002D346D" w:rsidRDefault="00715801" w:rsidP="00205DBC">
            <w:pPr>
              <w:tabs>
                <w:tab w:val="left" w:pos="270"/>
              </w:tabs>
              <w:ind w:lef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15801" w:rsidRPr="008C09A2" w:rsidTr="00DA3324">
        <w:trPr>
          <w:trHeight w:val="28"/>
        </w:trPr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pStyle w:val="ListParagraph"/>
              <w:ind w:left="216" w:right="36"/>
              <w:rPr>
                <w:sz w:val="20"/>
                <w:szCs w:val="20"/>
                <w:highlight w:val="yellow"/>
              </w:rPr>
            </w:pPr>
            <w:r w:rsidRPr="002D346D">
              <w:t xml:space="preserve">Coronal </w:t>
            </w:r>
            <w:proofErr w:type="spellStart"/>
            <w:r w:rsidRPr="002D346D">
              <w:t>malalignment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ind w:left="36" w:right="26"/>
              <w:jc w:val="center"/>
              <w:rPr>
                <w:sz w:val="20"/>
                <w:szCs w:val="20"/>
              </w:rPr>
            </w:pPr>
            <w:r w:rsidRPr="002D346D">
              <w:rPr>
                <w:sz w:val="20"/>
                <w:szCs w:val="20"/>
              </w:rPr>
              <w:t>INSUFFICIENT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801" w:rsidRPr="002D346D" w:rsidRDefault="00715801" w:rsidP="00205DBC">
            <w:pPr>
              <w:tabs>
                <w:tab w:val="left" w:pos="126"/>
              </w:tabs>
              <w:ind w:left="129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studies found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5801" w:rsidRPr="002D346D" w:rsidRDefault="00715801" w:rsidP="00205DBC">
            <w:pPr>
              <w:tabs>
                <w:tab w:val="left" w:pos="270"/>
              </w:tabs>
              <w:ind w:left="267" w:right="-58" w:hanging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15801" w:rsidRPr="002D346D" w:rsidRDefault="00715801" w:rsidP="00205DBC">
            <w:pPr>
              <w:tabs>
                <w:tab w:val="left" w:pos="126"/>
              </w:tabs>
              <w:ind w:left="12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801" w:rsidRPr="002D346D" w:rsidRDefault="00715801" w:rsidP="00205DBC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</w:tc>
      </w:tr>
    </w:tbl>
    <w:p w:rsidR="00715801" w:rsidRDefault="00715801" w:rsidP="00715801"/>
    <w:p w:rsidR="00715801" w:rsidRDefault="00715801" w:rsidP="00715801"/>
    <w:p w:rsidR="005E5F53" w:rsidRDefault="005E5F53" w:rsidP="005E5F53"/>
    <w:p w:rsidR="005E5F53" w:rsidRDefault="005E5F53">
      <w:pPr>
        <w:spacing w:after="20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5E5F53" w:rsidRPr="00683E91" w:rsidRDefault="005E5F53" w:rsidP="005E5F53">
      <w:pPr>
        <w:rPr>
          <w:rFonts w:cs="Calibri"/>
          <w:b/>
          <w:sz w:val="20"/>
          <w:szCs w:val="20"/>
        </w:rPr>
      </w:pPr>
      <w:r w:rsidRPr="00683E91">
        <w:rPr>
          <w:rFonts w:cs="Calibri"/>
          <w:b/>
          <w:sz w:val="20"/>
          <w:szCs w:val="20"/>
        </w:rPr>
        <w:lastRenderedPageBreak/>
        <w:t>Detailed demographic and results table:</w:t>
      </w: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331"/>
        <w:gridCol w:w="1890"/>
        <w:gridCol w:w="2430"/>
        <w:gridCol w:w="1170"/>
        <w:gridCol w:w="2340"/>
        <w:gridCol w:w="2160"/>
      </w:tblGrid>
      <w:tr w:rsidR="005E5F53" w:rsidRPr="008C09A2" w:rsidTr="00205DBC">
        <w:tc>
          <w:tcPr>
            <w:tcW w:w="1207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 w:rsidRPr="00BB5038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331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 w:rsidRPr="00BB5038">
              <w:rPr>
                <w:b/>
                <w:sz w:val="20"/>
                <w:szCs w:val="20"/>
              </w:rPr>
              <w:t>Demographics</w:t>
            </w:r>
          </w:p>
        </w:tc>
        <w:tc>
          <w:tcPr>
            <w:tcW w:w="1890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 w:rsidRPr="00BB5038">
              <w:rPr>
                <w:b/>
                <w:sz w:val="20"/>
                <w:szCs w:val="20"/>
              </w:rPr>
              <w:t>Inclusion/exclusion</w:t>
            </w:r>
          </w:p>
        </w:tc>
        <w:tc>
          <w:tcPr>
            <w:tcW w:w="2430" w:type="dxa"/>
          </w:tcPr>
          <w:p w:rsidR="005E5F53" w:rsidRPr="00FC3BA8" w:rsidRDefault="005E5F53" w:rsidP="00205DBC">
            <w:pPr>
              <w:rPr>
                <w:b/>
                <w:sz w:val="20"/>
                <w:szCs w:val="20"/>
              </w:rPr>
            </w:pPr>
            <w:r w:rsidRPr="00FC3BA8">
              <w:rPr>
                <w:b/>
                <w:sz w:val="20"/>
                <w:szCs w:val="20"/>
              </w:rPr>
              <w:t>How ASD defined and classified</w:t>
            </w:r>
          </w:p>
        </w:tc>
        <w:tc>
          <w:tcPr>
            <w:tcW w:w="1170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 w:rsidRPr="00BB5038">
              <w:rPr>
                <w:b/>
                <w:sz w:val="20"/>
                <w:szCs w:val="20"/>
              </w:rPr>
              <w:t>Follow-up</w:t>
            </w:r>
          </w:p>
        </w:tc>
        <w:tc>
          <w:tcPr>
            <w:tcW w:w="2340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Alignment groups</w:t>
            </w:r>
          </w:p>
        </w:tc>
        <w:tc>
          <w:tcPr>
            <w:tcW w:w="2160" w:type="dxa"/>
          </w:tcPr>
          <w:p w:rsidR="005E5F53" w:rsidRPr="00BB5038" w:rsidRDefault="005E5F53" w:rsidP="00205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ASD outcomes</w:t>
            </w:r>
          </w:p>
        </w:tc>
      </w:tr>
      <w:tr w:rsidR="005E5F53" w:rsidRPr="008C09A2" w:rsidTr="00205DBC">
        <w:trPr>
          <w:trHeight w:val="2744"/>
        </w:trPr>
        <w:tc>
          <w:tcPr>
            <w:tcW w:w="1207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Faldini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(2011)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BA8">
              <w:rPr>
                <w:rFonts w:ascii="Times New Roman" w:hAnsi="Times New Roman"/>
                <w:sz w:val="20"/>
                <w:szCs w:val="20"/>
              </w:rPr>
              <w:t>(retrospective cohort)</w:t>
            </w:r>
          </w:p>
        </w:tc>
        <w:tc>
          <w:tcPr>
            <w:tcW w:w="1331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107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Male =  NR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Age =  35-55 years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Inclusion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>: One level cervical disc disease between C4-C7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Discectomy and single level anterior cervical fusion by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Cloward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procedure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FC3BA8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  <w:u w:val="single"/>
              </w:rPr>
              <w:t>Exclusion</w:t>
            </w:r>
            <w:r w:rsidRPr="008C09A2">
              <w:rPr>
                <w:sz w:val="20"/>
                <w:szCs w:val="20"/>
              </w:rPr>
              <w:t>:  NR</w:t>
            </w:r>
          </w:p>
        </w:tc>
        <w:tc>
          <w:tcPr>
            <w:tcW w:w="243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Standard radiographs; parameters of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Kellgren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and Lawrence: 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grade 0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 xml:space="preserve"> definite absence of degenerative changes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grade 1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 xml:space="preserve"> doubtful presence of degeneration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grade 2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 xml:space="preserve"> degeneration present but of minimal severity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grade 3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 xml:space="preserve"> moderate degeneration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  <w:u w:val="single"/>
              </w:rPr>
              <w:t>grade 4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 xml:space="preserve"> severe degeneration</w:t>
            </w:r>
          </w:p>
        </w:tc>
        <w:tc>
          <w:tcPr>
            <w:tcW w:w="1170" w:type="dxa"/>
          </w:tcPr>
          <w:p w:rsidR="005E5F53" w:rsidRPr="00FC3BA8" w:rsidRDefault="005E5F53" w:rsidP="00205DBC">
            <w:pPr>
              <w:ind w:right="-29"/>
              <w:rPr>
                <w:sz w:val="20"/>
                <w:szCs w:val="20"/>
              </w:rPr>
            </w:pPr>
            <w:r w:rsidRPr="00FC3BA8">
              <w:rPr>
                <w:sz w:val="20"/>
                <w:szCs w:val="20"/>
              </w:rPr>
              <w:t>Mean 16 years (10-23)</w:t>
            </w:r>
            <w:r>
              <w:rPr>
                <w:sz w:val="20"/>
                <w:szCs w:val="20"/>
              </w:rPr>
              <w:t>; minimum 10 years</w:t>
            </w:r>
          </w:p>
        </w:tc>
        <w:tc>
          <w:tcPr>
            <w:tcW w:w="234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Sagittal segmental alignment (SSA)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Preoperative:  0.6° ±2.0°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Postoperative: 1.9° ± 4.2°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Last f/u:  1.8° ± 4.1°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(postop to last f/u; P = 0.861)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b/>
                <w:sz w:val="20"/>
                <w:szCs w:val="20"/>
              </w:rPr>
              <w:t xml:space="preserve">Group A (SSA ≤0°):  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>n = 41 (mean -3.0° ± 1.2° postop)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b/>
                <w:sz w:val="20"/>
                <w:szCs w:val="20"/>
              </w:rPr>
              <w:t xml:space="preserve">Group B (SSA &gt;0°): </w:t>
            </w:r>
            <w:r w:rsidRPr="008C09A2">
              <w:rPr>
                <w:rFonts w:ascii="Times New Roman" w:hAnsi="Times New Roman"/>
                <w:sz w:val="20"/>
                <w:szCs w:val="20"/>
              </w:rPr>
              <w:t>n = 66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(mean 5.0° ± 1.9° postop)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Mean sagittal alignment of cervical spine (SACS):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Preoperative: 17.0° ± 4.9°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Postoperative: 21.0° ± 6.2°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Last f/u: 19.7° ± 6.6°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(postop to last f/u; P = 0.639)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Cutoff value of 2°</w:t>
            </w:r>
          </w:p>
        </w:tc>
        <w:tc>
          <w:tcPr>
            <w:tcW w:w="216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pts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with ASD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Last f/u: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Whole series: 40%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Group A: 61% 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Group B: 27%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OR 2.236; P &lt; 0.001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Postop: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OR = 0.788 (95% CI, 0.708-0.877, P &lt; 0.001)</w:t>
            </w:r>
          </w:p>
          <w:p w:rsidR="005E5F53" w:rsidRPr="008C09A2" w:rsidRDefault="005E5F53" w:rsidP="00205DBC">
            <w:pPr>
              <w:pStyle w:val="NoSpacing"/>
            </w:pP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Increase of postop SSA correlated with ASD; r = -0.428, P &lt; 0.001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Increase of SSA at last f/u correlated with ASD; r =-0.432; P &lt; .001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No correlation between postop SACS and ASD, or between last f/u SACS and ASD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of ASD by group: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0:  n = 7 group A; n = 29 group B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1: n = 9 group A; n = 19 group B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2: n = 14 group A; n = 15 group B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3: n = 8 group A; n = 3 group B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Grade 4: n = 3 group A; n = 0 group B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 xml:space="preserve">ASD rate by fusion </w:t>
            </w:r>
            <w:r w:rsidRPr="008C09A2">
              <w:rPr>
                <w:sz w:val="20"/>
                <w:szCs w:val="20"/>
              </w:rPr>
              <w:lastRenderedPageBreak/>
              <w:t>level for n = 107 patients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 xml:space="preserve">C4-5 (n = 46): group A n = 11/20 (n = 55%); group </w:t>
            </w:r>
            <w:proofErr w:type="gramStart"/>
            <w:r w:rsidRPr="008C09A2">
              <w:rPr>
                <w:sz w:val="20"/>
                <w:szCs w:val="20"/>
              </w:rPr>
              <w:t>B  n</w:t>
            </w:r>
            <w:proofErr w:type="gramEnd"/>
            <w:r w:rsidRPr="008C09A2">
              <w:rPr>
                <w:sz w:val="20"/>
                <w:szCs w:val="20"/>
              </w:rPr>
              <w:t xml:space="preserve"> = 9/26 (35%)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C5-6 (n = 34): group A n = 8/11 (73%); group B n = 5/23 (22%)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C6-7 (n = 27): group A n = 6/10 (60%); group B n = 4/17 (23.5%)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</w:tc>
      </w:tr>
      <w:tr w:rsidR="005E5F53" w:rsidRPr="008C09A2" w:rsidTr="00205DBC">
        <w:trPr>
          <w:trHeight w:val="2744"/>
        </w:trPr>
        <w:tc>
          <w:tcPr>
            <w:tcW w:w="1207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lastRenderedPageBreak/>
              <w:t>Ishihara (2004)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BA8">
              <w:rPr>
                <w:rFonts w:ascii="Times New Roman" w:hAnsi="Times New Roman"/>
                <w:sz w:val="20"/>
                <w:szCs w:val="20"/>
              </w:rPr>
              <w:t>(retrospective cohort)</w:t>
            </w:r>
          </w:p>
        </w:tc>
        <w:tc>
          <w:tcPr>
            <w:tcW w:w="1331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112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Male:  66%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Mean age: 51 years (31-70)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Inclusions: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Intervertebral disc herniation and cervical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spondylosis</w:t>
            </w:r>
            <w:proofErr w:type="spellEnd"/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Anterior cervical discectomy and arthrodesis using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autogeneous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iliac-crest graft without plate fixation; one level fusion n = 66, two level fusion n = 44, three level fusion n = 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FC3BA8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Exclusions:  NR</w:t>
            </w:r>
          </w:p>
        </w:tc>
        <w:tc>
          <w:tcPr>
            <w:tcW w:w="243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Presence of both new radiculopathy or myelopathy symptoms referable to the adjacent level on MRI or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myelography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; evaluated by criteria of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Hilibrand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et al:  intervertebral disc narrowing of &gt; 2 mm compared with adjacent segments, osteophyte formation of &gt; 2 mm, anterior or posterior slip of &gt; 2 mm</w:t>
            </w:r>
          </w:p>
        </w:tc>
        <w:tc>
          <w:tcPr>
            <w:tcW w:w="1170" w:type="dxa"/>
          </w:tcPr>
          <w:p w:rsidR="005E5F53" w:rsidRPr="00FC3BA8" w:rsidRDefault="005E5F53" w:rsidP="00205DBC">
            <w:pPr>
              <w:ind w:right="-29"/>
              <w:rPr>
                <w:sz w:val="20"/>
                <w:szCs w:val="20"/>
              </w:rPr>
            </w:pPr>
            <w:r w:rsidRPr="00FC3BA8">
              <w:rPr>
                <w:sz w:val="20"/>
                <w:szCs w:val="20"/>
              </w:rPr>
              <w:t>Mean 9.4 years (2-19)</w:t>
            </w:r>
          </w:p>
        </w:tc>
        <w:tc>
          <w:tcPr>
            <w:tcW w:w="234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proofErr w:type="spellStart"/>
            <w:r w:rsidRPr="008C09A2">
              <w:rPr>
                <w:sz w:val="20"/>
                <w:szCs w:val="20"/>
              </w:rPr>
              <w:t>Lordosis</w:t>
            </w:r>
            <w:proofErr w:type="spellEnd"/>
            <w:r w:rsidRPr="008C09A2">
              <w:rPr>
                <w:sz w:val="20"/>
                <w:szCs w:val="20"/>
              </w:rPr>
              <w:t xml:space="preserve"> or kyphosis preoperatively or postoperatively after fusion</w:t>
            </w:r>
          </w:p>
        </w:tc>
        <w:tc>
          <w:tcPr>
            <w:tcW w:w="216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ASD at f/u</w:t>
            </w:r>
            <w:proofErr w:type="gramStart"/>
            <w:r w:rsidRPr="008C09A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8C09A2">
              <w:rPr>
                <w:rFonts w:ascii="Times New Roman" w:hAnsi="Times New Roman"/>
                <w:sz w:val="20"/>
                <w:szCs w:val="20"/>
              </w:rPr>
              <w:br/>
              <w:t>n = 19 of 112 (17%)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No ASD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93 of 112 (83%)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Preop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alignment (+ is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lordosis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, - is kyphosis)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ASD:  11.4° ± 10.3°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No ASD:  7.7 ° ± 11.0°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 = 0.262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Fusion alignment (+ is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lordosis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>, - is kyphosis)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ASD: 1.27° ± 2.82°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No ASD: -1.00° ± 6.78°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 = 0.217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</w:tc>
      </w:tr>
      <w:tr w:rsidR="005E5F53" w:rsidRPr="008C09A2" w:rsidTr="00205DBC">
        <w:trPr>
          <w:trHeight w:val="2744"/>
        </w:trPr>
        <w:tc>
          <w:tcPr>
            <w:tcW w:w="1207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lastRenderedPageBreak/>
              <w:t>Katsuura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(2001)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BA8">
              <w:rPr>
                <w:rFonts w:ascii="Times New Roman" w:hAnsi="Times New Roman"/>
                <w:sz w:val="20"/>
                <w:szCs w:val="20"/>
              </w:rPr>
              <w:t>(retrospective cohort)</w:t>
            </w:r>
          </w:p>
        </w:tc>
        <w:tc>
          <w:tcPr>
            <w:tcW w:w="1331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42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Male: 81%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Age: 50.2 years (SD 9.4)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Degenerated adjacent level n= 21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Normal adjacent level n = 21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Inclusions: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Anterior cervical fusion, no instrumentation, for degenerative disorders, cervical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spondylosis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or cervical disc herniation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Single level n = 23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Two level n = 17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Three level n = 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FC3BA8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Exclusions:  NR</w:t>
            </w:r>
          </w:p>
        </w:tc>
        <w:tc>
          <w:tcPr>
            <w:tcW w:w="243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At least one of the following criteria met in comparison with preoperative radiographic findings:  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evident intervertebral disc space narrowing, 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newly developed instability &gt;3mm on flexion-extension radiographs, 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vertebral posterior spur formation</w:t>
            </w:r>
          </w:p>
        </w:tc>
        <w:tc>
          <w:tcPr>
            <w:tcW w:w="1170" w:type="dxa"/>
          </w:tcPr>
          <w:p w:rsidR="005E5F53" w:rsidRPr="00FC3BA8" w:rsidRDefault="005E5F53" w:rsidP="00205DBC">
            <w:pPr>
              <w:ind w:right="-29"/>
              <w:rPr>
                <w:sz w:val="20"/>
                <w:szCs w:val="20"/>
              </w:rPr>
            </w:pPr>
            <w:r w:rsidRPr="00FC3BA8">
              <w:rPr>
                <w:sz w:val="20"/>
                <w:szCs w:val="20"/>
              </w:rPr>
              <w:t>Mean 9.8 years (5-22)</w:t>
            </w:r>
          </w:p>
        </w:tc>
        <w:tc>
          <w:tcPr>
            <w:tcW w:w="234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Alignment: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Lordotic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n = 27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Straight n = 3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Kyphotic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n = 8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Sigmoid n = 4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 xml:space="preserve">Alignment of the whole cervical spine = angle A 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Alignment of the fused segment = angle B</w:t>
            </w:r>
          </w:p>
        </w:tc>
        <w:tc>
          <w:tcPr>
            <w:tcW w:w="216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 xml:space="preserve">Physiological cervical </w:t>
            </w:r>
            <w:proofErr w:type="spellStart"/>
            <w:r w:rsidRPr="008C09A2">
              <w:rPr>
                <w:sz w:val="20"/>
                <w:szCs w:val="20"/>
              </w:rPr>
              <w:t>lordosis</w:t>
            </w:r>
            <w:proofErr w:type="spellEnd"/>
            <w:r w:rsidRPr="008C09A2">
              <w:rPr>
                <w:sz w:val="20"/>
                <w:szCs w:val="20"/>
              </w:rPr>
              <w:t xml:space="preserve"> preserved in n = 18 (85.7%) in group with normal adjacent levels and in n = 9 (42.8%) in group with ASD (P = 0.0148)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 xml:space="preserve">Angle A both at </w:t>
            </w:r>
            <w:proofErr w:type="spellStart"/>
            <w:r w:rsidRPr="008C09A2">
              <w:rPr>
                <w:sz w:val="20"/>
                <w:szCs w:val="20"/>
              </w:rPr>
              <w:t>preop</w:t>
            </w:r>
            <w:proofErr w:type="spellEnd"/>
            <w:r w:rsidRPr="008C09A2">
              <w:rPr>
                <w:sz w:val="20"/>
                <w:szCs w:val="20"/>
              </w:rPr>
              <w:t xml:space="preserve"> and at f/u were significantly smaller in the ASD group than in the normal group (Table 3)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Angle B was not significantly different between groups preoperatively (P = ns) and was significantly smaller in the ASD group at f/u compared with the normal group (P = 0.0096) (Table 3)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</w:tc>
      </w:tr>
      <w:tr w:rsidR="005E5F53" w:rsidRPr="008C09A2" w:rsidTr="00205DBC">
        <w:trPr>
          <w:trHeight w:val="2744"/>
        </w:trPr>
        <w:tc>
          <w:tcPr>
            <w:tcW w:w="1207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Kulkarni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(2004)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BA8">
              <w:rPr>
                <w:rFonts w:ascii="Times New Roman" w:hAnsi="Times New Roman"/>
                <w:sz w:val="20"/>
                <w:szCs w:val="20"/>
              </w:rPr>
              <w:t>(retrospective cohort)</w:t>
            </w:r>
          </w:p>
        </w:tc>
        <w:tc>
          <w:tcPr>
            <w:tcW w:w="1331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44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Male:  98%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Mean age: 46 years (31-66)</w:t>
            </w:r>
          </w:p>
        </w:tc>
        <w:tc>
          <w:tcPr>
            <w:tcW w:w="189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Inclusions: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Central cervical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corpectomy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and fusion; one level n = 11; two level n = 33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E5F53" w:rsidRPr="00FC3BA8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Exclusions:  NR</w:t>
            </w:r>
          </w:p>
        </w:tc>
        <w:tc>
          <w:tcPr>
            <w:tcW w:w="243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MRI evaluation of adjacent segments for indentation of the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thecal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sac, disc height, sagittal functional diameter of the spinal canal</w:t>
            </w:r>
          </w:p>
        </w:tc>
        <w:tc>
          <w:tcPr>
            <w:tcW w:w="1170" w:type="dxa"/>
          </w:tcPr>
          <w:p w:rsidR="005E5F53" w:rsidRPr="00FC3BA8" w:rsidRDefault="005E5F53" w:rsidP="00205DBC">
            <w:pPr>
              <w:ind w:right="-29"/>
              <w:rPr>
                <w:sz w:val="20"/>
                <w:szCs w:val="20"/>
              </w:rPr>
            </w:pPr>
            <w:r w:rsidRPr="00FC3BA8">
              <w:rPr>
                <w:sz w:val="20"/>
                <w:szCs w:val="20"/>
              </w:rPr>
              <w:t>Mean : 1.5 years (0.8-4)</w:t>
            </w:r>
          </w:p>
        </w:tc>
        <w:tc>
          <w:tcPr>
            <w:tcW w:w="234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Sagittal alignment: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proofErr w:type="spellStart"/>
            <w:r w:rsidRPr="008C09A2">
              <w:rPr>
                <w:sz w:val="20"/>
                <w:szCs w:val="20"/>
              </w:rPr>
              <w:t>Kyphotic</w:t>
            </w:r>
            <w:proofErr w:type="spellEnd"/>
            <w:r w:rsidRPr="008C09A2">
              <w:rPr>
                <w:sz w:val="20"/>
                <w:szCs w:val="20"/>
              </w:rPr>
              <w:t xml:space="preserve"> alteration (</w:t>
            </w:r>
            <w:proofErr w:type="spellStart"/>
            <w:r w:rsidRPr="008C09A2">
              <w:rPr>
                <w:sz w:val="20"/>
                <w:szCs w:val="20"/>
              </w:rPr>
              <w:t>lordotic</w:t>
            </w:r>
            <w:proofErr w:type="spellEnd"/>
            <w:r w:rsidRPr="008C09A2">
              <w:rPr>
                <w:sz w:val="20"/>
                <w:szCs w:val="20"/>
              </w:rPr>
              <w:t xml:space="preserve"> spine became </w:t>
            </w:r>
            <w:proofErr w:type="spellStart"/>
            <w:r w:rsidRPr="008C09A2">
              <w:rPr>
                <w:sz w:val="20"/>
                <w:szCs w:val="20"/>
              </w:rPr>
              <w:t>kyphotic</w:t>
            </w:r>
            <w:proofErr w:type="spellEnd"/>
            <w:r w:rsidRPr="008C09A2">
              <w:rPr>
                <w:sz w:val="20"/>
                <w:szCs w:val="20"/>
              </w:rPr>
              <w:t xml:space="preserve"> or straight; straight spine became </w:t>
            </w:r>
            <w:proofErr w:type="spellStart"/>
            <w:r w:rsidRPr="008C09A2">
              <w:rPr>
                <w:sz w:val="20"/>
                <w:szCs w:val="20"/>
              </w:rPr>
              <w:t>kyphotic</w:t>
            </w:r>
            <w:proofErr w:type="spellEnd"/>
            <w:r w:rsidRPr="008C09A2">
              <w:rPr>
                <w:sz w:val="20"/>
                <w:szCs w:val="20"/>
              </w:rPr>
              <w:t>) in n = 17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Preoperative alignment maintained or improved in n = 27</w:t>
            </w:r>
          </w:p>
        </w:tc>
        <w:tc>
          <w:tcPr>
            <w:tcW w:w="216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ASD changes present: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proofErr w:type="spellStart"/>
            <w:r w:rsidRPr="008C09A2">
              <w:rPr>
                <w:sz w:val="20"/>
                <w:szCs w:val="20"/>
              </w:rPr>
              <w:t>Kyphotic</w:t>
            </w:r>
            <w:proofErr w:type="spellEnd"/>
            <w:r w:rsidRPr="008C09A2">
              <w:rPr>
                <w:sz w:val="20"/>
                <w:szCs w:val="20"/>
              </w:rPr>
              <w:t xml:space="preserve"> alteration group: n = 15/17 (88%)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Alignment maintained: n = 18/27 (67%)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P = 0.1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(trend but not significant, as noted in conclusion of study)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</w:tc>
      </w:tr>
      <w:tr w:rsidR="005E5F53" w:rsidRPr="008C09A2" w:rsidTr="00205DBC">
        <w:trPr>
          <w:trHeight w:val="2744"/>
        </w:trPr>
        <w:tc>
          <w:tcPr>
            <w:tcW w:w="1207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lastRenderedPageBreak/>
              <w:t>Matsumoto (2010)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BA8">
              <w:rPr>
                <w:rFonts w:ascii="Times New Roman" w:hAnsi="Times New Roman"/>
                <w:sz w:val="20"/>
                <w:szCs w:val="20"/>
              </w:rPr>
              <w:t>(retrospective cohort)</w:t>
            </w:r>
          </w:p>
        </w:tc>
        <w:tc>
          <w:tcPr>
            <w:tcW w:w="1331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ACDF group: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64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Male: 75%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Mean age 47.3 years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Asymptomatic group: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 = 201</w:t>
            </w:r>
          </w:p>
        </w:tc>
        <w:tc>
          <w:tcPr>
            <w:tcW w:w="189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Inclusions: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One or two level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noninstrumented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ACDF for disc hernia or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spondylosis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Preop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MRI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No history of previous surgery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Exclusions: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Revision surgery for ASD after index surgery</w:t>
            </w:r>
          </w:p>
        </w:tc>
        <w:tc>
          <w:tcPr>
            <w:tcW w:w="243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MRI evaluation for degenerative findings; grading system used to evaluate: 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decrease in signal intensity of intervertebral disc 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posterior disc protrusion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disc space narrowing</w:t>
            </w:r>
          </w:p>
          <w:p w:rsidR="005E5F53" w:rsidRPr="008C09A2" w:rsidRDefault="005E5F53" w:rsidP="005E5F53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foraminal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stenosis (evaluated on right and left sides)</w:t>
            </w:r>
          </w:p>
        </w:tc>
        <w:tc>
          <w:tcPr>
            <w:tcW w:w="1170" w:type="dxa"/>
          </w:tcPr>
          <w:p w:rsidR="005E5F53" w:rsidRPr="00FC3BA8" w:rsidRDefault="005E5F53" w:rsidP="00205DBC">
            <w:pPr>
              <w:ind w:right="-29"/>
              <w:rPr>
                <w:sz w:val="20"/>
                <w:szCs w:val="20"/>
              </w:rPr>
            </w:pPr>
            <w:r w:rsidRPr="00FC3BA8">
              <w:rPr>
                <w:sz w:val="20"/>
                <w:szCs w:val="20"/>
              </w:rPr>
              <w:t>Mean 12.1 years</w:t>
            </w:r>
          </w:p>
        </w:tc>
        <w:tc>
          <w:tcPr>
            <w:tcW w:w="2340" w:type="dxa"/>
          </w:tcPr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sz w:val="20"/>
                <w:szCs w:val="20"/>
              </w:rPr>
              <w:t>Fusion in kyphosis: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b/>
                <w:sz w:val="20"/>
                <w:szCs w:val="20"/>
              </w:rPr>
              <w:t>Group A, kyphosis angle ≥5°:</w:t>
            </w:r>
            <w:r w:rsidRPr="008C09A2">
              <w:rPr>
                <w:sz w:val="20"/>
                <w:szCs w:val="20"/>
              </w:rPr>
              <w:t xml:space="preserve"> n = 23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  <w:r w:rsidRPr="008C09A2">
              <w:rPr>
                <w:b/>
                <w:sz w:val="20"/>
                <w:szCs w:val="20"/>
              </w:rPr>
              <w:t>Group B, kyphosis angle &lt;5°:</w:t>
            </w:r>
            <w:r w:rsidRPr="008C09A2">
              <w:rPr>
                <w:sz w:val="20"/>
                <w:szCs w:val="20"/>
              </w:rPr>
              <w:t xml:space="preserve"> n = 41</w:t>
            </w:r>
          </w:p>
        </w:tc>
        <w:tc>
          <w:tcPr>
            <w:tcW w:w="2160" w:type="dxa"/>
          </w:tcPr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Degenerative MRI findings: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Decrease in signal intensity: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group A 60.9%, n = 14;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group B 53.7% n = 22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Posterior disc protrusion: 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group A 65.2% n = 15; group B 78.0% n = 32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>Disc space narrowing: group A 26.1% (n = 6); group B 19.5% (n = 8)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Foraminal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stenosis:  group A 26.1% (n = 6); group B 19.5% (n = 8)</w:t>
            </w: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E5F53" w:rsidRPr="008C09A2" w:rsidRDefault="005E5F53" w:rsidP="00205D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09A2">
              <w:rPr>
                <w:rFonts w:ascii="Times New Roman" w:hAnsi="Times New Roman"/>
                <w:sz w:val="20"/>
                <w:szCs w:val="20"/>
              </w:rPr>
              <w:t xml:space="preserve">(statistical </w:t>
            </w:r>
            <w:proofErr w:type="spellStart"/>
            <w:r w:rsidRPr="008C09A2">
              <w:rPr>
                <w:rFonts w:ascii="Times New Roman" w:hAnsi="Times New Roman"/>
                <w:sz w:val="20"/>
                <w:szCs w:val="20"/>
              </w:rPr>
              <w:t>eval</w:t>
            </w:r>
            <w:proofErr w:type="spellEnd"/>
            <w:r w:rsidRPr="008C09A2">
              <w:rPr>
                <w:rFonts w:ascii="Times New Roman" w:hAnsi="Times New Roman"/>
                <w:sz w:val="20"/>
                <w:szCs w:val="20"/>
              </w:rPr>
              <w:t xml:space="preserve"> not included in table or text)</w:t>
            </w:r>
          </w:p>
          <w:p w:rsidR="005E5F53" w:rsidRPr="008C09A2" w:rsidRDefault="005E5F53" w:rsidP="00205DBC">
            <w:pPr>
              <w:rPr>
                <w:sz w:val="20"/>
                <w:szCs w:val="20"/>
              </w:rPr>
            </w:pPr>
          </w:p>
        </w:tc>
      </w:tr>
    </w:tbl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E5F53" w:rsidRDefault="005E5F53" w:rsidP="005E5F53">
      <w:pPr>
        <w:rPr>
          <w:highlight w:val="yellow"/>
        </w:rPr>
        <w:sectPr w:rsidR="005E5F53" w:rsidSect="005E5F5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E5F53" w:rsidRDefault="005E5F53" w:rsidP="005E5F53">
      <w:r w:rsidRPr="009220BA">
        <w:lastRenderedPageBreak/>
        <w:t>Search strategy</w:t>
      </w:r>
      <w:r>
        <w:t xml:space="preserve"> </w:t>
      </w:r>
    </w:p>
    <w:p w:rsidR="005E5F53" w:rsidRDefault="005E5F53" w:rsidP="005E5F53"/>
    <w:p w:rsidR="005E5F53" w:rsidRPr="005E5F53" w:rsidRDefault="005E5F53" w:rsidP="005E5F53">
      <w:pPr>
        <w:spacing w:after="200"/>
        <w:rPr>
          <w:rFonts w:ascii="Cambria" w:eastAsia="MS Mincho" w:hAnsi="Cambria"/>
          <w:color w:val="1F497D"/>
          <w:szCs w:val="20"/>
          <w:lang w:val="en-AU" w:eastAsia="ja-JP"/>
        </w:rPr>
      </w:pPr>
      <w:r>
        <w:rPr>
          <w:rFonts w:ascii="Cambria" w:eastAsia="MS Mincho" w:hAnsi="Cambria"/>
          <w:szCs w:val="20"/>
          <w:lang w:val="en-AU" w:eastAsia="ja-JP"/>
        </w:rPr>
        <w:t xml:space="preserve">A search was made in PubMed for any articles pertaining to the topic of </w:t>
      </w:r>
      <w:proofErr w:type="spellStart"/>
      <w:r>
        <w:rPr>
          <w:rFonts w:ascii="Cambria" w:eastAsia="MS Mincho" w:hAnsi="Cambria"/>
          <w:szCs w:val="20"/>
          <w:lang w:val="en-AU" w:eastAsia="ja-JP"/>
        </w:rPr>
        <w:t>malalignment</w:t>
      </w:r>
      <w:proofErr w:type="spellEnd"/>
      <w:r>
        <w:rPr>
          <w:rFonts w:ascii="Cambria" w:eastAsia="MS Mincho" w:hAnsi="Cambria"/>
          <w:szCs w:val="20"/>
          <w:lang w:val="en-AU" w:eastAsia="ja-JP"/>
        </w:rPr>
        <w:t xml:space="preserve"> and adjacent segment disease or adjacent segment degeneration</w:t>
      </w:r>
      <w:r w:rsidR="001C637A">
        <w:rPr>
          <w:rFonts w:ascii="Cambria" w:eastAsia="MS Mincho" w:hAnsi="Cambria"/>
          <w:szCs w:val="20"/>
          <w:lang w:val="en-AU" w:eastAsia="ja-JP"/>
        </w:rPr>
        <w:t xml:space="preserve"> after fusion of the cervical spine</w:t>
      </w:r>
      <w:r>
        <w:rPr>
          <w:rFonts w:ascii="Cambria" w:eastAsia="MS Mincho" w:hAnsi="Cambria"/>
          <w:szCs w:val="20"/>
          <w:lang w:val="en-AU" w:eastAsia="ja-JP"/>
        </w:rPr>
        <w:t xml:space="preserve">; key words were used to find all articles which </w:t>
      </w:r>
      <w:r w:rsidR="00145BDB">
        <w:rPr>
          <w:rFonts w:ascii="Cambria" w:eastAsia="MS Mincho" w:hAnsi="Cambria"/>
          <w:szCs w:val="20"/>
          <w:lang w:val="en-AU" w:eastAsia="ja-JP"/>
        </w:rPr>
        <w:t xml:space="preserve">were concerned with ASD in the cervical spine; and then to determine which of those were also concerned with </w:t>
      </w:r>
      <w:proofErr w:type="spellStart"/>
      <w:r w:rsidR="00145BDB">
        <w:rPr>
          <w:rFonts w:ascii="Cambria" w:eastAsia="MS Mincho" w:hAnsi="Cambria"/>
          <w:szCs w:val="20"/>
          <w:lang w:val="en-AU" w:eastAsia="ja-JP"/>
        </w:rPr>
        <w:t>malalignment</w:t>
      </w:r>
      <w:proofErr w:type="spellEnd"/>
      <w:r w:rsidR="00145BDB">
        <w:rPr>
          <w:rFonts w:ascii="Cambria" w:eastAsia="MS Mincho" w:hAnsi="Cambria"/>
          <w:szCs w:val="20"/>
          <w:lang w:val="en-AU" w:eastAsia="ja-JP"/>
        </w:rPr>
        <w:t xml:space="preserve"> or alignment in kyphosis or </w:t>
      </w:r>
      <w:proofErr w:type="spellStart"/>
      <w:r w:rsidR="00145BDB">
        <w:rPr>
          <w:rFonts w:ascii="Cambria" w:eastAsia="MS Mincho" w:hAnsi="Cambria"/>
          <w:szCs w:val="20"/>
          <w:lang w:val="en-AU" w:eastAsia="ja-JP"/>
        </w:rPr>
        <w:t>lordosis</w:t>
      </w:r>
      <w:proofErr w:type="spellEnd"/>
      <w:r w:rsidR="00145BDB">
        <w:rPr>
          <w:rFonts w:ascii="Cambria" w:eastAsia="MS Mincho" w:hAnsi="Cambria"/>
          <w:szCs w:val="20"/>
          <w:lang w:val="en-AU" w:eastAsia="ja-JP"/>
        </w:rPr>
        <w:t xml:space="preserve">.   Articles which were biomechanical, or not human subjects, or not in English, were discarded; further articles were sought from bibliographies or pertinent articles and from </w:t>
      </w:r>
      <w:proofErr w:type="spellStart"/>
      <w:r w:rsidR="00145BDB">
        <w:rPr>
          <w:rFonts w:ascii="Cambria" w:eastAsia="MS Mincho" w:hAnsi="Cambria"/>
          <w:szCs w:val="20"/>
          <w:lang w:val="en-AU" w:eastAsia="ja-JP"/>
        </w:rPr>
        <w:t>Pubmed’s</w:t>
      </w:r>
      <w:proofErr w:type="spellEnd"/>
      <w:r w:rsidR="00145BDB">
        <w:rPr>
          <w:rFonts w:ascii="Cambria" w:eastAsia="MS Mincho" w:hAnsi="Cambria"/>
          <w:szCs w:val="20"/>
          <w:lang w:val="en-AU" w:eastAsia="ja-JP"/>
        </w:rPr>
        <w:t xml:space="preserve"> Related Articles feature.   The title and abstract of 365 articles from the search were examined for possible relevance to the topic as outlined in the PPO table.</w:t>
      </w:r>
    </w:p>
    <w:tbl>
      <w:tblPr>
        <w:tblW w:w="4111" w:type="pct"/>
        <w:tblCellSpacing w:w="1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505"/>
      </w:tblGrid>
      <w:tr w:rsidR="00145BDB" w:rsidRPr="005E5F53" w:rsidTr="00145B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145BDB" w:rsidP="005E5F53">
            <w:pPr>
              <w:rPr>
                <w:rFonts w:ascii="Arial" w:hAnsi="Arial" w:cs="Arial"/>
                <w:sz w:val="15"/>
                <w:szCs w:val="15"/>
              </w:rPr>
            </w:pPr>
            <w:r w:rsidRPr="005E5F53">
              <w:rPr>
                <w:rFonts w:ascii="Arial" w:hAnsi="Arial" w:cs="Arial"/>
                <w:sz w:val="15"/>
                <w:szCs w:val="15"/>
              </w:rPr>
              <w:t xml:space="preserve">Search </w:t>
            </w:r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#6 AND #7 AND (alignment OR kyphosis OR </w:t>
            </w:r>
            <w:proofErr w:type="spellStart"/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>lordosis</w:t>
            </w:r>
            <w:proofErr w:type="spellEnd"/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5B6EFA" w:rsidP="005E5F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hyperlink r:id="rId6" w:tooltip="Show search results" w:history="1">
              <w:r w:rsidR="00145BDB" w:rsidRPr="005E5F53">
                <w:rPr>
                  <w:rFonts w:ascii="Arial" w:hAnsi="Arial" w:cs="Arial"/>
                  <w:color w:val="2F4A8B"/>
                  <w:sz w:val="15"/>
                  <w:szCs w:val="15"/>
                  <w:u w:val="single"/>
                </w:rPr>
                <w:t>30</w:t>
              </w:r>
            </w:hyperlink>
          </w:p>
        </w:tc>
      </w:tr>
      <w:tr w:rsidR="00145BDB" w:rsidRPr="005E5F53" w:rsidTr="00145B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145BDB" w:rsidP="005E5F53">
            <w:pPr>
              <w:rPr>
                <w:rFonts w:ascii="Arial" w:hAnsi="Arial" w:cs="Arial"/>
                <w:sz w:val="15"/>
                <w:szCs w:val="15"/>
              </w:rPr>
            </w:pPr>
            <w:r w:rsidRPr="005E5F53">
              <w:rPr>
                <w:rFonts w:ascii="Arial" w:hAnsi="Arial" w:cs="Arial"/>
                <w:sz w:val="15"/>
                <w:szCs w:val="15"/>
              </w:rPr>
              <w:t xml:space="preserve">Search </w:t>
            </w:r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>#6 AND #7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5B6EFA" w:rsidP="005E5F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hyperlink r:id="rId7" w:tooltip="Show search results" w:history="1">
              <w:r w:rsidR="00145BDB" w:rsidRPr="005E5F53">
                <w:rPr>
                  <w:rFonts w:ascii="Arial" w:hAnsi="Arial" w:cs="Arial"/>
                  <w:color w:val="2F4A8B"/>
                  <w:sz w:val="15"/>
                  <w:szCs w:val="15"/>
                  <w:u w:val="single"/>
                </w:rPr>
                <w:t>144</w:t>
              </w:r>
            </w:hyperlink>
          </w:p>
        </w:tc>
      </w:tr>
      <w:tr w:rsidR="00145BDB" w:rsidRPr="005E5F53" w:rsidTr="00145B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145BDB" w:rsidP="005E5F53">
            <w:pPr>
              <w:rPr>
                <w:rFonts w:ascii="Arial" w:hAnsi="Arial" w:cs="Arial"/>
                <w:sz w:val="15"/>
                <w:szCs w:val="15"/>
              </w:rPr>
            </w:pPr>
            <w:r w:rsidRPr="005E5F53">
              <w:rPr>
                <w:rFonts w:ascii="Arial" w:hAnsi="Arial" w:cs="Arial"/>
                <w:sz w:val="15"/>
                <w:szCs w:val="15"/>
              </w:rPr>
              <w:t xml:space="preserve">Search </w:t>
            </w:r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cervical spine AND (fusion OR </w:t>
            </w:r>
            <w:proofErr w:type="spellStart"/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>arthroplasty</w:t>
            </w:r>
            <w:proofErr w:type="spellEnd"/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OR arthrodesis OR ACDF OR disc replacement)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5B6EFA" w:rsidP="005E5F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hyperlink r:id="rId8" w:tooltip="Show search results" w:history="1">
              <w:r w:rsidR="00145BDB" w:rsidRPr="005E5F53">
                <w:rPr>
                  <w:rFonts w:ascii="Arial" w:hAnsi="Arial" w:cs="Arial"/>
                  <w:color w:val="2F4A8B"/>
                  <w:sz w:val="15"/>
                  <w:szCs w:val="15"/>
                  <w:u w:val="single"/>
                </w:rPr>
                <w:t>6186</w:t>
              </w:r>
            </w:hyperlink>
          </w:p>
        </w:tc>
      </w:tr>
      <w:tr w:rsidR="00145BDB" w:rsidRPr="005E5F53" w:rsidTr="00145B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145BDB" w:rsidP="005E5F53">
            <w:pPr>
              <w:rPr>
                <w:rFonts w:ascii="Arial" w:hAnsi="Arial" w:cs="Arial"/>
                <w:sz w:val="15"/>
                <w:szCs w:val="15"/>
              </w:rPr>
            </w:pPr>
            <w:r w:rsidRPr="005E5F53">
              <w:rPr>
                <w:rFonts w:ascii="Arial" w:hAnsi="Arial" w:cs="Arial"/>
                <w:sz w:val="15"/>
                <w:szCs w:val="15"/>
              </w:rPr>
              <w:t xml:space="preserve">Search </w:t>
            </w:r>
            <w:r w:rsidRPr="005E5F53">
              <w:rPr>
                <w:rFonts w:ascii="Arial" w:hAnsi="Arial" w:cs="Arial"/>
                <w:b/>
                <w:bCs/>
                <w:sz w:val="15"/>
                <w:szCs w:val="15"/>
              </w:rPr>
              <w:t>"adjacent segment disease" OR "adjacent segment breakdown" OR "adjacent segment degeneration" OR "adjacent segment biomechanical consequences" OR "adjacent level degeneration" OR “adjacent level disease”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5BDB" w:rsidRPr="005E5F53" w:rsidRDefault="005B6EFA" w:rsidP="005E5F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hyperlink r:id="rId9" w:tooltip="Show search results" w:history="1">
              <w:r w:rsidR="00145BDB" w:rsidRPr="005E5F53">
                <w:rPr>
                  <w:rFonts w:ascii="Arial" w:hAnsi="Arial" w:cs="Arial"/>
                  <w:color w:val="2F4A8B"/>
                  <w:sz w:val="15"/>
                  <w:szCs w:val="15"/>
                  <w:u w:val="single"/>
                </w:rPr>
                <w:t>395</w:t>
              </w:r>
            </w:hyperlink>
          </w:p>
        </w:tc>
      </w:tr>
    </w:tbl>
    <w:p w:rsidR="005E5F53" w:rsidRPr="005E5F53" w:rsidRDefault="005E5F53" w:rsidP="005E5F53">
      <w:pPr>
        <w:spacing w:after="200"/>
        <w:contextualSpacing/>
        <w:rPr>
          <w:rFonts w:ascii="Cambria" w:eastAsia="MS Mincho" w:hAnsi="Cambria"/>
          <w:szCs w:val="20"/>
          <w:lang w:val="en-AU" w:eastAsia="ja-JP"/>
        </w:rPr>
      </w:pPr>
    </w:p>
    <w:p w:rsidR="005E5F53" w:rsidRPr="005E5F53" w:rsidRDefault="005E5F53" w:rsidP="005E5F53">
      <w:pPr>
        <w:spacing w:after="200"/>
        <w:contextualSpacing/>
        <w:rPr>
          <w:rFonts w:ascii="Cambria" w:eastAsia="MS Mincho" w:hAnsi="Cambria"/>
          <w:szCs w:val="20"/>
          <w:lang w:val="en-AU" w:eastAsia="ja-JP"/>
        </w:rPr>
      </w:pPr>
    </w:p>
    <w:p w:rsidR="005E5F53" w:rsidRDefault="005E5F53" w:rsidP="005E5F53"/>
    <w:p w:rsidR="005E5F53" w:rsidRDefault="005E5F53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E5F53" w:rsidRDefault="005E5F53" w:rsidP="005E5F53">
      <w:r w:rsidRPr="00B92298">
        <w:lastRenderedPageBreak/>
        <w:t>List of studies excluded at full</w:t>
      </w:r>
      <w:r>
        <w:t xml:space="preserve"> text </w:t>
      </w:r>
    </w:p>
    <w:p w:rsidR="005E5F53" w:rsidRDefault="005E5F53" w:rsidP="005E5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9220BA" w:rsidTr="00BC1246">
        <w:tc>
          <w:tcPr>
            <w:tcW w:w="6498" w:type="dxa"/>
          </w:tcPr>
          <w:p w:rsidR="009220BA" w:rsidRDefault="009220BA" w:rsidP="005E5F53">
            <w:r>
              <w:t>Study</w:t>
            </w:r>
          </w:p>
        </w:tc>
        <w:tc>
          <w:tcPr>
            <w:tcW w:w="3078" w:type="dxa"/>
          </w:tcPr>
          <w:p w:rsidR="009220BA" w:rsidRDefault="009220BA" w:rsidP="005E5F53">
            <w:r>
              <w:t>Reason for exclusion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5E5F53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Sekhon</w:t>
            </w:r>
            <w:proofErr w:type="spellEnd"/>
            <w:r w:rsidRPr="00BC1246">
              <w:rPr>
                <w:sz w:val="20"/>
                <w:szCs w:val="20"/>
              </w:rPr>
              <w:t xml:space="preserve">, L. H. (2003). "Cervical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 in the management of </w:t>
            </w:r>
            <w:proofErr w:type="spellStart"/>
            <w:r w:rsidRPr="00BC1246">
              <w:rPr>
                <w:sz w:val="20"/>
                <w:szCs w:val="20"/>
              </w:rPr>
              <w:t>spondylotic</w:t>
            </w:r>
            <w:proofErr w:type="spellEnd"/>
            <w:r w:rsidRPr="00BC1246">
              <w:rPr>
                <w:sz w:val="20"/>
                <w:szCs w:val="20"/>
              </w:rPr>
              <w:t xml:space="preserve"> myelopathy." J Spinal </w:t>
            </w:r>
            <w:proofErr w:type="spellStart"/>
            <w:r w:rsidRPr="00BC1246">
              <w:rPr>
                <w:sz w:val="20"/>
                <w:szCs w:val="20"/>
              </w:rPr>
              <w:t>Disord</w:t>
            </w:r>
            <w:proofErr w:type="spellEnd"/>
            <w:r w:rsidRPr="00BC1246">
              <w:rPr>
                <w:sz w:val="20"/>
                <w:szCs w:val="20"/>
              </w:rPr>
              <w:t xml:space="preserve"> Tech 16(4): 307-313.</w:t>
            </w:r>
          </w:p>
        </w:tc>
        <w:tc>
          <w:tcPr>
            <w:tcW w:w="3078" w:type="dxa"/>
          </w:tcPr>
          <w:p w:rsidR="009220BA" w:rsidRPr="00BC1246" w:rsidRDefault="00BC1246" w:rsidP="005E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short f/u for ASD results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BC1246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Joo</w:t>
            </w:r>
            <w:proofErr w:type="spellEnd"/>
            <w:r w:rsidRPr="00BC1246">
              <w:rPr>
                <w:sz w:val="20"/>
                <w:szCs w:val="20"/>
              </w:rPr>
              <w:t xml:space="preserve">, Y. H., J. W. Lee, et al. (2010). "Comparison of fusion with cage alone and plate instrumentation in two-level cervical degenerative disease." J Korean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</w:t>
            </w:r>
            <w:proofErr w:type="spellStart"/>
            <w:r w:rsidRPr="00BC1246">
              <w:rPr>
                <w:sz w:val="20"/>
                <w:szCs w:val="20"/>
              </w:rPr>
              <w:t>Soc</w:t>
            </w:r>
            <w:proofErr w:type="spellEnd"/>
            <w:r w:rsidRPr="00BC1246">
              <w:rPr>
                <w:sz w:val="20"/>
                <w:szCs w:val="20"/>
              </w:rPr>
              <w:t xml:space="preserve"> 48(4): 342-346.</w:t>
            </w:r>
          </w:p>
        </w:tc>
        <w:tc>
          <w:tcPr>
            <w:tcW w:w="3078" w:type="dxa"/>
          </w:tcPr>
          <w:p w:rsidR="009220BA" w:rsidRPr="00BC1246" w:rsidRDefault="00BC1246" w:rsidP="005E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connect kyphosis to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BC1246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Yue</w:t>
            </w:r>
            <w:proofErr w:type="spellEnd"/>
            <w:r w:rsidRPr="00BC1246">
              <w:rPr>
                <w:sz w:val="20"/>
                <w:szCs w:val="20"/>
              </w:rPr>
              <w:t xml:space="preserve">, W. M., W. </w:t>
            </w:r>
            <w:proofErr w:type="spellStart"/>
            <w:r w:rsidRPr="00BC1246">
              <w:rPr>
                <w:sz w:val="20"/>
                <w:szCs w:val="20"/>
              </w:rPr>
              <w:t>Brodner</w:t>
            </w:r>
            <w:proofErr w:type="spellEnd"/>
            <w:r w:rsidRPr="00BC1246">
              <w:rPr>
                <w:sz w:val="20"/>
                <w:szCs w:val="20"/>
              </w:rPr>
              <w:t>, et al. (2005). "Long-term results after anterior cervical discectomy and fusion with allograft and plating: a 5- to 11-year radiologic and clinical follow-up study." Spine (</w:t>
            </w:r>
            <w:proofErr w:type="spellStart"/>
            <w:r w:rsidRPr="00BC1246">
              <w:rPr>
                <w:sz w:val="20"/>
                <w:szCs w:val="20"/>
              </w:rPr>
              <w:t>Phila</w:t>
            </w:r>
            <w:proofErr w:type="spellEnd"/>
            <w:r w:rsidRPr="00BC1246">
              <w:rPr>
                <w:sz w:val="20"/>
                <w:szCs w:val="20"/>
              </w:rPr>
              <w:t xml:space="preserve"> Pa 1976) 30(19): 2138-2144.</w:t>
            </w:r>
          </w:p>
        </w:tc>
        <w:tc>
          <w:tcPr>
            <w:tcW w:w="3078" w:type="dxa"/>
          </w:tcPr>
          <w:p w:rsidR="009220BA" w:rsidRPr="00BC1246" w:rsidRDefault="00BC1246" w:rsidP="005E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connect alignment to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5E5F53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Robertson, J. T., S. M. Papadopoulos, et al. (2005). "Assessment of adjacent-segment disease in patients treated with cervical fusion or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: a prospective 2-year study." J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Spine 3(6): 417-423.</w:t>
            </w:r>
          </w:p>
        </w:tc>
        <w:tc>
          <w:tcPr>
            <w:tcW w:w="3078" w:type="dxa"/>
          </w:tcPr>
          <w:p w:rsidR="009220BA" w:rsidRPr="00BC1246" w:rsidRDefault="00BC1246" w:rsidP="005E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connect alignment to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Kim, C. H., C. K. Chung, et al. (2011). "Comparisons of outcomes after single or multilevel dynamic stabilization: effects on adjacent segment." J Spinal </w:t>
            </w:r>
            <w:proofErr w:type="spellStart"/>
            <w:r w:rsidRPr="00BC1246">
              <w:rPr>
                <w:sz w:val="20"/>
                <w:szCs w:val="20"/>
              </w:rPr>
              <w:t>Disord</w:t>
            </w:r>
            <w:proofErr w:type="spellEnd"/>
            <w:r w:rsidRPr="00BC1246">
              <w:rPr>
                <w:sz w:val="20"/>
                <w:szCs w:val="20"/>
              </w:rPr>
              <w:t xml:space="preserve"> Tech 24(1): 60-67.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evaluate alignment as risk factor for ASD although mentions in discussion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Komura, S., K. Miyamoto, et al. (2012). "Lower Incidence of Adjacent Segment Degeneration After Anterior Cervical Fusion Found With Those Fusing C5-6 and C6-7 Than Those Leaving C5-6 or C6-7 as an Adjacent Level." J Spinal </w:t>
            </w:r>
            <w:proofErr w:type="spellStart"/>
            <w:r w:rsidRPr="00BC1246">
              <w:rPr>
                <w:sz w:val="20"/>
                <w:szCs w:val="20"/>
              </w:rPr>
              <w:t>Disord</w:t>
            </w:r>
            <w:proofErr w:type="spellEnd"/>
            <w:r w:rsidRPr="00BC1246">
              <w:rPr>
                <w:sz w:val="20"/>
                <w:szCs w:val="20"/>
              </w:rPr>
              <w:t xml:space="preserve"> Tech 25(1): 23-29.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evaluate alignment as risk factors for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Marotta</w:t>
            </w:r>
            <w:proofErr w:type="spellEnd"/>
            <w:r w:rsidRPr="00BC1246">
              <w:rPr>
                <w:sz w:val="20"/>
                <w:szCs w:val="20"/>
              </w:rPr>
              <w:t xml:space="preserve">, N., A. </w:t>
            </w:r>
            <w:proofErr w:type="spellStart"/>
            <w:r w:rsidRPr="00BC1246">
              <w:rPr>
                <w:sz w:val="20"/>
                <w:szCs w:val="20"/>
              </w:rPr>
              <w:t>Landi</w:t>
            </w:r>
            <w:proofErr w:type="spellEnd"/>
            <w:r w:rsidRPr="00BC1246">
              <w:rPr>
                <w:sz w:val="20"/>
                <w:szCs w:val="20"/>
              </w:rPr>
              <w:t xml:space="preserve">, et al. (2011). "Five-year outcome of stand-alone fusion using carbon cages in cervical disc </w:t>
            </w:r>
            <w:proofErr w:type="spellStart"/>
            <w:r w:rsidRPr="00BC1246">
              <w:rPr>
                <w:sz w:val="20"/>
                <w:szCs w:val="20"/>
              </w:rPr>
              <w:t>arthrosis</w:t>
            </w:r>
            <w:proofErr w:type="spellEnd"/>
            <w:r w:rsidRPr="00BC1246">
              <w:rPr>
                <w:sz w:val="20"/>
                <w:szCs w:val="20"/>
              </w:rPr>
              <w:t xml:space="preserve">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20 </w:t>
            </w:r>
            <w:proofErr w:type="spellStart"/>
            <w:r w:rsidRPr="00BC1246">
              <w:rPr>
                <w:sz w:val="20"/>
                <w:szCs w:val="20"/>
              </w:rPr>
              <w:t>Suppl</w:t>
            </w:r>
            <w:proofErr w:type="spellEnd"/>
            <w:r w:rsidRPr="00BC1246">
              <w:rPr>
                <w:sz w:val="20"/>
                <w:szCs w:val="20"/>
              </w:rPr>
              <w:t xml:space="preserve"> 1: S8-12.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link </w:t>
            </w:r>
            <w:proofErr w:type="spellStart"/>
            <w:r>
              <w:rPr>
                <w:sz w:val="20"/>
                <w:szCs w:val="20"/>
              </w:rPr>
              <w:t>malalignment</w:t>
            </w:r>
            <w:proofErr w:type="spellEnd"/>
            <w:r>
              <w:rPr>
                <w:sz w:val="20"/>
                <w:szCs w:val="20"/>
              </w:rPr>
              <w:t xml:space="preserve"> to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Ozer</w:t>
            </w:r>
            <w:proofErr w:type="spellEnd"/>
            <w:r w:rsidRPr="00BC1246">
              <w:rPr>
                <w:sz w:val="20"/>
                <w:szCs w:val="20"/>
              </w:rPr>
              <w:t xml:space="preserve">, E., K. </w:t>
            </w:r>
            <w:proofErr w:type="spellStart"/>
            <w:r w:rsidRPr="00BC1246">
              <w:rPr>
                <w:sz w:val="20"/>
                <w:szCs w:val="20"/>
              </w:rPr>
              <w:t>Yucesoy</w:t>
            </w:r>
            <w:proofErr w:type="spellEnd"/>
            <w:r w:rsidRPr="00BC1246">
              <w:rPr>
                <w:sz w:val="20"/>
                <w:szCs w:val="20"/>
              </w:rPr>
              <w:t xml:space="preserve">, et al. (2007). "Kyphosis one level above the cervical disc disease: is the kyphosis cause or effect?" J Spinal </w:t>
            </w:r>
            <w:proofErr w:type="spellStart"/>
            <w:r w:rsidRPr="00BC1246">
              <w:rPr>
                <w:sz w:val="20"/>
                <w:szCs w:val="20"/>
              </w:rPr>
              <w:t>Disord</w:t>
            </w:r>
            <w:proofErr w:type="spellEnd"/>
            <w:r w:rsidRPr="00BC1246">
              <w:rPr>
                <w:sz w:val="20"/>
                <w:szCs w:val="20"/>
              </w:rPr>
              <w:t xml:space="preserve"> Tech 20(1): 14-19.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link to ASD; analyzes KOLA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B92298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Coric</w:t>
            </w:r>
            <w:proofErr w:type="spellEnd"/>
            <w:r w:rsidRPr="00BC1246">
              <w:rPr>
                <w:sz w:val="20"/>
                <w:szCs w:val="20"/>
              </w:rPr>
              <w:t xml:space="preserve">, D., P. D. </w:t>
            </w:r>
            <w:proofErr w:type="spellStart"/>
            <w:r w:rsidRPr="00BC1246">
              <w:rPr>
                <w:sz w:val="20"/>
                <w:szCs w:val="20"/>
              </w:rPr>
              <w:t>Nunley</w:t>
            </w:r>
            <w:proofErr w:type="spellEnd"/>
            <w:r w:rsidRPr="00BC1246">
              <w:rPr>
                <w:sz w:val="20"/>
                <w:szCs w:val="20"/>
              </w:rPr>
              <w:t xml:space="preserve">, et al. (2011). "Prospective, randomized, multicenter study of cervical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: 269 patients from the </w:t>
            </w:r>
            <w:proofErr w:type="spellStart"/>
            <w:r w:rsidRPr="00BC1246">
              <w:rPr>
                <w:sz w:val="20"/>
                <w:szCs w:val="20"/>
              </w:rPr>
              <w:t>Kineflex|C</w:t>
            </w:r>
            <w:proofErr w:type="spellEnd"/>
            <w:r w:rsidRPr="00BC1246">
              <w:rPr>
                <w:sz w:val="20"/>
                <w:szCs w:val="20"/>
              </w:rPr>
              <w:t xml:space="preserve"> artificial disc investigational device exemption study with a minimum 2-year follow-up: clinical article." J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Spine 15(4): 348-358.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subanalysis</w:t>
            </w:r>
            <w:proofErr w:type="spellEnd"/>
            <w:r>
              <w:rPr>
                <w:sz w:val="20"/>
                <w:szCs w:val="20"/>
              </w:rPr>
              <w:t xml:space="preserve"> of ASD risk factors including alignment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Maldonado, C. V., R. D. Paz, et al. (2011). "Adjacent-level degeneration after cervical disc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 versus fusion."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20 </w:t>
            </w:r>
            <w:proofErr w:type="spellStart"/>
            <w:r w:rsidRPr="00BC1246">
              <w:rPr>
                <w:sz w:val="20"/>
                <w:szCs w:val="20"/>
              </w:rPr>
              <w:t>Suppl</w:t>
            </w:r>
            <w:proofErr w:type="spellEnd"/>
            <w:r w:rsidRPr="00BC1246">
              <w:rPr>
                <w:sz w:val="20"/>
                <w:szCs w:val="20"/>
              </w:rPr>
              <w:t xml:space="preserve"> 3: 403-407.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evaluate sagittal angulation as a risk factor for ASD</w:t>
            </w:r>
          </w:p>
        </w:tc>
      </w:tr>
      <w:tr w:rsidR="009220BA" w:rsidRPr="00BC1246" w:rsidTr="00BC1246">
        <w:tc>
          <w:tcPr>
            <w:tcW w:w="6498" w:type="dxa"/>
          </w:tcPr>
          <w:p w:rsidR="009220BA" w:rsidRPr="00BC1246" w:rsidRDefault="00700B11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Yoshida, G., M. </w:t>
            </w:r>
            <w:proofErr w:type="spellStart"/>
            <w:r w:rsidRPr="00BC1246">
              <w:rPr>
                <w:sz w:val="20"/>
                <w:szCs w:val="20"/>
              </w:rPr>
              <w:t>Kamiya</w:t>
            </w:r>
            <w:proofErr w:type="spellEnd"/>
            <w:r w:rsidRPr="00BC1246">
              <w:rPr>
                <w:sz w:val="20"/>
                <w:szCs w:val="20"/>
              </w:rPr>
              <w:t>, et al. (2010). "</w:t>
            </w:r>
            <w:proofErr w:type="spellStart"/>
            <w:r w:rsidRPr="00BC1246">
              <w:rPr>
                <w:sz w:val="20"/>
                <w:szCs w:val="20"/>
              </w:rPr>
              <w:t>Subaxial</w:t>
            </w:r>
            <w:proofErr w:type="spellEnd"/>
            <w:r w:rsidRPr="00BC1246">
              <w:rPr>
                <w:sz w:val="20"/>
                <w:szCs w:val="20"/>
              </w:rPr>
              <w:t xml:space="preserve"> sagittal alignment and adjacent-segment degeneration after </w:t>
            </w:r>
            <w:proofErr w:type="spellStart"/>
            <w:r w:rsidRPr="00BC1246">
              <w:rPr>
                <w:sz w:val="20"/>
                <w:szCs w:val="20"/>
              </w:rPr>
              <w:t>atlantoaxial</w:t>
            </w:r>
            <w:proofErr w:type="spellEnd"/>
            <w:r w:rsidRPr="00BC1246">
              <w:rPr>
                <w:sz w:val="20"/>
                <w:szCs w:val="20"/>
              </w:rPr>
              <w:t xml:space="preserve"> fixation performed using C-1 lateral mass and C-2 pedicle screws or </w:t>
            </w:r>
            <w:proofErr w:type="spellStart"/>
            <w:r w:rsidRPr="00BC1246">
              <w:rPr>
                <w:sz w:val="20"/>
                <w:szCs w:val="20"/>
              </w:rPr>
              <w:t>transarticular</w:t>
            </w:r>
            <w:proofErr w:type="spellEnd"/>
            <w:r w:rsidRPr="00BC1246">
              <w:rPr>
                <w:sz w:val="20"/>
                <w:szCs w:val="20"/>
              </w:rPr>
              <w:t xml:space="preserve"> screws." J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Spine 13(4): 443-450.</w:t>
            </w:r>
          </w:p>
        </w:tc>
        <w:tc>
          <w:tcPr>
            <w:tcW w:w="3078" w:type="dxa"/>
          </w:tcPr>
          <w:p w:rsidR="009220BA" w:rsidRPr="00BC1246" w:rsidRDefault="00BC1246" w:rsidP="0020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link alignment to ASD</w:t>
            </w:r>
          </w:p>
        </w:tc>
      </w:tr>
      <w:tr w:rsidR="00CC27CF" w:rsidRPr="00BC1246" w:rsidTr="00BC1246">
        <w:tc>
          <w:tcPr>
            <w:tcW w:w="649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Beaurain</w:t>
            </w:r>
            <w:proofErr w:type="spellEnd"/>
            <w:r w:rsidRPr="00BC1246">
              <w:rPr>
                <w:sz w:val="20"/>
                <w:szCs w:val="20"/>
              </w:rPr>
              <w:t>, J., P. Bernard, et al. (2009). "Intermediate clinical and radiological results of cervical TDR (</w:t>
            </w:r>
            <w:proofErr w:type="spellStart"/>
            <w:r w:rsidRPr="00BC1246">
              <w:rPr>
                <w:sz w:val="20"/>
                <w:szCs w:val="20"/>
              </w:rPr>
              <w:t>Mobi</w:t>
            </w:r>
            <w:proofErr w:type="spellEnd"/>
            <w:r w:rsidRPr="00BC1246">
              <w:rPr>
                <w:sz w:val="20"/>
                <w:szCs w:val="20"/>
              </w:rPr>
              <w:t xml:space="preserve">-C) with up to 2 years of follow-up."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18(6): 841-850.</w:t>
            </w:r>
          </w:p>
        </w:tc>
        <w:tc>
          <w:tcPr>
            <w:tcW w:w="307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>Did not link alignment to ASD</w:t>
            </w:r>
          </w:p>
        </w:tc>
      </w:tr>
      <w:tr w:rsidR="00CC27CF" w:rsidRPr="00BC1246" w:rsidTr="00BC1246">
        <w:tc>
          <w:tcPr>
            <w:tcW w:w="649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Kim, H. K., M. H. Kim, et al. (2009). "Surgical outcome of cervical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 using </w:t>
            </w:r>
            <w:proofErr w:type="spellStart"/>
            <w:r w:rsidRPr="00BC1246">
              <w:rPr>
                <w:sz w:val="20"/>
                <w:szCs w:val="20"/>
              </w:rPr>
              <w:t>bryan</w:t>
            </w:r>
            <w:proofErr w:type="spellEnd"/>
            <w:r w:rsidRPr="00BC1246">
              <w:rPr>
                <w:sz w:val="20"/>
                <w:szCs w:val="20"/>
              </w:rPr>
              <w:t xml:space="preserve">(r)." J Korean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</w:t>
            </w:r>
            <w:proofErr w:type="spellStart"/>
            <w:r w:rsidRPr="00BC1246">
              <w:rPr>
                <w:sz w:val="20"/>
                <w:szCs w:val="20"/>
              </w:rPr>
              <w:t>Soc</w:t>
            </w:r>
            <w:proofErr w:type="spellEnd"/>
            <w:r w:rsidRPr="00BC1246">
              <w:rPr>
                <w:sz w:val="20"/>
                <w:szCs w:val="20"/>
              </w:rPr>
              <w:t xml:space="preserve"> 46(6): 532-537.</w:t>
            </w:r>
          </w:p>
        </w:tc>
        <w:tc>
          <w:tcPr>
            <w:tcW w:w="307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>No connection to ASD apparent</w:t>
            </w:r>
          </w:p>
        </w:tc>
      </w:tr>
      <w:tr w:rsidR="00CC27CF" w:rsidRPr="00BC1246" w:rsidTr="00BC1246">
        <w:tc>
          <w:tcPr>
            <w:tcW w:w="649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Koller</w:t>
            </w:r>
            <w:proofErr w:type="spellEnd"/>
            <w:r w:rsidRPr="00BC1246">
              <w:rPr>
                <w:sz w:val="20"/>
                <w:szCs w:val="20"/>
              </w:rPr>
              <w:t xml:space="preserve">, H., J. Reynolds, et al. (2009). "Mid- to long-term outcome of instrumented anterior cervical fusion for </w:t>
            </w:r>
            <w:proofErr w:type="spellStart"/>
            <w:r w:rsidRPr="00BC1246">
              <w:rPr>
                <w:sz w:val="20"/>
                <w:szCs w:val="20"/>
              </w:rPr>
              <w:t>subaxial</w:t>
            </w:r>
            <w:proofErr w:type="spellEnd"/>
            <w:r w:rsidRPr="00BC1246">
              <w:rPr>
                <w:sz w:val="20"/>
                <w:szCs w:val="20"/>
              </w:rPr>
              <w:t xml:space="preserve"> injuries."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18(5): 630-653.</w:t>
            </w:r>
          </w:p>
        </w:tc>
        <w:tc>
          <w:tcPr>
            <w:tcW w:w="307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>Didn’t analyze for connection of alignment to ASD</w:t>
            </w:r>
          </w:p>
        </w:tc>
      </w:tr>
      <w:tr w:rsidR="00CC27CF" w:rsidRPr="00BC1246" w:rsidTr="00BC1246">
        <w:tc>
          <w:tcPr>
            <w:tcW w:w="6498" w:type="dxa"/>
          </w:tcPr>
          <w:p w:rsidR="00CC27CF" w:rsidRPr="00BC1246" w:rsidRDefault="00CC27CF" w:rsidP="005E5F53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 xml:space="preserve">Kim, S. W., M. A. </w:t>
            </w:r>
            <w:proofErr w:type="spellStart"/>
            <w:r w:rsidRPr="00BC1246">
              <w:rPr>
                <w:sz w:val="20"/>
                <w:szCs w:val="20"/>
              </w:rPr>
              <w:t>Limson</w:t>
            </w:r>
            <w:proofErr w:type="spellEnd"/>
            <w:r w:rsidRPr="00BC1246">
              <w:rPr>
                <w:sz w:val="20"/>
                <w:szCs w:val="20"/>
              </w:rPr>
              <w:t xml:space="preserve">, et al. (2009). "Comparison of radiographic changes after ACDF versus Bryan disc </w:t>
            </w:r>
            <w:proofErr w:type="spellStart"/>
            <w:r w:rsidRPr="00BC1246">
              <w:rPr>
                <w:sz w:val="20"/>
                <w:szCs w:val="20"/>
              </w:rPr>
              <w:t>arthroplasty</w:t>
            </w:r>
            <w:proofErr w:type="spellEnd"/>
            <w:r w:rsidRPr="00BC1246">
              <w:rPr>
                <w:sz w:val="20"/>
                <w:szCs w:val="20"/>
              </w:rPr>
              <w:t xml:space="preserve"> in single and bi-level cases."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18(2): 218-231.</w:t>
            </w:r>
          </w:p>
        </w:tc>
        <w:tc>
          <w:tcPr>
            <w:tcW w:w="307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>Postulates connection to ASD but did not analyze it.</w:t>
            </w:r>
          </w:p>
        </w:tc>
      </w:tr>
      <w:tr w:rsidR="00CC27CF" w:rsidRPr="00BC1246" w:rsidTr="00BC1246">
        <w:tc>
          <w:tcPr>
            <w:tcW w:w="6498" w:type="dxa"/>
          </w:tcPr>
          <w:p w:rsidR="00CC27CF" w:rsidRPr="00BC1246" w:rsidRDefault="00CC27CF" w:rsidP="005E5F53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Acikbas</w:t>
            </w:r>
            <w:proofErr w:type="spellEnd"/>
            <w:r w:rsidRPr="00BC1246">
              <w:rPr>
                <w:sz w:val="20"/>
                <w:szCs w:val="20"/>
              </w:rPr>
              <w:t xml:space="preserve">, S. C., C. </w:t>
            </w:r>
            <w:proofErr w:type="spellStart"/>
            <w:r w:rsidRPr="00BC1246">
              <w:rPr>
                <w:sz w:val="20"/>
                <w:szCs w:val="20"/>
              </w:rPr>
              <w:t>Ermol</w:t>
            </w:r>
            <w:proofErr w:type="spellEnd"/>
            <w:r w:rsidRPr="00BC1246">
              <w:rPr>
                <w:sz w:val="20"/>
                <w:szCs w:val="20"/>
              </w:rPr>
              <w:t xml:space="preserve">, et al. (2010). "Assessment of adjacent segment degeneration in and between patients treated with anterior or posterior cervical simple discectomy." Turk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20(3): 334-340.</w:t>
            </w:r>
          </w:p>
        </w:tc>
        <w:tc>
          <w:tcPr>
            <w:tcW w:w="3078" w:type="dxa"/>
          </w:tcPr>
          <w:p w:rsidR="00CC27CF" w:rsidRPr="00BC1246" w:rsidRDefault="00CC27CF" w:rsidP="00205DBC">
            <w:pPr>
              <w:rPr>
                <w:sz w:val="20"/>
                <w:szCs w:val="20"/>
              </w:rPr>
            </w:pPr>
            <w:r w:rsidRPr="00BC1246">
              <w:rPr>
                <w:sz w:val="20"/>
                <w:szCs w:val="20"/>
              </w:rPr>
              <w:t>Not usable info for this topic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BC1246" w:rsidRDefault="00BC1246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t>Barsa</w:t>
            </w:r>
            <w:proofErr w:type="spellEnd"/>
            <w:r w:rsidRPr="00BC1246">
              <w:rPr>
                <w:sz w:val="20"/>
                <w:szCs w:val="20"/>
              </w:rPr>
              <w:t xml:space="preserve">, P. and P. </w:t>
            </w:r>
            <w:proofErr w:type="spellStart"/>
            <w:r w:rsidRPr="00BC1246">
              <w:rPr>
                <w:sz w:val="20"/>
                <w:szCs w:val="20"/>
              </w:rPr>
              <w:t>Suchomel</w:t>
            </w:r>
            <w:proofErr w:type="spellEnd"/>
            <w:r w:rsidRPr="00BC1246">
              <w:rPr>
                <w:sz w:val="20"/>
                <w:szCs w:val="20"/>
              </w:rPr>
              <w:t xml:space="preserve"> (2007). "Factors affecting sagittal </w:t>
            </w:r>
            <w:proofErr w:type="spellStart"/>
            <w:r w:rsidRPr="00BC1246">
              <w:rPr>
                <w:sz w:val="20"/>
                <w:szCs w:val="20"/>
              </w:rPr>
              <w:t>malalignment</w:t>
            </w:r>
            <w:proofErr w:type="spellEnd"/>
            <w:r w:rsidRPr="00BC1246">
              <w:rPr>
                <w:sz w:val="20"/>
                <w:szCs w:val="20"/>
              </w:rPr>
              <w:t xml:space="preserve"> due to cage subsidence in standalone cage assisted anterior cervical fusion." </w:t>
            </w:r>
            <w:proofErr w:type="spellStart"/>
            <w:r w:rsidRPr="00BC1246">
              <w:rPr>
                <w:sz w:val="20"/>
                <w:szCs w:val="20"/>
              </w:rPr>
              <w:t>Eur</w:t>
            </w:r>
            <w:proofErr w:type="spellEnd"/>
            <w:r w:rsidRPr="00BC1246">
              <w:rPr>
                <w:sz w:val="20"/>
                <w:szCs w:val="20"/>
              </w:rPr>
              <w:t xml:space="preserve"> Spine J 16(9): 1395-1400.</w:t>
            </w:r>
          </w:p>
        </w:tc>
        <w:tc>
          <w:tcPr>
            <w:tcW w:w="307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 xml:space="preserve">Evaluates risk factors for cage subsidence and resultant </w:t>
            </w:r>
            <w:proofErr w:type="spellStart"/>
            <w:r w:rsidRPr="00BC1246">
              <w:rPr>
                <w:color w:val="000000"/>
                <w:sz w:val="20"/>
                <w:szCs w:val="20"/>
              </w:rPr>
              <w:t>malalignment</w:t>
            </w:r>
            <w:proofErr w:type="spellEnd"/>
            <w:r w:rsidRPr="00BC124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BC1246" w:rsidRDefault="00BC1246" w:rsidP="00205DBC">
            <w:pPr>
              <w:rPr>
                <w:sz w:val="20"/>
                <w:szCs w:val="20"/>
              </w:rPr>
            </w:pPr>
            <w:proofErr w:type="spellStart"/>
            <w:r w:rsidRPr="00BC1246">
              <w:rPr>
                <w:sz w:val="20"/>
                <w:szCs w:val="20"/>
              </w:rPr>
              <w:lastRenderedPageBreak/>
              <w:t>Elsawaf</w:t>
            </w:r>
            <w:proofErr w:type="spellEnd"/>
            <w:r w:rsidRPr="00BC1246">
              <w:rPr>
                <w:sz w:val="20"/>
                <w:szCs w:val="20"/>
              </w:rPr>
              <w:t xml:space="preserve">, A., L. </w:t>
            </w:r>
            <w:proofErr w:type="spellStart"/>
            <w:r w:rsidRPr="00BC1246">
              <w:rPr>
                <w:sz w:val="20"/>
                <w:szCs w:val="20"/>
              </w:rPr>
              <w:t>Mastronardi</w:t>
            </w:r>
            <w:proofErr w:type="spellEnd"/>
            <w:r w:rsidRPr="00BC1246">
              <w:rPr>
                <w:sz w:val="20"/>
                <w:szCs w:val="20"/>
              </w:rPr>
              <w:t xml:space="preserve">, et al. (2009). "Effect of cervical dynamics on adjacent segment degeneration after anterior cervical fusion with cages." </w:t>
            </w:r>
            <w:proofErr w:type="spellStart"/>
            <w:r w:rsidRPr="00BC1246">
              <w:rPr>
                <w:sz w:val="20"/>
                <w:szCs w:val="20"/>
              </w:rPr>
              <w:t>Neurosurg</w:t>
            </w:r>
            <w:proofErr w:type="spellEnd"/>
            <w:r w:rsidRPr="00BC1246">
              <w:rPr>
                <w:sz w:val="20"/>
                <w:szCs w:val="20"/>
              </w:rPr>
              <w:t xml:space="preserve"> Rev 32(2): 215-224; discussion 224.</w:t>
            </w:r>
          </w:p>
        </w:tc>
        <w:tc>
          <w:tcPr>
            <w:tcW w:w="307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BC1246">
              <w:rPr>
                <w:color w:val="000000"/>
                <w:sz w:val="20"/>
                <w:szCs w:val="20"/>
              </w:rPr>
              <w:t>eval</w:t>
            </w:r>
            <w:proofErr w:type="spellEnd"/>
            <w:r w:rsidRPr="00BC1246">
              <w:rPr>
                <w:color w:val="000000"/>
                <w:sz w:val="20"/>
                <w:szCs w:val="20"/>
              </w:rPr>
              <w:t xml:space="preserve"> of alignment as risk factor for ASD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CC27CF" w:rsidRDefault="00BC1246" w:rsidP="00205DBC">
            <w:pPr>
              <w:rPr>
                <w:color w:val="000000"/>
                <w:sz w:val="20"/>
                <w:szCs w:val="20"/>
              </w:rPr>
            </w:pPr>
            <w:r w:rsidRPr="00CC27CF">
              <w:rPr>
                <w:color w:val="000000"/>
                <w:sz w:val="20"/>
                <w:szCs w:val="20"/>
              </w:rPr>
              <w:t xml:space="preserve">Yoshida, G., M.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Kamiya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>, et al. (2010). "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Subaxial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sagittal alignment and adjacent-segment degeneration after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atlantoaxial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fixation performed using C-1 lateral mass and C-2 pedicle screws or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transarticular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screws." J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Neurosurg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Spine 13(4): 443-450.</w:t>
            </w:r>
          </w:p>
        </w:tc>
        <w:tc>
          <w:tcPr>
            <w:tcW w:w="3078" w:type="dxa"/>
          </w:tcPr>
          <w:p w:rsidR="00BC1246" w:rsidRPr="00BC1246" w:rsidRDefault="00BC1246" w:rsidP="00BC1246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>has some pediatric; doesn't give usable ASD info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CC27CF" w:rsidRDefault="00BC1246" w:rsidP="00205DBC">
            <w:pPr>
              <w:rPr>
                <w:color w:val="000000"/>
                <w:sz w:val="20"/>
                <w:szCs w:val="20"/>
              </w:rPr>
            </w:pPr>
            <w:r w:rsidRPr="00CC27CF">
              <w:rPr>
                <w:color w:val="000000"/>
                <w:sz w:val="20"/>
                <w:szCs w:val="20"/>
              </w:rPr>
              <w:t xml:space="preserve">Baba, H., N.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Furusawa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, et al. (1993). "Late radiographic findings after anterior cervical fusion for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spondylotic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myeloradiculopathy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>." Spine (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Phila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Pa 1976) 18(15): 2167-2173.</w:t>
            </w:r>
          </w:p>
        </w:tc>
        <w:tc>
          <w:tcPr>
            <w:tcW w:w="307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>no data provided specific to ASD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CC27CF" w:rsidRDefault="00BC1246" w:rsidP="00205DBC">
            <w:pPr>
              <w:rPr>
                <w:color w:val="000000"/>
                <w:sz w:val="20"/>
                <w:szCs w:val="20"/>
              </w:rPr>
            </w:pPr>
            <w:r w:rsidRPr="00CC27CF">
              <w:rPr>
                <w:color w:val="000000"/>
                <w:sz w:val="20"/>
                <w:szCs w:val="20"/>
              </w:rPr>
              <w:t xml:space="preserve">Gore, D. R. and S. B. 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Sepic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(1984). "Anterior cervical fusion for degenerated or protruded discs. A review of one hundred forty-six patients." Spine (</w:t>
            </w:r>
            <w:proofErr w:type="spellStart"/>
            <w:r w:rsidRPr="00CC27CF">
              <w:rPr>
                <w:color w:val="000000"/>
                <w:sz w:val="20"/>
                <w:szCs w:val="20"/>
              </w:rPr>
              <w:t>Phila</w:t>
            </w:r>
            <w:proofErr w:type="spellEnd"/>
            <w:r w:rsidRPr="00CC27CF">
              <w:rPr>
                <w:color w:val="000000"/>
                <w:sz w:val="20"/>
                <w:szCs w:val="20"/>
              </w:rPr>
              <w:t xml:space="preserve"> Pa 1976) 9(7): 667-671.</w:t>
            </w:r>
          </w:p>
        </w:tc>
        <w:tc>
          <w:tcPr>
            <w:tcW w:w="307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>doesn't actually provide info upon examination of the paper, perhaps more background</w:t>
            </w:r>
          </w:p>
        </w:tc>
      </w:tr>
      <w:tr w:rsidR="00BC1246" w:rsidRPr="00BC1246" w:rsidTr="00BC1246">
        <w:tc>
          <w:tcPr>
            <w:tcW w:w="649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 xml:space="preserve">Miyazaki, M., H. J. </w:t>
            </w:r>
            <w:proofErr w:type="spellStart"/>
            <w:r w:rsidRPr="00BC1246">
              <w:rPr>
                <w:color w:val="000000"/>
                <w:sz w:val="20"/>
                <w:szCs w:val="20"/>
              </w:rPr>
              <w:t>Hymanson</w:t>
            </w:r>
            <w:proofErr w:type="spellEnd"/>
            <w:r w:rsidRPr="00BC1246">
              <w:rPr>
                <w:color w:val="000000"/>
                <w:sz w:val="20"/>
                <w:szCs w:val="20"/>
              </w:rPr>
              <w:t>, et al. (2008). "Kinematic analysis of the relationship between sagittal alignment and disc degeneration in the cervical spine." Spine (</w:t>
            </w:r>
            <w:proofErr w:type="spellStart"/>
            <w:r w:rsidRPr="00BC1246">
              <w:rPr>
                <w:color w:val="000000"/>
                <w:sz w:val="20"/>
                <w:szCs w:val="20"/>
              </w:rPr>
              <w:t>Phila</w:t>
            </w:r>
            <w:proofErr w:type="spellEnd"/>
            <w:r w:rsidRPr="00BC1246">
              <w:rPr>
                <w:color w:val="000000"/>
                <w:sz w:val="20"/>
                <w:szCs w:val="20"/>
              </w:rPr>
              <w:t xml:space="preserve"> Pa 1976) 33(23): E870-876.</w:t>
            </w:r>
          </w:p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  <w:r w:rsidRPr="00BC1246">
              <w:rPr>
                <w:color w:val="000000"/>
                <w:sz w:val="20"/>
                <w:szCs w:val="20"/>
              </w:rPr>
              <w:t>not surgical</w:t>
            </w:r>
          </w:p>
          <w:p w:rsidR="00BC1246" w:rsidRPr="00BC1246" w:rsidRDefault="00BC1246" w:rsidP="00205DB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20BA" w:rsidRPr="00BC1246" w:rsidRDefault="009220BA" w:rsidP="005E5F53">
      <w:pPr>
        <w:rPr>
          <w:sz w:val="20"/>
          <w:szCs w:val="20"/>
        </w:rPr>
      </w:pPr>
    </w:p>
    <w:p w:rsidR="005E5F53" w:rsidRPr="00BC1246" w:rsidRDefault="005E5F53" w:rsidP="005E5F53">
      <w:pPr>
        <w:rPr>
          <w:sz w:val="20"/>
          <w:szCs w:val="20"/>
        </w:rPr>
      </w:pPr>
    </w:p>
    <w:p w:rsidR="006C7824" w:rsidRPr="006C7824" w:rsidRDefault="006C7824" w:rsidP="006C7824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6C7824">
        <w:rPr>
          <w:rFonts w:eastAsiaTheme="minorHAnsi"/>
          <w:b/>
          <w:sz w:val="22"/>
          <w:szCs w:val="22"/>
        </w:rPr>
        <w:t>Discu</w:t>
      </w:r>
      <w:r>
        <w:rPr>
          <w:rFonts w:eastAsiaTheme="minorHAnsi"/>
          <w:b/>
          <w:sz w:val="22"/>
          <w:szCs w:val="22"/>
        </w:rPr>
        <w:t>ssion of the reliability results for methods for the determination of sagittal alignment in the cervical spine</w:t>
      </w:r>
      <w:r w:rsidRPr="006C7824">
        <w:rPr>
          <w:rFonts w:eastAsiaTheme="minorHAnsi"/>
          <w:b/>
          <w:sz w:val="22"/>
          <w:szCs w:val="22"/>
        </w:rPr>
        <w:t>:</w:t>
      </w:r>
    </w:p>
    <w:p w:rsidR="006C7824" w:rsidRPr="006C7824" w:rsidRDefault="006C7824" w:rsidP="006C782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6C7824" w:rsidRPr="006C7824" w:rsidRDefault="006C7824" w:rsidP="006C782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C7824">
        <w:rPr>
          <w:rFonts w:eastAsiaTheme="minorHAnsi"/>
          <w:sz w:val="22"/>
          <w:szCs w:val="22"/>
        </w:rPr>
        <w:t xml:space="preserve">The reliability study by Harrison et al (2000) determined standard errors of measurement (SEM) for </w:t>
      </w:r>
      <w:proofErr w:type="spellStart"/>
      <w:r w:rsidRPr="006C7824">
        <w:rPr>
          <w:rFonts w:eastAsiaTheme="minorHAnsi"/>
          <w:sz w:val="22"/>
          <w:szCs w:val="22"/>
        </w:rPr>
        <w:t>intraobserver</w:t>
      </w:r>
      <w:proofErr w:type="spellEnd"/>
      <w:r w:rsidRPr="006C7824">
        <w:rPr>
          <w:rFonts w:eastAsiaTheme="minorHAnsi"/>
          <w:sz w:val="22"/>
          <w:szCs w:val="22"/>
        </w:rPr>
        <w:t xml:space="preserve"> and </w:t>
      </w:r>
      <w:proofErr w:type="spellStart"/>
      <w:r w:rsidRPr="006C7824">
        <w:rPr>
          <w:rFonts w:eastAsiaTheme="minorHAnsi"/>
          <w:sz w:val="22"/>
          <w:szCs w:val="22"/>
        </w:rPr>
        <w:t>interobserver</w:t>
      </w:r>
      <w:proofErr w:type="spellEnd"/>
      <w:r w:rsidRPr="006C7824">
        <w:rPr>
          <w:rFonts w:eastAsiaTheme="minorHAnsi"/>
          <w:sz w:val="22"/>
          <w:szCs w:val="22"/>
        </w:rPr>
        <w:t xml:space="preserve"> correlation coefficients, for the </w:t>
      </w:r>
      <w:r w:rsidRPr="006C7824">
        <w:rPr>
          <w:rFonts w:eastAsiaTheme="minorHAnsi"/>
          <w:color w:val="231F20"/>
          <w:sz w:val="22"/>
          <w:szCs w:val="22"/>
        </w:rPr>
        <w:t xml:space="preserve">Cobb method and the Harrison Posterior Tangent method (equivalent to Sagittal tangent method / ARA C2-C7; ARA = absolute rotation angle). </w:t>
      </w:r>
      <w:r w:rsidRPr="006C7824">
        <w:rPr>
          <w:rFonts w:eastAsiaTheme="minorHAnsi"/>
          <w:sz w:val="22"/>
          <w:szCs w:val="22"/>
        </w:rPr>
        <w:t xml:space="preserve">This study determined that both methods were reliable with a majority of correlation coefficients in the high range (ICC &gt; 0.7).  The Cobb C1-C7 method overestimated cervical </w:t>
      </w:r>
      <w:proofErr w:type="spellStart"/>
      <w:r w:rsidRPr="006C7824">
        <w:rPr>
          <w:rFonts w:eastAsiaTheme="minorHAnsi"/>
          <w:sz w:val="22"/>
          <w:szCs w:val="22"/>
        </w:rPr>
        <w:t>lordosis</w:t>
      </w:r>
      <w:proofErr w:type="spellEnd"/>
      <w:r w:rsidRPr="006C7824">
        <w:rPr>
          <w:rFonts w:eastAsiaTheme="minorHAnsi"/>
          <w:sz w:val="22"/>
          <w:szCs w:val="22"/>
        </w:rPr>
        <w:t xml:space="preserve">, and the Cobb C2-C7 angle underestimated </w:t>
      </w:r>
      <w:proofErr w:type="spellStart"/>
      <w:r w:rsidRPr="006C7824">
        <w:rPr>
          <w:rFonts w:eastAsiaTheme="minorHAnsi"/>
          <w:sz w:val="22"/>
          <w:szCs w:val="22"/>
        </w:rPr>
        <w:t>lordosis</w:t>
      </w:r>
      <w:proofErr w:type="spellEnd"/>
      <w:r w:rsidRPr="006C7824">
        <w:rPr>
          <w:rFonts w:eastAsiaTheme="minorHAnsi"/>
          <w:sz w:val="22"/>
          <w:szCs w:val="22"/>
        </w:rPr>
        <w:t xml:space="preserve">, whereas the posterior tangent method ARA C2-C7 gave exact slopes of cervical curvature at each vertebra.  The Cobb C1-C7 method gave an interclass CC (with 95% CI) of 0.91 (0.85-0.95) and </w:t>
      </w:r>
      <w:proofErr w:type="spellStart"/>
      <w:r w:rsidRPr="006C7824">
        <w:rPr>
          <w:rFonts w:eastAsiaTheme="minorHAnsi"/>
          <w:sz w:val="22"/>
          <w:szCs w:val="22"/>
        </w:rPr>
        <w:t>intraclass</w:t>
      </w:r>
      <w:proofErr w:type="spellEnd"/>
      <w:r w:rsidRPr="006C7824">
        <w:rPr>
          <w:rFonts w:eastAsiaTheme="minorHAnsi"/>
          <w:sz w:val="22"/>
          <w:szCs w:val="22"/>
        </w:rPr>
        <w:t xml:space="preserve"> CC of 0.94 (0.89-0.97).  The Cobb C2-C7 method gave an interclass CC of 0.92 (0.87-0.96) and </w:t>
      </w:r>
      <w:proofErr w:type="spellStart"/>
      <w:r w:rsidRPr="006C7824">
        <w:rPr>
          <w:rFonts w:eastAsiaTheme="minorHAnsi"/>
          <w:sz w:val="22"/>
          <w:szCs w:val="22"/>
        </w:rPr>
        <w:t>intraclass</w:t>
      </w:r>
      <w:proofErr w:type="spellEnd"/>
      <w:r w:rsidRPr="006C7824">
        <w:rPr>
          <w:rFonts w:eastAsiaTheme="minorHAnsi"/>
          <w:sz w:val="22"/>
          <w:szCs w:val="22"/>
        </w:rPr>
        <w:t xml:space="preserve"> CC of 0.95 (0.92-0.98).  The ARA C2-C7 method gave an interclass CC of 0.94 (0.90-0.97) and </w:t>
      </w:r>
      <w:proofErr w:type="spellStart"/>
      <w:r w:rsidRPr="006C7824">
        <w:rPr>
          <w:rFonts w:eastAsiaTheme="minorHAnsi"/>
          <w:sz w:val="22"/>
          <w:szCs w:val="22"/>
        </w:rPr>
        <w:t>intraclass</w:t>
      </w:r>
      <w:proofErr w:type="spellEnd"/>
      <w:r w:rsidRPr="006C7824">
        <w:rPr>
          <w:rFonts w:eastAsiaTheme="minorHAnsi"/>
          <w:sz w:val="22"/>
          <w:szCs w:val="22"/>
        </w:rPr>
        <w:t xml:space="preserve"> CC of 0.97 (0.95-0.99).  </w:t>
      </w:r>
    </w:p>
    <w:p w:rsidR="006C7824" w:rsidRPr="006C7824" w:rsidRDefault="006C7824" w:rsidP="006C782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CC27CF" w:rsidRDefault="00CC27CF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Default="005E5F53" w:rsidP="005E5F53"/>
    <w:p w:rsidR="005E5F53" w:rsidRPr="00892B2C" w:rsidRDefault="005E5F53" w:rsidP="005E5F53"/>
    <w:p w:rsidR="006F2DC4" w:rsidRDefault="006F2DC4"/>
    <w:sectPr w:rsidR="006F2DC4" w:rsidSect="005E5F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38B"/>
    <w:multiLevelType w:val="hybridMultilevel"/>
    <w:tmpl w:val="4BD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49AE"/>
    <w:multiLevelType w:val="hybridMultilevel"/>
    <w:tmpl w:val="D08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9"/>
    <w:rsid w:val="00145BDB"/>
    <w:rsid w:val="001C637A"/>
    <w:rsid w:val="005B6EFA"/>
    <w:rsid w:val="005E5F53"/>
    <w:rsid w:val="006C1849"/>
    <w:rsid w:val="006C7824"/>
    <w:rsid w:val="006F2DC4"/>
    <w:rsid w:val="00700B11"/>
    <w:rsid w:val="00715801"/>
    <w:rsid w:val="007C5296"/>
    <w:rsid w:val="009220BA"/>
    <w:rsid w:val="00B92298"/>
    <w:rsid w:val="00BC1246"/>
    <w:rsid w:val="00CC27CF"/>
    <w:rsid w:val="00D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801"/>
    <w:pPr>
      <w:ind w:left="720"/>
      <w:contextualSpacing/>
    </w:pPr>
  </w:style>
  <w:style w:type="paragraph" w:styleId="NoSpacing">
    <w:name w:val="No Spacing"/>
    <w:uiPriority w:val="99"/>
    <w:qFormat/>
    <w:rsid w:val="005E5F5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801"/>
    <w:pPr>
      <w:ind w:left="720"/>
      <w:contextualSpacing/>
    </w:pPr>
  </w:style>
  <w:style w:type="paragraph" w:styleId="NoSpacing">
    <w:name w:val="No Spacing"/>
    <w:uiPriority w:val="99"/>
    <w:qFormat/>
    <w:rsid w:val="005E5F5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cmd=HistorySearch&amp;querykey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cmd=HistorySearch&amp;querykey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cmd=HistorySearch&amp;querykey=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cmd=HistorySearch&amp;querykey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8</cp:revision>
  <dcterms:created xsi:type="dcterms:W3CDTF">2012-04-25T20:56:00Z</dcterms:created>
  <dcterms:modified xsi:type="dcterms:W3CDTF">2012-06-15T16:55:00Z</dcterms:modified>
</cp:coreProperties>
</file>