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96" w:rsidRPr="009C3AE5" w:rsidRDefault="00E32BB6" w:rsidP="00732F96">
      <w:pPr>
        <w:spacing w:line="480" w:lineRule="auto"/>
        <w:rPr>
          <w:b/>
          <w:sz w:val="20"/>
          <w:szCs w:val="20"/>
        </w:rPr>
      </w:pPr>
      <w:r>
        <w:rPr>
          <w:b/>
          <w:sz w:val="20"/>
          <w:szCs w:val="20"/>
        </w:rPr>
        <w:t>Supplemental Digital Material: Treatment of cervical ASP</w:t>
      </w:r>
      <w:bookmarkStart w:id="0" w:name="_GoBack"/>
      <w:bookmarkEnd w:id="0"/>
    </w:p>
    <w:p w:rsidR="00760A56" w:rsidRPr="002F29AB" w:rsidRDefault="00760A56" w:rsidP="00732F96">
      <w:pPr>
        <w:rPr>
          <w:b/>
          <w:sz w:val="20"/>
          <w:szCs w:val="20"/>
        </w:rPr>
      </w:pPr>
      <w:r w:rsidRPr="002F29AB">
        <w:rPr>
          <w:b/>
          <w:sz w:val="20"/>
          <w:szCs w:val="20"/>
        </w:rPr>
        <w:t>Level of Evidence table</w:t>
      </w:r>
    </w:p>
    <w:tbl>
      <w:tblPr>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158"/>
        <w:gridCol w:w="1170"/>
        <w:gridCol w:w="1170"/>
        <w:gridCol w:w="1170"/>
        <w:gridCol w:w="1170"/>
        <w:gridCol w:w="1170"/>
      </w:tblGrid>
      <w:tr w:rsidR="00760A56" w:rsidRPr="00760A56" w:rsidTr="00760A56">
        <w:trPr>
          <w:trHeight w:val="368"/>
        </w:trPr>
        <w:tc>
          <w:tcPr>
            <w:tcW w:w="4158" w:type="dxa"/>
            <w:shd w:val="clear" w:color="auto" w:fill="404040" w:themeFill="text1" w:themeFillTint="BF"/>
          </w:tcPr>
          <w:p w:rsidR="00760A56" w:rsidRPr="00760A56" w:rsidRDefault="00760A56" w:rsidP="00760A56">
            <w:pPr>
              <w:keepNext/>
              <w:outlineLvl w:val="3"/>
              <w:rPr>
                <w:b/>
                <w:bCs/>
                <w:color w:val="FFFFFF"/>
                <w:sz w:val="18"/>
                <w:szCs w:val="18"/>
              </w:rPr>
            </w:pPr>
            <w:r w:rsidRPr="00760A56">
              <w:rPr>
                <w:b/>
                <w:bCs/>
                <w:color w:val="FFFFFF"/>
                <w:sz w:val="18"/>
                <w:szCs w:val="18"/>
              </w:rPr>
              <w:t>Methodological principle</w:t>
            </w:r>
          </w:p>
        </w:tc>
        <w:tc>
          <w:tcPr>
            <w:tcW w:w="1170" w:type="dxa"/>
            <w:shd w:val="clear" w:color="auto" w:fill="404040" w:themeFill="text1" w:themeFillTint="BF"/>
            <w:vAlign w:val="bottom"/>
          </w:tcPr>
          <w:p w:rsidR="00760A56" w:rsidRPr="00760A56" w:rsidRDefault="00760A56" w:rsidP="00760A56">
            <w:pPr>
              <w:jc w:val="center"/>
              <w:rPr>
                <w:rFonts w:eastAsia="Calibri"/>
                <w:b/>
                <w:bCs/>
                <w:color w:val="FFFFFF"/>
                <w:sz w:val="18"/>
                <w:szCs w:val="18"/>
              </w:rPr>
            </w:pPr>
            <w:r>
              <w:rPr>
                <w:rFonts w:eastAsia="Calibri"/>
                <w:b/>
                <w:bCs/>
                <w:color w:val="FFFFFF"/>
                <w:sz w:val="18"/>
                <w:szCs w:val="18"/>
              </w:rPr>
              <w:t>Hilibrand (1997</w:t>
            </w:r>
            <w:r w:rsidRPr="00760A56">
              <w:rPr>
                <w:rFonts w:eastAsia="Calibri"/>
                <w:b/>
                <w:bCs/>
                <w:color w:val="FFFFFF"/>
                <w:sz w:val="18"/>
                <w:szCs w:val="18"/>
              </w:rPr>
              <w:t>)</w:t>
            </w:r>
          </w:p>
        </w:tc>
        <w:tc>
          <w:tcPr>
            <w:tcW w:w="1170" w:type="dxa"/>
            <w:shd w:val="clear" w:color="auto" w:fill="404040" w:themeFill="text1" w:themeFillTint="BF"/>
          </w:tcPr>
          <w:p w:rsidR="00760A56" w:rsidRPr="00760A56" w:rsidRDefault="00760A56" w:rsidP="00760A56">
            <w:pPr>
              <w:jc w:val="center"/>
              <w:rPr>
                <w:rFonts w:eastAsia="Calibri"/>
                <w:b/>
                <w:bCs/>
                <w:color w:val="FFFFFF"/>
                <w:sz w:val="18"/>
                <w:szCs w:val="18"/>
              </w:rPr>
            </w:pPr>
            <w:r>
              <w:rPr>
                <w:rFonts w:eastAsia="Calibri"/>
                <w:b/>
                <w:bCs/>
                <w:color w:val="FFFFFF"/>
                <w:sz w:val="18"/>
                <w:szCs w:val="18"/>
              </w:rPr>
              <w:t>Gause (2008)</w:t>
            </w:r>
          </w:p>
        </w:tc>
        <w:tc>
          <w:tcPr>
            <w:tcW w:w="1170" w:type="dxa"/>
            <w:shd w:val="clear" w:color="auto" w:fill="404040" w:themeFill="text1" w:themeFillTint="BF"/>
          </w:tcPr>
          <w:p w:rsidR="00760A56" w:rsidRPr="00760A56" w:rsidRDefault="00760A56" w:rsidP="00760A56">
            <w:pPr>
              <w:jc w:val="center"/>
              <w:rPr>
                <w:rFonts w:eastAsia="Calibri"/>
                <w:b/>
                <w:bCs/>
                <w:color w:val="FFFFFF"/>
                <w:sz w:val="18"/>
                <w:szCs w:val="18"/>
              </w:rPr>
            </w:pPr>
            <w:r>
              <w:rPr>
                <w:rFonts w:eastAsia="Calibri"/>
                <w:b/>
                <w:bCs/>
                <w:color w:val="FFFFFF"/>
                <w:sz w:val="18"/>
                <w:szCs w:val="18"/>
              </w:rPr>
              <w:t>Matsumoto (2006)</w:t>
            </w:r>
          </w:p>
        </w:tc>
        <w:tc>
          <w:tcPr>
            <w:tcW w:w="1170" w:type="dxa"/>
            <w:shd w:val="clear" w:color="auto" w:fill="404040" w:themeFill="text1" w:themeFillTint="BF"/>
          </w:tcPr>
          <w:p w:rsidR="00760A56" w:rsidRDefault="00760A56" w:rsidP="00760A56">
            <w:pPr>
              <w:jc w:val="center"/>
              <w:rPr>
                <w:rFonts w:eastAsia="Calibri"/>
                <w:b/>
                <w:bCs/>
                <w:color w:val="FFFFFF"/>
                <w:sz w:val="18"/>
                <w:szCs w:val="18"/>
              </w:rPr>
            </w:pPr>
            <w:r>
              <w:rPr>
                <w:rFonts w:eastAsia="Calibri"/>
                <w:b/>
                <w:bCs/>
                <w:color w:val="FFFFFF"/>
                <w:sz w:val="18"/>
                <w:szCs w:val="18"/>
              </w:rPr>
              <w:t xml:space="preserve">Baba </w:t>
            </w:r>
          </w:p>
          <w:p w:rsidR="00760A56" w:rsidRPr="00760A56" w:rsidRDefault="00760A56" w:rsidP="00760A56">
            <w:pPr>
              <w:jc w:val="center"/>
              <w:rPr>
                <w:rFonts w:eastAsia="Calibri"/>
                <w:b/>
                <w:bCs/>
                <w:color w:val="FFFFFF"/>
                <w:sz w:val="18"/>
                <w:szCs w:val="18"/>
              </w:rPr>
            </w:pPr>
            <w:r>
              <w:rPr>
                <w:rFonts w:eastAsia="Calibri"/>
                <w:b/>
                <w:bCs/>
                <w:color w:val="FFFFFF"/>
                <w:sz w:val="18"/>
                <w:szCs w:val="18"/>
              </w:rPr>
              <w:t>(1994)</w:t>
            </w:r>
          </w:p>
        </w:tc>
        <w:tc>
          <w:tcPr>
            <w:tcW w:w="1170" w:type="dxa"/>
            <w:shd w:val="clear" w:color="auto" w:fill="404040" w:themeFill="text1" w:themeFillTint="BF"/>
          </w:tcPr>
          <w:p w:rsidR="00760A56" w:rsidRPr="00760A56" w:rsidRDefault="00760A56" w:rsidP="00760A56">
            <w:pPr>
              <w:jc w:val="center"/>
              <w:rPr>
                <w:rFonts w:eastAsia="Calibri"/>
                <w:b/>
                <w:bCs/>
                <w:color w:val="FFFFFF"/>
                <w:sz w:val="18"/>
                <w:szCs w:val="18"/>
              </w:rPr>
            </w:pPr>
            <w:r>
              <w:rPr>
                <w:rFonts w:eastAsia="Calibri"/>
                <w:b/>
                <w:bCs/>
                <w:color w:val="FFFFFF"/>
                <w:sz w:val="18"/>
                <w:szCs w:val="18"/>
              </w:rPr>
              <w:t>Phillips (2009)</w:t>
            </w:r>
          </w:p>
        </w:tc>
      </w:tr>
      <w:tr w:rsidR="00760A56" w:rsidRPr="00760A56" w:rsidTr="00760A56">
        <w:trPr>
          <w:trHeight w:val="284"/>
        </w:trPr>
        <w:tc>
          <w:tcPr>
            <w:tcW w:w="4158" w:type="dxa"/>
          </w:tcPr>
          <w:p w:rsidR="00760A56" w:rsidRPr="00760A56" w:rsidRDefault="00760A56" w:rsidP="00760A56">
            <w:pPr>
              <w:rPr>
                <w:rFonts w:eastAsia="Calibri"/>
                <w:sz w:val="18"/>
                <w:szCs w:val="18"/>
              </w:rPr>
            </w:pPr>
            <w:r w:rsidRPr="00760A56">
              <w:rPr>
                <w:rFonts w:eastAsia="Calibri"/>
                <w:sz w:val="18"/>
                <w:szCs w:val="18"/>
              </w:rPr>
              <w:t>Study design</w:t>
            </w:r>
          </w:p>
        </w:tc>
        <w:tc>
          <w:tcPr>
            <w:tcW w:w="1170" w:type="dxa"/>
            <w:shd w:val="clear" w:color="auto" w:fill="auto"/>
          </w:tcPr>
          <w:p w:rsidR="00760A56" w:rsidRPr="00760A56" w:rsidRDefault="00760A56" w:rsidP="00760A56">
            <w:pPr>
              <w:rPr>
                <w:rFonts w:eastAsia="Calibri"/>
                <w:sz w:val="18"/>
                <w:szCs w:val="18"/>
              </w:rPr>
            </w:pPr>
          </w:p>
        </w:tc>
        <w:tc>
          <w:tcPr>
            <w:tcW w:w="1170" w:type="dxa"/>
          </w:tcPr>
          <w:p w:rsidR="00760A56" w:rsidRPr="00760A56" w:rsidRDefault="00760A56" w:rsidP="00760A56">
            <w:pPr>
              <w:rPr>
                <w:rFonts w:eastAsia="Calibri"/>
                <w:sz w:val="18"/>
                <w:szCs w:val="18"/>
              </w:rPr>
            </w:pPr>
          </w:p>
        </w:tc>
        <w:tc>
          <w:tcPr>
            <w:tcW w:w="1170" w:type="dxa"/>
          </w:tcPr>
          <w:p w:rsidR="00760A56" w:rsidRPr="00760A56" w:rsidRDefault="00760A56" w:rsidP="00760A56">
            <w:pPr>
              <w:rPr>
                <w:rFonts w:eastAsia="Calibri"/>
                <w:sz w:val="18"/>
                <w:szCs w:val="18"/>
              </w:rPr>
            </w:pPr>
          </w:p>
        </w:tc>
        <w:tc>
          <w:tcPr>
            <w:tcW w:w="1170" w:type="dxa"/>
          </w:tcPr>
          <w:p w:rsidR="00760A56" w:rsidRPr="00760A56" w:rsidRDefault="00760A56" w:rsidP="00760A56">
            <w:pPr>
              <w:rPr>
                <w:rFonts w:eastAsia="Calibri"/>
                <w:sz w:val="18"/>
                <w:szCs w:val="18"/>
              </w:rPr>
            </w:pPr>
          </w:p>
        </w:tc>
        <w:tc>
          <w:tcPr>
            <w:tcW w:w="1170" w:type="dxa"/>
          </w:tcPr>
          <w:p w:rsidR="00760A56" w:rsidRPr="00760A56" w:rsidRDefault="00760A56" w:rsidP="00760A56">
            <w:pPr>
              <w:rPr>
                <w:rFonts w:eastAsia="Calibri"/>
                <w:sz w:val="18"/>
                <w:szCs w:val="18"/>
              </w:rPr>
            </w:pPr>
          </w:p>
        </w:tc>
      </w:tr>
      <w:tr w:rsidR="00760A56" w:rsidRPr="00760A56" w:rsidTr="00760A56">
        <w:trPr>
          <w:trHeight w:val="284"/>
        </w:trPr>
        <w:tc>
          <w:tcPr>
            <w:tcW w:w="4158" w:type="dxa"/>
          </w:tcPr>
          <w:p w:rsidR="00760A56" w:rsidRPr="00760A56" w:rsidRDefault="00760A56" w:rsidP="00760A56">
            <w:pPr>
              <w:rPr>
                <w:rFonts w:eastAsia="Calibri"/>
                <w:sz w:val="18"/>
                <w:szCs w:val="18"/>
              </w:rPr>
            </w:pPr>
            <w:r w:rsidRPr="00760A56">
              <w:rPr>
                <w:rFonts w:eastAsia="Calibri"/>
                <w:sz w:val="18"/>
                <w:szCs w:val="18"/>
              </w:rPr>
              <w:t xml:space="preserve">   Randomized controlled trial</w:t>
            </w:r>
          </w:p>
        </w:tc>
        <w:tc>
          <w:tcPr>
            <w:tcW w:w="1170" w:type="dxa"/>
            <w:shd w:val="clear" w:color="auto" w:fill="auto"/>
          </w:tcPr>
          <w:p w:rsidR="00760A56" w:rsidRPr="00760A56" w:rsidRDefault="00760A56" w:rsidP="00760A56">
            <w:pPr>
              <w:jc w:val="center"/>
              <w:rPr>
                <w:rFonts w:eastAsia="Calibri"/>
                <w:sz w:val="18"/>
                <w:szCs w:val="18"/>
              </w:rPr>
            </w:pPr>
          </w:p>
        </w:tc>
        <w:tc>
          <w:tcPr>
            <w:tcW w:w="1170" w:type="dxa"/>
          </w:tcPr>
          <w:p w:rsidR="00760A56" w:rsidRPr="00760A56" w:rsidRDefault="00760A56" w:rsidP="00760A56">
            <w:pPr>
              <w:jc w:val="center"/>
              <w:rPr>
                <w:rFonts w:eastAsia="Calibri"/>
                <w:sz w:val="18"/>
                <w:szCs w:val="18"/>
              </w:rPr>
            </w:pPr>
          </w:p>
        </w:tc>
        <w:tc>
          <w:tcPr>
            <w:tcW w:w="1170" w:type="dxa"/>
          </w:tcPr>
          <w:p w:rsidR="00760A56" w:rsidRPr="00760A56" w:rsidRDefault="00760A56" w:rsidP="00760A56">
            <w:pPr>
              <w:jc w:val="center"/>
              <w:rPr>
                <w:rFonts w:eastAsia="Calibri"/>
                <w:sz w:val="18"/>
                <w:szCs w:val="18"/>
              </w:rPr>
            </w:pPr>
          </w:p>
        </w:tc>
        <w:tc>
          <w:tcPr>
            <w:tcW w:w="1170" w:type="dxa"/>
          </w:tcPr>
          <w:p w:rsidR="00760A56" w:rsidRPr="00760A56" w:rsidRDefault="00760A56" w:rsidP="00760A56">
            <w:pPr>
              <w:jc w:val="center"/>
              <w:rPr>
                <w:rFonts w:eastAsia="Calibri"/>
                <w:sz w:val="18"/>
                <w:szCs w:val="18"/>
              </w:rPr>
            </w:pPr>
          </w:p>
        </w:tc>
        <w:tc>
          <w:tcPr>
            <w:tcW w:w="1170" w:type="dxa"/>
          </w:tcPr>
          <w:p w:rsidR="00760A56" w:rsidRPr="00760A56" w:rsidRDefault="00760A56" w:rsidP="00760A56">
            <w:pPr>
              <w:jc w:val="center"/>
              <w:rPr>
                <w:rFonts w:eastAsia="Calibri"/>
                <w:sz w:val="18"/>
                <w:szCs w:val="18"/>
              </w:rPr>
            </w:pPr>
          </w:p>
        </w:tc>
      </w:tr>
      <w:tr w:rsidR="00760A56" w:rsidRPr="00760A56" w:rsidTr="00760A56">
        <w:trPr>
          <w:trHeight w:val="263"/>
        </w:trPr>
        <w:tc>
          <w:tcPr>
            <w:tcW w:w="4158" w:type="dxa"/>
          </w:tcPr>
          <w:p w:rsidR="00760A56" w:rsidRPr="00760A56" w:rsidRDefault="00760A56" w:rsidP="00760A56">
            <w:pPr>
              <w:rPr>
                <w:rFonts w:eastAsia="Calibri"/>
                <w:sz w:val="18"/>
                <w:szCs w:val="18"/>
              </w:rPr>
            </w:pPr>
            <w:r w:rsidRPr="00760A56">
              <w:rPr>
                <w:rFonts w:eastAsia="Calibri"/>
                <w:sz w:val="18"/>
                <w:szCs w:val="18"/>
              </w:rPr>
              <w:t xml:space="preserve">   Cohort study</w:t>
            </w:r>
          </w:p>
        </w:tc>
        <w:tc>
          <w:tcPr>
            <w:tcW w:w="1170" w:type="dxa"/>
            <w:shd w:val="clear" w:color="auto" w:fill="auto"/>
          </w:tcPr>
          <w:p w:rsidR="00760A56" w:rsidRPr="00760A56" w:rsidRDefault="00760A56" w:rsidP="00760A56">
            <w:pPr>
              <w:jc w:val="center"/>
              <w:rPr>
                <w:rFonts w:eastAsia="Calibri"/>
                <w:sz w:val="18"/>
                <w:szCs w:val="18"/>
              </w:rPr>
            </w:pPr>
            <w:r>
              <w:rPr>
                <w:rFonts w:eastAsia="Calibri"/>
                <w:sz w:val="18"/>
                <w:szCs w:val="18"/>
              </w:rPr>
              <w:t>+</w:t>
            </w:r>
          </w:p>
        </w:tc>
        <w:tc>
          <w:tcPr>
            <w:tcW w:w="1170" w:type="dxa"/>
          </w:tcPr>
          <w:p w:rsidR="00760A56" w:rsidRPr="00760A56" w:rsidRDefault="00760A56" w:rsidP="00760A56">
            <w:pPr>
              <w:jc w:val="center"/>
              <w:rPr>
                <w:rFonts w:eastAsia="Calibri"/>
                <w:sz w:val="18"/>
                <w:szCs w:val="18"/>
              </w:rPr>
            </w:pPr>
          </w:p>
        </w:tc>
        <w:tc>
          <w:tcPr>
            <w:tcW w:w="1170" w:type="dxa"/>
          </w:tcPr>
          <w:p w:rsidR="00760A56" w:rsidRPr="00760A56" w:rsidRDefault="00760A56" w:rsidP="00760A56">
            <w:pPr>
              <w:jc w:val="center"/>
              <w:rPr>
                <w:rFonts w:eastAsia="Calibri"/>
                <w:sz w:val="18"/>
                <w:szCs w:val="18"/>
              </w:rPr>
            </w:pPr>
          </w:p>
        </w:tc>
        <w:tc>
          <w:tcPr>
            <w:tcW w:w="1170" w:type="dxa"/>
          </w:tcPr>
          <w:p w:rsidR="00760A56" w:rsidRPr="00760A56" w:rsidRDefault="00760A56" w:rsidP="00760A56">
            <w:pPr>
              <w:jc w:val="center"/>
              <w:rPr>
                <w:rFonts w:eastAsia="Calibri"/>
                <w:sz w:val="18"/>
                <w:szCs w:val="18"/>
              </w:rPr>
            </w:pPr>
          </w:p>
        </w:tc>
        <w:tc>
          <w:tcPr>
            <w:tcW w:w="1170" w:type="dxa"/>
          </w:tcPr>
          <w:p w:rsidR="00760A56" w:rsidRPr="00760A56" w:rsidRDefault="00760A56" w:rsidP="00760A56">
            <w:pPr>
              <w:jc w:val="center"/>
              <w:rPr>
                <w:rFonts w:eastAsia="Calibri"/>
                <w:sz w:val="18"/>
                <w:szCs w:val="18"/>
              </w:rPr>
            </w:pPr>
          </w:p>
        </w:tc>
      </w:tr>
      <w:tr w:rsidR="00760A56" w:rsidRPr="00760A56" w:rsidTr="00760A56">
        <w:trPr>
          <w:trHeight w:val="284"/>
        </w:trPr>
        <w:tc>
          <w:tcPr>
            <w:tcW w:w="4158" w:type="dxa"/>
            <w:tcBorders>
              <w:bottom w:val="single" w:sz="6" w:space="0" w:color="auto"/>
            </w:tcBorders>
          </w:tcPr>
          <w:p w:rsidR="00760A56" w:rsidRPr="00760A56" w:rsidRDefault="00760A56" w:rsidP="00760A56">
            <w:pPr>
              <w:rPr>
                <w:rFonts w:eastAsia="Calibri"/>
                <w:sz w:val="18"/>
                <w:szCs w:val="18"/>
              </w:rPr>
            </w:pPr>
            <w:r w:rsidRPr="00760A56">
              <w:rPr>
                <w:rFonts w:eastAsia="Calibri"/>
                <w:sz w:val="18"/>
                <w:szCs w:val="18"/>
              </w:rPr>
              <w:t xml:space="preserve">   Case-series</w:t>
            </w:r>
          </w:p>
        </w:tc>
        <w:tc>
          <w:tcPr>
            <w:tcW w:w="1170" w:type="dxa"/>
            <w:tcBorders>
              <w:bottom w:val="single" w:sz="6" w:space="0" w:color="auto"/>
            </w:tcBorders>
            <w:shd w:val="clear" w:color="auto" w:fill="auto"/>
          </w:tcPr>
          <w:p w:rsidR="00760A56" w:rsidRPr="00760A56" w:rsidRDefault="00760A56" w:rsidP="00760A56">
            <w:pPr>
              <w:jc w:val="center"/>
              <w:rPr>
                <w:rFonts w:eastAsia="Calibri"/>
                <w:sz w:val="18"/>
                <w:szCs w:val="18"/>
              </w:rPr>
            </w:pPr>
          </w:p>
        </w:tc>
        <w:tc>
          <w:tcPr>
            <w:tcW w:w="1170" w:type="dxa"/>
            <w:tcBorders>
              <w:bottom w:val="single" w:sz="6" w:space="0" w:color="auto"/>
            </w:tcBorders>
          </w:tcPr>
          <w:p w:rsidR="00760A56" w:rsidRPr="00760A56" w:rsidRDefault="00760A56" w:rsidP="00760A56">
            <w:pPr>
              <w:jc w:val="center"/>
              <w:rPr>
                <w:rFonts w:eastAsia="Calibri"/>
                <w:sz w:val="18"/>
                <w:szCs w:val="18"/>
              </w:rPr>
            </w:pPr>
            <w:r>
              <w:rPr>
                <w:rFonts w:eastAsia="Calibri"/>
                <w:sz w:val="18"/>
                <w:szCs w:val="18"/>
              </w:rPr>
              <w:t>+</w:t>
            </w:r>
            <w:r w:rsidR="00861AA0">
              <w:rPr>
                <w:rFonts w:eastAsia="Calibri"/>
                <w:sz w:val="18"/>
                <w:szCs w:val="18"/>
              </w:rPr>
              <w:t>*</w:t>
            </w:r>
          </w:p>
        </w:tc>
        <w:tc>
          <w:tcPr>
            <w:tcW w:w="1170" w:type="dxa"/>
            <w:tcBorders>
              <w:bottom w:val="single" w:sz="6" w:space="0" w:color="auto"/>
            </w:tcBorders>
          </w:tcPr>
          <w:p w:rsidR="00760A56" w:rsidRPr="00760A56" w:rsidRDefault="00861AA0" w:rsidP="00760A56">
            <w:pPr>
              <w:jc w:val="center"/>
              <w:rPr>
                <w:rFonts w:eastAsia="Calibri"/>
                <w:sz w:val="18"/>
                <w:szCs w:val="18"/>
              </w:rPr>
            </w:pPr>
            <w:r>
              <w:rPr>
                <w:rFonts w:eastAsia="Calibri"/>
                <w:sz w:val="18"/>
                <w:szCs w:val="18"/>
              </w:rPr>
              <w:t>+†</w:t>
            </w:r>
          </w:p>
        </w:tc>
        <w:tc>
          <w:tcPr>
            <w:tcW w:w="1170" w:type="dxa"/>
            <w:tcBorders>
              <w:bottom w:val="single" w:sz="6" w:space="0" w:color="auto"/>
            </w:tcBorders>
          </w:tcPr>
          <w:p w:rsidR="00760A56" w:rsidRPr="00760A56" w:rsidRDefault="00760A56" w:rsidP="00760A56">
            <w:pPr>
              <w:jc w:val="center"/>
              <w:rPr>
                <w:rFonts w:eastAsia="Calibri"/>
                <w:sz w:val="18"/>
                <w:szCs w:val="18"/>
              </w:rPr>
            </w:pPr>
            <w:r>
              <w:rPr>
                <w:rFonts w:eastAsia="Calibri"/>
                <w:sz w:val="18"/>
                <w:szCs w:val="18"/>
              </w:rPr>
              <w:t>+</w:t>
            </w:r>
          </w:p>
        </w:tc>
        <w:tc>
          <w:tcPr>
            <w:tcW w:w="1170" w:type="dxa"/>
            <w:tcBorders>
              <w:bottom w:val="single" w:sz="6" w:space="0" w:color="auto"/>
            </w:tcBorders>
          </w:tcPr>
          <w:p w:rsidR="00760A56" w:rsidRPr="00760A56" w:rsidRDefault="00760A56" w:rsidP="00760A56">
            <w:pPr>
              <w:jc w:val="center"/>
              <w:rPr>
                <w:rFonts w:eastAsia="Calibri"/>
                <w:sz w:val="18"/>
                <w:szCs w:val="18"/>
              </w:rPr>
            </w:pPr>
            <w:r>
              <w:rPr>
                <w:rFonts w:eastAsia="Calibri"/>
                <w:sz w:val="18"/>
                <w:szCs w:val="18"/>
              </w:rPr>
              <w:t>+</w:t>
            </w:r>
            <w:r w:rsidR="001A5C30">
              <w:rPr>
                <w:rFonts w:eastAsia="Calibri"/>
                <w:sz w:val="18"/>
                <w:szCs w:val="18"/>
              </w:rPr>
              <w:t>‡</w:t>
            </w:r>
          </w:p>
        </w:tc>
      </w:tr>
      <w:tr w:rsidR="00760A56" w:rsidRPr="00760A56" w:rsidTr="00760A56">
        <w:trPr>
          <w:trHeight w:val="270"/>
        </w:trPr>
        <w:tc>
          <w:tcPr>
            <w:tcW w:w="4158" w:type="dxa"/>
            <w:tcBorders>
              <w:top w:val="single" w:sz="6" w:space="0" w:color="auto"/>
              <w:bottom w:val="single" w:sz="6" w:space="0" w:color="auto"/>
            </w:tcBorders>
            <w:shd w:val="clear" w:color="auto" w:fill="BFBFBF" w:themeFill="background1" w:themeFillShade="BF"/>
          </w:tcPr>
          <w:p w:rsidR="00760A56" w:rsidRPr="00760A56" w:rsidRDefault="00760A56" w:rsidP="00760A56">
            <w:pPr>
              <w:rPr>
                <w:rFonts w:eastAsia="Calibri"/>
                <w:sz w:val="18"/>
                <w:szCs w:val="18"/>
              </w:rPr>
            </w:pPr>
            <w:r w:rsidRPr="00760A56">
              <w:rPr>
                <w:rFonts w:eastAsia="Calibri"/>
                <w:sz w:val="18"/>
                <w:szCs w:val="18"/>
              </w:rPr>
              <w:t>Statement of concealed allocation*</w:t>
            </w: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r>
      <w:tr w:rsidR="00760A56" w:rsidRPr="00760A56" w:rsidTr="00760A56">
        <w:trPr>
          <w:trHeight w:val="263"/>
        </w:trPr>
        <w:tc>
          <w:tcPr>
            <w:tcW w:w="4158" w:type="dxa"/>
            <w:tcBorders>
              <w:top w:val="single" w:sz="6" w:space="0" w:color="auto"/>
              <w:bottom w:val="single" w:sz="6" w:space="0" w:color="auto"/>
            </w:tcBorders>
            <w:shd w:val="clear" w:color="auto" w:fill="BFBFBF" w:themeFill="background1" w:themeFillShade="BF"/>
          </w:tcPr>
          <w:p w:rsidR="00760A56" w:rsidRPr="00760A56" w:rsidRDefault="00760A56" w:rsidP="00760A56">
            <w:pPr>
              <w:rPr>
                <w:rFonts w:eastAsia="Calibri"/>
                <w:sz w:val="18"/>
                <w:szCs w:val="18"/>
              </w:rPr>
            </w:pPr>
            <w:r w:rsidRPr="00760A56">
              <w:rPr>
                <w:rFonts w:eastAsia="Calibri"/>
                <w:sz w:val="18"/>
                <w:szCs w:val="18"/>
              </w:rPr>
              <w:t xml:space="preserve">Intent-to-treat* </w:t>
            </w: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r>
      <w:tr w:rsidR="00760A56" w:rsidRPr="00760A56" w:rsidTr="00760A56">
        <w:trPr>
          <w:trHeight w:val="305"/>
        </w:trPr>
        <w:tc>
          <w:tcPr>
            <w:tcW w:w="4158" w:type="dxa"/>
            <w:tcBorders>
              <w:top w:val="single" w:sz="6" w:space="0" w:color="auto"/>
              <w:bottom w:val="single" w:sz="6" w:space="0" w:color="auto"/>
            </w:tcBorders>
            <w:shd w:val="clear" w:color="auto" w:fill="BFBFBF" w:themeFill="background1" w:themeFillShade="BF"/>
          </w:tcPr>
          <w:p w:rsidR="00760A56" w:rsidRPr="00760A56" w:rsidRDefault="00760A56" w:rsidP="00760A56">
            <w:pPr>
              <w:rPr>
                <w:rFonts w:eastAsia="Calibri"/>
                <w:sz w:val="18"/>
                <w:szCs w:val="18"/>
              </w:rPr>
            </w:pPr>
            <w:r w:rsidRPr="00760A56">
              <w:rPr>
                <w:rFonts w:eastAsia="Calibri"/>
                <w:sz w:val="18"/>
                <w:szCs w:val="18"/>
              </w:rPr>
              <w:t>Independent or blind assessment</w:t>
            </w: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r>
      <w:tr w:rsidR="00760A56" w:rsidRPr="00760A56" w:rsidTr="00760A56">
        <w:trPr>
          <w:trHeight w:val="284"/>
        </w:trPr>
        <w:tc>
          <w:tcPr>
            <w:tcW w:w="4158" w:type="dxa"/>
            <w:tcBorders>
              <w:top w:val="single" w:sz="6" w:space="0" w:color="auto"/>
              <w:bottom w:val="single" w:sz="6" w:space="0" w:color="auto"/>
            </w:tcBorders>
            <w:shd w:val="clear" w:color="auto" w:fill="BFBFBF" w:themeFill="background1" w:themeFillShade="BF"/>
          </w:tcPr>
          <w:p w:rsidR="00760A56" w:rsidRPr="00760A56" w:rsidRDefault="00760A56" w:rsidP="00760A56">
            <w:pPr>
              <w:rPr>
                <w:rFonts w:eastAsia="Calibri"/>
                <w:sz w:val="18"/>
                <w:szCs w:val="18"/>
              </w:rPr>
            </w:pPr>
            <w:r w:rsidRPr="00760A56">
              <w:rPr>
                <w:rFonts w:eastAsia="Calibri"/>
                <w:sz w:val="18"/>
                <w:szCs w:val="18"/>
              </w:rPr>
              <w:t>Complete follow-up of ≥85%</w:t>
            </w: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r>
      <w:tr w:rsidR="00760A56" w:rsidRPr="00760A56" w:rsidTr="00760A56">
        <w:trPr>
          <w:trHeight w:val="263"/>
        </w:trPr>
        <w:tc>
          <w:tcPr>
            <w:tcW w:w="4158" w:type="dxa"/>
            <w:tcBorders>
              <w:top w:val="single" w:sz="6" w:space="0" w:color="auto"/>
              <w:bottom w:val="single" w:sz="6" w:space="0" w:color="auto"/>
            </w:tcBorders>
            <w:shd w:val="clear" w:color="auto" w:fill="BFBFBF" w:themeFill="background1" w:themeFillShade="BF"/>
          </w:tcPr>
          <w:p w:rsidR="00760A56" w:rsidRPr="00760A56" w:rsidRDefault="00760A56" w:rsidP="00760A56">
            <w:pPr>
              <w:rPr>
                <w:rFonts w:eastAsia="Calibri"/>
                <w:sz w:val="18"/>
                <w:szCs w:val="18"/>
              </w:rPr>
            </w:pPr>
            <w:r w:rsidRPr="00760A56">
              <w:rPr>
                <w:rFonts w:eastAsia="Calibri"/>
                <w:sz w:val="18"/>
                <w:szCs w:val="18"/>
              </w:rPr>
              <w:t>Adequate sample size</w:t>
            </w: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r>
      <w:tr w:rsidR="00760A56" w:rsidRPr="00760A56" w:rsidTr="00760A56">
        <w:trPr>
          <w:trHeight w:val="287"/>
        </w:trPr>
        <w:tc>
          <w:tcPr>
            <w:tcW w:w="4158" w:type="dxa"/>
            <w:tcBorders>
              <w:top w:val="single" w:sz="6" w:space="0" w:color="auto"/>
              <w:bottom w:val="single" w:sz="6" w:space="0" w:color="auto"/>
            </w:tcBorders>
            <w:shd w:val="clear" w:color="auto" w:fill="BFBFBF" w:themeFill="background1" w:themeFillShade="BF"/>
          </w:tcPr>
          <w:p w:rsidR="00760A56" w:rsidRPr="00760A56" w:rsidRDefault="00760A56" w:rsidP="00760A56">
            <w:pPr>
              <w:rPr>
                <w:rFonts w:eastAsia="Calibri"/>
                <w:sz w:val="18"/>
                <w:szCs w:val="18"/>
              </w:rPr>
            </w:pPr>
            <w:r w:rsidRPr="00760A56">
              <w:rPr>
                <w:rFonts w:eastAsia="Calibri"/>
                <w:sz w:val="18"/>
                <w:szCs w:val="18"/>
              </w:rPr>
              <w:t>Controlling for possible confounding</w:t>
            </w: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c>
          <w:tcPr>
            <w:tcW w:w="1170" w:type="dxa"/>
            <w:tcBorders>
              <w:top w:val="single" w:sz="6" w:space="0" w:color="auto"/>
              <w:bottom w:val="single" w:sz="6" w:space="0" w:color="auto"/>
            </w:tcBorders>
            <w:shd w:val="clear" w:color="auto" w:fill="BFBFBF" w:themeFill="background1" w:themeFillShade="BF"/>
          </w:tcPr>
          <w:p w:rsidR="00760A56" w:rsidRPr="00760A56" w:rsidRDefault="00861AA0" w:rsidP="00760A56">
            <w:pPr>
              <w:jc w:val="center"/>
              <w:rPr>
                <w:rFonts w:eastAsia="Calibri"/>
                <w:sz w:val="18"/>
                <w:szCs w:val="18"/>
              </w:rPr>
            </w:pPr>
            <w:r>
              <w:rPr>
                <w:rFonts w:eastAsia="Calibri"/>
                <w:sz w:val="18"/>
                <w:szCs w:val="18"/>
              </w:rPr>
              <w:t>+</w:t>
            </w: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c>
          <w:tcPr>
            <w:tcW w:w="1170" w:type="dxa"/>
            <w:tcBorders>
              <w:top w:val="single" w:sz="6" w:space="0" w:color="auto"/>
              <w:bottom w:val="single" w:sz="6" w:space="0" w:color="auto"/>
            </w:tcBorders>
            <w:shd w:val="clear" w:color="auto" w:fill="BFBFBF" w:themeFill="background1" w:themeFillShade="BF"/>
          </w:tcPr>
          <w:p w:rsidR="00760A56" w:rsidRPr="00760A56" w:rsidRDefault="00760A56" w:rsidP="00760A56">
            <w:pPr>
              <w:jc w:val="center"/>
              <w:rPr>
                <w:rFonts w:eastAsia="Calibri"/>
                <w:sz w:val="18"/>
                <w:szCs w:val="18"/>
              </w:rPr>
            </w:pPr>
          </w:p>
        </w:tc>
      </w:tr>
      <w:tr w:rsidR="00760A56" w:rsidRPr="00760A56" w:rsidTr="00760A56">
        <w:trPr>
          <w:trHeight w:val="368"/>
        </w:trPr>
        <w:tc>
          <w:tcPr>
            <w:tcW w:w="4158" w:type="dxa"/>
            <w:tcBorders>
              <w:top w:val="single" w:sz="6" w:space="0" w:color="auto"/>
              <w:bottom w:val="single" w:sz="6" w:space="0" w:color="auto"/>
            </w:tcBorders>
            <w:shd w:val="clear" w:color="auto" w:fill="404040" w:themeFill="text1" w:themeFillTint="BF"/>
          </w:tcPr>
          <w:p w:rsidR="00760A56" w:rsidRPr="00760A56" w:rsidRDefault="00760A56" w:rsidP="00760A56">
            <w:pPr>
              <w:keepNext/>
              <w:outlineLvl w:val="3"/>
              <w:rPr>
                <w:b/>
                <w:bCs/>
                <w:color w:val="FFFFFF"/>
                <w:sz w:val="18"/>
                <w:szCs w:val="18"/>
              </w:rPr>
            </w:pPr>
            <w:r w:rsidRPr="00760A56">
              <w:rPr>
                <w:b/>
                <w:bCs/>
                <w:color w:val="FFFFFF"/>
                <w:sz w:val="18"/>
                <w:szCs w:val="18"/>
              </w:rPr>
              <w:t>Evidence Class</w:t>
            </w:r>
          </w:p>
        </w:tc>
        <w:tc>
          <w:tcPr>
            <w:tcW w:w="1170" w:type="dxa"/>
            <w:tcBorders>
              <w:top w:val="single" w:sz="6" w:space="0" w:color="auto"/>
              <w:bottom w:val="single" w:sz="6" w:space="0" w:color="auto"/>
            </w:tcBorders>
            <w:shd w:val="clear" w:color="auto" w:fill="404040" w:themeFill="text1" w:themeFillTint="BF"/>
          </w:tcPr>
          <w:p w:rsidR="00760A56" w:rsidRPr="00760A56" w:rsidRDefault="00760A56" w:rsidP="00760A56">
            <w:pPr>
              <w:jc w:val="center"/>
              <w:rPr>
                <w:rFonts w:eastAsia="Calibri"/>
                <w:color w:val="FFFFFF"/>
                <w:sz w:val="18"/>
                <w:szCs w:val="18"/>
              </w:rPr>
            </w:pPr>
            <w:r>
              <w:rPr>
                <w:rFonts w:eastAsia="Calibri"/>
                <w:color w:val="FFFFFF"/>
                <w:sz w:val="18"/>
                <w:szCs w:val="18"/>
              </w:rPr>
              <w:t>III</w:t>
            </w:r>
          </w:p>
        </w:tc>
        <w:tc>
          <w:tcPr>
            <w:tcW w:w="1170" w:type="dxa"/>
            <w:tcBorders>
              <w:top w:val="single" w:sz="6" w:space="0" w:color="auto"/>
              <w:bottom w:val="single" w:sz="6" w:space="0" w:color="auto"/>
            </w:tcBorders>
            <w:shd w:val="clear" w:color="auto" w:fill="404040" w:themeFill="text1" w:themeFillTint="BF"/>
          </w:tcPr>
          <w:p w:rsidR="00760A56" w:rsidRPr="00760A56" w:rsidRDefault="00760A56" w:rsidP="00760A56">
            <w:pPr>
              <w:jc w:val="center"/>
              <w:rPr>
                <w:rFonts w:eastAsia="Calibri"/>
                <w:color w:val="FFFFFF"/>
                <w:sz w:val="18"/>
                <w:szCs w:val="18"/>
              </w:rPr>
            </w:pPr>
            <w:r>
              <w:rPr>
                <w:rFonts w:eastAsia="Calibri"/>
                <w:color w:val="FFFFFF"/>
                <w:sz w:val="18"/>
                <w:szCs w:val="18"/>
              </w:rPr>
              <w:t>IV</w:t>
            </w:r>
          </w:p>
        </w:tc>
        <w:tc>
          <w:tcPr>
            <w:tcW w:w="1170" w:type="dxa"/>
            <w:tcBorders>
              <w:top w:val="single" w:sz="6" w:space="0" w:color="auto"/>
              <w:bottom w:val="single" w:sz="6" w:space="0" w:color="auto"/>
            </w:tcBorders>
            <w:shd w:val="clear" w:color="auto" w:fill="404040" w:themeFill="text1" w:themeFillTint="BF"/>
          </w:tcPr>
          <w:p w:rsidR="00760A56" w:rsidRPr="00760A56" w:rsidRDefault="00760A56" w:rsidP="00760A56">
            <w:pPr>
              <w:jc w:val="center"/>
              <w:rPr>
                <w:rFonts w:eastAsia="Calibri"/>
                <w:color w:val="FFFFFF"/>
                <w:sz w:val="18"/>
                <w:szCs w:val="18"/>
              </w:rPr>
            </w:pPr>
            <w:r>
              <w:rPr>
                <w:rFonts w:eastAsia="Calibri"/>
                <w:color w:val="FFFFFF"/>
                <w:sz w:val="18"/>
                <w:szCs w:val="18"/>
              </w:rPr>
              <w:t>IV</w:t>
            </w:r>
          </w:p>
        </w:tc>
        <w:tc>
          <w:tcPr>
            <w:tcW w:w="1170" w:type="dxa"/>
            <w:tcBorders>
              <w:top w:val="single" w:sz="6" w:space="0" w:color="auto"/>
              <w:bottom w:val="single" w:sz="6" w:space="0" w:color="auto"/>
            </w:tcBorders>
            <w:shd w:val="clear" w:color="auto" w:fill="404040" w:themeFill="text1" w:themeFillTint="BF"/>
          </w:tcPr>
          <w:p w:rsidR="00760A56" w:rsidRPr="00760A56" w:rsidRDefault="00760A56" w:rsidP="00760A56">
            <w:pPr>
              <w:jc w:val="center"/>
              <w:rPr>
                <w:rFonts w:eastAsia="Calibri"/>
                <w:color w:val="FFFFFF"/>
                <w:sz w:val="18"/>
                <w:szCs w:val="18"/>
              </w:rPr>
            </w:pPr>
            <w:r>
              <w:rPr>
                <w:rFonts w:eastAsia="Calibri"/>
                <w:color w:val="FFFFFF"/>
                <w:sz w:val="18"/>
                <w:szCs w:val="18"/>
              </w:rPr>
              <w:t>IV</w:t>
            </w:r>
          </w:p>
        </w:tc>
        <w:tc>
          <w:tcPr>
            <w:tcW w:w="1170" w:type="dxa"/>
            <w:tcBorders>
              <w:top w:val="single" w:sz="6" w:space="0" w:color="auto"/>
              <w:bottom w:val="single" w:sz="6" w:space="0" w:color="auto"/>
            </w:tcBorders>
            <w:shd w:val="clear" w:color="auto" w:fill="404040" w:themeFill="text1" w:themeFillTint="BF"/>
          </w:tcPr>
          <w:p w:rsidR="00760A56" w:rsidRPr="00760A56" w:rsidRDefault="00760A56" w:rsidP="00760A56">
            <w:pPr>
              <w:jc w:val="center"/>
              <w:rPr>
                <w:rFonts w:eastAsia="Calibri"/>
                <w:color w:val="FFFFFF"/>
                <w:sz w:val="18"/>
                <w:szCs w:val="18"/>
              </w:rPr>
            </w:pPr>
            <w:r>
              <w:rPr>
                <w:rFonts w:eastAsia="Calibri"/>
                <w:color w:val="FFFFFF"/>
                <w:sz w:val="18"/>
                <w:szCs w:val="18"/>
              </w:rPr>
              <w:t>IV</w:t>
            </w:r>
          </w:p>
        </w:tc>
      </w:tr>
    </w:tbl>
    <w:p w:rsidR="00861AA0" w:rsidRPr="00861AA0" w:rsidRDefault="00760A56" w:rsidP="00732F96">
      <w:pPr>
        <w:rPr>
          <w:sz w:val="18"/>
          <w:szCs w:val="18"/>
        </w:rPr>
      </w:pPr>
      <w:r w:rsidRPr="00861AA0">
        <w:rPr>
          <w:sz w:val="18"/>
          <w:szCs w:val="18"/>
        </w:rPr>
        <w:t>*</w:t>
      </w:r>
      <w:r w:rsidR="00861AA0" w:rsidRPr="00861AA0">
        <w:rPr>
          <w:sz w:val="18"/>
          <w:szCs w:val="18"/>
        </w:rPr>
        <w:t>Treated as a case series due to small size of the comparative group.</w:t>
      </w:r>
    </w:p>
    <w:p w:rsidR="00760A56" w:rsidRDefault="00861AA0" w:rsidP="00732F96">
      <w:pPr>
        <w:rPr>
          <w:sz w:val="18"/>
          <w:szCs w:val="18"/>
        </w:rPr>
      </w:pPr>
      <w:r w:rsidRPr="00861AA0">
        <w:rPr>
          <w:sz w:val="18"/>
          <w:szCs w:val="18"/>
        </w:rPr>
        <w:t>†</w:t>
      </w:r>
      <w:r w:rsidR="00760A56" w:rsidRPr="00861AA0">
        <w:rPr>
          <w:sz w:val="18"/>
          <w:szCs w:val="18"/>
        </w:rPr>
        <w:t>A case series for purposes of this report; the comp</w:t>
      </w:r>
      <w:r w:rsidR="00270FC9">
        <w:rPr>
          <w:sz w:val="18"/>
          <w:szCs w:val="18"/>
        </w:rPr>
        <w:t>arison group has too few observations for analysis in</w:t>
      </w:r>
      <w:r w:rsidR="00760A56" w:rsidRPr="00861AA0">
        <w:rPr>
          <w:sz w:val="18"/>
          <w:szCs w:val="18"/>
        </w:rPr>
        <w:t xml:space="preserve"> this report.</w:t>
      </w:r>
    </w:p>
    <w:p w:rsidR="001A5C30" w:rsidRPr="00861AA0" w:rsidRDefault="001A5C30" w:rsidP="00732F96">
      <w:pPr>
        <w:rPr>
          <w:sz w:val="18"/>
          <w:szCs w:val="18"/>
        </w:rPr>
      </w:pPr>
      <w:r>
        <w:rPr>
          <w:sz w:val="18"/>
          <w:szCs w:val="18"/>
        </w:rPr>
        <w:t xml:space="preserve">‡Study compares ADR as treatment next to previous fusion with primary treatment; only the adjacent segment treatment is considered in this report. </w:t>
      </w:r>
    </w:p>
    <w:p w:rsidR="00760A56" w:rsidRDefault="00760A56" w:rsidP="00732F96">
      <w:pPr>
        <w:rPr>
          <w:sz w:val="20"/>
          <w:szCs w:val="20"/>
        </w:rPr>
      </w:pPr>
    </w:p>
    <w:p w:rsidR="00CC6E52" w:rsidRPr="000B0308" w:rsidRDefault="00CC6E52" w:rsidP="00CC6E52">
      <w:pPr>
        <w:spacing w:line="360" w:lineRule="auto"/>
        <w:rPr>
          <w:b/>
        </w:rPr>
      </w:pPr>
      <w:r w:rsidRPr="000B0308">
        <w:rPr>
          <w:b/>
        </w:rPr>
        <w:t>Strength of evidence summary</w:t>
      </w:r>
    </w:p>
    <w:tbl>
      <w:tblPr>
        <w:tblW w:w="11027" w:type="dxa"/>
        <w:tblInd w:w="-623" w:type="dxa"/>
        <w:tblLayout w:type="fixed"/>
        <w:tblCellMar>
          <w:left w:w="0" w:type="dxa"/>
          <w:right w:w="0" w:type="dxa"/>
        </w:tblCellMar>
        <w:tblLook w:val="04A0"/>
      </w:tblPr>
      <w:tblGrid>
        <w:gridCol w:w="1976"/>
        <w:gridCol w:w="1624"/>
        <w:gridCol w:w="3060"/>
        <w:gridCol w:w="1620"/>
        <w:gridCol w:w="1037"/>
        <w:gridCol w:w="1710"/>
      </w:tblGrid>
      <w:tr w:rsidR="00CC6E52" w:rsidTr="00E85C02">
        <w:trPr>
          <w:trHeight w:val="421"/>
        </w:trPr>
        <w:tc>
          <w:tcPr>
            <w:tcW w:w="11027" w:type="dxa"/>
            <w:gridSpan w:val="6"/>
            <w:tcBorders>
              <w:top w:val="single" w:sz="8" w:space="0" w:color="auto"/>
              <w:left w:val="single" w:sz="8" w:space="0" w:color="auto"/>
              <w:bottom w:val="single" w:sz="8" w:space="0" w:color="000000"/>
              <w:right w:val="single" w:sz="8" w:space="0" w:color="auto"/>
            </w:tcBorders>
            <w:tcMar>
              <w:top w:w="72" w:type="dxa"/>
              <w:left w:w="144" w:type="dxa"/>
              <w:bottom w:w="72" w:type="dxa"/>
              <w:right w:w="144" w:type="dxa"/>
            </w:tcMar>
            <w:hideMark/>
          </w:tcPr>
          <w:p w:rsidR="00CC6E52" w:rsidRDefault="00CC6E52" w:rsidP="00E85C02">
            <w:pPr>
              <w:rPr>
                <w:rFonts w:ascii="Calibri" w:hAnsi="Calibri" w:cs="Calibri"/>
                <w:color w:val="000000"/>
                <w:sz w:val="20"/>
                <w:szCs w:val="20"/>
              </w:rPr>
            </w:pPr>
            <w:r>
              <w:rPr>
                <w:color w:val="000000"/>
                <w:sz w:val="20"/>
                <w:szCs w:val="20"/>
                <w:u w:val="single"/>
              </w:rPr>
              <w:t>Baseline quality</w:t>
            </w:r>
            <w:r>
              <w:rPr>
                <w:color w:val="000000"/>
                <w:sz w:val="20"/>
                <w:szCs w:val="20"/>
              </w:rPr>
              <w:t>:  HIGH = majority of article Level I/II.  LOW = majority of articles Level III/IV.</w:t>
            </w:r>
          </w:p>
          <w:p w:rsidR="00CC6E52" w:rsidRDefault="00CC6E52" w:rsidP="00E85C02">
            <w:pPr>
              <w:rPr>
                <w:color w:val="000000"/>
                <w:sz w:val="20"/>
                <w:szCs w:val="20"/>
              </w:rPr>
            </w:pPr>
            <w:r>
              <w:rPr>
                <w:color w:val="000000"/>
                <w:sz w:val="20"/>
                <w:szCs w:val="20"/>
                <w:u w:val="single"/>
              </w:rPr>
              <w:t>UPGRADE:</w:t>
            </w:r>
            <w:r>
              <w:rPr>
                <w:color w:val="000000"/>
                <w:sz w:val="20"/>
                <w:szCs w:val="20"/>
              </w:rPr>
              <w:t>  Large magnitude of effect (1 or 2 levels); dose response gradient (1 level)</w:t>
            </w:r>
          </w:p>
          <w:p w:rsidR="00CC6E52" w:rsidRDefault="00CC6E52" w:rsidP="00E85C02">
            <w:pPr>
              <w:ind w:right="-144"/>
              <w:rPr>
                <w:rFonts w:ascii="Calibri" w:hAnsi="Calibri" w:cs="Calibri"/>
                <w:color w:val="000000"/>
                <w:sz w:val="20"/>
                <w:szCs w:val="20"/>
              </w:rPr>
            </w:pPr>
            <w:r>
              <w:rPr>
                <w:color w:val="000000"/>
                <w:sz w:val="20"/>
                <w:szCs w:val="20"/>
                <w:u w:val="single"/>
              </w:rPr>
              <w:t>DOWNGRADE</w:t>
            </w:r>
            <w:r>
              <w:rPr>
                <w:color w:val="000000"/>
                <w:sz w:val="20"/>
                <w:szCs w:val="20"/>
              </w:rPr>
              <w:t>:  Inconsistency of results (1 or 2 levels); indirectness of evidence (1 or 2 levels); imprecision of effect estimates (1 or 2 levels)</w:t>
            </w:r>
          </w:p>
        </w:tc>
      </w:tr>
      <w:tr w:rsidR="00CC6E52" w:rsidTr="00E85C02">
        <w:trPr>
          <w:trHeight w:val="421"/>
        </w:trPr>
        <w:tc>
          <w:tcPr>
            <w:tcW w:w="1976" w:type="dxa"/>
            <w:tcBorders>
              <w:top w:val="nil"/>
              <w:left w:val="single" w:sz="8" w:space="0" w:color="auto"/>
              <w:bottom w:val="single" w:sz="8" w:space="0" w:color="000000"/>
              <w:right w:val="single" w:sz="8" w:space="0" w:color="000000"/>
            </w:tcBorders>
            <w:tcMar>
              <w:top w:w="72" w:type="dxa"/>
              <w:left w:w="144" w:type="dxa"/>
              <w:bottom w:w="72" w:type="dxa"/>
              <w:right w:w="144" w:type="dxa"/>
            </w:tcMar>
          </w:tcPr>
          <w:p w:rsidR="00CC6E52" w:rsidRDefault="00CC6E52" w:rsidP="00E85C02">
            <w:pPr>
              <w:rPr>
                <w:rFonts w:ascii="Calibri" w:hAnsi="Calibri" w:cs="Calibri"/>
                <w:b/>
                <w:bCs/>
                <w:color w:val="000000"/>
                <w:sz w:val="20"/>
                <w:szCs w:val="20"/>
              </w:rPr>
            </w:pPr>
          </w:p>
        </w:tc>
        <w:tc>
          <w:tcPr>
            <w:tcW w:w="1624" w:type="dxa"/>
            <w:tcBorders>
              <w:top w:val="nil"/>
              <w:left w:val="nil"/>
              <w:bottom w:val="single" w:sz="8" w:space="0" w:color="000000"/>
              <w:right w:val="single" w:sz="8" w:space="0" w:color="000000"/>
            </w:tcBorders>
            <w:tcMar>
              <w:top w:w="72" w:type="dxa"/>
              <w:left w:w="144" w:type="dxa"/>
              <w:bottom w:w="72" w:type="dxa"/>
              <w:right w:w="144" w:type="dxa"/>
            </w:tcMar>
            <w:hideMark/>
          </w:tcPr>
          <w:p w:rsidR="00CC6E52" w:rsidRDefault="00CC6E52" w:rsidP="00E85C02">
            <w:pPr>
              <w:ind w:left="40" w:right="-144"/>
              <w:rPr>
                <w:rFonts w:ascii="Calibri" w:hAnsi="Calibri" w:cs="Calibri"/>
                <w:b/>
                <w:bCs/>
                <w:color w:val="000000"/>
                <w:sz w:val="20"/>
                <w:szCs w:val="20"/>
              </w:rPr>
            </w:pPr>
            <w:r>
              <w:rPr>
                <w:b/>
                <w:bCs/>
                <w:color w:val="000000"/>
                <w:sz w:val="20"/>
                <w:szCs w:val="20"/>
              </w:rPr>
              <w:t>Strength of evidence</w:t>
            </w:r>
          </w:p>
        </w:tc>
        <w:tc>
          <w:tcPr>
            <w:tcW w:w="3060" w:type="dxa"/>
            <w:tcBorders>
              <w:top w:val="nil"/>
              <w:left w:val="nil"/>
              <w:bottom w:val="single" w:sz="8" w:space="0" w:color="000000"/>
              <w:right w:val="single" w:sz="8" w:space="0" w:color="auto"/>
            </w:tcBorders>
            <w:tcMar>
              <w:top w:w="72" w:type="dxa"/>
              <w:left w:w="144" w:type="dxa"/>
              <w:bottom w:w="72" w:type="dxa"/>
              <w:right w:w="144" w:type="dxa"/>
            </w:tcMar>
            <w:hideMark/>
          </w:tcPr>
          <w:p w:rsidR="00CC6E52" w:rsidRDefault="00CC6E52" w:rsidP="00E85C02">
            <w:pPr>
              <w:rPr>
                <w:rFonts w:ascii="Calibri" w:hAnsi="Calibri" w:cs="Calibri"/>
                <w:b/>
                <w:bCs/>
                <w:color w:val="000000"/>
                <w:sz w:val="20"/>
                <w:szCs w:val="20"/>
              </w:rPr>
            </w:pPr>
            <w:r>
              <w:rPr>
                <w:b/>
                <w:bCs/>
                <w:color w:val="000000"/>
                <w:sz w:val="20"/>
                <w:szCs w:val="20"/>
              </w:rPr>
              <w:t>Conclusions/Comments</w:t>
            </w:r>
          </w:p>
        </w:tc>
        <w:tc>
          <w:tcPr>
            <w:tcW w:w="1620" w:type="dxa"/>
            <w:tcBorders>
              <w:top w:val="nil"/>
              <w:left w:val="nil"/>
              <w:bottom w:val="single" w:sz="8" w:space="0" w:color="000000"/>
              <w:right w:val="single" w:sz="8" w:space="0" w:color="auto"/>
            </w:tcBorders>
            <w:hideMark/>
          </w:tcPr>
          <w:p w:rsidR="00CC6E52" w:rsidRDefault="00CC6E52" w:rsidP="00E85C02">
            <w:pPr>
              <w:ind w:left="24"/>
              <w:jc w:val="center"/>
              <w:rPr>
                <w:rFonts w:ascii="Calibri" w:hAnsi="Calibri" w:cs="Calibri"/>
                <w:b/>
                <w:bCs/>
                <w:color w:val="000000"/>
                <w:sz w:val="20"/>
                <w:szCs w:val="20"/>
              </w:rPr>
            </w:pPr>
            <w:r>
              <w:rPr>
                <w:b/>
                <w:bCs/>
                <w:color w:val="000000"/>
                <w:sz w:val="20"/>
                <w:szCs w:val="20"/>
              </w:rPr>
              <w:t>Baseline</w:t>
            </w:r>
          </w:p>
        </w:tc>
        <w:tc>
          <w:tcPr>
            <w:tcW w:w="1037" w:type="dxa"/>
            <w:tcBorders>
              <w:top w:val="nil"/>
              <w:left w:val="nil"/>
              <w:bottom w:val="single" w:sz="8" w:space="0" w:color="000000"/>
              <w:right w:val="single" w:sz="8" w:space="0" w:color="auto"/>
            </w:tcBorders>
            <w:hideMark/>
          </w:tcPr>
          <w:p w:rsidR="00CC6E52" w:rsidRDefault="00CC6E52" w:rsidP="00E85C02">
            <w:pPr>
              <w:ind w:left="-54" w:right="-54"/>
              <w:jc w:val="center"/>
              <w:rPr>
                <w:rFonts w:ascii="Calibri" w:hAnsi="Calibri" w:cs="Calibri"/>
                <w:b/>
                <w:bCs/>
                <w:color w:val="000000"/>
                <w:sz w:val="20"/>
                <w:szCs w:val="20"/>
              </w:rPr>
            </w:pPr>
            <w:r>
              <w:rPr>
                <w:b/>
                <w:bCs/>
                <w:color w:val="000000"/>
                <w:sz w:val="20"/>
                <w:szCs w:val="20"/>
              </w:rPr>
              <w:t>UPGRADE (levels)</w:t>
            </w:r>
          </w:p>
        </w:tc>
        <w:tc>
          <w:tcPr>
            <w:tcW w:w="1710" w:type="dxa"/>
            <w:tcBorders>
              <w:top w:val="nil"/>
              <w:left w:val="nil"/>
              <w:bottom w:val="single" w:sz="8" w:space="0" w:color="000000"/>
              <w:right w:val="single" w:sz="8" w:space="0" w:color="auto"/>
            </w:tcBorders>
            <w:hideMark/>
          </w:tcPr>
          <w:p w:rsidR="00CC6E52" w:rsidRDefault="00CC6E52" w:rsidP="00E85C02">
            <w:pPr>
              <w:ind w:left="-144" w:right="-144"/>
              <w:jc w:val="center"/>
              <w:rPr>
                <w:rFonts w:ascii="Calibri" w:hAnsi="Calibri" w:cs="Calibri"/>
                <w:b/>
                <w:bCs/>
                <w:color w:val="000000"/>
                <w:sz w:val="20"/>
                <w:szCs w:val="20"/>
              </w:rPr>
            </w:pPr>
            <w:r>
              <w:rPr>
                <w:b/>
                <w:bCs/>
                <w:color w:val="000000"/>
                <w:sz w:val="20"/>
                <w:szCs w:val="20"/>
              </w:rPr>
              <w:t>DOWN-GRADE</w:t>
            </w:r>
          </w:p>
          <w:p w:rsidR="00CC6E52" w:rsidRDefault="00CC6E52" w:rsidP="00E85C02">
            <w:pPr>
              <w:ind w:left="-144" w:right="-144"/>
              <w:jc w:val="center"/>
              <w:rPr>
                <w:rFonts w:ascii="Calibri" w:hAnsi="Calibri" w:cs="Calibri"/>
                <w:b/>
                <w:bCs/>
                <w:color w:val="000000"/>
                <w:sz w:val="20"/>
                <w:szCs w:val="20"/>
              </w:rPr>
            </w:pPr>
            <w:r>
              <w:rPr>
                <w:b/>
                <w:bCs/>
                <w:color w:val="000000"/>
                <w:sz w:val="20"/>
                <w:szCs w:val="20"/>
              </w:rPr>
              <w:t>(levels)</w:t>
            </w:r>
          </w:p>
        </w:tc>
      </w:tr>
      <w:tr w:rsidR="00CC6E52" w:rsidTr="00E85C02">
        <w:trPr>
          <w:trHeight w:val="342"/>
        </w:trPr>
        <w:tc>
          <w:tcPr>
            <w:tcW w:w="11027" w:type="dxa"/>
            <w:gridSpan w:val="6"/>
            <w:tcBorders>
              <w:top w:val="nil"/>
              <w:left w:val="single" w:sz="8" w:space="0" w:color="auto"/>
              <w:bottom w:val="single" w:sz="8" w:space="0" w:color="auto"/>
              <w:right w:val="single" w:sz="8" w:space="0" w:color="auto"/>
            </w:tcBorders>
            <w:shd w:val="clear" w:color="auto" w:fill="D9D9D9"/>
            <w:tcMar>
              <w:top w:w="72" w:type="dxa"/>
              <w:left w:w="144" w:type="dxa"/>
              <w:bottom w:w="72" w:type="dxa"/>
              <w:right w:w="144" w:type="dxa"/>
            </w:tcMar>
            <w:hideMark/>
          </w:tcPr>
          <w:p w:rsidR="00CC6E52" w:rsidRPr="00D70F40" w:rsidRDefault="00CC6E52" w:rsidP="00E85C02">
            <w:pPr>
              <w:rPr>
                <w:color w:val="000000"/>
                <w:sz w:val="20"/>
                <w:szCs w:val="20"/>
              </w:rPr>
            </w:pPr>
            <w:r w:rsidRPr="00A3519A">
              <w:rPr>
                <w:b/>
                <w:sz w:val="20"/>
                <w:szCs w:val="20"/>
              </w:rPr>
              <w:t>Question 1: What is the comparative effectiveness and safety of operative versus non</w:t>
            </w:r>
            <w:r>
              <w:rPr>
                <w:b/>
                <w:sz w:val="20"/>
                <w:szCs w:val="20"/>
              </w:rPr>
              <w:t>-operative treatments for cervicalC</w:t>
            </w:r>
            <w:r w:rsidRPr="00A3519A">
              <w:rPr>
                <w:b/>
                <w:sz w:val="20"/>
                <w:szCs w:val="20"/>
              </w:rPr>
              <w:t>AS</w:t>
            </w:r>
            <w:r>
              <w:rPr>
                <w:b/>
                <w:sz w:val="20"/>
                <w:szCs w:val="20"/>
              </w:rPr>
              <w:t>P</w:t>
            </w:r>
          </w:p>
        </w:tc>
      </w:tr>
      <w:tr w:rsidR="00CC6E52" w:rsidTr="00E85C02">
        <w:trPr>
          <w:trHeight w:val="28"/>
        </w:trPr>
        <w:tc>
          <w:tcPr>
            <w:tcW w:w="1976" w:type="dxa"/>
            <w:tcBorders>
              <w:top w:val="nil"/>
              <w:left w:val="single" w:sz="8" w:space="0" w:color="auto"/>
              <w:bottom w:val="nil"/>
              <w:right w:val="single" w:sz="8" w:space="0" w:color="auto"/>
            </w:tcBorders>
            <w:tcMar>
              <w:top w:w="72" w:type="dxa"/>
              <w:left w:w="144" w:type="dxa"/>
              <w:bottom w:w="72" w:type="dxa"/>
              <w:right w:w="144" w:type="dxa"/>
            </w:tcMar>
            <w:hideMark/>
          </w:tcPr>
          <w:p w:rsidR="00CC6E52" w:rsidRDefault="00CC6E52" w:rsidP="00E85C02">
            <w:pPr>
              <w:pStyle w:val="ListParagraph"/>
              <w:ind w:left="73"/>
              <w:rPr>
                <w:color w:val="000000"/>
                <w:sz w:val="20"/>
                <w:szCs w:val="20"/>
              </w:rPr>
            </w:pPr>
            <w:r>
              <w:rPr>
                <w:color w:val="000000"/>
                <w:sz w:val="20"/>
                <w:szCs w:val="20"/>
              </w:rPr>
              <w:t>Operative vs. non-operative treatment</w:t>
            </w:r>
          </w:p>
        </w:tc>
        <w:tc>
          <w:tcPr>
            <w:tcW w:w="1624" w:type="dxa"/>
            <w:tcBorders>
              <w:top w:val="nil"/>
              <w:left w:val="nil"/>
              <w:bottom w:val="nil"/>
              <w:right w:val="single" w:sz="8" w:space="0" w:color="auto"/>
            </w:tcBorders>
            <w:tcMar>
              <w:top w:w="72" w:type="dxa"/>
              <w:left w:w="144" w:type="dxa"/>
              <w:bottom w:w="72" w:type="dxa"/>
              <w:right w:w="144" w:type="dxa"/>
            </w:tcMar>
            <w:hideMark/>
          </w:tcPr>
          <w:p w:rsidR="00CC6E52" w:rsidRPr="00D86AB8" w:rsidRDefault="00CC6E52" w:rsidP="00E85C02">
            <w:pPr>
              <w:ind w:left="40" w:right="-144"/>
              <w:rPr>
                <w:rFonts w:ascii="Calibri" w:hAnsi="Calibri" w:cs="Calibri"/>
                <w:bCs/>
                <w:color w:val="000000"/>
                <w:sz w:val="20"/>
                <w:szCs w:val="20"/>
              </w:rPr>
            </w:pPr>
            <w:r w:rsidRPr="00D86AB8">
              <w:rPr>
                <w:bCs/>
                <w:color w:val="000000"/>
                <w:sz w:val="20"/>
                <w:szCs w:val="20"/>
              </w:rPr>
              <w:t>INSUFFICIENT</w:t>
            </w:r>
          </w:p>
        </w:tc>
        <w:tc>
          <w:tcPr>
            <w:tcW w:w="3060" w:type="dxa"/>
            <w:tcBorders>
              <w:top w:val="nil"/>
              <w:left w:val="nil"/>
              <w:bottom w:val="nil"/>
              <w:right w:val="single" w:sz="8" w:space="0" w:color="auto"/>
            </w:tcBorders>
            <w:tcMar>
              <w:top w:w="72" w:type="dxa"/>
              <w:left w:w="144" w:type="dxa"/>
              <w:bottom w:w="72" w:type="dxa"/>
              <w:right w:w="144" w:type="dxa"/>
            </w:tcMar>
            <w:hideMark/>
          </w:tcPr>
          <w:p w:rsidR="00CC6E52" w:rsidRPr="0087384F" w:rsidRDefault="00CC6E52" w:rsidP="00E85C02">
            <w:pPr>
              <w:rPr>
                <w:sz w:val="20"/>
                <w:szCs w:val="20"/>
              </w:rPr>
            </w:pPr>
            <w:r>
              <w:rPr>
                <w:sz w:val="20"/>
                <w:szCs w:val="20"/>
              </w:rPr>
              <w:t>No studies identified</w:t>
            </w:r>
          </w:p>
        </w:tc>
        <w:tc>
          <w:tcPr>
            <w:tcW w:w="1620" w:type="dxa"/>
            <w:tcBorders>
              <w:top w:val="nil"/>
              <w:left w:val="nil"/>
              <w:bottom w:val="nil"/>
              <w:right w:val="single" w:sz="8" w:space="0" w:color="auto"/>
            </w:tcBorders>
          </w:tcPr>
          <w:p w:rsidR="00CC6E52" w:rsidRDefault="00CC6E52" w:rsidP="00E85C02">
            <w:pPr>
              <w:ind w:left="47" w:right="90"/>
              <w:rPr>
                <w:rFonts w:ascii="Calibri" w:hAnsi="Calibri" w:cs="Calibri"/>
                <w:color w:val="000000"/>
                <w:sz w:val="20"/>
                <w:szCs w:val="20"/>
              </w:rPr>
            </w:pPr>
            <w:r>
              <w:rPr>
                <w:color w:val="000000"/>
                <w:sz w:val="20"/>
                <w:szCs w:val="20"/>
              </w:rPr>
              <w:t>INSUFFICIENT</w:t>
            </w:r>
          </w:p>
          <w:p w:rsidR="00CC6E52" w:rsidRDefault="00CC6E52" w:rsidP="00CC6E52">
            <w:pPr>
              <w:numPr>
                <w:ilvl w:val="0"/>
                <w:numId w:val="1"/>
              </w:numPr>
              <w:ind w:left="129" w:right="-58" w:hanging="187"/>
              <w:rPr>
                <w:rFonts w:ascii="Calibri" w:hAnsi="Calibri" w:cs="Calibri"/>
                <w:color w:val="000000"/>
                <w:sz w:val="20"/>
                <w:szCs w:val="20"/>
              </w:rPr>
            </w:pPr>
          </w:p>
        </w:tc>
        <w:tc>
          <w:tcPr>
            <w:tcW w:w="1037" w:type="dxa"/>
            <w:tcBorders>
              <w:top w:val="nil"/>
              <w:left w:val="nil"/>
              <w:bottom w:val="nil"/>
              <w:right w:val="single" w:sz="8" w:space="0" w:color="auto"/>
            </w:tcBorders>
            <w:hideMark/>
          </w:tcPr>
          <w:p w:rsidR="00CC6E52" w:rsidRDefault="00CC6E52" w:rsidP="00E85C02">
            <w:pPr>
              <w:ind w:left="129" w:right="-58"/>
              <w:rPr>
                <w:rFonts w:ascii="Calibri" w:hAnsi="Calibri" w:cs="Calibri"/>
                <w:color w:val="000000"/>
                <w:sz w:val="20"/>
                <w:szCs w:val="20"/>
              </w:rPr>
            </w:pPr>
            <w:r>
              <w:rPr>
                <w:color w:val="000000"/>
                <w:sz w:val="20"/>
                <w:szCs w:val="20"/>
              </w:rPr>
              <w:t>NO</w:t>
            </w:r>
          </w:p>
        </w:tc>
        <w:tc>
          <w:tcPr>
            <w:tcW w:w="1710" w:type="dxa"/>
            <w:tcBorders>
              <w:top w:val="nil"/>
              <w:left w:val="nil"/>
              <w:bottom w:val="nil"/>
              <w:right w:val="single" w:sz="8" w:space="0" w:color="auto"/>
            </w:tcBorders>
            <w:hideMark/>
          </w:tcPr>
          <w:p w:rsidR="00CC6E52" w:rsidRDefault="00CC6E52" w:rsidP="00E85C02">
            <w:pPr>
              <w:ind w:left="-58" w:right="-58"/>
              <w:jc w:val="center"/>
              <w:rPr>
                <w:rFonts w:ascii="Calibri" w:hAnsi="Calibri" w:cs="Calibri"/>
                <w:color w:val="000000"/>
                <w:sz w:val="20"/>
                <w:szCs w:val="20"/>
              </w:rPr>
            </w:pPr>
            <w:r>
              <w:rPr>
                <w:color w:val="000000"/>
                <w:sz w:val="20"/>
                <w:szCs w:val="20"/>
              </w:rPr>
              <w:t>NO</w:t>
            </w:r>
          </w:p>
        </w:tc>
      </w:tr>
      <w:tr w:rsidR="00CC6E52" w:rsidTr="00E85C02">
        <w:trPr>
          <w:trHeight w:val="28"/>
        </w:trPr>
        <w:tc>
          <w:tcPr>
            <w:tcW w:w="11027" w:type="dxa"/>
            <w:gridSpan w:val="6"/>
            <w:tcBorders>
              <w:top w:val="single" w:sz="8" w:space="0" w:color="auto"/>
              <w:left w:val="single" w:sz="8" w:space="0" w:color="auto"/>
              <w:bottom w:val="single" w:sz="8" w:space="0" w:color="000000"/>
              <w:right w:val="single" w:sz="8" w:space="0" w:color="auto"/>
            </w:tcBorders>
            <w:shd w:val="clear" w:color="auto" w:fill="D9D9D9"/>
            <w:tcMar>
              <w:top w:w="72" w:type="dxa"/>
              <w:left w:w="144" w:type="dxa"/>
              <w:bottom w:w="72" w:type="dxa"/>
              <w:right w:w="144" w:type="dxa"/>
            </w:tcMar>
            <w:hideMark/>
          </w:tcPr>
          <w:p w:rsidR="00CC6E52" w:rsidRDefault="00CC6E52" w:rsidP="00E85C02">
            <w:pPr>
              <w:ind w:left="-58" w:right="-58"/>
              <w:rPr>
                <w:rFonts w:ascii="Calibri" w:hAnsi="Calibri" w:cs="Calibri"/>
                <w:color w:val="000000"/>
                <w:sz w:val="20"/>
                <w:szCs w:val="20"/>
              </w:rPr>
            </w:pPr>
            <w:r w:rsidRPr="00D70F40">
              <w:rPr>
                <w:b/>
                <w:color w:val="000000"/>
                <w:sz w:val="20"/>
                <w:szCs w:val="20"/>
              </w:rPr>
              <w:t>Question 2:</w:t>
            </w:r>
            <w:r w:rsidRPr="00D34177">
              <w:rPr>
                <w:b/>
                <w:bCs/>
                <w:sz w:val="20"/>
                <w:szCs w:val="20"/>
              </w:rPr>
              <w:t xml:space="preserve"> Describe the outcomes of surgical treatment of</w:t>
            </w:r>
            <w:r>
              <w:rPr>
                <w:b/>
                <w:bCs/>
                <w:sz w:val="20"/>
                <w:szCs w:val="20"/>
              </w:rPr>
              <w:t xml:space="preserve"> clinical</w:t>
            </w:r>
            <w:r w:rsidRPr="00D34177">
              <w:rPr>
                <w:b/>
                <w:bCs/>
                <w:sz w:val="20"/>
                <w:szCs w:val="20"/>
              </w:rPr>
              <w:t xml:space="preserve"> adjacent segment pathology (</w:t>
            </w:r>
            <w:r>
              <w:rPr>
                <w:b/>
                <w:bCs/>
                <w:sz w:val="20"/>
                <w:szCs w:val="20"/>
              </w:rPr>
              <w:t>C</w:t>
            </w:r>
            <w:r w:rsidRPr="00D34177">
              <w:rPr>
                <w:b/>
                <w:bCs/>
                <w:sz w:val="20"/>
                <w:szCs w:val="20"/>
              </w:rPr>
              <w:t>ASP).</w:t>
            </w:r>
          </w:p>
        </w:tc>
      </w:tr>
      <w:tr w:rsidR="00CC6E52" w:rsidTr="00E85C02">
        <w:trPr>
          <w:trHeight w:val="28"/>
        </w:trPr>
        <w:tc>
          <w:tcPr>
            <w:tcW w:w="1976" w:type="dxa"/>
            <w:tcBorders>
              <w:top w:val="nil"/>
              <w:left w:val="single" w:sz="8" w:space="0" w:color="auto"/>
              <w:bottom w:val="single" w:sz="8" w:space="0" w:color="000000"/>
              <w:right w:val="single" w:sz="8" w:space="0" w:color="000000"/>
            </w:tcBorders>
            <w:tcMar>
              <w:top w:w="72" w:type="dxa"/>
              <w:left w:w="144" w:type="dxa"/>
              <w:bottom w:w="72" w:type="dxa"/>
              <w:right w:w="144" w:type="dxa"/>
            </w:tcMar>
          </w:tcPr>
          <w:p w:rsidR="00CC6E52" w:rsidRDefault="00CC6E52" w:rsidP="00E85C02">
            <w:pPr>
              <w:pStyle w:val="ListParagraph"/>
              <w:ind w:left="73"/>
              <w:rPr>
                <w:sz w:val="20"/>
                <w:szCs w:val="20"/>
              </w:rPr>
            </w:pPr>
            <w:r>
              <w:rPr>
                <w:sz w:val="20"/>
                <w:szCs w:val="20"/>
              </w:rPr>
              <w:t>Surgical treatment</w:t>
            </w:r>
          </w:p>
        </w:tc>
        <w:tc>
          <w:tcPr>
            <w:tcW w:w="1624" w:type="dxa"/>
            <w:tcBorders>
              <w:top w:val="nil"/>
              <w:left w:val="nil"/>
              <w:bottom w:val="single" w:sz="8" w:space="0" w:color="000000"/>
              <w:right w:val="single" w:sz="8" w:space="0" w:color="000000"/>
            </w:tcBorders>
            <w:tcMar>
              <w:top w:w="72" w:type="dxa"/>
              <w:left w:w="144" w:type="dxa"/>
              <w:bottom w:w="72" w:type="dxa"/>
              <w:right w:w="144" w:type="dxa"/>
            </w:tcMar>
          </w:tcPr>
          <w:p w:rsidR="00CC6E52" w:rsidRPr="008C6178" w:rsidRDefault="00CC6E52" w:rsidP="00E85C02">
            <w:pPr>
              <w:ind w:left="-3" w:right="-107"/>
              <w:rPr>
                <w:sz w:val="20"/>
                <w:szCs w:val="20"/>
              </w:rPr>
            </w:pPr>
            <w:r w:rsidRPr="00D86AB8">
              <w:rPr>
                <w:bCs/>
                <w:color w:val="000000"/>
                <w:sz w:val="20"/>
                <w:szCs w:val="20"/>
              </w:rPr>
              <w:t>INSUFFICIENT</w:t>
            </w:r>
          </w:p>
        </w:tc>
        <w:tc>
          <w:tcPr>
            <w:tcW w:w="3060" w:type="dxa"/>
            <w:tcBorders>
              <w:top w:val="nil"/>
              <w:left w:val="nil"/>
              <w:bottom w:val="single" w:sz="8" w:space="0" w:color="000000"/>
              <w:right w:val="single" w:sz="8" w:space="0" w:color="auto"/>
            </w:tcBorders>
            <w:tcMar>
              <w:top w:w="72" w:type="dxa"/>
              <w:left w:w="144" w:type="dxa"/>
              <w:bottom w:w="72" w:type="dxa"/>
              <w:right w:w="144" w:type="dxa"/>
            </w:tcMar>
          </w:tcPr>
          <w:p w:rsidR="00CC6E52" w:rsidRDefault="00CC6E52" w:rsidP="00E85C02">
            <w:pPr>
              <w:rPr>
                <w:sz w:val="20"/>
                <w:szCs w:val="20"/>
              </w:rPr>
            </w:pPr>
            <w:r>
              <w:rPr>
                <w:sz w:val="20"/>
                <w:szCs w:val="20"/>
              </w:rPr>
              <w:t xml:space="preserve">Retrospective case series (LoE IV) described favorable outcomes after laminoplasty (2 studies) and fusion with ACDF or corpectomy (1 study).  </w:t>
            </w:r>
          </w:p>
          <w:p w:rsidR="00CC6E52" w:rsidRDefault="00CC6E52" w:rsidP="00E85C02">
            <w:pPr>
              <w:rPr>
                <w:sz w:val="20"/>
                <w:szCs w:val="20"/>
              </w:rPr>
            </w:pPr>
          </w:p>
          <w:p w:rsidR="00CC6E52" w:rsidRPr="008C6178" w:rsidRDefault="00CC6E52" w:rsidP="00E85C02">
            <w:pPr>
              <w:rPr>
                <w:sz w:val="20"/>
                <w:szCs w:val="20"/>
              </w:rPr>
            </w:pPr>
            <w:r>
              <w:rPr>
                <w:sz w:val="20"/>
                <w:szCs w:val="20"/>
              </w:rPr>
              <w:t>A prospective study compared VAS pain scores and NDI among 26 patients who received disc arthroplasty for CASP compared with 126 patients who underwent primary disc arthroplasty.  Similar outcomes were reported for both groups, but large standard deviations are noted.</w:t>
            </w:r>
          </w:p>
        </w:tc>
        <w:tc>
          <w:tcPr>
            <w:tcW w:w="1620" w:type="dxa"/>
            <w:tcBorders>
              <w:top w:val="nil"/>
              <w:left w:val="nil"/>
              <w:bottom w:val="single" w:sz="8" w:space="0" w:color="000000"/>
              <w:right w:val="single" w:sz="8" w:space="0" w:color="auto"/>
            </w:tcBorders>
          </w:tcPr>
          <w:p w:rsidR="00CC6E52" w:rsidRDefault="00CC6E52" w:rsidP="00E85C02">
            <w:pPr>
              <w:ind w:left="137" w:right="90"/>
              <w:rPr>
                <w:rFonts w:ascii="Calibri" w:hAnsi="Calibri" w:cs="Calibri"/>
                <w:color w:val="000000"/>
                <w:sz w:val="20"/>
                <w:szCs w:val="20"/>
              </w:rPr>
            </w:pPr>
            <w:r>
              <w:rPr>
                <w:color w:val="000000"/>
                <w:sz w:val="20"/>
                <w:szCs w:val="20"/>
              </w:rPr>
              <w:t>INSUFFICIENT</w:t>
            </w:r>
          </w:p>
          <w:p w:rsidR="00CC6E52" w:rsidRDefault="00CC6E52" w:rsidP="00E85C02">
            <w:pPr>
              <w:ind w:left="137" w:right="-58"/>
              <w:rPr>
                <w:rFonts w:ascii="Calibri" w:hAnsi="Calibri" w:cs="Calibri"/>
                <w:color w:val="000000"/>
                <w:sz w:val="20"/>
                <w:szCs w:val="20"/>
              </w:rPr>
            </w:pPr>
          </w:p>
        </w:tc>
        <w:tc>
          <w:tcPr>
            <w:tcW w:w="1037" w:type="dxa"/>
            <w:tcBorders>
              <w:top w:val="nil"/>
              <w:left w:val="nil"/>
              <w:bottom w:val="single" w:sz="8" w:space="0" w:color="000000"/>
              <w:right w:val="single" w:sz="8" w:space="0" w:color="auto"/>
            </w:tcBorders>
          </w:tcPr>
          <w:p w:rsidR="00CC6E52" w:rsidRDefault="00CC6E52" w:rsidP="00E85C02">
            <w:pPr>
              <w:ind w:left="-58" w:right="-58"/>
              <w:jc w:val="center"/>
              <w:rPr>
                <w:rFonts w:ascii="Calibri" w:hAnsi="Calibri" w:cs="Calibri"/>
                <w:color w:val="000000"/>
                <w:sz w:val="20"/>
                <w:szCs w:val="20"/>
              </w:rPr>
            </w:pPr>
            <w:r>
              <w:rPr>
                <w:color w:val="000000"/>
                <w:sz w:val="20"/>
                <w:szCs w:val="20"/>
              </w:rPr>
              <w:t>NO</w:t>
            </w:r>
          </w:p>
        </w:tc>
        <w:tc>
          <w:tcPr>
            <w:tcW w:w="1710" w:type="dxa"/>
            <w:tcBorders>
              <w:top w:val="nil"/>
              <w:left w:val="nil"/>
              <w:bottom w:val="single" w:sz="8" w:space="0" w:color="000000"/>
              <w:right w:val="single" w:sz="8" w:space="0" w:color="auto"/>
            </w:tcBorders>
          </w:tcPr>
          <w:p w:rsidR="00CC6E52" w:rsidRDefault="00CC6E52" w:rsidP="00E85C02">
            <w:pPr>
              <w:ind w:left="-58" w:right="-58"/>
              <w:jc w:val="center"/>
              <w:rPr>
                <w:rFonts w:ascii="Calibri" w:hAnsi="Calibri" w:cs="Calibri"/>
                <w:color w:val="000000"/>
                <w:sz w:val="20"/>
                <w:szCs w:val="20"/>
              </w:rPr>
            </w:pPr>
            <w:r>
              <w:rPr>
                <w:color w:val="000000"/>
                <w:sz w:val="20"/>
                <w:szCs w:val="20"/>
              </w:rPr>
              <w:t>NO</w:t>
            </w:r>
          </w:p>
        </w:tc>
      </w:tr>
      <w:tr w:rsidR="00CC6E52" w:rsidTr="00E85C02">
        <w:trPr>
          <w:trHeight w:val="28"/>
        </w:trPr>
        <w:tc>
          <w:tcPr>
            <w:tcW w:w="1976" w:type="dxa"/>
            <w:tcBorders>
              <w:top w:val="nil"/>
              <w:left w:val="single" w:sz="8" w:space="0" w:color="auto"/>
              <w:bottom w:val="single" w:sz="8" w:space="0" w:color="000000"/>
              <w:right w:val="single" w:sz="8" w:space="0" w:color="000000"/>
            </w:tcBorders>
            <w:tcMar>
              <w:top w:w="72" w:type="dxa"/>
              <w:left w:w="144" w:type="dxa"/>
              <w:bottom w:w="72" w:type="dxa"/>
              <w:right w:w="144" w:type="dxa"/>
            </w:tcMar>
          </w:tcPr>
          <w:p w:rsidR="00CC6E52" w:rsidRDefault="00CC6E52" w:rsidP="00E85C02">
            <w:pPr>
              <w:pStyle w:val="ListParagraph"/>
              <w:ind w:left="73"/>
              <w:rPr>
                <w:sz w:val="20"/>
                <w:szCs w:val="20"/>
              </w:rPr>
            </w:pPr>
            <w:r>
              <w:rPr>
                <w:sz w:val="20"/>
                <w:szCs w:val="20"/>
              </w:rPr>
              <w:lastRenderedPageBreak/>
              <w:t>Risk factors</w:t>
            </w:r>
          </w:p>
        </w:tc>
        <w:tc>
          <w:tcPr>
            <w:tcW w:w="1624" w:type="dxa"/>
            <w:tcBorders>
              <w:top w:val="nil"/>
              <w:left w:val="nil"/>
              <w:bottom w:val="single" w:sz="8" w:space="0" w:color="000000"/>
              <w:right w:val="single" w:sz="8" w:space="0" w:color="000000"/>
            </w:tcBorders>
            <w:tcMar>
              <w:top w:w="72" w:type="dxa"/>
              <w:left w:w="144" w:type="dxa"/>
              <w:bottom w:w="72" w:type="dxa"/>
              <w:right w:w="144" w:type="dxa"/>
            </w:tcMar>
          </w:tcPr>
          <w:p w:rsidR="00CC6E52" w:rsidRPr="008C6178" w:rsidRDefault="00CC6E52" w:rsidP="00E85C02">
            <w:pPr>
              <w:ind w:left="-3" w:right="-107"/>
              <w:rPr>
                <w:sz w:val="20"/>
                <w:szCs w:val="20"/>
              </w:rPr>
            </w:pPr>
            <w:r w:rsidRPr="00D86AB8">
              <w:rPr>
                <w:bCs/>
                <w:color w:val="000000"/>
                <w:sz w:val="20"/>
                <w:szCs w:val="20"/>
              </w:rPr>
              <w:t>INSUFFICIENT</w:t>
            </w:r>
          </w:p>
        </w:tc>
        <w:tc>
          <w:tcPr>
            <w:tcW w:w="3060" w:type="dxa"/>
            <w:tcBorders>
              <w:top w:val="nil"/>
              <w:left w:val="nil"/>
              <w:bottom w:val="single" w:sz="8" w:space="0" w:color="000000"/>
              <w:right w:val="single" w:sz="8" w:space="0" w:color="auto"/>
            </w:tcBorders>
            <w:tcMar>
              <w:top w:w="72" w:type="dxa"/>
              <w:left w:w="144" w:type="dxa"/>
              <w:bottom w:w="72" w:type="dxa"/>
              <w:right w:w="144" w:type="dxa"/>
            </w:tcMar>
          </w:tcPr>
          <w:p w:rsidR="00CC6E52" w:rsidRPr="008C6178" w:rsidRDefault="00CC6E52" w:rsidP="00E85C02">
            <w:pPr>
              <w:rPr>
                <w:sz w:val="20"/>
                <w:szCs w:val="20"/>
              </w:rPr>
            </w:pPr>
            <w:r>
              <w:rPr>
                <w:sz w:val="20"/>
                <w:szCs w:val="20"/>
              </w:rPr>
              <w:t>The location of fusion with respect to CASP was a marginally significant factor in one study, with higher rates of pseudoarthrosis for fusions caudal to the CASP.</w:t>
            </w:r>
          </w:p>
        </w:tc>
        <w:tc>
          <w:tcPr>
            <w:tcW w:w="1620" w:type="dxa"/>
            <w:tcBorders>
              <w:top w:val="nil"/>
              <w:left w:val="nil"/>
              <w:bottom w:val="single" w:sz="8" w:space="0" w:color="000000"/>
              <w:right w:val="single" w:sz="8" w:space="0" w:color="auto"/>
            </w:tcBorders>
          </w:tcPr>
          <w:p w:rsidR="00CC6E52" w:rsidRDefault="00CC6E52" w:rsidP="00E85C02">
            <w:pPr>
              <w:ind w:left="137" w:right="90"/>
              <w:rPr>
                <w:rFonts w:ascii="Calibri" w:hAnsi="Calibri" w:cs="Calibri"/>
                <w:color w:val="000000"/>
                <w:sz w:val="20"/>
                <w:szCs w:val="20"/>
              </w:rPr>
            </w:pPr>
            <w:r>
              <w:rPr>
                <w:color w:val="000000"/>
                <w:sz w:val="20"/>
                <w:szCs w:val="20"/>
              </w:rPr>
              <w:t>INSUFFICIENT</w:t>
            </w:r>
          </w:p>
          <w:p w:rsidR="00CC6E52" w:rsidRDefault="00CC6E52" w:rsidP="00E85C02">
            <w:pPr>
              <w:ind w:left="129" w:right="-58"/>
              <w:rPr>
                <w:rFonts w:ascii="Calibri" w:hAnsi="Calibri" w:cs="Calibri"/>
                <w:color w:val="000000"/>
                <w:sz w:val="20"/>
                <w:szCs w:val="20"/>
              </w:rPr>
            </w:pPr>
          </w:p>
        </w:tc>
        <w:tc>
          <w:tcPr>
            <w:tcW w:w="1037" w:type="dxa"/>
            <w:tcBorders>
              <w:top w:val="nil"/>
              <w:left w:val="nil"/>
              <w:bottom w:val="single" w:sz="8" w:space="0" w:color="000000"/>
              <w:right w:val="single" w:sz="8" w:space="0" w:color="auto"/>
            </w:tcBorders>
          </w:tcPr>
          <w:p w:rsidR="00CC6E52" w:rsidRDefault="00CC6E52" w:rsidP="00E85C02">
            <w:pPr>
              <w:ind w:left="-58" w:right="-58"/>
              <w:jc w:val="center"/>
              <w:rPr>
                <w:rFonts w:ascii="Calibri" w:hAnsi="Calibri" w:cs="Calibri"/>
                <w:color w:val="000000"/>
                <w:sz w:val="20"/>
                <w:szCs w:val="20"/>
              </w:rPr>
            </w:pPr>
            <w:r>
              <w:rPr>
                <w:color w:val="000000"/>
                <w:sz w:val="20"/>
                <w:szCs w:val="20"/>
              </w:rPr>
              <w:t>NO</w:t>
            </w:r>
          </w:p>
        </w:tc>
        <w:tc>
          <w:tcPr>
            <w:tcW w:w="1710" w:type="dxa"/>
            <w:tcBorders>
              <w:top w:val="nil"/>
              <w:left w:val="nil"/>
              <w:bottom w:val="single" w:sz="8" w:space="0" w:color="000000"/>
              <w:right w:val="single" w:sz="8" w:space="0" w:color="auto"/>
            </w:tcBorders>
          </w:tcPr>
          <w:p w:rsidR="00CC6E52" w:rsidRDefault="00CC6E52" w:rsidP="00E85C02">
            <w:pPr>
              <w:ind w:left="-58" w:right="-58"/>
              <w:jc w:val="center"/>
              <w:rPr>
                <w:rFonts w:ascii="Calibri" w:hAnsi="Calibri" w:cs="Calibri"/>
                <w:color w:val="000000"/>
                <w:sz w:val="20"/>
                <w:szCs w:val="20"/>
              </w:rPr>
            </w:pPr>
            <w:r>
              <w:rPr>
                <w:color w:val="000000"/>
                <w:sz w:val="20"/>
                <w:szCs w:val="20"/>
              </w:rPr>
              <w:t>NO</w:t>
            </w:r>
          </w:p>
        </w:tc>
      </w:tr>
    </w:tbl>
    <w:p w:rsidR="00CC6E52" w:rsidRDefault="00CC6E52" w:rsidP="00CC6E52">
      <w:pPr>
        <w:rPr>
          <w:sz w:val="20"/>
          <w:szCs w:val="20"/>
        </w:rPr>
      </w:pPr>
    </w:p>
    <w:p w:rsidR="00CC6E52" w:rsidRDefault="00CC6E52" w:rsidP="00732F96">
      <w:pPr>
        <w:rPr>
          <w:sz w:val="20"/>
          <w:szCs w:val="20"/>
        </w:rPr>
      </w:pPr>
    </w:p>
    <w:p w:rsidR="00CC6E52" w:rsidRDefault="00CC6E52" w:rsidP="00732F96">
      <w:pPr>
        <w:rPr>
          <w:sz w:val="20"/>
          <w:szCs w:val="20"/>
        </w:rPr>
      </w:pPr>
    </w:p>
    <w:p w:rsidR="00CC6E52" w:rsidRDefault="00CC6E52" w:rsidP="00732F96">
      <w:pPr>
        <w:rPr>
          <w:sz w:val="20"/>
          <w:szCs w:val="20"/>
        </w:rPr>
      </w:pPr>
    </w:p>
    <w:p w:rsidR="00CC6E52" w:rsidRDefault="00CC6E52" w:rsidP="00732F96">
      <w:pPr>
        <w:rPr>
          <w:sz w:val="20"/>
          <w:szCs w:val="20"/>
        </w:rPr>
      </w:pPr>
    </w:p>
    <w:p w:rsidR="00732F96" w:rsidRPr="00CC6E52" w:rsidRDefault="00CC6E52" w:rsidP="00732F96">
      <w:pPr>
        <w:rPr>
          <w:b/>
          <w:sz w:val="20"/>
          <w:szCs w:val="20"/>
        </w:rPr>
      </w:pPr>
      <w:r>
        <w:rPr>
          <w:b/>
          <w:sz w:val="20"/>
          <w:szCs w:val="20"/>
        </w:rPr>
        <w:t xml:space="preserve">Evidence </w:t>
      </w:r>
      <w:r w:rsidR="00732F96" w:rsidRPr="00CC6E52">
        <w:rPr>
          <w:b/>
          <w:sz w:val="20"/>
          <w:szCs w:val="20"/>
        </w:rPr>
        <w:t>table for the treatment of cervical ASD:</w:t>
      </w:r>
    </w:p>
    <w:tbl>
      <w:tblPr>
        <w:tblStyle w:val="TableGrid"/>
        <w:tblW w:w="0" w:type="auto"/>
        <w:tblLook w:val="04A0"/>
      </w:tblPr>
      <w:tblGrid>
        <w:gridCol w:w="1377"/>
        <w:gridCol w:w="1499"/>
        <w:gridCol w:w="1401"/>
        <w:gridCol w:w="1265"/>
        <w:gridCol w:w="1352"/>
        <w:gridCol w:w="1521"/>
        <w:gridCol w:w="1161"/>
      </w:tblGrid>
      <w:tr w:rsidR="00732F96" w:rsidRPr="009C3AE5" w:rsidTr="0060407E">
        <w:tc>
          <w:tcPr>
            <w:tcW w:w="1377" w:type="dxa"/>
            <w:shd w:val="clear" w:color="auto" w:fill="A6A6A6" w:themeFill="background1" w:themeFillShade="A6"/>
          </w:tcPr>
          <w:p w:rsidR="00732F96" w:rsidRPr="009C3AE5" w:rsidRDefault="00732F96" w:rsidP="00205DBC">
            <w:pPr>
              <w:jc w:val="center"/>
              <w:rPr>
                <w:sz w:val="20"/>
                <w:szCs w:val="20"/>
              </w:rPr>
            </w:pPr>
            <w:r w:rsidRPr="009C3AE5">
              <w:rPr>
                <w:sz w:val="20"/>
                <w:szCs w:val="20"/>
              </w:rPr>
              <w:t>Author (year)</w:t>
            </w:r>
          </w:p>
          <w:p w:rsidR="00732F96" w:rsidRPr="009C3AE5" w:rsidRDefault="00732F96" w:rsidP="00205DBC">
            <w:pPr>
              <w:jc w:val="center"/>
              <w:rPr>
                <w:sz w:val="20"/>
                <w:szCs w:val="20"/>
              </w:rPr>
            </w:pPr>
            <w:r w:rsidRPr="009C3AE5">
              <w:rPr>
                <w:sz w:val="20"/>
                <w:szCs w:val="20"/>
              </w:rPr>
              <w:t>Study type (LoE)</w:t>
            </w:r>
          </w:p>
        </w:tc>
        <w:tc>
          <w:tcPr>
            <w:tcW w:w="1499" w:type="dxa"/>
            <w:shd w:val="clear" w:color="auto" w:fill="A6A6A6" w:themeFill="background1" w:themeFillShade="A6"/>
          </w:tcPr>
          <w:p w:rsidR="00732F96" w:rsidRPr="009C3AE5" w:rsidRDefault="00732F96" w:rsidP="00205DBC">
            <w:pPr>
              <w:jc w:val="center"/>
              <w:rPr>
                <w:sz w:val="20"/>
                <w:szCs w:val="20"/>
              </w:rPr>
            </w:pPr>
            <w:r w:rsidRPr="009C3AE5">
              <w:rPr>
                <w:sz w:val="20"/>
                <w:szCs w:val="20"/>
              </w:rPr>
              <w:t>Demographics</w:t>
            </w:r>
          </w:p>
        </w:tc>
        <w:tc>
          <w:tcPr>
            <w:tcW w:w="1401" w:type="dxa"/>
            <w:shd w:val="clear" w:color="auto" w:fill="A6A6A6" w:themeFill="background1" w:themeFillShade="A6"/>
          </w:tcPr>
          <w:p w:rsidR="00732F96" w:rsidRPr="009C3AE5" w:rsidRDefault="00732F96" w:rsidP="00205DBC">
            <w:pPr>
              <w:jc w:val="center"/>
              <w:rPr>
                <w:sz w:val="20"/>
                <w:szCs w:val="20"/>
              </w:rPr>
            </w:pPr>
            <w:r w:rsidRPr="009C3AE5">
              <w:rPr>
                <w:sz w:val="20"/>
                <w:szCs w:val="20"/>
              </w:rPr>
              <w:t>Definition ASD</w:t>
            </w:r>
          </w:p>
        </w:tc>
        <w:tc>
          <w:tcPr>
            <w:tcW w:w="2617" w:type="dxa"/>
            <w:gridSpan w:val="2"/>
            <w:tcBorders>
              <w:bottom w:val="single" w:sz="4" w:space="0" w:color="auto"/>
            </w:tcBorders>
            <w:shd w:val="clear" w:color="auto" w:fill="A6A6A6" w:themeFill="background1" w:themeFillShade="A6"/>
          </w:tcPr>
          <w:p w:rsidR="00732F96" w:rsidRPr="009C3AE5" w:rsidRDefault="00732F96" w:rsidP="00205DBC">
            <w:pPr>
              <w:jc w:val="center"/>
              <w:rPr>
                <w:sz w:val="20"/>
                <w:szCs w:val="20"/>
              </w:rPr>
            </w:pPr>
            <w:r w:rsidRPr="009C3AE5">
              <w:rPr>
                <w:sz w:val="20"/>
                <w:szCs w:val="20"/>
              </w:rPr>
              <w:t>Treatment</w:t>
            </w:r>
          </w:p>
        </w:tc>
        <w:tc>
          <w:tcPr>
            <w:tcW w:w="2682" w:type="dxa"/>
            <w:gridSpan w:val="2"/>
            <w:tcBorders>
              <w:bottom w:val="single" w:sz="4" w:space="0" w:color="auto"/>
            </w:tcBorders>
            <w:shd w:val="clear" w:color="auto" w:fill="A6A6A6" w:themeFill="background1" w:themeFillShade="A6"/>
          </w:tcPr>
          <w:p w:rsidR="00732F96" w:rsidRPr="009C3AE5" w:rsidRDefault="00732F96" w:rsidP="00205DBC">
            <w:pPr>
              <w:jc w:val="center"/>
              <w:rPr>
                <w:sz w:val="20"/>
                <w:szCs w:val="20"/>
              </w:rPr>
            </w:pPr>
            <w:r w:rsidRPr="009C3AE5">
              <w:rPr>
                <w:sz w:val="20"/>
                <w:szCs w:val="20"/>
              </w:rPr>
              <w:t>Outcomes</w:t>
            </w:r>
          </w:p>
        </w:tc>
      </w:tr>
      <w:tr w:rsidR="0060407E" w:rsidRPr="009C3AE5" w:rsidTr="00784278">
        <w:tc>
          <w:tcPr>
            <w:tcW w:w="4277" w:type="dxa"/>
            <w:gridSpan w:val="3"/>
            <w:tcBorders>
              <w:bottom w:val="single" w:sz="4" w:space="0" w:color="auto"/>
            </w:tcBorders>
            <w:shd w:val="clear" w:color="auto" w:fill="A6A6A6" w:themeFill="background1" w:themeFillShade="A6"/>
          </w:tcPr>
          <w:p w:rsidR="0060407E" w:rsidRPr="009C3AE5" w:rsidRDefault="0060407E" w:rsidP="00205DBC">
            <w:pPr>
              <w:rPr>
                <w:sz w:val="20"/>
                <w:szCs w:val="20"/>
              </w:rPr>
            </w:pPr>
            <w:r w:rsidRPr="009C3AE5">
              <w:rPr>
                <w:sz w:val="20"/>
                <w:szCs w:val="20"/>
              </w:rPr>
              <w:t>Key question 1:</w:t>
            </w:r>
          </w:p>
        </w:tc>
        <w:tc>
          <w:tcPr>
            <w:tcW w:w="1265" w:type="dxa"/>
            <w:tcBorders>
              <w:bottom w:val="single" w:sz="4" w:space="0" w:color="auto"/>
            </w:tcBorders>
            <w:shd w:val="clear" w:color="auto" w:fill="A6A6A6" w:themeFill="background1" w:themeFillShade="A6"/>
          </w:tcPr>
          <w:p w:rsidR="0060407E" w:rsidRPr="009C3AE5" w:rsidRDefault="0060407E" w:rsidP="00205DBC">
            <w:pPr>
              <w:jc w:val="center"/>
              <w:rPr>
                <w:sz w:val="20"/>
                <w:szCs w:val="20"/>
              </w:rPr>
            </w:pPr>
            <w:r w:rsidRPr="009C3AE5">
              <w:rPr>
                <w:sz w:val="20"/>
                <w:szCs w:val="20"/>
              </w:rPr>
              <w:t>Operative</w:t>
            </w:r>
          </w:p>
        </w:tc>
        <w:tc>
          <w:tcPr>
            <w:tcW w:w="1352" w:type="dxa"/>
            <w:tcBorders>
              <w:bottom w:val="single" w:sz="4" w:space="0" w:color="auto"/>
            </w:tcBorders>
            <w:shd w:val="clear" w:color="auto" w:fill="A6A6A6" w:themeFill="background1" w:themeFillShade="A6"/>
          </w:tcPr>
          <w:p w:rsidR="0060407E" w:rsidRPr="009C3AE5" w:rsidRDefault="0060407E" w:rsidP="00205DBC">
            <w:pPr>
              <w:jc w:val="center"/>
              <w:rPr>
                <w:sz w:val="20"/>
                <w:szCs w:val="20"/>
              </w:rPr>
            </w:pPr>
            <w:r w:rsidRPr="009C3AE5">
              <w:rPr>
                <w:sz w:val="20"/>
                <w:szCs w:val="20"/>
              </w:rPr>
              <w:t>Nonoperative</w:t>
            </w:r>
          </w:p>
        </w:tc>
        <w:tc>
          <w:tcPr>
            <w:tcW w:w="1521" w:type="dxa"/>
            <w:tcBorders>
              <w:bottom w:val="single" w:sz="4" w:space="0" w:color="auto"/>
            </w:tcBorders>
            <w:shd w:val="clear" w:color="auto" w:fill="A6A6A6" w:themeFill="background1" w:themeFillShade="A6"/>
          </w:tcPr>
          <w:p w:rsidR="0060407E" w:rsidRPr="009C3AE5" w:rsidRDefault="0060407E" w:rsidP="00205DBC">
            <w:pPr>
              <w:jc w:val="center"/>
              <w:rPr>
                <w:sz w:val="20"/>
                <w:szCs w:val="20"/>
              </w:rPr>
            </w:pPr>
            <w:r w:rsidRPr="009C3AE5">
              <w:rPr>
                <w:sz w:val="20"/>
                <w:szCs w:val="20"/>
              </w:rPr>
              <w:t>Outcomes</w:t>
            </w:r>
          </w:p>
        </w:tc>
        <w:tc>
          <w:tcPr>
            <w:tcW w:w="1161" w:type="dxa"/>
            <w:tcBorders>
              <w:bottom w:val="single" w:sz="4" w:space="0" w:color="auto"/>
            </w:tcBorders>
            <w:shd w:val="clear" w:color="auto" w:fill="A6A6A6" w:themeFill="background1" w:themeFillShade="A6"/>
          </w:tcPr>
          <w:p w:rsidR="0060407E" w:rsidRPr="009C3AE5" w:rsidRDefault="0060407E" w:rsidP="00205DBC">
            <w:pPr>
              <w:jc w:val="center"/>
              <w:rPr>
                <w:sz w:val="20"/>
                <w:szCs w:val="20"/>
              </w:rPr>
            </w:pPr>
            <w:r w:rsidRPr="009C3AE5">
              <w:rPr>
                <w:sz w:val="20"/>
                <w:szCs w:val="20"/>
              </w:rPr>
              <w:t>Statistical</w:t>
            </w:r>
          </w:p>
        </w:tc>
      </w:tr>
      <w:tr w:rsidR="00732F96" w:rsidRPr="009C3AE5" w:rsidTr="0060407E">
        <w:tc>
          <w:tcPr>
            <w:tcW w:w="8415" w:type="dxa"/>
            <w:gridSpan w:val="6"/>
            <w:shd w:val="clear" w:color="auto" w:fill="F2F2F2" w:themeFill="background1" w:themeFillShade="F2"/>
          </w:tcPr>
          <w:p w:rsidR="00732F96" w:rsidRPr="009C3AE5" w:rsidRDefault="00732F96" w:rsidP="00205DBC">
            <w:pPr>
              <w:rPr>
                <w:sz w:val="20"/>
                <w:szCs w:val="20"/>
              </w:rPr>
            </w:pPr>
            <w:r w:rsidRPr="009C3AE5">
              <w:rPr>
                <w:sz w:val="20"/>
                <w:szCs w:val="20"/>
              </w:rPr>
              <w:t>(no comparative studies found)</w:t>
            </w:r>
          </w:p>
        </w:tc>
        <w:tc>
          <w:tcPr>
            <w:tcW w:w="1161" w:type="dxa"/>
            <w:shd w:val="clear" w:color="auto" w:fill="F2F2F2" w:themeFill="background1" w:themeFillShade="F2"/>
          </w:tcPr>
          <w:p w:rsidR="00732F96" w:rsidRPr="009C3AE5" w:rsidRDefault="00732F96" w:rsidP="00205DBC">
            <w:pPr>
              <w:rPr>
                <w:sz w:val="20"/>
                <w:szCs w:val="20"/>
              </w:rPr>
            </w:pPr>
          </w:p>
        </w:tc>
      </w:tr>
      <w:tr w:rsidR="0060407E" w:rsidRPr="009C3AE5" w:rsidTr="00271C07">
        <w:tc>
          <w:tcPr>
            <w:tcW w:w="4277" w:type="dxa"/>
            <w:gridSpan w:val="3"/>
            <w:shd w:val="clear" w:color="auto" w:fill="A6A6A6" w:themeFill="background1" w:themeFillShade="A6"/>
          </w:tcPr>
          <w:p w:rsidR="0060407E" w:rsidRPr="009C3AE5" w:rsidRDefault="0060407E" w:rsidP="00205DBC">
            <w:pPr>
              <w:rPr>
                <w:sz w:val="20"/>
                <w:szCs w:val="20"/>
              </w:rPr>
            </w:pPr>
            <w:r w:rsidRPr="009C3AE5">
              <w:rPr>
                <w:sz w:val="20"/>
                <w:szCs w:val="20"/>
              </w:rPr>
              <w:t>Key question 2:</w:t>
            </w:r>
          </w:p>
        </w:tc>
        <w:tc>
          <w:tcPr>
            <w:tcW w:w="1265" w:type="dxa"/>
            <w:shd w:val="clear" w:color="auto" w:fill="A6A6A6" w:themeFill="background1" w:themeFillShade="A6"/>
          </w:tcPr>
          <w:p w:rsidR="0060407E" w:rsidRPr="009C3AE5" w:rsidRDefault="0060407E" w:rsidP="00205DBC">
            <w:pPr>
              <w:jc w:val="center"/>
              <w:rPr>
                <w:sz w:val="20"/>
                <w:szCs w:val="20"/>
              </w:rPr>
            </w:pPr>
            <w:r w:rsidRPr="009C3AE5">
              <w:rPr>
                <w:sz w:val="20"/>
                <w:szCs w:val="20"/>
              </w:rPr>
              <w:t>Operative</w:t>
            </w:r>
          </w:p>
        </w:tc>
        <w:tc>
          <w:tcPr>
            <w:tcW w:w="1352" w:type="dxa"/>
            <w:shd w:val="clear" w:color="auto" w:fill="A6A6A6" w:themeFill="background1" w:themeFillShade="A6"/>
          </w:tcPr>
          <w:p w:rsidR="0060407E" w:rsidRPr="009C3AE5" w:rsidRDefault="0060407E" w:rsidP="00205DBC">
            <w:pPr>
              <w:jc w:val="center"/>
              <w:rPr>
                <w:sz w:val="20"/>
                <w:szCs w:val="20"/>
              </w:rPr>
            </w:pPr>
            <w:r w:rsidRPr="009C3AE5">
              <w:rPr>
                <w:sz w:val="20"/>
                <w:szCs w:val="20"/>
              </w:rPr>
              <w:t>Operative</w:t>
            </w:r>
          </w:p>
        </w:tc>
        <w:tc>
          <w:tcPr>
            <w:tcW w:w="1521" w:type="dxa"/>
            <w:shd w:val="clear" w:color="auto" w:fill="A6A6A6" w:themeFill="background1" w:themeFillShade="A6"/>
          </w:tcPr>
          <w:p w:rsidR="0060407E" w:rsidRPr="009C3AE5" w:rsidRDefault="0060407E" w:rsidP="00205DBC">
            <w:pPr>
              <w:rPr>
                <w:sz w:val="20"/>
                <w:szCs w:val="20"/>
              </w:rPr>
            </w:pPr>
          </w:p>
        </w:tc>
        <w:tc>
          <w:tcPr>
            <w:tcW w:w="1161" w:type="dxa"/>
            <w:shd w:val="clear" w:color="auto" w:fill="A6A6A6" w:themeFill="background1" w:themeFillShade="A6"/>
          </w:tcPr>
          <w:p w:rsidR="0060407E" w:rsidRPr="009C3AE5" w:rsidRDefault="0060407E" w:rsidP="00205DBC">
            <w:pPr>
              <w:rPr>
                <w:sz w:val="20"/>
                <w:szCs w:val="20"/>
              </w:rPr>
            </w:pPr>
          </w:p>
        </w:tc>
      </w:tr>
      <w:tr w:rsidR="00732F96" w:rsidRPr="009C3AE5" w:rsidTr="00205DBC">
        <w:trPr>
          <w:trHeight w:val="1812"/>
        </w:trPr>
        <w:tc>
          <w:tcPr>
            <w:tcW w:w="1377" w:type="dxa"/>
            <w:vMerge w:val="restart"/>
          </w:tcPr>
          <w:p w:rsidR="00732F96" w:rsidRPr="009C3AE5" w:rsidRDefault="00732F96" w:rsidP="00205DBC">
            <w:pPr>
              <w:rPr>
                <w:sz w:val="20"/>
                <w:szCs w:val="20"/>
              </w:rPr>
            </w:pPr>
            <w:r w:rsidRPr="009C3AE5">
              <w:rPr>
                <w:sz w:val="20"/>
                <w:szCs w:val="20"/>
              </w:rPr>
              <w:t>Hilibrand (1997)</w:t>
            </w:r>
          </w:p>
          <w:p w:rsidR="00732F96" w:rsidRPr="009C3AE5" w:rsidRDefault="00732F96" w:rsidP="00205DBC">
            <w:pPr>
              <w:rPr>
                <w:sz w:val="20"/>
                <w:szCs w:val="20"/>
              </w:rPr>
            </w:pPr>
            <w:r w:rsidRPr="009C3AE5">
              <w:rPr>
                <w:sz w:val="20"/>
                <w:szCs w:val="20"/>
              </w:rPr>
              <w:t>Retrospective cohort</w:t>
            </w:r>
          </w:p>
        </w:tc>
        <w:tc>
          <w:tcPr>
            <w:tcW w:w="1499" w:type="dxa"/>
            <w:vMerge w:val="restart"/>
          </w:tcPr>
          <w:p w:rsidR="00732F96" w:rsidRPr="009C3AE5" w:rsidRDefault="00732F96" w:rsidP="00205DBC">
            <w:pPr>
              <w:rPr>
                <w:sz w:val="20"/>
                <w:szCs w:val="20"/>
              </w:rPr>
            </w:pPr>
            <w:r w:rsidRPr="009C3AE5">
              <w:rPr>
                <w:sz w:val="20"/>
                <w:szCs w:val="20"/>
              </w:rPr>
              <w:t>N = 38</w:t>
            </w:r>
          </w:p>
          <w:p w:rsidR="00732F96" w:rsidRPr="009C3AE5" w:rsidRDefault="00732F96" w:rsidP="00205DBC">
            <w:pPr>
              <w:rPr>
                <w:sz w:val="20"/>
                <w:szCs w:val="20"/>
              </w:rPr>
            </w:pPr>
            <w:r w:rsidRPr="009C3AE5">
              <w:rPr>
                <w:sz w:val="20"/>
                <w:szCs w:val="20"/>
              </w:rPr>
              <w:t>Previous fusion a mean of 68 month (24-183 months) prior</w:t>
            </w:r>
          </w:p>
          <w:p w:rsidR="00732F96" w:rsidRPr="009C3AE5" w:rsidRDefault="00732F96" w:rsidP="00205DBC">
            <w:pPr>
              <w:rPr>
                <w:sz w:val="20"/>
                <w:szCs w:val="20"/>
              </w:rPr>
            </w:pPr>
          </w:p>
          <w:p w:rsidR="00732F96" w:rsidRPr="009C3AE5" w:rsidRDefault="00732F96" w:rsidP="00205DBC">
            <w:pPr>
              <w:rPr>
                <w:sz w:val="20"/>
                <w:szCs w:val="20"/>
              </w:rPr>
            </w:pPr>
            <w:r w:rsidRPr="009C3AE5">
              <w:rPr>
                <w:sz w:val="20"/>
                <w:szCs w:val="20"/>
              </w:rPr>
              <w:t>f/u:  “regular intervals”</w:t>
            </w:r>
          </w:p>
          <w:p w:rsidR="00732F96" w:rsidRPr="009C3AE5" w:rsidRDefault="00732F96" w:rsidP="00205DBC">
            <w:pPr>
              <w:rPr>
                <w:sz w:val="20"/>
                <w:szCs w:val="20"/>
              </w:rPr>
            </w:pPr>
          </w:p>
          <w:p w:rsidR="00732F96" w:rsidRPr="009C3AE5" w:rsidRDefault="00732F96" w:rsidP="00205DBC">
            <w:pPr>
              <w:rPr>
                <w:sz w:val="20"/>
                <w:szCs w:val="20"/>
              </w:rPr>
            </w:pPr>
          </w:p>
        </w:tc>
        <w:tc>
          <w:tcPr>
            <w:tcW w:w="1401" w:type="dxa"/>
            <w:vMerge w:val="restart"/>
          </w:tcPr>
          <w:p w:rsidR="00732F96" w:rsidRPr="009C3AE5" w:rsidRDefault="00732F96" w:rsidP="00205DBC">
            <w:pPr>
              <w:rPr>
                <w:sz w:val="20"/>
                <w:szCs w:val="20"/>
              </w:rPr>
            </w:pPr>
            <w:r w:rsidRPr="009C3AE5">
              <w:rPr>
                <w:sz w:val="20"/>
                <w:szCs w:val="20"/>
              </w:rPr>
              <w:t>New radiculopathy in a distribution referable to a segment adjacent to a prior anterior cervical fusion, and radiographic evidence of segmental degeneration with compression of nerve roots, spinal cord, or both</w:t>
            </w:r>
          </w:p>
        </w:tc>
        <w:tc>
          <w:tcPr>
            <w:tcW w:w="1265" w:type="dxa"/>
            <w:vMerge w:val="restart"/>
          </w:tcPr>
          <w:p w:rsidR="00732F96" w:rsidRPr="009C3AE5" w:rsidRDefault="00732F96" w:rsidP="00205DBC">
            <w:pPr>
              <w:rPr>
                <w:sz w:val="20"/>
                <w:szCs w:val="20"/>
              </w:rPr>
            </w:pPr>
            <w:r w:rsidRPr="009C3AE5">
              <w:rPr>
                <w:sz w:val="20"/>
                <w:szCs w:val="20"/>
              </w:rPr>
              <w:t xml:space="preserve">Discectomy with interbody grafting n = 24 </w:t>
            </w:r>
          </w:p>
          <w:p w:rsidR="00732F96" w:rsidRPr="009C3AE5" w:rsidRDefault="00732F96" w:rsidP="00205DBC">
            <w:pPr>
              <w:rPr>
                <w:sz w:val="20"/>
                <w:szCs w:val="20"/>
              </w:rPr>
            </w:pPr>
            <w:r w:rsidRPr="009C3AE5">
              <w:rPr>
                <w:sz w:val="20"/>
                <w:szCs w:val="20"/>
              </w:rPr>
              <w:t>1-level: n = 11</w:t>
            </w:r>
          </w:p>
          <w:p w:rsidR="00732F96" w:rsidRPr="009C3AE5" w:rsidRDefault="00732F96" w:rsidP="00205DBC">
            <w:pPr>
              <w:rPr>
                <w:sz w:val="20"/>
                <w:szCs w:val="20"/>
              </w:rPr>
            </w:pPr>
            <w:r w:rsidRPr="009C3AE5">
              <w:rPr>
                <w:sz w:val="20"/>
                <w:szCs w:val="20"/>
              </w:rPr>
              <w:t>Multi-level: n = 13</w:t>
            </w:r>
          </w:p>
        </w:tc>
        <w:tc>
          <w:tcPr>
            <w:tcW w:w="1352" w:type="dxa"/>
            <w:vMerge w:val="restart"/>
          </w:tcPr>
          <w:p w:rsidR="00732F96" w:rsidRPr="009C3AE5" w:rsidRDefault="00732F96" w:rsidP="00205DBC">
            <w:pPr>
              <w:rPr>
                <w:sz w:val="20"/>
                <w:szCs w:val="20"/>
              </w:rPr>
            </w:pPr>
            <w:r w:rsidRPr="009C3AE5">
              <w:rPr>
                <w:sz w:val="20"/>
                <w:szCs w:val="20"/>
              </w:rPr>
              <w:t>Corpectomy with strut grafting n = 14</w:t>
            </w:r>
          </w:p>
        </w:tc>
        <w:tc>
          <w:tcPr>
            <w:tcW w:w="1521" w:type="dxa"/>
          </w:tcPr>
          <w:p w:rsidR="00732F96" w:rsidRPr="009C3AE5" w:rsidRDefault="00732F96" w:rsidP="00205DBC">
            <w:pPr>
              <w:rPr>
                <w:sz w:val="20"/>
                <w:szCs w:val="20"/>
              </w:rPr>
            </w:pPr>
            <w:r w:rsidRPr="009C3AE5">
              <w:rPr>
                <w:sz w:val="20"/>
                <w:szCs w:val="20"/>
              </w:rPr>
              <w:t xml:space="preserve">Solid arthrodesis: </w:t>
            </w:r>
          </w:p>
          <w:p w:rsidR="00732F96" w:rsidRPr="009C3AE5" w:rsidRDefault="00732F96" w:rsidP="00205DBC">
            <w:pPr>
              <w:rPr>
                <w:sz w:val="20"/>
                <w:szCs w:val="20"/>
              </w:rPr>
            </w:pPr>
            <w:r w:rsidRPr="009C3AE5">
              <w:rPr>
                <w:sz w:val="20"/>
                <w:szCs w:val="20"/>
              </w:rPr>
              <w:t>Discectomy: n = 15/24 (62.5%)</w:t>
            </w:r>
          </w:p>
          <w:p w:rsidR="00732F96" w:rsidRPr="009C3AE5" w:rsidRDefault="00732F96" w:rsidP="00205DBC">
            <w:pPr>
              <w:rPr>
                <w:sz w:val="20"/>
                <w:szCs w:val="20"/>
              </w:rPr>
            </w:pPr>
            <w:r w:rsidRPr="009C3AE5">
              <w:rPr>
                <w:sz w:val="20"/>
                <w:szCs w:val="20"/>
              </w:rPr>
              <w:t>Corpectomy: n = 14/14 (100%)</w:t>
            </w:r>
          </w:p>
        </w:tc>
        <w:tc>
          <w:tcPr>
            <w:tcW w:w="1161" w:type="dxa"/>
          </w:tcPr>
          <w:p w:rsidR="00732F96" w:rsidRPr="009C3AE5" w:rsidRDefault="00732F96" w:rsidP="00205DBC">
            <w:pPr>
              <w:rPr>
                <w:sz w:val="20"/>
                <w:szCs w:val="20"/>
              </w:rPr>
            </w:pPr>
            <w:r w:rsidRPr="009C3AE5">
              <w:rPr>
                <w:sz w:val="20"/>
                <w:szCs w:val="20"/>
              </w:rPr>
              <w:t>P = 0.01</w:t>
            </w:r>
          </w:p>
        </w:tc>
      </w:tr>
      <w:tr w:rsidR="00732F96" w:rsidRPr="009C3AE5" w:rsidTr="00205DBC">
        <w:trPr>
          <w:trHeight w:val="1812"/>
        </w:trPr>
        <w:tc>
          <w:tcPr>
            <w:tcW w:w="1377" w:type="dxa"/>
            <w:vMerge/>
          </w:tcPr>
          <w:p w:rsidR="00732F96" w:rsidRPr="009C3AE5" w:rsidRDefault="00732F96" w:rsidP="00205DBC">
            <w:pPr>
              <w:spacing w:line="360" w:lineRule="auto"/>
              <w:rPr>
                <w:sz w:val="20"/>
                <w:szCs w:val="20"/>
              </w:rPr>
            </w:pPr>
          </w:p>
        </w:tc>
        <w:tc>
          <w:tcPr>
            <w:tcW w:w="1499" w:type="dxa"/>
            <w:vMerge/>
          </w:tcPr>
          <w:p w:rsidR="00732F96" w:rsidRPr="009C3AE5" w:rsidRDefault="00732F96" w:rsidP="00205DBC">
            <w:pPr>
              <w:spacing w:line="360" w:lineRule="auto"/>
              <w:rPr>
                <w:sz w:val="20"/>
                <w:szCs w:val="20"/>
              </w:rPr>
            </w:pPr>
          </w:p>
        </w:tc>
        <w:tc>
          <w:tcPr>
            <w:tcW w:w="1401" w:type="dxa"/>
            <w:vMerge/>
          </w:tcPr>
          <w:p w:rsidR="00732F96" w:rsidRPr="009C3AE5" w:rsidRDefault="00732F96" w:rsidP="00205DBC">
            <w:pPr>
              <w:spacing w:line="360" w:lineRule="auto"/>
              <w:rPr>
                <w:sz w:val="20"/>
                <w:szCs w:val="20"/>
              </w:rPr>
            </w:pPr>
          </w:p>
        </w:tc>
        <w:tc>
          <w:tcPr>
            <w:tcW w:w="1265" w:type="dxa"/>
            <w:vMerge/>
          </w:tcPr>
          <w:p w:rsidR="00732F96" w:rsidRPr="009C3AE5" w:rsidRDefault="00732F96" w:rsidP="00205DBC">
            <w:pPr>
              <w:spacing w:line="360" w:lineRule="auto"/>
              <w:rPr>
                <w:sz w:val="20"/>
                <w:szCs w:val="20"/>
              </w:rPr>
            </w:pPr>
          </w:p>
        </w:tc>
        <w:tc>
          <w:tcPr>
            <w:tcW w:w="1352" w:type="dxa"/>
            <w:vMerge/>
          </w:tcPr>
          <w:p w:rsidR="00732F96" w:rsidRPr="009C3AE5" w:rsidRDefault="00732F96" w:rsidP="00205DBC">
            <w:pPr>
              <w:spacing w:line="360" w:lineRule="auto"/>
              <w:rPr>
                <w:sz w:val="20"/>
                <w:szCs w:val="20"/>
              </w:rPr>
            </w:pPr>
          </w:p>
        </w:tc>
        <w:tc>
          <w:tcPr>
            <w:tcW w:w="1521" w:type="dxa"/>
          </w:tcPr>
          <w:p w:rsidR="00732F96" w:rsidRPr="009C3AE5" w:rsidRDefault="00732F96" w:rsidP="00205DBC">
            <w:pPr>
              <w:rPr>
                <w:sz w:val="20"/>
                <w:szCs w:val="20"/>
              </w:rPr>
            </w:pPr>
            <w:r w:rsidRPr="009C3AE5">
              <w:rPr>
                <w:sz w:val="20"/>
                <w:szCs w:val="20"/>
              </w:rPr>
              <w:t xml:space="preserve">Solid arthrodesis: single-level procedure:  n = 7/11, 64%)  </w:t>
            </w:r>
          </w:p>
          <w:p w:rsidR="00732F96" w:rsidRPr="009C3AE5" w:rsidRDefault="00732F96" w:rsidP="00205DBC">
            <w:pPr>
              <w:rPr>
                <w:sz w:val="20"/>
                <w:szCs w:val="20"/>
              </w:rPr>
            </w:pPr>
            <w:r w:rsidRPr="009C3AE5">
              <w:rPr>
                <w:sz w:val="20"/>
                <w:szCs w:val="20"/>
              </w:rPr>
              <w:t xml:space="preserve">multi-level procedure:  n = 8/13, 62%) </w:t>
            </w:r>
          </w:p>
        </w:tc>
        <w:tc>
          <w:tcPr>
            <w:tcW w:w="1161" w:type="dxa"/>
          </w:tcPr>
          <w:p w:rsidR="00732F96" w:rsidRPr="009C3AE5" w:rsidRDefault="00732F96" w:rsidP="00205DBC">
            <w:pPr>
              <w:rPr>
                <w:sz w:val="20"/>
                <w:szCs w:val="20"/>
              </w:rPr>
            </w:pPr>
            <w:r w:rsidRPr="009C3AE5">
              <w:rPr>
                <w:sz w:val="20"/>
                <w:szCs w:val="20"/>
              </w:rPr>
              <w:t>P = 1.0</w:t>
            </w:r>
          </w:p>
        </w:tc>
      </w:tr>
      <w:tr w:rsidR="00732F96" w:rsidRPr="009C3AE5" w:rsidTr="00205DBC">
        <w:trPr>
          <w:trHeight w:val="1812"/>
        </w:trPr>
        <w:tc>
          <w:tcPr>
            <w:tcW w:w="1377" w:type="dxa"/>
            <w:vMerge/>
          </w:tcPr>
          <w:p w:rsidR="00732F96" w:rsidRPr="009C3AE5" w:rsidRDefault="00732F96" w:rsidP="00205DBC">
            <w:pPr>
              <w:spacing w:line="360" w:lineRule="auto"/>
              <w:rPr>
                <w:sz w:val="20"/>
                <w:szCs w:val="20"/>
              </w:rPr>
            </w:pPr>
          </w:p>
        </w:tc>
        <w:tc>
          <w:tcPr>
            <w:tcW w:w="1499" w:type="dxa"/>
            <w:vMerge/>
          </w:tcPr>
          <w:p w:rsidR="00732F96" w:rsidRPr="009C3AE5" w:rsidRDefault="00732F96" w:rsidP="00205DBC">
            <w:pPr>
              <w:spacing w:line="360" w:lineRule="auto"/>
              <w:rPr>
                <w:sz w:val="20"/>
                <w:szCs w:val="20"/>
              </w:rPr>
            </w:pPr>
          </w:p>
        </w:tc>
        <w:tc>
          <w:tcPr>
            <w:tcW w:w="1401" w:type="dxa"/>
            <w:vMerge/>
          </w:tcPr>
          <w:p w:rsidR="00732F96" w:rsidRPr="009C3AE5" w:rsidRDefault="00732F96" w:rsidP="00205DBC">
            <w:pPr>
              <w:spacing w:line="360" w:lineRule="auto"/>
              <w:rPr>
                <w:sz w:val="20"/>
                <w:szCs w:val="20"/>
              </w:rPr>
            </w:pPr>
          </w:p>
        </w:tc>
        <w:tc>
          <w:tcPr>
            <w:tcW w:w="1265" w:type="dxa"/>
            <w:vMerge/>
          </w:tcPr>
          <w:p w:rsidR="00732F96" w:rsidRPr="009C3AE5" w:rsidRDefault="00732F96" w:rsidP="00205DBC">
            <w:pPr>
              <w:spacing w:line="360" w:lineRule="auto"/>
              <w:rPr>
                <w:sz w:val="20"/>
                <w:szCs w:val="20"/>
              </w:rPr>
            </w:pPr>
          </w:p>
        </w:tc>
        <w:tc>
          <w:tcPr>
            <w:tcW w:w="1352" w:type="dxa"/>
            <w:vMerge/>
          </w:tcPr>
          <w:p w:rsidR="00732F96" w:rsidRPr="009C3AE5" w:rsidRDefault="00732F96" w:rsidP="00205DBC">
            <w:pPr>
              <w:spacing w:line="360" w:lineRule="auto"/>
              <w:rPr>
                <w:sz w:val="20"/>
                <w:szCs w:val="20"/>
              </w:rPr>
            </w:pPr>
          </w:p>
        </w:tc>
        <w:tc>
          <w:tcPr>
            <w:tcW w:w="1521" w:type="dxa"/>
          </w:tcPr>
          <w:p w:rsidR="00732F96" w:rsidRPr="009C3AE5" w:rsidRDefault="00732F96" w:rsidP="00205DBC">
            <w:pPr>
              <w:rPr>
                <w:sz w:val="20"/>
                <w:szCs w:val="20"/>
              </w:rPr>
            </w:pPr>
            <w:r w:rsidRPr="009C3AE5">
              <w:rPr>
                <w:sz w:val="20"/>
                <w:szCs w:val="20"/>
              </w:rPr>
              <w:t>Clinical outcomes: Discectomy:  n = 9/24 excellent, 11/24 good, 4/24 fair</w:t>
            </w:r>
          </w:p>
          <w:p w:rsidR="00732F96" w:rsidRPr="009C3AE5" w:rsidRDefault="00732F96" w:rsidP="00205DBC">
            <w:pPr>
              <w:rPr>
                <w:sz w:val="20"/>
                <w:szCs w:val="20"/>
              </w:rPr>
            </w:pPr>
            <w:r w:rsidRPr="009C3AE5">
              <w:rPr>
                <w:sz w:val="20"/>
                <w:szCs w:val="20"/>
              </w:rPr>
              <w:t>Corpectomy:  n = 7/14 excellent, 5/14 good, 2/14 fair</w:t>
            </w:r>
          </w:p>
        </w:tc>
        <w:tc>
          <w:tcPr>
            <w:tcW w:w="1161" w:type="dxa"/>
          </w:tcPr>
          <w:p w:rsidR="00732F96" w:rsidRPr="009C3AE5" w:rsidRDefault="00732F96" w:rsidP="00205DBC">
            <w:pPr>
              <w:rPr>
                <w:sz w:val="20"/>
                <w:szCs w:val="20"/>
              </w:rPr>
            </w:pPr>
            <w:r w:rsidRPr="009C3AE5">
              <w:rPr>
                <w:sz w:val="20"/>
                <w:szCs w:val="20"/>
              </w:rPr>
              <w:t>P = 0.55</w:t>
            </w:r>
          </w:p>
        </w:tc>
      </w:tr>
      <w:tr w:rsidR="00732F96" w:rsidRPr="009C3AE5" w:rsidTr="00205DBC">
        <w:trPr>
          <w:trHeight w:val="1812"/>
        </w:trPr>
        <w:tc>
          <w:tcPr>
            <w:tcW w:w="1377" w:type="dxa"/>
            <w:vMerge/>
          </w:tcPr>
          <w:p w:rsidR="00732F96" w:rsidRPr="009C3AE5" w:rsidRDefault="00732F96" w:rsidP="00205DBC">
            <w:pPr>
              <w:spacing w:line="360" w:lineRule="auto"/>
              <w:rPr>
                <w:sz w:val="20"/>
                <w:szCs w:val="20"/>
              </w:rPr>
            </w:pPr>
          </w:p>
        </w:tc>
        <w:tc>
          <w:tcPr>
            <w:tcW w:w="1499" w:type="dxa"/>
            <w:vMerge/>
          </w:tcPr>
          <w:p w:rsidR="00732F96" w:rsidRPr="009C3AE5" w:rsidRDefault="00732F96" w:rsidP="00205DBC">
            <w:pPr>
              <w:spacing w:line="360" w:lineRule="auto"/>
              <w:rPr>
                <w:sz w:val="20"/>
                <w:szCs w:val="20"/>
              </w:rPr>
            </w:pPr>
          </w:p>
        </w:tc>
        <w:tc>
          <w:tcPr>
            <w:tcW w:w="1401" w:type="dxa"/>
            <w:vMerge/>
          </w:tcPr>
          <w:p w:rsidR="00732F96" w:rsidRPr="009C3AE5" w:rsidRDefault="00732F96" w:rsidP="00205DBC">
            <w:pPr>
              <w:spacing w:line="360" w:lineRule="auto"/>
              <w:rPr>
                <w:sz w:val="20"/>
                <w:szCs w:val="20"/>
              </w:rPr>
            </w:pPr>
          </w:p>
        </w:tc>
        <w:tc>
          <w:tcPr>
            <w:tcW w:w="1265" w:type="dxa"/>
            <w:vMerge/>
          </w:tcPr>
          <w:p w:rsidR="00732F96" w:rsidRPr="009C3AE5" w:rsidRDefault="00732F96" w:rsidP="00205DBC">
            <w:pPr>
              <w:spacing w:line="360" w:lineRule="auto"/>
              <w:rPr>
                <w:sz w:val="20"/>
                <w:szCs w:val="20"/>
              </w:rPr>
            </w:pPr>
          </w:p>
        </w:tc>
        <w:tc>
          <w:tcPr>
            <w:tcW w:w="1352" w:type="dxa"/>
            <w:vMerge/>
          </w:tcPr>
          <w:p w:rsidR="00732F96" w:rsidRPr="009C3AE5" w:rsidRDefault="00732F96" w:rsidP="00205DBC">
            <w:pPr>
              <w:spacing w:line="360" w:lineRule="auto"/>
              <w:rPr>
                <w:sz w:val="20"/>
                <w:szCs w:val="20"/>
              </w:rPr>
            </w:pPr>
          </w:p>
        </w:tc>
        <w:tc>
          <w:tcPr>
            <w:tcW w:w="1521" w:type="dxa"/>
          </w:tcPr>
          <w:p w:rsidR="00732F96" w:rsidRPr="009C3AE5" w:rsidRDefault="00732F96" w:rsidP="00205DBC">
            <w:pPr>
              <w:rPr>
                <w:sz w:val="20"/>
                <w:szCs w:val="20"/>
              </w:rPr>
            </w:pPr>
            <w:r w:rsidRPr="009C3AE5">
              <w:rPr>
                <w:sz w:val="20"/>
                <w:szCs w:val="20"/>
              </w:rPr>
              <w:t>Clinical outcomes:</w:t>
            </w:r>
          </w:p>
          <w:p w:rsidR="00732F96" w:rsidRPr="009C3AE5" w:rsidRDefault="00732F96" w:rsidP="00205DBC">
            <w:pPr>
              <w:rPr>
                <w:sz w:val="20"/>
                <w:szCs w:val="20"/>
              </w:rPr>
            </w:pPr>
            <w:r w:rsidRPr="009C3AE5">
              <w:rPr>
                <w:sz w:val="20"/>
                <w:szCs w:val="20"/>
              </w:rPr>
              <w:t>Solid arthrodesis: good or excellent outcomes in n = 26/29</w:t>
            </w:r>
          </w:p>
          <w:p w:rsidR="00732F96" w:rsidRPr="009C3AE5" w:rsidRDefault="00732F96" w:rsidP="00205DBC">
            <w:pPr>
              <w:rPr>
                <w:sz w:val="20"/>
                <w:szCs w:val="20"/>
              </w:rPr>
            </w:pPr>
            <w:r w:rsidRPr="009C3AE5">
              <w:rPr>
                <w:sz w:val="20"/>
                <w:szCs w:val="20"/>
              </w:rPr>
              <w:t xml:space="preserve">Pseudarthrosis:  good or excellent </w:t>
            </w:r>
            <w:r w:rsidRPr="009C3AE5">
              <w:rPr>
                <w:sz w:val="20"/>
                <w:szCs w:val="20"/>
              </w:rPr>
              <w:lastRenderedPageBreak/>
              <w:t xml:space="preserve">outcomes in n = 6/9 </w:t>
            </w:r>
          </w:p>
        </w:tc>
        <w:tc>
          <w:tcPr>
            <w:tcW w:w="1161" w:type="dxa"/>
          </w:tcPr>
          <w:p w:rsidR="00732F96" w:rsidRPr="009C3AE5" w:rsidRDefault="00732F96" w:rsidP="00205DBC">
            <w:pPr>
              <w:rPr>
                <w:sz w:val="20"/>
                <w:szCs w:val="20"/>
              </w:rPr>
            </w:pPr>
            <w:r w:rsidRPr="009C3AE5">
              <w:rPr>
                <w:sz w:val="20"/>
                <w:szCs w:val="20"/>
              </w:rPr>
              <w:lastRenderedPageBreak/>
              <w:t>P = 0.13</w:t>
            </w:r>
          </w:p>
        </w:tc>
      </w:tr>
      <w:tr w:rsidR="00732F96" w:rsidRPr="009C3AE5" w:rsidTr="0060407E">
        <w:tc>
          <w:tcPr>
            <w:tcW w:w="1377" w:type="dxa"/>
            <w:tcBorders>
              <w:bottom w:val="single" w:sz="4" w:space="0" w:color="auto"/>
            </w:tcBorders>
          </w:tcPr>
          <w:p w:rsidR="00732F96" w:rsidRPr="009C3AE5" w:rsidRDefault="00732F96" w:rsidP="00205DBC">
            <w:pPr>
              <w:rPr>
                <w:sz w:val="20"/>
                <w:szCs w:val="20"/>
              </w:rPr>
            </w:pPr>
            <w:r w:rsidRPr="009C3AE5">
              <w:rPr>
                <w:sz w:val="20"/>
                <w:szCs w:val="20"/>
              </w:rPr>
              <w:lastRenderedPageBreak/>
              <w:t>Gause (2008)</w:t>
            </w:r>
          </w:p>
        </w:tc>
        <w:tc>
          <w:tcPr>
            <w:tcW w:w="1499" w:type="dxa"/>
            <w:tcBorders>
              <w:bottom w:val="single" w:sz="4" w:space="0" w:color="auto"/>
            </w:tcBorders>
          </w:tcPr>
          <w:p w:rsidR="00732F96" w:rsidRPr="009C3AE5" w:rsidRDefault="00732F96" w:rsidP="00205DBC">
            <w:pPr>
              <w:rPr>
                <w:sz w:val="20"/>
                <w:szCs w:val="20"/>
              </w:rPr>
            </w:pPr>
            <w:r w:rsidRPr="009C3AE5">
              <w:rPr>
                <w:sz w:val="20"/>
                <w:szCs w:val="20"/>
              </w:rPr>
              <w:t>N = 56</w:t>
            </w:r>
          </w:p>
          <w:p w:rsidR="00732F96" w:rsidRPr="009C3AE5" w:rsidRDefault="00732F96" w:rsidP="00205DBC">
            <w:pPr>
              <w:rPr>
                <w:sz w:val="20"/>
                <w:szCs w:val="20"/>
              </w:rPr>
            </w:pPr>
            <w:r w:rsidRPr="009C3AE5">
              <w:rPr>
                <w:sz w:val="20"/>
                <w:szCs w:val="20"/>
              </w:rPr>
              <w:t>Mean age:  53 years (31-76)</w:t>
            </w:r>
          </w:p>
          <w:p w:rsidR="00732F96" w:rsidRPr="009C3AE5" w:rsidRDefault="00732F96" w:rsidP="00205DBC">
            <w:pPr>
              <w:rPr>
                <w:sz w:val="20"/>
                <w:szCs w:val="20"/>
              </w:rPr>
            </w:pPr>
            <w:r w:rsidRPr="009C3AE5">
              <w:rPr>
                <w:sz w:val="20"/>
                <w:szCs w:val="20"/>
              </w:rPr>
              <w:t>Previous surgery: mean 86 months (12-300 months) prior</w:t>
            </w:r>
          </w:p>
          <w:p w:rsidR="00732F96" w:rsidRPr="009C3AE5" w:rsidRDefault="00732F96" w:rsidP="00205DBC">
            <w:pPr>
              <w:rPr>
                <w:sz w:val="20"/>
                <w:szCs w:val="20"/>
              </w:rPr>
            </w:pPr>
          </w:p>
          <w:p w:rsidR="00732F96" w:rsidRPr="009C3AE5" w:rsidRDefault="00732F96" w:rsidP="00205DBC">
            <w:pPr>
              <w:rPr>
                <w:sz w:val="20"/>
                <w:szCs w:val="20"/>
              </w:rPr>
            </w:pPr>
            <w:r w:rsidRPr="009C3AE5">
              <w:rPr>
                <w:sz w:val="20"/>
                <w:szCs w:val="20"/>
              </w:rPr>
              <w:t>f/u:  minimum 6 months; mean 22 months (6-70); % NR</w:t>
            </w:r>
          </w:p>
        </w:tc>
        <w:tc>
          <w:tcPr>
            <w:tcW w:w="1401" w:type="dxa"/>
            <w:tcBorders>
              <w:bottom w:val="single" w:sz="4" w:space="0" w:color="auto"/>
            </w:tcBorders>
          </w:tcPr>
          <w:p w:rsidR="00732F96" w:rsidRPr="009C3AE5" w:rsidRDefault="00732F96" w:rsidP="00205DBC">
            <w:pPr>
              <w:rPr>
                <w:sz w:val="20"/>
                <w:szCs w:val="20"/>
              </w:rPr>
            </w:pPr>
            <w:r w:rsidRPr="009C3AE5">
              <w:rPr>
                <w:sz w:val="20"/>
                <w:szCs w:val="20"/>
              </w:rPr>
              <w:t>Degenerative cervical stenosis with radicular and/or myelopathic symptoms consistent with radiographic level of segmental degeneration</w:t>
            </w:r>
          </w:p>
          <w:p w:rsidR="00732F96" w:rsidRPr="009C3AE5" w:rsidRDefault="00732F96" w:rsidP="00205DBC">
            <w:pPr>
              <w:rPr>
                <w:sz w:val="20"/>
                <w:szCs w:val="20"/>
              </w:rPr>
            </w:pPr>
          </w:p>
        </w:tc>
        <w:tc>
          <w:tcPr>
            <w:tcW w:w="1265" w:type="dxa"/>
            <w:tcBorders>
              <w:bottom w:val="single" w:sz="4" w:space="0" w:color="auto"/>
            </w:tcBorders>
          </w:tcPr>
          <w:p w:rsidR="00732F96" w:rsidRPr="009C3AE5" w:rsidRDefault="00732F96" w:rsidP="00205DBC">
            <w:pPr>
              <w:rPr>
                <w:sz w:val="20"/>
                <w:szCs w:val="20"/>
              </w:rPr>
            </w:pPr>
            <w:r w:rsidRPr="009C3AE5">
              <w:rPr>
                <w:sz w:val="20"/>
                <w:szCs w:val="20"/>
              </w:rPr>
              <w:t>Anterior cervical discectomy and fusion (ACDF) n = 49</w:t>
            </w:r>
          </w:p>
          <w:p w:rsidR="00732F96" w:rsidRPr="009C3AE5" w:rsidRDefault="00732F96" w:rsidP="00205DBC">
            <w:pPr>
              <w:rPr>
                <w:sz w:val="20"/>
                <w:szCs w:val="20"/>
              </w:rPr>
            </w:pPr>
            <w:r w:rsidRPr="009C3AE5">
              <w:rPr>
                <w:sz w:val="20"/>
                <w:szCs w:val="20"/>
              </w:rPr>
              <w:t>1-level: n = 38</w:t>
            </w:r>
          </w:p>
          <w:p w:rsidR="00732F96" w:rsidRPr="009C3AE5" w:rsidRDefault="00732F96" w:rsidP="00205DBC">
            <w:pPr>
              <w:rPr>
                <w:sz w:val="20"/>
                <w:szCs w:val="20"/>
              </w:rPr>
            </w:pPr>
            <w:r w:rsidRPr="009C3AE5">
              <w:rPr>
                <w:sz w:val="20"/>
                <w:szCs w:val="20"/>
              </w:rPr>
              <w:t>2-level: n = 10</w:t>
            </w:r>
          </w:p>
          <w:p w:rsidR="00732F96" w:rsidRPr="009C3AE5" w:rsidRDefault="00732F96" w:rsidP="00205DBC">
            <w:pPr>
              <w:rPr>
                <w:sz w:val="20"/>
                <w:szCs w:val="20"/>
              </w:rPr>
            </w:pPr>
            <w:r w:rsidRPr="009C3AE5">
              <w:rPr>
                <w:sz w:val="20"/>
                <w:szCs w:val="20"/>
              </w:rPr>
              <w:t>3-level: n = 1</w:t>
            </w:r>
          </w:p>
          <w:p w:rsidR="00732F96" w:rsidRPr="009C3AE5" w:rsidRDefault="00732F96" w:rsidP="00205DBC">
            <w:pPr>
              <w:rPr>
                <w:sz w:val="20"/>
                <w:szCs w:val="20"/>
              </w:rPr>
            </w:pPr>
          </w:p>
        </w:tc>
        <w:tc>
          <w:tcPr>
            <w:tcW w:w="1352" w:type="dxa"/>
            <w:tcBorders>
              <w:bottom w:val="single" w:sz="4" w:space="0" w:color="auto"/>
            </w:tcBorders>
          </w:tcPr>
          <w:p w:rsidR="00732F96" w:rsidRPr="009C3AE5" w:rsidRDefault="00732F96" w:rsidP="00205DBC">
            <w:pPr>
              <w:rPr>
                <w:sz w:val="20"/>
                <w:szCs w:val="20"/>
              </w:rPr>
            </w:pPr>
            <w:r w:rsidRPr="009C3AE5">
              <w:rPr>
                <w:sz w:val="20"/>
                <w:szCs w:val="20"/>
              </w:rPr>
              <w:t>Anterior cervical corpectomy and fusion (ACCF) n = 7</w:t>
            </w:r>
          </w:p>
          <w:p w:rsidR="00732F96" w:rsidRPr="009C3AE5" w:rsidRDefault="00732F96" w:rsidP="00205DBC">
            <w:pPr>
              <w:rPr>
                <w:sz w:val="20"/>
                <w:szCs w:val="20"/>
              </w:rPr>
            </w:pPr>
            <w:r w:rsidRPr="009C3AE5">
              <w:rPr>
                <w:sz w:val="20"/>
                <w:szCs w:val="20"/>
              </w:rPr>
              <w:t>3-level: n = 4</w:t>
            </w:r>
          </w:p>
          <w:p w:rsidR="00732F96" w:rsidRPr="009C3AE5" w:rsidRDefault="00732F96" w:rsidP="00205DBC">
            <w:pPr>
              <w:rPr>
                <w:sz w:val="20"/>
                <w:szCs w:val="20"/>
              </w:rPr>
            </w:pPr>
            <w:r w:rsidRPr="009C3AE5">
              <w:rPr>
                <w:sz w:val="20"/>
                <w:szCs w:val="20"/>
              </w:rPr>
              <w:t>4-level: n = 3</w:t>
            </w:r>
          </w:p>
        </w:tc>
        <w:tc>
          <w:tcPr>
            <w:tcW w:w="1521" w:type="dxa"/>
            <w:tcBorders>
              <w:bottom w:val="single" w:sz="4" w:space="0" w:color="auto"/>
            </w:tcBorders>
          </w:tcPr>
          <w:p w:rsidR="00732F96" w:rsidRPr="009C3AE5" w:rsidRDefault="00732F96" w:rsidP="00205DBC">
            <w:pPr>
              <w:rPr>
                <w:sz w:val="20"/>
                <w:szCs w:val="20"/>
              </w:rPr>
            </w:pPr>
            <w:r w:rsidRPr="009C3AE5">
              <w:rPr>
                <w:sz w:val="20"/>
                <w:szCs w:val="20"/>
              </w:rPr>
              <w:t xml:space="preserve">Solid arthrodesis: </w:t>
            </w:r>
          </w:p>
          <w:p w:rsidR="00732F96" w:rsidRPr="009C3AE5" w:rsidRDefault="00732F96" w:rsidP="00205DBC">
            <w:pPr>
              <w:rPr>
                <w:sz w:val="20"/>
                <w:szCs w:val="20"/>
              </w:rPr>
            </w:pPr>
            <w:r w:rsidRPr="009C3AE5">
              <w:rPr>
                <w:sz w:val="20"/>
                <w:szCs w:val="20"/>
              </w:rPr>
              <w:t>ACDF: n = 40/49 (82%)</w:t>
            </w:r>
          </w:p>
          <w:p w:rsidR="00732F96" w:rsidRPr="009C3AE5" w:rsidRDefault="00732F96" w:rsidP="00205DBC">
            <w:pPr>
              <w:rPr>
                <w:sz w:val="20"/>
                <w:szCs w:val="20"/>
              </w:rPr>
            </w:pPr>
            <w:r w:rsidRPr="009C3AE5">
              <w:rPr>
                <w:sz w:val="20"/>
                <w:szCs w:val="20"/>
              </w:rPr>
              <w:t>ACCF: n = 7/7 (100%)</w:t>
            </w:r>
          </w:p>
          <w:p w:rsidR="00732F96" w:rsidRPr="009C3AE5" w:rsidRDefault="00732F96" w:rsidP="00205DBC">
            <w:pPr>
              <w:rPr>
                <w:sz w:val="20"/>
                <w:szCs w:val="20"/>
              </w:rPr>
            </w:pPr>
          </w:p>
          <w:p w:rsidR="00732F96" w:rsidRPr="009C3AE5" w:rsidRDefault="00732F96" w:rsidP="00205DBC">
            <w:pPr>
              <w:rPr>
                <w:sz w:val="20"/>
                <w:szCs w:val="20"/>
              </w:rPr>
            </w:pPr>
            <w:r w:rsidRPr="009C3AE5">
              <w:rPr>
                <w:sz w:val="20"/>
                <w:szCs w:val="20"/>
              </w:rPr>
              <w:t>Solid arthrodesis: cranial to previous fusion: n = 25/28 (89%)</w:t>
            </w:r>
          </w:p>
          <w:p w:rsidR="00732F96" w:rsidRPr="009C3AE5" w:rsidRDefault="00732F96" w:rsidP="00205DBC">
            <w:pPr>
              <w:rPr>
                <w:sz w:val="20"/>
                <w:szCs w:val="20"/>
              </w:rPr>
            </w:pPr>
            <w:r w:rsidRPr="009C3AE5">
              <w:rPr>
                <w:sz w:val="20"/>
                <w:szCs w:val="20"/>
              </w:rPr>
              <w:t>caudal to previous fusion: n = 12/16 (75%)</w:t>
            </w:r>
          </w:p>
          <w:p w:rsidR="00732F96" w:rsidRPr="009C3AE5" w:rsidRDefault="00732F96" w:rsidP="00205DBC">
            <w:pPr>
              <w:rPr>
                <w:sz w:val="20"/>
                <w:szCs w:val="20"/>
              </w:rPr>
            </w:pPr>
            <w:r w:rsidRPr="009C3AE5">
              <w:rPr>
                <w:sz w:val="20"/>
                <w:szCs w:val="20"/>
              </w:rPr>
              <w:t>both cranial and caudal to previous fusion: n = 1/3 (33%)</w:t>
            </w:r>
          </w:p>
          <w:p w:rsidR="00732F96" w:rsidRPr="009C3AE5" w:rsidRDefault="00732F96" w:rsidP="00205DBC">
            <w:pPr>
              <w:rPr>
                <w:sz w:val="20"/>
                <w:szCs w:val="20"/>
              </w:rPr>
            </w:pPr>
            <w:r w:rsidRPr="009C3AE5">
              <w:rPr>
                <w:sz w:val="20"/>
                <w:szCs w:val="20"/>
              </w:rPr>
              <w:t>P = 0.05</w:t>
            </w:r>
          </w:p>
          <w:p w:rsidR="00732F96" w:rsidRPr="009C3AE5" w:rsidRDefault="00732F96" w:rsidP="00205DBC">
            <w:pPr>
              <w:rPr>
                <w:sz w:val="20"/>
                <w:szCs w:val="20"/>
              </w:rPr>
            </w:pPr>
          </w:p>
          <w:p w:rsidR="00732F96" w:rsidRPr="009C3AE5" w:rsidRDefault="00732F96" w:rsidP="00205DBC">
            <w:pPr>
              <w:rPr>
                <w:sz w:val="20"/>
                <w:szCs w:val="20"/>
              </w:rPr>
            </w:pPr>
            <w:r w:rsidRPr="009C3AE5">
              <w:rPr>
                <w:sz w:val="20"/>
                <w:szCs w:val="20"/>
              </w:rPr>
              <w:t xml:space="preserve">Analyzes risk factors also; previous number of levels treated, current number of levels treated, interaction between previous levels fused and current number levels fused; smoking, </w:t>
            </w:r>
          </w:p>
        </w:tc>
        <w:tc>
          <w:tcPr>
            <w:tcW w:w="1161" w:type="dxa"/>
            <w:tcBorders>
              <w:bottom w:val="single" w:sz="4" w:space="0" w:color="auto"/>
            </w:tcBorders>
          </w:tcPr>
          <w:p w:rsidR="00732F96" w:rsidRPr="009C3AE5" w:rsidRDefault="00732F96" w:rsidP="00205DBC">
            <w:pPr>
              <w:rPr>
                <w:sz w:val="20"/>
                <w:szCs w:val="20"/>
              </w:rPr>
            </w:pPr>
            <w:r w:rsidRPr="009C3AE5">
              <w:rPr>
                <w:sz w:val="20"/>
                <w:szCs w:val="20"/>
              </w:rPr>
              <w:t xml:space="preserve">Chi-square test for potential predictors and fusion </w:t>
            </w:r>
          </w:p>
          <w:p w:rsidR="00732F96" w:rsidRPr="009C3AE5" w:rsidRDefault="00732F96" w:rsidP="00205DBC">
            <w:pPr>
              <w:rPr>
                <w:sz w:val="20"/>
                <w:szCs w:val="20"/>
              </w:rPr>
            </w:pPr>
          </w:p>
        </w:tc>
      </w:tr>
      <w:tr w:rsidR="0060407E" w:rsidRPr="009C3AE5" w:rsidTr="00631637">
        <w:tc>
          <w:tcPr>
            <w:tcW w:w="4277" w:type="dxa"/>
            <w:gridSpan w:val="3"/>
            <w:shd w:val="clear" w:color="auto" w:fill="A6A6A6" w:themeFill="background1" w:themeFillShade="A6"/>
          </w:tcPr>
          <w:p w:rsidR="0060407E" w:rsidRPr="009C3AE5" w:rsidRDefault="0060407E" w:rsidP="00205DBC">
            <w:pPr>
              <w:rPr>
                <w:sz w:val="20"/>
                <w:szCs w:val="20"/>
              </w:rPr>
            </w:pPr>
            <w:r w:rsidRPr="009C3AE5">
              <w:rPr>
                <w:sz w:val="20"/>
                <w:szCs w:val="20"/>
              </w:rPr>
              <w:t>Key question 3:</w:t>
            </w:r>
          </w:p>
        </w:tc>
        <w:tc>
          <w:tcPr>
            <w:tcW w:w="2617" w:type="dxa"/>
            <w:gridSpan w:val="2"/>
            <w:shd w:val="clear" w:color="auto" w:fill="A6A6A6" w:themeFill="background1" w:themeFillShade="A6"/>
          </w:tcPr>
          <w:p w:rsidR="0060407E" w:rsidRPr="009C3AE5" w:rsidRDefault="0060407E" w:rsidP="00205DBC">
            <w:pPr>
              <w:jc w:val="center"/>
              <w:rPr>
                <w:sz w:val="20"/>
                <w:szCs w:val="20"/>
              </w:rPr>
            </w:pPr>
            <w:r w:rsidRPr="009C3AE5">
              <w:rPr>
                <w:sz w:val="20"/>
                <w:szCs w:val="20"/>
              </w:rPr>
              <w:t>Treatment (case series)</w:t>
            </w:r>
          </w:p>
        </w:tc>
        <w:tc>
          <w:tcPr>
            <w:tcW w:w="2682" w:type="dxa"/>
            <w:gridSpan w:val="2"/>
            <w:shd w:val="clear" w:color="auto" w:fill="A6A6A6" w:themeFill="background1" w:themeFillShade="A6"/>
          </w:tcPr>
          <w:p w:rsidR="0060407E" w:rsidRPr="009C3AE5" w:rsidRDefault="0060407E" w:rsidP="00205DBC">
            <w:pPr>
              <w:ind w:firstLine="720"/>
              <w:rPr>
                <w:sz w:val="20"/>
                <w:szCs w:val="20"/>
              </w:rPr>
            </w:pPr>
            <w:r w:rsidRPr="009C3AE5">
              <w:rPr>
                <w:sz w:val="20"/>
                <w:szCs w:val="20"/>
              </w:rPr>
              <w:t>Outcomes</w:t>
            </w:r>
          </w:p>
        </w:tc>
      </w:tr>
      <w:tr w:rsidR="00732F96" w:rsidRPr="009C3AE5" w:rsidTr="00205DBC">
        <w:tc>
          <w:tcPr>
            <w:tcW w:w="1377" w:type="dxa"/>
          </w:tcPr>
          <w:p w:rsidR="00732F96" w:rsidRPr="009C3AE5" w:rsidRDefault="00732F96" w:rsidP="00205DBC">
            <w:pPr>
              <w:rPr>
                <w:sz w:val="20"/>
                <w:szCs w:val="20"/>
              </w:rPr>
            </w:pPr>
            <w:r w:rsidRPr="009C3AE5">
              <w:rPr>
                <w:sz w:val="20"/>
                <w:szCs w:val="20"/>
              </w:rPr>
              <w:t>Matsumoto (2006)</w:t>
            </w:r>
          </w:p>
          <w:p w:rsidR="00732F96" w:rsidRPr="009C3AE5" w:rsidRDefault="00732F96" w:rsidP="00205DBC">
            <w:pPr>
              <w:rPr>
                <w:sz w:val="20"/>
                <w:szCs w:val="20"/>
              </w:rPr>
            </w:pPr>
          </w:p>
          <w:p w:rsidR="00732F96" w:rsidRPr="009C3AE5" w:rsidRDefault="00732F96" w:rsidP="00205DBC">
            <w:pPr>
              <w:rPr>
                <w:sz w:val="20"/>
                <w:szCs w:val="20"/>
              </w:rPr>
            </w:pPr>
            <w:r w:rsidRPr="009C3AE5">
              <w:rPr>
                <w:sz w:val="20"/>
                <w:szCs w:val="20"/>
              </w:rPr>
              <w:t>Matched cohort study; the reoperated cohort are of interest for this report.</w:t>
            </w:r>
          </w:p>
        </w:tc>
        <w:tc>
          <w:tcPr>
            <w:tcW w:w="1499" w:type="dxa"/>
          </w:tcPr>
          <w:p w:rsidR="00732F96" w:rsidRPr="009C3AE5" w:rsidRDefault="00732F96" w:rsidP="00205DBC">
            <w:pPr>
              <w:rPr>
                <w:sz w:val="20"/>
                <w:szCs w:val="20"/>
              </w:rPr>
            </w:pPr>
            <w:r w:rsidRPr="009C3AE5">
              <w:rPr>
                <w:sz w:val="20"/>
                <w:szCs w:val="20"/>
              </w:rPr>
              <w:t>N = 31</w:t>
            </w:r>
          </w:p>
          <w:p w:rsidR="00732F96" w:rsidRPr="009C3AE5" w:rsidRDefault="00732F96" w:rsidP="00205DBC">
            <w:pPr>
              <w:rPr>
                <w:sz w:val="20"/>
                <w:szCs w:val="20"/>
              </w:rPr>
            </w:pPr>
            <w:r w:rsidRPr="009C3AE5">
              <w:rPr>
                <w:sz w:val="20"/>
                <w:szCs w:val="20"/>
              </w:rPr>
              <w:t>Male: 26/31</w:t>
            </w:r>
          </w:p>
          <w:p w:rsidR="00732F96" w:rsidRPr="009C3AE5" w:rsidRDefault="00732F96" w:rsidP="00205DBC">
            <w:pPr>
              <w:rPr>
                <w:sz w:val="20"/>
                <w:szCs w:val="20"/>
              </w:rPr>
            </w:pPr>
            <w:r w:rsidRPr="009C3AE5">
              <w:rPr>
                <w:sz w:val="20"/>
                <w:szCs w:val="20"/>
              </w:rPr>
              <w:t>Mean age: 60 years (39-83)</w:t>
            </w:r>
          </w:p>
          <w:p w:rsidR="00732F96" w:rsidRPr="009C3AE5" w:rsidRDefault="00732F96" w:rsidP="00205DBC">
            <w:pPr>
              <w:rPr>
                <w:sz w:val="20"/>
                <w:szCs w:val="20"/>
              </w:rPr>
            </w:pPr>
            <w:r w:rsidRPr="009C3AE5">
              <w:rPr>
                <w:sz w:val="20"/>
                <w:szCs w:val="20"/>
              </w:rPr>
              <w:t xml:space="preserve">Previous ACDF, mean 12 years 3 months (1 year 4 mo to 36 year </w:t>
            </w:r>
            <w:r w:rsidRPr="009C3AE5">
              <w:rPr>
                <w:sz w:val="20"/>
                <w:szCs w:val="20"/>
              </w:rPr>
              <w:lastRenderedPageBreak/>
              <w:t>11 mo) prior</w:t>
            </w:r>
          </w:p>
          <w:p w:rsidR="00732F96" w:rsidRPr="009C3AE5" w:rsidRDefault="00732F96" w:rsidP="00205DBC">
            <w:pPr>
              <w:rPr>
                <w:sz w:val="20"/>
                <w:szCs w:val="20"/>
              </w:rPr>
            </w:pPr>
          </w:p>
          <w:p w:rsidR="00732F96" w:rsidRPr="009C3AE5" w:rsidRDefault="00732F96" w:rsidP="00205DBC">
            <w:pPr>
              <w:rPr>
                <w:sz w:val="20"/>
                <w:szCs w:val="20"/>
              </w:rPr>
            </w:pPr>
            <w:r w:rsidRPr="009C3AE5">
              <w:rPr>
                <w:sz w:val="20"/>
                <w:szCs w:val="20"/>
              </w:rPr>
              <w:t>f/u:  45 months (25-60)</w:t>
            </w:r>
          </w:p>
          <w:p w:rsidR="00732F96" w:rsidRPr="009C3AE5" w:rsidRDefault="00732F96" w:rsidP="00205DBC">
            <w:pPr>
              <w:rPr>
                <w:sz w:val="20"/>
                <w:szCs w:val="20"/>
              </w:rPr>
            </w:pPr>
          </w:p>
          <w:p w:rsidR="00732F96" w:rsidRPr="009C3AE5" w:rsidRDefault="00732F96" w:rsidP="00205DBC">
            <w:pPr>
              <w:rPr>
                <w:sz w:val="20"/>
                <w:szCs w:val="20"/>
              </w:rPr>
            </w:pPr>
            <w:r w:rsidRPr="009C3AE5">
              <w:rPr>
                <w:sz w:val="20"/>
                <w:szCs w:val="20"/>
              </w:rPr>
              <w:t>Matched cohort:</w:t>
            </w:r>
          </w:p>
          <w:p w:rsidR="00732F96" w:rsidRPr="009C3AE5" w:rsidRDefault="00732F96" w:rsidP="00205DBC">
            <w:pPr>
              <w:rPr>
                <w:sz w:val="20"/>
                <w:szCs w:val="20"/>
              </w:rPr>
            </w:pPr>
            <w:r w:rsidRPr="009C3AE5">
              <w:rPr>
                <w:sz w:val="20"/>
                <w:szCs w:val="20"/>
              </w:rPr>
              <w:t>N = 31</w:t>
            </w:r>
          </w:p>
          <w:p w:rsidR="00732F96" w:rsidRPr="009C3AE5" w:rsidRDefault="00732F96" w:rsidP="00205DBC">
            <w:pPr>
              <w:rPr>
                <w:sz w:val="20"/>
                <w:szCs w:val="20"/>
              </w:rPr>
            </w:pPr>
            <w:r w:rsidRPr="009C3AE5">
              <w:rPr>
                <w:sz w:val="20"/>
                <w:szCs w:val="20"/>
              </w:rPr>
              <w:t>Male: 26/31</w:t>
            </w:r>
          </w:p>
          <w:p w:rsidR="00732F96" w:rsidRPr="009C3AE5" w:rsidRDefault="00732F96" w:rsidP="00205DBC">
            <w:pPr>
              <w:rPr>
                <w:sz w:val="20"/>
                <w:szCs w:val="20"/>
              </w:rPr>
            </w:pPr>
            <w:r w:rsidRPr="009C3AE5">
              <w:rPr>
                <w:sz w:val="20"/>
                <w:szCs w:val="20"/>
              </w:rPr>
              <w:t>Mean age: 58 years (42-77)</w:t>
            </w:r>
          </w:p>
          <w:p w:rsidR="00732F96" w:rsidRPr="009C3AE5" w:rsidRDefault="00732F96" w:rsidP="00205DBC">
            <w:pPr>
              <w:rPr>
                <w:sz w:val="20"/>
                <w:szCs w:val="20"/>
              </w:rPr>
            </w:pPr>
            <w:r w:rsidRPr="009C3AE5">
              <w:rPr>
                <w:i/>
                <w:sz w:val="20"/>
                <w:szCs w:val="20"/>
              </w:rPr>
              <w:t xml:space="preserve">No previous surgery </w:t>
            </w:r>
            <w:r w:rsidRPr="009C3AE5">
              <w:rPr>
                <w:sz w:val="20"/>
                <w:szCs w:val="20"/>
              </w:rPr>
              <w:t>also ELAP</w:t>
            </w:r>
          </w:p>
        </w:tc>
        <w:tc>
          <w:tcPr>
            <w:tcW w:w="1401" w:type="dxa"/>
          </w:tcPr>
          <w:p w:rsidR="00732F96" w:rsidRPr="009C3AE5" w:rsidRDefault="00732F96" w:rsidP="00205DBC">
            <w:pPr>
              <w:rPr>
                <w:sz w:val="20"/>
                <w:szCs w:val="20"/>
              </w:rPr>
            </w:pPr>
            <w:r w:rsidRPr="009C3AE5">
              <w:rPr>
                <w:sz w:val="20"/>
                <w:szCs w:val="20"/>
              </w:rPr>
              <w:lastRenderedPageBreak/>
              <w:t>“cervical myelopathy resulting from adjacent segment disease”; further definition not provided.</w:t>
            </w:r>
          </w:p>
        </w:tc>
        <w:tc>
          <w:tcPr>
            <w:tcW w:w="2617" w:type="dxa"/>
            <w:gridSpan w:val="2"/>
          </w:tcPr>
          <w:p w:rsidR="00732F96" w:rsidRPr="009C3AE5" w:rsidRDefault="00732F96" w:rsidP="00205DBC">
            <w:pPr>
              <w:rPr>
                <w:sz w:val="20"/>
                <w:szCs w:val="20"/>
              </w:rPr>
            </w:pPr>
            <w:r w:rsidRPr="009C3AE5">
              <w:rPr>
                <w:sz w:val="20"/>
                <w:szCs w:val="20"/>
              </w:rPr>
              <w:t>Open door laminoplasty</w:t>
            </w:r>
          </w:p>
        </w:tc>
        <w:tc>
          <w:tcPr>
            <w:tcW w:w="2682" w:type="dxa"/>
            <w:gridSpan w:val="2"/>
          </w:tcPr>
          <w:p w:rsidR="00732F96" w:rsidRPr="009C3AE5" w:rsidRDefault="00732F96" w:rsidP="00205DBC">
            <w:pPr>
              <w:rPr>
                <w:sz w:val="20"/>
                <w:szCs w:val="20"/>
              </w:rPr>
            </w:pPr>
            <w:r w:rsidRPr="009C3AE5">
              <w:rPr>
                <w:sz w:val="20"/>
                <w:szCs w:val="20"/>
              </w:rPr>
              <w:t xml:space="preserve">JOA scores:  </w:t>
            </w:r>
          </w:p>
          <w:p w:rsidR="00732F96" w:rsidRPr="009C3AE5" w:rsidRDefault="00732F96" w:rsidP="00205DBC">
            <w:pPr>
              <w:rPr>
                <w:sz w:val="20"/>
                <w:szCs w:val="20"/>
              </w:rPr>
            </w:pPr>
            <w:r w:rsidRPr="009C3AE5">
              <w:rPr>
                <w:sz w:val="20"/>
                <w:szCs w:val="20"/>
              </w:rPr>
              <w:t xml:space="preserve">Preoperative:  9.2 </w:t>
            </w:r>
            <w:r w:rsidRPr="009C3AE5">
              <w:rPr>
                <w:rFonts w:cstheme="minorHAnsi"/>
                <w:sz w:val="20"/>
                <w:szCs w:val="20"/>
              </w:rPr>
              <w:t>±</w:t>
            </w:r>
            <w:r w:rsidRPr="009C3AE5">
              <w:rPr>
                <w:sz w:val="20"/>
                <w:szCs w:val="20"/>
              </w:rPr>
              <w:t xml:space="preserve"> 2.6 (4-14)</w:t>
            </w:r>
          </w:p>
          <w:p w:rsidR="00732F96" w:rsidRPr="009C3AE5" w:rsidRDefault="00732F96" w:rsidP="00205DBC">
            <w:pPr>
              <w:rPr>
                <w:sz w:val="20"/>
                <w:szCs w:val="20"/>
              </w:rPr>
            </w:pPr>
            <w:r w:rsidRPr="009C3AE5">
              <w:rPr>
                <w:sz w:val="20"/>
                <w:szCs w:val="20"/>
              </w:rPr>
              <w:t xml:space="preserve">Postoperative:  11.9 </w:t>
            </w:r>
            <w:r w:rsidRPr="009C3AE5">
              <w:rPr>
                <w:rFonts w:ascii="Calibri" w:hAnsi="Calibri" w:cs="Calibri"/>
                <w:sz w:val="20"/>
                <w:szCs w:val="20"/>
              </w:rPr>
              <w:t>±</w:t>
            </w:r>
            <w:r w:rsidRPr="009C3AE5">
              <w:rPr>
                <w:sz w:val="20"/>
                <w:szCs w:val="20"/>
              </w:rPr>
              <w:t xml:space="preserve"> 2.8 (6-15)</w:t>
            </w:r>
          </w:p>
          <w:p w:rsidR="00732F96" w:rsidRPr="009C3AE5" w:rsidRDefault="00732F96" w:rsidP="00205DBC">
            <w:pPr>
              <w:rPr>
                <w:sz w:val="20"/>
                <w:szCs w:val="20"/>
              </w:rPr>
            </w:pPr>
          </w:p>
          <w:p w:rsidR="00732F96" w:rsidRPr="009C3AE5" w:rsidRDefault="00732F96" w:rsidP="00205DBC">
            <w:pPr>
              <w:rPr>
                <w:sz w:val="20"/>
                <w:szCs w:val="20"/>
              </w:rPr>
            </w:pPr>
            <w:r w:rsidRPr="009C3AE5">
              <w:rPr>
                <w:sz w:val="20"/>
                <w:szCs w:val="20"/>
              </w:rPr>
              <w:t xml:space="preserve">Recovery rate </w:t>
            </w:r>
            <w:r w:rsidRPr="009C3AE5">
              <w:rPr>
                <w:rFonts w:cstheme="minorHAnsi"/>
                <w:sz w:val="20"/>
                <w:szCs w:val="20"/>
              </w:rPr>
              <w:t xml:space="preserve">(JOA score at f/u - preoperative JOA score)/(17 -  preoperative JOA score) x 100 (%):  </w:t>
            </w:r>
            <w:r w:rsidRPr="009C3AE5">
              <w:rPr>
                <w:sz w:val="20"/>
                <w:szCs w:val="20"/>
              </w:rPr>
              <w:t xml:space="preserve">37.1 </w:t>
            </w:r>
            <w:r w:rsidRPr="009C3AE5">
              <w:rPr>
                <w:rFonts w:cstheme="minorHAnsi"/>
                <w:sz w:val="20"/>
                <w:szCs w:val="20"/>
              </w:rPr>
              <w:t>±</w:t>
            </w:r>
            <w:r w:rsidRPr="009C3AE5">
              <w:rPr>
                <w:sz w:val="20"/>
                <w:szCs w:val="20"/>
              </w:rPr>
              <w:t xml:space="preserve"> 22.4 </w:t>
            </w:r>
            <w:r w:rsidRPr="009C3AE5">
              <w:rPr>
                <w:sz w:val="20"/>
                <w:szCs w:val="20"/>
              </w:rPr>
              <w:lastRenderedPageBreak/>
              <w:t>(0-81)</w:t>
            </w:r>
          </w:p>
          <w:p w:rsidR="00732F96" w:rsidRPr="009C3AE5" w:rsidRDefault="00732F96" w:rsidP="00205DBC">
            <w:pPr>
              <w:rPr>
                <w:sz w:val="20"/>
                <w:szCs w:val="20"/>
              </w:rPr>
            </w:pPr>
          </w:p>
          <w:p w:rsidR="00732F96" w:rsidRPr="009C3AE5" w:rsidRDefault="00732F96" w:rsidP="00205DBC">
            <w:pPr>
              <w:rPr>
                <w:sz w:val="20"/>
                <w:szCs w:val="20"/>
              </w:rPr>
            </w:pPr>
            <w:r w:rsidRPr="009C3AE5">
              <w:rPr>
                <w:sz w:val="20"/>
                <w:szCs w:val="20"/>
              </w:rPr>
              <w:t>Clinical outcome (based on recovery rate):  n = 1 excellent, n = 11 good, n = 11 fair, n = 8 poor</w:t>
            </w:r>
          </w:p>
          <w:p w:rsidR="00732F96" w:rsidRPr="009C3AE5" w:rsidRDefault="00732F96" w:rsidP="00205DBC">
            <w:pPr>
              <w:rPr>
                <w:rFonts w:cstheme="minorHAnsi"/>
                <w:sz w:val="20"/>
                <w:szCs w:val="20"/>
              </w:rPr>
            </w:pPr>
          </w:p>
          <w:p w:rsidR="00732F96" w:rsidRPr="009C3AE5" w:rsidRDefault="00732F96" w:rsidP="00205DBC">
            <w:pPr>
              <w:autoSpaceDE w:val="0"/>
              <w:autoSpaceDN w:val="0"/>
              <w:adjustRightInd w:val="0"/>
              <w:rPr>
                <w:rFonts w:cstheme="minorHAnsi"/>
                <w:sz w:val="20"/>
                <w:szCs w:val="20"/>
              </w:rPr>
            </w:pPr>
            <w:r w:rsidRPr="009C3AE5">
              <w:rPr>
                <w:rFonts w:cstheme="minorHAnsi"/>
                <w:sz w:val="20"/>
                <w:szCs w:val="20"/>
              </w:rPr>
              <w:t>recovery rates according to diagnosis before ACDF in group A: 41.1 ± 21.5% in cases with soft disc herniation, 35.9 ± 23.0% in cases of spondylotic myelopathy, and 20.8 ± 29.4% in cases of spine injury  (</w:t>
            </w:r>
            <w:r w:rsidRPr="009C3AE5">
              <w:rPr>
                <w:rFonts w:cstheme="minorHAnsi"/>
                <w:i/>
                <w:iCs/>
                <w:sz w:val="20"/>
                <w:szCs w:val="20"/>
              </w:rPr>
              <w:t xml:space="preserve">P </w:t>
            </w:r>
            <w:r w:rsidRPr="009C3AE5">
              <w:rPr>
                <w:rFonts w:cstheme="minorHAnsi"/>
                <w:sz w:val="20"/>
                <w:szCs w:val="20"/>
              </w:rPr>
              <w:t>= 0.48, ANOVA).</w:t>
            </w:r>
          </w:p>
          <w:p w:rsidR="00732F96" w:rsidRPr="009C3AE5" w:rsidRDefault="00732F96" w:rsidP="00205DBC">
            <w:pPr>
              <w:autoSpaceDE w:val="0"/>
              <w:autoSpaceDN w:val="0"/>
              <w:adjustRightInd w:val="0"/>
              <w:rPr>
                <w:rFonts w:cstheme="minorHAnsi"/>
                <w:sz w:val="20"/>
                <w:szCs w:val="20"/>
              </w:rPr>
            </w:pPr>
          </w:p>
          <w:p w:rsidR="00732F96" w:rsidRPr="009C3AE5" w:rsidRDefault="00732F96" w:rsidP="00205DBC">
            <w:pPr>
              <w:autoSpaceDE w:val="0"/>
              <w:autoSpaceDN w:val="0"/>
              <w:adjustRightInd w:val="0"/>
              <w:rPr>
                <w:rFonts w:cstheme="minorHAnsi"/>
                <w:sz w:val="20"/>
                <w:szCs w:val="20"/>
              </w:rPr>
            </w:pPr>
            <w:r w:rsidRPr="009C3AE5">
              <w:rPr>
                <w:rFonts w:cstheme="minorHAnsi"/>
                <w:sz w:val="20"/>
                <w:szCs w:val="20"/>
              </w:rPr>
              <w:t xml:space="preserve">Radiological results:  </w:t>
            </w:r>
          </w:p>
          <w:p w:rsidR="00732F96" w:rsidRPr="009C3AE5" w:rsidRDefault="00732F96" w:rsidP="00205DBC">
            <w:pPr>
              <w:autoSpaceDE w:val="0"/>
              <w:autoSpaceDN w:val="0"/>
              <w:adjustRightInd w:val="0"/>
              <w:rPr>
                <w:rFonts w:cstheme="minorHAnsi"/>
                <w:sz w:val="20"/>
                <w:szCs w:val="20"/>
              </w:rPr>
            </w:pPr>
            <w:r w:rsidRPr="009C3AE5">
              <w:rPr>
                <w:rFonts w:cstheme="minorHAnsi"/>
                <w:sz w:val="20"/>
                <w:szCs w:val="20"/>
              </w:rPr>
              <w:t>Mean angular motion at adjacent levels:</w:t>
            </w:r>
          </w:p>
          <w:p w:rsidR="00732F96" w:rsidRPr="009C3AE5" w:rsidRDefault="00732F96" w:rsidP="00205DBC">
            <w:pPr>
              <w:autoSpaceDE w:val="0"/>
              <w:autoSpaceDN w:val="0"/>
              <w:adjustRightInd w:val="0"/>
              <w:rPr>
                <w:rFonts w:cstheme="minorHAnsi"/>
                <w:sz w:val="20"/>
                <w:szCs w:val="20"/>
              </w:rPr>
            </w:pPr>
            <w:r w:rsidRPr="009C3AE5">
              <w:rPr>
                <w:rFonts w:cstheme="minorHAnsi"/>
                <w:sz w:val="20"/>
                <w:szCs w:val="20"/>
              </w:rPr>
              <w:t>Preoperative:  10.5° ± 5.6°</w:t>
            </w:r>
          </w:p>
          <w:p w:rsidR="00732F96" w:rsidRPr="009C3AE5" w:rsidRDefault="00732F96" w:rsidP="00205DBC">
            <w:pPr>
              <w:autoSpaceDE w:val="0"/>
              <w:autoSpaceDN w:val="0"/>
              <w:adjustRightInd w:val="0"/>
              <w:rPr>
                <w:rFonts w:cstheme="minorHAnsi"/>
                <w:sz w:val="20"/>
                <w:szCs w:val="20"/>
              </w:rPr>
            </w:pPr>
            <w:r w:rsidRPr="009C3AE5">
              <w:rPr>
                <w:rFonts w:cstheme="minorHAnsi"/>
                <w:sz w:val="20"/>
                <w:szCs w:val="20"/>
              </w:rPr>
              <w:t xml:space="preserve">Postoperative: 7.0° ± 6.6° </w:t>
            </w:r>
          </w:p>
          <w:p w:rsidR="00732F96" w:rsidRPr="009C3AE5" w:rsidRDefault="00732F96" w:rsidP="00205DBC">
            <w:pPr>
              <w:autoSpaceDE w:val="0"/>
              <w:autoSpaceDN w:val="0"/>
              <w:adjustRightInd w:val="0"/>
              <w:rPr>
                <w:rFonts w:cstheme="minorHAnsi"/>
                <w:sz w:val="20"/>
                <w:szCs w:val="20"/>
              </w:rPr>
            </w:pPr>
            <w:r w:rsidRPr="009C3AE5">
              <w:rPr>
                <w:rFonts w:cstheme="minorHAnsi"/>
                <w:sz w:val="20"/>
                <w:szCs w:val="20"/>
              </w:rPr>
              <w:t>P = 0.008, paired t test</w:t>
            </w:r>
          </w:p>
        </w:tc>
      </w:tr>
      <w:tr w:rsidR="00732F96" w:rsidRPr="009C3AE5" w:rsidTr="00205DBC">
        <w:tc>
          <w:tcPr>
            <w:tcW w:w="1377" w:type="dxa"/>
          </w:tcPr>
          <w:p w:rsidR="00732F96" w:rsidRPr="009C3AE5" w:rsidRDefault="00732F96" w:rsidP="00205DBC">
            <w:pPr>
              <w:rPr>
                <w:sz w:val="20"/>
                <w:szCs w:val="20"/>
              </w:rPr>
            </w:pPr>
            <w:r w:rsidRPr="009C3AE5">
              <w:rPr>
                <w:sz w:val="20"/>
                <w:szCs w:val="20"/>
              </w:rPr>
              <w:lastRenderedPageBreak/>
              <w:t>Baba (1994)</w:t>
            </w:r>
          </w:p>
        </w:tc>
        <w:tc>
          <w:tcPr>
            <w:tcW w:w="1499" w:type="dxa"/>
          </w:tcPr>
          <w:p w:rsidR="00732F96" w:rsidRPr="009C3AE5" w:rsidRDefault="00732F96" w:rsidP="00205DBC">
            <w:pPr>
              <w:rPr>
                <w:sz w:val="20"/>
                <w:szCs w:val="20"/>
              </w:rPr>
            </w:pPr>
            <w:r w:rsidRPr="009C3AE5">
              <w:rPr>
                <w:sz w:val="20"/>
                <w:szCs w:val="20"/>
              </w:rPr>
              <w:t>N = 18</w:t>
            </w:r>
          </w:p>
          <w:p w:rsidR="00732F96" w:rsidRPr="009C3AE5" w:rsidRDefault="00732F96" w:rsidP="00205DBC">
            <w:pPr>
              <w:rPr>
                <w:sz w:val="20"/>
                <w:szCs w:val="20"/>
              </w:rPr>
            </w:pPr>
            <w:r w:rsidRPr="009C3AE5">
              <w:rPr>
                <w:sz w:val="20"/>
                <w:szCs w:val="20"/>
              </w:rPr>
              <w:t>Male: 11/18</w:t>
            </w:r>
          </w:p>
          <w:p w:rsidR="00732F96" w:rsidRPr="009C3AE5" w:rsidRDefault="00732F96" w:rsidP="00205DBC">
            <w:pPr>
              <w:rPr>
                <w:sz w:val="20"/>
                <w:szCs w:val="20"/>
              </w:rPr>
            </w:pPr>
            <w:r w:rsidRPr="009C3AE5">
              <w:rPr>
                <w:sz w:val="20"/>
                <w:szCs w:val="20"/>
              </w:rPr>
              <w:t>Mean age: 50 years (40 – 63)</w:t>
            </w:r>
          </w:p>
          <w:p w:rsidR="00732F96" w:rsidRPr="009C3AE5" w:rsidRDefault="00732F96" w:rsidP="00205DBC">
            <w:pPr>
              <w:rPr>
                <w:sz w:val="20"/>
                <w:szCs w:val="20"/>
              </w:rPr>
            </w:pPr>
            <w:r w:rsidRPr="009C3AE5">
              <w:rPr>
                <w:sz w:val="20"/>
                <w:szCs w:val="20"/>
              </w:rPr>
              <w:t>Previous ACDF, mean 7.8 years (1 – 33) prior</w:t>
            </w:r>
          </w:p>
          <w:p w:rsidR="00732F96" w:rsidRPr="009C3AE5" w:rsidRDefault="00732F96" w:rsidP="00205DBC">
            <w:pPr>
              <w:rPr>
                <w:sz w:val="20"/>
                <w:szCs w:val="20"/>
              </w:rPr>
            </w:pPr>
          </w:p>
          <w:p w:rsidR="00732F96" w:rsidRPr="009C3AE5" w:rsidRDefault="00732F96" w:rsidP="00205DBC">
            <w:pPr>
              <w:rPr>
                <w:sz w:val="20"/>
                <w:szCs w:val="20"/>
              </w:rPr>
            </w:pPr>
            <w:r w:rsidRPr="009C3AE5">
              <w:rPr>
                <w:sz w:val="20"/>
                <w:szCs w:val="20"/>
              </w:rPr>
              <w:t>f/u: 34 months (16-54)</w:t>
            </w:r>
          </w:p>
        </w:tc>
        <w:tc>
          <w:tcPr>
            <w:tcW w:w="1401" w:type="dxa"/>
          </w:tcPr>
          <w:p w:rsidR="00732F96" w:rsidRPr="009C3AE5" w:rsidRDefault="00732F96" w:rsidP="00205DBC">
            <w:pPr>
              <w:rPr>
                <w:sz w:val="20"/>
                <w:szCs w:val="20"/>
              </w:rPr>
            </w:pPr>
            <w:r w:rsidRPr="009C3AE5">
              <w:rPr>
                <w:sz w:val="20"/>
                <w:szCs w:val="20"/>
              </w:rPr>
              <w:t>NR</w:t>
            </w:r>
          </w:p>
        </w:tc>
        <w:tc>
          <w:tcPr>
            <w:tcW w:w="2617" w:type="dxa"/>
            <w:gridSpan w:val="2"/>
          </w:tcPr>
          <w:p w:rsidR="00732F96" w:rsidRPr="009C3AE5" w:rsidRDefault="00732F96" w:rsidP="00205DBC">
            <w:pPr>
              <w:rPr>
                <w:sz w:val="20"/>
                <w:szCs w:val="20"/>
              </w:rPr>
            </w:pPr>
            <w:r w:rsidRPr="009C3AE5">
              <w:rPr>
                <w:sz w:val="20"/>
                <w:szCs w:val="20"/>
              </w:rPr>
              <w:t>Laminoplasty</w:t>
            </w:r>
          </w:p>
        </w:tc>
        <w:tc>
          <w:tcPr>
            <w:tcW w:w="2682" w:type="dxa"/>
            <w:gridSpan w:val="2"/>
          </w:tcPr>
          <w:p w:rsidR="00732F96" w:rsidRPr="009C3AE5" w:rsidRDefault="00732F96" w:rsidP="00205DBC">
            <w:pPr>
              <w:rPr>
                <w:sz w:val="20"/>
                <w:szCs w:val="20"/>
              </w:rPr>
            </w:pPr>
            <w:r w:rsidRPr="009C3AE5">
              <w:rPr>
                <w:sz w:val="20"/>
                <w:szCs w:val="20"/>
              </w:rPr>
              <w:t>JOA scores:</w:t>
            </w:r>
          </w:p>
          <w:p w:rsidR="00732F96" w:rsidRPr="009C3AE5" w:rsidRDefault="00732F96" w:rsidP="00205DBC">
            <w:pPr>
              <w:rPr>
                <w:sz w:val="20"/>
                <w:szCs w:val="20"/>
              </w:rPr>
            </w:pPr>
            <w:r w:rsidRPr="009C3AE5">
              <w:rPr>
                <w:sz w:val="20"/>
                <w:szCs w:val="20"/>
              </w:rPr>
              <w:t>NR</w:t>
            </w:r>
          </w:p>
          <w:p w:rsidR="00732F96" w:rsidRPr="009C3AE5" w:rsidRDefault="00732F96" w:rsidP="00205DBC">
            <w:pPr>
              <w:rPr>
                <w:sz w:val="20"/>
                <w:szCs w:val="20"/>
              </w:rPr>
            </w:pPr>
          </w:p>
          <w:p w:rsidR="00732F96" w:rsidRPr="009C3AE5" w:rsidRDefault="00732F96" w:rsidP="00205DBC">
            <w:pPr>
              <w:rPr>
                <w:sz w:val="20"/>
                <w:szCs w:val="20"/>
              </w:rPr>
            </w:pPr>
            <w:r w:rsidRPr="009C3AE5">
              <w:rPr>
                <w:sz w:val="20"/>
                <w:szCs w:val="20"/>
              </w:rPr>
              <w:t>Clinical outcome (based on improvement rate): n = 4 excellent, n = 6 good, n = 4 fair, n = 4 poor</w:t>
            </w:r>
          </w:p>
          <w:p w:rsidR="00732F96" w:rsidRPr="009C3AE5" w:rsidRDefault="00732F96" w:rsidP="00205DBC">
            <w:pPr>
              <w:rPr>
                <w:sz w:val="20"/>
                <w:szCs w:val="20"/>
              </w:rPr>
            </w:pPr>
          </w:p>
          <w:p w:rsidR="00732F96" w:rsidRPr="009C3AE5" w:rsidRDefault="00732F96" w:rsidP="00205DBC">
            <w:pPr>
              <w:rPr>
                <w:sz w:val="20"/>
                <w:szCs w:val="20"/>
              </w:rPr>
            </w:pPr>
            <w:r w:rsidRPr="009C3AE5">
              <w:rPr>
                <w:sz w:val="20"/>
                <w:szCs w:val="20"/>
              </w:rPr>
              <w:t>Improvement rate according to diagnosis: 57%  in cases with both SCS and dynamic SCS, 10.7% in cases with mild swan-neck deformity with anterior spondylolisthesis of C2 on C3.</w:t>
            </w:r>
          </w:p>
        </w:tc>
      </w:tr>
      <w:tr w:rsidR="00732F96" w:rsidRPr="009C3AE5" w:rsidTr="00205DBC">
        <w:tc>
          <w:tcPr>
            <w:tcW w:w="1377" w:type="dxa"/>
          </w:tcPr>
          <w:p w:rsidR="00732F96" w:rsidRPr="009C3AE5" w:rsidRDefault="00732F96" w:rsidP="00205DBC">
            <w:pPr>
              <w:rPr>
                <w:sz w:val="20"/>
                <w:szCs w:val="20"/>
              </w:rPr>
            </w:pPr>
            <w:r w:rsidRPr="009C3AE5">
              <w:rPr>
                <w:sz w:val="20"/>
                <w:szCs w:val="20"/>
              </w:rPr>
              <w:t>Phillips (2009)</w:t>
            </w:r>
          </w:p>
        </w:tc>
        <w:tc>
          <w:tcPr>
            <w:tcW w:w="1499" w:type="dxa"/>
          </w:tcPr>
          <w:p w:rsidR="00732F96" w:rsidRPr="009C3AE5" w:rsidRDefault="00732F96" w:rsidP="00205DBC">
            <w:pPr>
              <w:rPr>
                <w:sz w:val="20"/>
                <w:szCs w:val="20"/>
              </w:rPr>
            </w:pPr>
            <w:r w:rsidRPr="009C3AE5">
              <w:rPr>
                <w:sz w:val="20"/>
                <w:szCs w:val="20"/>
              </w:rPr>
              <w:t>N = 126 primary and N = 26 previous “adjacent level” fusion surgeries</w:t>
            </w:r>
          </w:p>
          <w:p w:rsidR="00732F96" w:rsidRPr="009C3AE5" w:rsidRDefault="00732F96" w:rsidP="00205DBC">
            <w:pPr>
              <w:rPr>
                <w:sz w:val="20"/>
                <w:szCs w:val="20"/>
              </w:rPr>
            </w:pPr>
            <w:r w:rsidRPr="009C3AE5">
              <w:rPr>
                <w:sz w:val="20"/>
                <w:szCs w:val="20"/>
              </w:rPr>
              <w:t>Primary:</w:t>
            </w:r>
          </w:p>
          <w:p w:rsidR="00732F96" w:rsidRPr="009C3AE5" w:rsidRDefault="00732F96" w:rsidP="00205DBC">
            <w:pPr>
              <w:rPr>
                <w:sz w:val="20"/>
                <w:szCs w:val="20"/>
              </w:rPr>
            </w:pPr>
            <w:r w:rsidRPr="009C3AE5">
              <w:rPr>
                <w:sz w:val="20"/>
                <w:szCs w:val="20"/>
              </w:rPr>
              <w:t>Male: 70/126</w:t>
            </w:r>
          </w:p>
          <w:p w:rsidR="00732F96" w:rsidRPr="009C3AE5" w:rsidRDefault="00732F96" w:rsidP="00205DBC">
            <w:pPr>
              <w:rPr>
                <w:sz w:val="20"/>
                <w:szCs w:val="20"/>
              </w:rPr>
            </w:pPr>
            <w:r w:rsidRPr="009C3AE5">
              <w:rPr>
                <w:sz w:val="20"/>
                <w:szCs w:val="20"/>
              </w:rPr>
              <w:t>Mean age: 44.4 years</w:t>
            </w:r>
          </w:p>
          <w:p w:rsidR="00732F96" w:rsidRPr="009C3AE5" w:rsidRDefault="00732F96" w:rsidP="00205DBC">
            <w:pPr>
              <w:rPr>
                <w:sz w:val="20"/>
                <w:szCs w:val="20"/>
              </w:rPr>
            </w:pPr>
            <w:r w:rsidRPr="009C3AE5">
              <w:rPr>
                <w:sz w:val="20"/>
                <w:szCs w:val="20"/>
              </w:rPr>
              <w:t>Previous:</w:t>
            </w:r>
          </w:p>
          <w:p w:rsidR="00732F96" w:rsidRPr="009C3AE5" w:rsidRDefault="00732F96" w:rsidP="00205DBC">
            <w:pPr>
              <w:rPr>
                <w:sz w:val="20"/>
                <w:szCs w:val="20"/>
              </w:rPr>
            </w:pPr>
            <w:r w:rsidRPr="009C3AE5">
              <w:rPr>
                <w:sz w:val="20"/>
                <w:szCs w:val="20"/>
              </w:rPr>
              <w:t>Male: 10/26</w:t>
            </w:r>
          </w:p>
          <w:p w:rsidR="00732F96" w:rsidRPr="009C3AE5" w:rsidRDefault="00732F96" w:rsidP="00205DBC">
            <w:pPr>
              <w:rPr>
                <w:sz w:val="20"/>
                <w:szCs w:val="20"/>
              </w:rPr>
            </w:pPr>
            <w:r w:rsidRPr="009C3AE5">
              <w:rPr>
                <w:sz w:val="20"/>
                <w:szCs w:val="20"/>
              </w:rPr>
              <w:t>Mean age: 46.4 years</w:t>
            </w:r>
          </w:p>
        </w:tc>
        <w:tc>
          <w:tcPr>
            <w:tcW w:w="1401" w:type="dxa"/>
          </w:tcPr>
          <w:p w:rsidR="00732F96" w:rsidRPr="009C3AE5" w:rsidRDefault="00732F96" w:rsidP="00205DBC">
            <w:pPr>
              <w:rPr>
                <w:sz w:val="20"/>
                <w:szCs w:val="20"/>
              </w:rPr>
            </w:pPr>
            <w:r w:rsidRPr="009C3AE5">
              <w:rPr>
                <w:sz w:val="20"/>
                <w:szCs w:val="20"/>
              </w:rPr>
              <w:t>NR</w:t>
            </w:r>
          </w:p>
        </w:tc>
        <w:tc>
          <w:tcPr>
            <w:tcW w:w="2617" w:type="dxa"/>
            <w:gridSpan w:val="2"/>
          </w:tcPr>
          <w:p w:rsidR="00732F96" w:rsidRPr="009C3AE5" w:rsidRDefault="00732F96" w:rsidP="00205DBC">
            <w:pPr>
              <w:rPr>
                <w:sz w:val="20"/>
                <w:szCs w:val="20"/>
              </w:rPr>
            </w:pPr>
            <w:r w:rsidRPr="009C3AE5">
              <w:rPr>
                <w:sz w:val="20"/>
                <w:szCs w:val="20"/>
              </w:rPr>
              <w:t>Cervical disc replacement (PCM disc)</w:t>
            </w:r>
          </w:p>
        </w:tc>
        <w:tc>
          <w:tcPr>
            <w:tcW w:w="2682" w:type="dxa"/>
            <w:gridSpan w:val="2"/>
          </w:tcPr>
          <w:p w:rsidR="00732F96" w:rsidRPr="009C3AE5" w:rsidRDefault="00732F96" w:rsidP="00205DBC">
            <w:pPr>
              <w:rPr>
                <w:sz w:val="20"/>
                <w:szCs w:val="20"/>
              </w:rPr>
            </w:pPr>
            <w:r w:rsidRPr="009C3AE5">
              <w:rPr>
                <w:sz w:val="20"/>
                <w:szCs w:val="20"/>
              </w:rPr>
              <w:t>NDI scores:</w:t>
            </w:r>
          </w:p>
          <w:p w:rsidR="00732F96" w:rsidRPr="009C3AE5" w:rsidRDefault="00732F96" w:rsidP="00205DBC">
            <w:pPr>
              <w:rPr>
                <w:sz w:val="20"/>
                <w:szCs w:val="20"/>
              </w:rPr>
            </w:pPr>
            <w:r w:rsidRPr="009C3AE5">
              <w:rPr>
                <w:sz w:val="20"/>
                <w:szCs w:val="20"/>
              </w:rPr>
              <w:t>Primary Preoperative: 28.1 ± 7.3</w:t>
            </w:r>
          </w:p>
          <w:p w:rsidR="00732F96" w:rsidRPr="009C3AE5" w:rsidRDefault="00732F96" w:rsidP="00205DBC">
            <w:pPr>
              <w:rPr>
                <w:sz w:val="20"/>
                <w:szCs w:val="20"/>
              </w:rPr>
            </w:pPr>
            <w:r w:rsidRPr="009C3AE5">
              <w:rPr>
                <w:sz w:val="20"/>
                <w:szCs w:val="20"/>
              </w:rPr>
              <w:t>Primary 52 week Postoperative: 10.8 ± 10.5</w:t>
            </w:r>
          </w:p>
          <w:p w:rsidR="00732F96" w:rsidRPr="009C3AE5" w:rsidRDefault="00732F96" w:rsidP="00205DBC">
            <w:pPr>
              <w:rPr>
                <w:sz w:val="20"/>
                <w:szCs w:val="20"/>
              </w:rPr>
            </w:pPr>
            <w:r w:rsidRPr="009C3AE5">
              <w:rPr>
                <w:sz w:val="20"/>
                <w:szCs w:val="20"/>
              </w:rPr>
              <w:t>Previous Preoperative: 28.2 ± 7.5</w:t>
            </w:r>
          </w:p>
          <w:p w:rsidR="00732F96" w:rsidRPr="009C3AE5" w:rsidRDefault="00732F96" w:rsidP="00205DBC">
            <w:pPr>
              <w:rPr>
                <w:sz w:val="20"/>
                <w:szCs w:val="20"/>
              </w:rPr>
            </w:pPr>
            <w:r w:rsidRPr="009C3AE5">
              <w:rPr>
                <w:sz w:val="20"/>
                <w:szCs w:val="20"/>
              </w:rPr>
              <w:t>Previous 52 week Postoperative: 11.7 ± 10.5</w:t>
            </w:r>
          </w:p>
          <w:p w:rsidR="00732F96" w:rsidRPr="009C3AE5" w:rsidRDefault="00732F96" w:rsidP="00205DBC">
            <w:pPr>
              <w:rPr>
                <w:sz w:val="20"/>
                <w:szCs w:val="20"/>
              </w:rPr>
            </w:pPr>
          </w:p>
          <w:p w:rsidR="00732F96" w:rsidRPr="009C3AE5" w:rsidRDefault="00732F96" w:rsidP="00205DBC">
            <w:pPr>
              <w:rPr>
                <w:sz w:val="20"/>
                <w:szCs w:val="20"/>
              </w:rPr>
            </w:pPr>
            <w:r w:rsidRPr="009C3AE5">
              <w:rPr>
                <w:sz w:val="20"/>
                <w:szCs w:val="20"/>
              </w:rPr>
              <w:t>Neck VAS scores:</w:t>
            </w:r>
          </w:p>
          <w:p w:rsidR="00732F96" w:rsidRPr="009C3AE5" w:rsidRDefault="00732F96" w:rsidP="00205DBC">
            <w:pPr>
              <w:rPr>
                <w:sz w:val="20"/>
                <w:szCs w:val="20"/>
              </w:rPr>
            </w:pPr>
            <w:r w:rsidRPr="009C3AE5">
              <w:rPr>
                <w:sz w:val="20"/>
                <w:szCs w:val="20"/>
              </w:rPr>
              <w:t>Primary Preoperative: 68.5 ± 23.1</w:t>
            </w:r>
          </w:p>
          <w:p w:rsidR="00732F96" w:rsidRPr="009C3AE5" w:rsidRDefault="00732F96" w:rsidP="00205DBC">
            <w:pPr>
              <w:rPr>
                <w:sz w:val="20"/>
                <w:szCs w:val="20"/>
              </w:rPr>
            </w:pPr>
            <w:r w:rsidRPr="009C3AE5">
              <w:rPr>
                <w:sz w:val="20"/>
                <w:szCs w:val="20"/>
              </w:rPr>
              <w:t>Primary 52 week Postoperative: 25.8 ± 25.8</w:t>
            </w:r>
          </w:p>
          <w:p w:rsidR="00732F96" w:rsidRPr="009C3AE5" w:rsidRDefault="00732F96" w:rsidP="00205DBC">
            <w:pPr>
              <w:rPr>
                <w:sz w:val="20"/>
                <w:szCs w:val="20"/>
              </w:rPr>
            </w:pPr>
            <w:r w:rsidRPr="009C3AE5">
              <w:rPr>
                <w:sz w:val="20"/>
                <w:szCs w:val="20"/>
              </w:rPr>
              <w:t>Previous Preoperative: 72.0 ± 16.4</w:t>
            </w:r>
          </w:p>
          <w:p w:rsidR="00732F96" w:rsidRPr="009C3AE5" w:rsidRDefault="00732F96" w:rsidP="00205DBC">
            <w:pPr>
              <w:rPr>
                <w:sz w:val="20"/>
                <w:szCs w:val="20"/>
              </w:rPr>
            </w:pPr>
            <w:r w:rsidRPr="009C3AE5">
              <w:rPr>
                <w:sz w:val="20"/>
                <w:szCs w:val="20"/>
              </w:rPr>
              <w:t>Previous 52 week Postoperative: 28.4 ± 29.6</w:t>
            </w:r>
          </w:p>
          <w:p w:rsidR="00732F96" w:rsidRPr="009C3AE5" w:rsidRDefault="00732F96" w:rsidP="00205DBC">
            <w:pPr>
              <w:rPr>
                <w:sz w:val="20"/>
                <w:szCs w:val="20"/>
              </w:rPr>
            </w:pPr>
          </w:p>
          <w:p w:rsidR="00732F96" w:rsidRPr="009C3AE5" w:rsidRDefault="00732F96" w:rsidP="00205DBC">
            <w:pPr>
              <w:rPr>
                <w:sz w:val="20"/>
                <w:szCs w:val="20"/>
              </w:rPr>
            </w:pPr>
            <w:r w:rsidRPr="009C3AE5">
              <w:rPr>
                <w:sz w:val="20"/>
                <w:szCs w:val="20"/>
              </w:rPr>
              <w:t>Arm VAS scores:</w:t>
            </w:r>
          </w:p>
          <w:p w:rsidR="00732F96" w:rsidRPr="009C3AE5" w:rsidRDefault="00732F96" w:rsidP="00205DBC">
            <w:pPr>
              <w:rPr>
                <w:sz w:val="20"/>
                <w:szCs w:val="20"/>
              </w:rPr>
            </w:pPr>
            <w:r w:rsidRPr="009C3AE5">
              <w:rPr>
                <w:sz w:val="20"/>
                <w:szCs w:val="20"/>
              </w:rPr>
              <w:t>Primary Preoperative: 71.3 ± 19.8</w:t>
            </w:r>
          </w:p>
          <w:p w:rsidR="00732F96" w:rsidRPr="009C3AE5" w:rsidRDefault="00732F96" w:rsidP="00205DBC">
            <w:pPr>
              <w:rPr>
                <w:sz w:val="20"/>
                <w:szCs w:val="20"/>
              </w:rPr>
            </w:pPr>
            <w:r w:rsidRPr="009C3AE5">
              <w:rPr>
                <w:sz w:val="20"/>
                <w:szCs w:val="20"/>
              </w:rPr>
              <w:t>Primary 52 week Postoperative: 27.2 ± 30.2</w:t>
            </w:r>
          </w:p>
          <w:p w:rsidR="00732F96" w:rsidRPr="009C3AE5" w:rsidRDefault="00732F96" w:rsidP="00205DBC">
            <w:pPr>
              <w:rPr>
                <w:sz w:val="20"/>
                <w:szCs w:val="20"/>
              </w:rPr>
            </w:pPr>
            <w:r w:rsidRPr="009C3AE5">
              <w:rPr>
                <w:sz w:val="20"/>
                <w:szCs w:val="20"/>
              </w:rPr>
              <w:t>Previous Preoperative: 78.2 ± 17.2</w:t>
            </w:r>
          </w:p>
          <w:p w:rsidR="00732F96" w:rsidRPr="009C3AE5" w:rsidRDefault="00732F96" w:rsidP="00205DBC">
            <w:pPr>
              <w:rPr>
                <w:sz w:val="20"/>
                <w:szCs w:val="20"/>
              </w:rPr>
            </w:pPr>
            <w:r w:rsidRPr="009C3AE5">
              <w:rPr>
                <w:sz w:val="20"/>
                <w:szCs w:val="20"/>
              </w:rPr>
              <w:t>Previous 52 week Postoperative: 31.0 ± 34.3</w:t>
            </w:r>
          </w:p>
          <w:p w:rsidR="00732F96" w:rsidRPr="009C3AE5" w:rsidRDefault="00732F96" w:rsidP="00205DBC">
            <w:pPr>
              <w:rPr>
                <w:sz w:val="20"/>
                <w:szCs w:val="20"/>
              </w:rPr>
            </w:pPr>
          </w:p>
          <w:p w:rsidR="00732F96" w:rsidRPr="009C3AE5" w:rsidRDefault="00732F96" w:rsidP="00205DBC">
            <w:pPr>
              <w:rPr>
                <w:sz w:val="20"/>
                <w:szCs w:val="20"/>
              </w:rPr>
            </w:pPr>
            <w:r w:rsidRPr="009C3AE5">
              <w:rPr>
                <w:sz w:val="20"/>
                <w:szCs w:val="20"/>
              </w:rPr>
              <w:t>P = 0.001 for all groups/scores</w:t>
            </w:r>
          </w:p>
          <w:p w:rsidR="00732F96" w:rsidRPr="009C3AE5" w:rsidRDefault="00732F96" w:rsidP="00205DBC">
            <w:pPr>
              <w:rPr>
                <w:sz w:val="20"/>
                <w:szCs w:val="20"/>
              </w:rPr>
            </w:pPr>
          </w:p>
          <w:p w:rsidR="00732F96" w:rsidRPr="009C3AE5" w:rsidRDefault="00732F96" w:rsidP="00205DBC">
            <w:pPr>
              <w:rPr>
                <w:sz w:val="20"/>
                <w:szCs w:val="20"/>
              </w:rPr>
            </w:pPr>
            <w:r w:rsidRPr="009C3AE5">
              <w:rPr>
                <w:sz w:val="20"/>
                <w:szCs w:val="20"/>
              </w:rPr>
              <w:t>Radiological results:</w:t>
            </w:r>
          </w:p>
          <w:p w:rsidR="00732F96" w:rsidRPr="009C3AE5" w:rsidRDefault="00732F96" w:rsidP="00205DBC">
            <w:pPr>
              <w:rPr>
                <w:sz w:val="20"/>
                <w:szCs w:val="20"/>
              </w:rPr>
            </w:pPr>
            <w:r w:rsidRPr="009C3AE5">
              <w:rPr>
                <w:sz w:val="20"/>
                <w:szCs w:val="20"/>
              </w:rPr>
              <w:t>Intervertebral levels grouped difference between primary and adjacent-to-fusion groups P = 0.23</w:t>
            </w:r>
          </w:p>
          <w:p w:rsidR="00732F96" w:rsidRPr="009C3AE5" w:rsidRDefault="00732F96" w:rsidP="00205DBC">
            <w:pPr>
              <w:rPr>
                <w:sz w:val="20"/>
                <w:szCs w:val="20"/>
              </w:rPr>
            </w:pPr>
            <w:r w:rsidRPr="009C3AE5">
              <w:rPr>
                <w:sz w:val="20"/>
                <w:szCs w:val="20"/>
              </w:rPr>
              <w:t>12 month f/u increase in motion in adjacent-to-fusion group P = 0.037</w:t>
            </w:r>
          </w:p>
          <w:p w:rsidR="00732F96" w:rsidRPr="009C3AE5" w:rsidRDefault="00732F96" w:rsidP="00205DBC">
            <w:pPr>
              <w:rPr>
                <w:sz w:val="20"/>
                <w:szCs w:val="20"/>
              </w:rPr>
            </w:pPr>
            <w:r w:rsidRPr="009C3AE5">
              <w:rPr>
                <w:sz w:val="20"/>
                <w:szCs w:val="20"/>
              </w:rPr>
              <w:t>Change in intervertebral rotation between primary and adjacent-to-fusion groups: P = 0.57</w:t>
            </w:r>
          </w:p>
          <w:p w:rsidR="00732F96" w:rsidRPr="009C3AE5" w:rsidRDefault="00732F96" w:rsidP="00205DBC">
            <w:pPr>
              <w:rPr>
                <w:sz w:val="20"/>
                <w:szCs w:val="20"/>
              </w:rPr>
            </w:pPr>
            <w:r w:rsidRPr="009C3AE5">
              <w:rPr>
                <w:sz w:val="20"/>
                <w:szCs w:val="20"/>
              </w:rPr>
              <w:t>Change in intervertebral rotation between levels implanted: P = 0.018</w:t>
            </w:r>
          </w:p>
          <w:p w:rsidR="00732F96" w:rsidRPr="009C3AE5" w:rsidRDefault="00732F96" w:rsidP="00205DBC">
            <w:pPr>
              <w:rPr>
                <w:sz w:val="20"/>
                <w:szCs w:val="20"/>
              </w:rPr>
            </w:pPr>
            <w:r w:rsidRPr="009C3AE5">
              <w:rPr>
                <w:sz w:val="20"/>
                <w:szCs w:val="20"/>
              </w:rPr>
              <w:t>12 month f/u amount of intervertebral translation at PCM level between primary and adjacent-to-fusion groups P = 0.02</w:t>
            </w:r>
          </w:p>
          <w:p w:rsidR="00732F96" w:rsidRPr="009C3AE5" w:rsidRDefault="00732F96" w:rsidP="00205DBC">
            <w:pPr>
              <w:rPr>
                <w:sz w:val="20"/>
                <w:szCs w:val="20"/>
              </w:rPr>
            </w:pPr>
            <w:r w:rsidRPr="009C3AE5">
              <w:rPr>
                <w:sz w:val="20"/>
                <w:szCs w:val="20"/>
              </w:rPr>
              <w:t>12 month f/u amount of intervertebral translation at PCM level between levels P = 0.002</w:t>
            </w:r>
          </w:p>
        </w:tc>
      </w:tr>
    </w:tbl>
    <w:p w:rsidR="00732F96" w:rsidRPr="009C3AE5" w:rsidRDefault="00732F96" w:rsidP="00732F96">
      <w:pPr>
        <w:rPr>
          <w:sz w:val="20"/>
          <w:szCs w:val="20"/>
        </w:rPr>
      </w:pPr>
    </w:p>
    <w:p w:rsidR="00732F96" w:rsidRPr="009C3AE5" w:rsidRDefault="00732F96" w:rsidP="00732F96">
      <w:pPr>
        <w:rPr>
          <w:sz w:val="20"/>
          <w:szCs w:val="20"/>
        </w:rPr>
      </w:pPr>
      <w:r w:rsidRPr="009C3AE5">
        <w:rPr>
          <w:sz w:val="20"/>
          <w:szCs w:val="20"/>
        </w:rPr>
        <w:t xml:space="preserve">Inclusion/exclusion criteria: </w:t>
      </w:r>
    </w:p>
    <w:tbl>
      <w:tblPr>
        <w:tblStyle w:val="TableGrid"/>
        <w:tblW w:w="0" w:type="auto"/>
        <w:tblLook w:val="04A0"/>
      </w:tblPr>
      <w:tblGrid>
        <w:gridCol w:w="1500"/>
        <w:gridCol w:w="2749"/>
        <w:gridCol w:w="2748"/>
        <w:gridCol w:w="2579"/>
      </w:tblGrid>
      <w:tr w:rsidR="00732F96" w:rsidRPr="009C3AE5" w:rsidTr="0060407E">
        <w:tc>
          <w:tcPr>
            <w:tcW w:w="1507" w:type="dxa"/>
            <w:shd w:val="clear" w:color="auto" w:fill="A6A6A6" w:themeFill="background1" w:themeFillShade="A6"/>
          </w:tcPr>
          <w:p w:rsidR="00732F96" w:rsidRPr="009C3AE5" w:rsidRDefault="00732F96" w:rsidP="00205DBC">
            <w:pPr>
              <w:jc w:val="center"/>
              <w:rPr>
                <w:sz w:val="20"/>
                <w:szCs w:val="20"/>
              </w:rPr>
            </w:pPr>
            <w:r w:rsidRPr="009C3AE5">
              <w:rPr>
                <w:sz w:val="20"/>
                <w:szCs w:val="20"/>
              </w:rPr>
              <w:t>Author (year)</w:t>
            </w:r>
          </w:p>
          <w:p w:rsidR="00732F96" w:rsidRPr="009C3AE5" w:rsidRDefault="00732F96" w:rsidP="00205DBC">
            <w:pPr>
              <w:jc w:val="center"/>
              <w:rPr>
                <w:sz w:val="20"/>
                <w:szCs w:val="20"/>
              </w:rPr>
            </w:pPr>
            <w:r w:rsidRPr="009C3AE5">
              <w:rPr>
                <w:sz w:val="20"/>
                <w:szCs w:val="20"/>
              </w:rPr>
              <w:t>Study type (LoE)</w:t>
            </w:r>
          </w:p>
        </w:tc>
        <w:tc>
          <w:tcPr>
            <w:tcW w:w="2681" w:type="dxa"/>
            <w:shd w:val="clear" w:color="auto" w:fill="A6A6A6" w:themeFill="background1" w:themeFillShade="A6"/>
          </w:tcPr>
          <w:p w:rsidR="00732F96" w:rsidRPr="009C3AE5" w:rsidRDefault="00732F96" w:rsidP="00205DBC">
            <w:pPr>
              <w:jc w:val="center"/>
              <w:rPr>
                <w:sz w:val="20"/>
                <w:szCs w:val="20"/>
              </w:rPr>
            </w:pPr>
            <w:r w:rsidRPr="009C3AE5">
              <w:rPr>
                <w:sz w:val="20"/>
                <w:szCs w:val="20"/>
              </w:rPr>
              <w:t>Inclusion</w:t>
            </w:r>
          </w:p>
        </w:tc>
        <w:tc>
          <w:tcPr>
            <w:tcW w:w="2776" w:type="dxa"/>
            <w:shd w:val="clear" w:color="auto" w:fill="A6A6A6" w:themeFill="background1" w:themeFillShade="A6"/>
          </w:tcPr>
          <w:p w:rsidR="00732F96" w:rsidRPr="009C3AE5" w:rsidRDefault="00732F96" w:rsidP="00205DBC">
            <w:pPr>
              <w:jc w:val="center"/>
              <w:rPr>
                <w:sz w:val="20"/>
                <w:szCs w:val="20"/>
              </w:rPr>
            </w:pPr>
            <w:r w:rsidRPr="009C3AE5">
              <w:rPr>
                <w:sz w:val="20"/>
                <w:szCs w:val="20"/>
              </w:rPr>
              <w:t xml:space="preserve">Exclusion </w:t>
            </w:r>
          </w:p>
        </w:tc>
        <w:tc>
          <w:tcPr>
            <w:tcW w:w="2612" w:type="dxa"/>
            <w:shd w:val="clear" w:color="auto" w:fill="A6A6A6" w:themeFill="background1" w:themeFillShade="A6"/>
          </w:tcPr>
          <w:p w:rsidR="00732F96" w:rsidRPr="009C3AE5" w:rsidRDefault="00732F96" w:rsidP="00205DBC">
            <w:pPr>
              <w:jc w:val="center"/>
              <w:rPr>
                <w:sz w:val="20"/>
                <w:szCs w:val="20"/>
              </w:rPr>
            </w:pPr>
            <w:r w:rsidRPr="009C3AE5">
              <w:rPr>
                <w:sz w:val="20"/>
                <w:szCs w:val="20"/>
              </w:rPr>
              <w:t>Purpose</w:t>
            </w:r>
          </w:p>
        </w:tc>
      </w:tr>
      <w:tr w:rsidR="00732F96" w:rsidRPr="009C3AE5" w:rsidTr="0060407E">
        <w:tc>
          <w:tcPr>
            <w:tcW w:w="1507" w:type="dxa"/>
            <w:tcBorders>
              <w:bottom w:val="single" w:sz="4" w:space="0" w:color="auto"/>
            </w:tcBorders>
            <w:shd w:val="clear" w:color="auto" w:fill="A6A6A6" w:themeFill="background1" w:themeFillShade="A6"/>
          </w:tcPr>
          <w:p w:rsidR="00732F96" w:rsidRPr="009C3AE5" w:rsidRDefault="00732F96" w:rsidP="00205DBC">
            <w:pPr>
              <w:rPr>
                <w:sz w:val="20"/>
                <w:szCs w:val="20"/>
              </w:rPr>
            </w:pPr>
            <w:r w:rsidRPr="009C3AE5">
              <w:rPr>
                <w:sz w:val="20"/>
                <w:szCs w:val="20"/>
              </w:rPr>
              <w:t>Key question 1:</w:t>
            </w:r>
          </w:p>
        </w:tc>
        <w:tc>
          <w:tcPr>
            <w:tcW w:w="2681" w:type="dxa"/>
            <w:tcBorders>
              <w:bottom w:val="single" w:sz="4" w:space="0" w:color="auto"/>
            </w:tcBorders>
          </w:tcPr>
          <w:p w:rsidR="00732F96" w:rsidRPr="009C3AE5" w:rsidRDefault="00732F96" w:rsidP="00205DBC">
            <w:pPr>
              <w:rPr>
                <w:sz w:val="20"/>
                <w:szCs w:val="20"/>
              </w:rPr>
            </w:pPr>
          </w:p>
        </w:tc>
        <w:tc>
          <w:tcPr>
            <w:tcW w:w="2776" w:type="dxa"/>
            <w:tcBorders>
              <w:bottom w:val="single" w:sz="4" w:space="0" w:color="auto"/>
            </w:tcBorders>
          </w:tcPr>
          <w:p w:rsidR="00732F96" w:rsidRPr="009C3AE5" w:rsidRDefault="00732F96" w:rsidP="00205DBC">
            <w:pPr>
              <w:rPr>
                <w:sz w:val="20"/>
                <w:szCs w:val="20"/>
              </w:rPr>
            </w:pPr>
          </w:p>
        </w:tc>
        <w:tc>
          <w:tcPr>
            <w:tcW w:w="2612" w:type="dxa"/>
            <w:tcBorders>
              <w:bottom w:val="single" w:sz="4" w:space="0" w:color="auto"/>
            </w:tcBorders>
          </w:tcPr>
          <w:p w:rsidR="00732F96" w:rsidRPr="009C3AE5" w:rsidRDefault="00732F96" w:rsidP="00205DBC">
            <w:pPr>
              <w:rPr>
                <w:sz w:val="20"/>
                <w:szCs w:val="20"/>
              </w:rPr>
            </w:pPr>
          </w:p>
        </w:tc>
      </w:tr>
      <w:tr w:rsidR="0060407E" w:rsidRPr="009C3AE5" w:rsidTr="00482853">
        <w:tc>
          <w:tcPr>
            <w:tcW w:w="9576" w:type="dxa"/>
            <w:gridSpan w:val="4"/>
            <w:shd w:val="clear" w:color="auto" w:fill="FFFFFF" w:themeFill="background1"/>
          </w:tcPr>
          <w:p w:rsidR="0060407E" w:rsidRPr="009C3AE5" w:rsidRDefault="0060407E" w:rsidP="00205DBC">
            <w:pPr>
              <w:rPr>
                <w:sz w:val="20"/>
                <w:szCs w:val="20"/>
              </w:rPr>
            </w:pPr>
            <w:r w:rsidRPr="009C3AE5">
              <w:rPr>
                <w:sz w:val="20"/>
                <w:szCs w:val="20"/>
              </w:rPr>
              <w:t>(no comparative studies found)</w:t>
            </w:r>
          </w:p>
        </w:tc>
      </w:tr>
      <w:tr w:rsidR="00732F96" w:rsidRPr="009C3AE5" w:rsidTr="0060407E">
        <w:tc>
          <w:tcPr>
            <w:tcW w:w="1507" w:type="dxa"/>
            <w:shd w:val="clear" w:color="auto" w:fill="A6A6A6" w:themeFill="background1" w:themeFillShade="A6"/>
          </w:tcPr>
          <w:p w:rsidR="00732F96" w:rsidRPr="009C3AE5" w:rsidRDefault="00732F96" w:rsidP="00205DBC">
            <w:pPr>
              <w:rPr>
                <w:sz w:val="20"/>
                <w:szCs w:val="20"/>
              </w:rPr>
            </w:pPr>
            <w:r w:rsidRPr="009C3AE5">
              <w:rPr>
                <w:sz w:val="20"/>
                <w:szCs w:val="20"/>
              </w:rPr>
              <w:t>Key question 2:</w:t>
            </w:r>
          </w:p>
        </w:tc>
        <w:tc>
          <w:tcPr>
            <w:tcW w:w="2681" w:type="dxa"/>
          </w:tcPr>
          <w:p w:rsidR="00732F96" w:rsidRPr="009C3AE5" w:rsidRDefault="00732F96" w:rsidP="00205DBC">
            <w:pPr>
              <w:rPr>
                <w:sz w:val="20"/>
                <w:szCs w:val="20"/>
              </w:rPr>
            </w:pPr>
          </w:p>
        </w:tc>
        <w:tc>
          <w:tcPr>
            <w:tcW w:w="2776" w:type="dxa"/>
          </w:tcPr>
          <w:p w:rsidR="00732F96" w:rsidRPr="009C3AE5" w:rsidRDefault="00732F96" w:rsidP="00205DBC">
            <w:pPr>
              <w:rPr>
                <w:sz w:val="20"/>
                <w:szCs w:val="20"/>
              </w:rPr>
            </w:pPr>
          </w:p>
        </w:tc>
        <w:tc>
          <w:tcPr>
            <w:tcW w:w="2612" w:type="dxa"/>
          </w:tcPr>
          <w:p w:rsidR="00732F96" w:rsidRPr="009C3AE5" w:rsidRDefault="00732F96" w:rsidP="00205DBC">
            <w:pPr>
              <w:rPr>
                <w:sz w:val="20"/>
                <w:szCs w:val="20"/>
              </w:rPr>
            </w:pPr>
          </w:p>
        </w:tc>
      </w:tr>
      <w:tr w:rsidR="00732F96" w:rsidRPr="009C3AE5" w:rsidTr="0060407E">
        <w:tc>
          <w:tcPr>
            <w:tcW w:w="1507" w:type="dxa"/>
          </w:tcPr>
          <w:p w:rsidR="00732F96" w:rsidRPr="009C3AE5" w:rsidRDefault="00732F96" w:rsidP="00205DBC">
            <w:pPr>
              <w:rPr>
                <w:sz w:val="20"/>
                <w:szCs w:val="20"/>
              </w:rPr>
            </w:pPr>
            <w:r w:rsidRPr="009C3AE5">
              <w:rPr>
                <w:sz w:val="20"/>
                <w:szCs w:val="20"/>
              </w:rPr>
              <w:t>Hilibrand (1997)</w:t>
            </w:r>
          </w:p>
          <w:p w:rsidR="00732F96" w:rsidRPr="009C3AE5" w:rsidRDefault="00732F96" w:rsidP="00205DBC">
            <w:pPr>
              <w:rPr>
                <w:sz w:val="20"/>
                <w:szCs w:val="20"/>
              </w:rPr>
            </w:pPr>
            <w:r w:rsidRPr="009C3AE5">
              <w:rPr>
                <w:sz w:val="20"/>
                <w:szCs w:val="20"/>
              </w:rPr>
              <w:t>Retrospective cohort</w:t>
            </w:r>
          </w:p>
        </w:tc>
        <w:tc>
          <w:tcPr>
            <w:tcW w:w="2681" w:type="dxa"/>
          </w:tcPr>
          <w:p w:rsidR="00732F96" w:rsidRPr="009C3AE5" w:rsidRDefault="00732F96" w:rsidP="00205DBC">
            <w:pPr>
              <w:rPr>
                <w:sz w:val="20"/>
                <w:szCs w:val="20"/>
              </w:rPr>
            </w:pPr>
            <w:r w:rsidRPr="009C3AE5">
              <w:rPr>
                <w:sz w:val="20"/>
                <w:szCs w:val="20"/>
              </w:rPr>
              <w:t>Prior anterior cervical compressive procedures with arthrodesis</w:t>
            </w:r>
          </w:p>
          <w:p w:rsidR="00732F96" w:rsidRPr="009C3AE5" w:rsidRDefault="00732F96" w:rsidP="00205DBC">
            <w:pPr>
              <w:rPr>
                <w:sz w:val="20"/>
                <w:szCs w:val="20"/>
              </w:rPr>
            </w:pPr>
          </w:p>
          <w:p w:rsidR="00732F96" w:rsidRPr="009C3AE5" w:rsidRDefault="00732F96" w:rsidP="00205DBC">
            <w:pPr>
              <w:rPr>
                <w:sz w:val="20"/>
                <w:szCs w:val="20"/>
              </w:rPr>
            </w:pPr>
            <w:r w:rsidRPr="009C3AE5">
              <w:rPr>
                <w:sz w:val="20"/>
                <w:szCs w:val="20"/>
              </w:rPr>
              <w:t xml:space="preserve">Failure of prior intervention to relieve symptoms with a cervical orthosis, physical therapy, and anti-inflammatory medication; persistent radiculopathy with or without neurologic deficit, or evidence </w:t>
            </w:r>
            <w:r w:rsidRPr="009C3AE5">
              <w:rPr>
                <w:sz w:val="20"/>
                <w:szCs w:val="20"/>
              </w:rPr>
              <w:lastRenderedPageBreak/>
              <w:t>of myelopathy on physical exam with spinal cord compression on neuroradiologic imaging</w:t>
            </w:r>
          </w:p>
          <w:p w:rsidR="00732F96" w:rsidRPr="009C3AE5" w:rsidRDefault="00732F96" w:rsidP="00205DBC">
            <w:pPr>
              <w:rPr>
                <w:sz w:val="20"/>
                <w:szCs w:val="20"/>
              </w:rPr>
            </w:pPr>
          </w:p>
        </w:tc>
        <w:tc>
          <w:tcPr>
            <w:tcW w:w="2776" w:type="dxa"/>
          </w:tcPr>
          <w:p w:rsidR="00732F96" w:rsidRPr="009C3AE5" w:rsidRDefault="00732F96" w:rsidP="00205DBC">
            <w:pPr>
              <w:rPr>
                <w:sz w:val="20"/>
                <w:szCs w:val="20"/>
              </w:rPr>
            </w:pPr>
            <w:r w:rsidRPr="009C3AE5">
              <w:rPr>
                <w:sz w:val="20"/>
                <w:szCs w:val="20"/>
              </w:rPr>
              <w:lastRenderedPageBreak/>
              <w:t>NR</w:t>
            </w:r>
          </w:p>
        </w:tc>
        <w:tc>
          <w:tcPr>
            <w:tcW w:w="2612" w:type="dxa"/>
          </w:tcPr>
          <w:p w:rsidR="00732F96" w:rsidRPr="009C3AE5" w:rsidRDefault="00732F96" w:rsidP="00205DBC">
            <w:pPr>
              <w:rPr>
                <w:sz w:val="20"/>
                <w:szCs w:val="20"/>
              </w:rPr>
            </w:pPr>
            <w:r w:rsidRPr="009C3AE5">
              <w:rPr>
                <w:sz w:val="20"/>
                <w:szCs w:val="20"/>
              </w:rPr>
              <w:t>“To determine the clinical and radiographic success of discectomy with interbody grafting and corpectomy with strut grafting in the treatment of adjacent segment disease of the cervical spine.”</w:t>
            </w:r>
          </w:p>
        </w:tc>
      </w:tr>
      <w:tr w:rsidR="00732F96" w:rsidRPr="009C3AE5" w:rsidTr="0060407E">
        <w:tc>
          <w:tcPr>
            <w:tcW w:w="1507" w:type="dxa"/>
          </w:tcPr>
          <w:p w:rsidR="00732F96" w:rsidRPr="009C3AE5" w:rsidRDefault="00732F96" w:rsidP="00205DBC">
            <w:pPr>
              <w:rPr>
                <w:sz w:val="20"/>
                <w:szCs w:val="20"/>
              </w:rPr>
            </w:pPr>
            <w:r w:rsidRPr="009C3AE5">
              <w:rPr>
                <w:sz w:val="20"/>
                <w:szCs w:val="20"/>
              </w:rPr>
              <w:lastRenderedPageBreak/>
              <w:t>Gause (2008)</w:t>
            </w:r>
          </w:p>
        </w:tc>
        <w:tc>
          <w:tcPr>
            <w:tcW w:w="2681" w:type="dxa"/>
          </w:tcPr>
          <w:p w:rsidR="00732F96" w:rsidRPr="009C3AE5" w:rsidRDefault="00732F96" w:rsidP="00205DBC">
            <w:pPr>
              <w:rPr>
                <w:sz w:val="20"/>
                <w:szCs w:val="20"/>
              </w:rPr>
            </w:pPr>
            <w:r w:rsidRPr="009C3AE5">
              <w:rPr>
                <w:sz w:val="20"/>
                <w:szCs w:val="20"/>
              </w:rPr>
              <w:t>Patients consecutively treated for degenerative cervical stenosis adjacent to a previously anterior fused segment</w:t>
            </w:r>
          </w:p>
          <w:p w:rsidR="00732F96" w:rsidRPr="009C3AE5" w:rsidRDefault="00732F96" w:rsidP="00205DBC">
            <w:pPr>
              <w:rPr>
                <w:sz w:val="20"/>
                <w:szCs w:val="20"/>
              </w:rPr>
            </w:pPr>
          </w:p>
          <w:p w:rsidR="00732F96" w:rsidRPr="009C3AE5" w:rsidRDefault="00732F96" w:rsidP="00205DBC">
            <w:pPr>
              <w:rPr>
                <w:sz w:val="20"/>
                <w:szCs w:val="20"/>
              </w:rPr>
            </w:pPr>
            <w:r w:rsidRPr="009C3AE5">
              <w:rPr>
                <w:sz w:val="20"/>
                <w:szCs w:val="20"/>
              </w:rPr>
              <w:t>Radicular and/or myelopathic symptoms consistent with radiographic level of segmental degeneration</w:t>
            </w:r>
          </w:p>
          <w:p w:rsidR="00732F96" w:rsidRPr="009C3AE5" w:rsidRDefault="00732F96" w:rsidP="00205DBC">
            <w:pPr>
              <w:rPr>
                <w:sz w:val="20"/>
                <w:szCs w:val="20"/>
              </w:rPr>
            </w:pPr>
          </w:p>
          <w:p w:rsidR="00732F96" w:rsidRPr="009C3AE5" w:rsidRDefault="00732F96" w:rsidP="00205DBC">
            <w:pPr>
              <w:rPr>
                <w:sz w:val="20"/>
                <w:szCs w:val="20"/>
              </w:rPr>
            </w:pPr>
            <w:r w:rsidRPr="009C3AE5">
              <w:rPr>
                <w:sz w:val="20"/>
                <w:szCs w:val="20"/>
              </w:rPr>
              <w:t>Failure of nonoperative treatment including analgesic and physical therapy</w:t>
            </w:r>
          </w:p>
          <w:p w:rsidR="00732F96" w:rsidRPr="009C3AE5" w:rsidRDefault="00732F96" w:rsidP="00205DBC">
            <w:pPr>
              <w:rPr>
                <w:sz w:val="20"/>
                <w:szCs w:val="20"/>
              </w:rPr>
            </w:pPr>
          </w:p>
        </w:tc>
        <w:tc>
          <w:tcPr>
            <w:tcW w:w="2776" w:type="dxa"/>
          </w:tcPr>
          <w:p w:rsidR="00732F96" w:rsidRPr="009C3AE5" w:rsidRDefault="00732F96" w:rsidP="00205DBC">
            <w:pPr>
              <w:rPr>
                <w:sz w:val="20"/>
                <w:szCs w:val="20"/>
              </w:rPr>
            </w:pPr>
            <w:r w:rsidRPr="009C3AE5">
              <w:rPr>
                <w:sz w:val="20"/>
                <w:szCs w:val="20"/>
              </w:rPr>
              <w:t>Acute trauma, instability, previous or current posterior procedures, short f/u of only 3 weeks</w:t>
            </w:r>
          </w:p>
        </w:tc>
        <w:tc>
          <w:tcPr>
            <w:tcW w:w="2612" w:type="dxa"/>
          </w:tcPr>
          <w:p w:rsidR="00732F96" w:rsidRPr="009C3AE5" w:rsidRDefault="00732F96" w:rsidP="00205DBC">
            <w:pPr>
              <w:rPr>
                <w:sz w:val="20"/>
                <w:szCs w:val="20"/>
              </w:rPr>
            </w:pPr>
            <w:r w:rsidRPr="009C3AE5">
              <w:rPr>
                <w:sz w:val="20"/>
                <w:szCs w:val="20"/>
              </w:rPr>
              <w:t>“To determine the fusion rate when arthrodesis is performed in the setting of junctional stenosis using iliac crest autograft and instrumentation.”</w:t>
            </w:r>
          </w:p>
        </w:tc>
      </w:tr>
      <w:tr w:rsidR="00732F96" w:rsidRPr="009C3AE5" w:rsidTr="0060407E">
        <w:tc>
          <w:tcPr>
            <w:tcW w:w="1507" w:type="dxa"/>
            <w:shd w:val="clear" w:color="auto" w:fill="A6A6A6" w:themeFill="background1" w:themeFillShade="A6"/>
          </w:tcPr>
          <w:p w:rsidR="00732F96" w:rsidRPr="009C3AE5" w:rsidRDefault="00732F96" w:rsidP="00205DBC">
            <w:pPr>
              <w:rPr>
                <w:sz w:val="20"/>
                <w:szCs w:val="20"/>
              </w:rPr>
            </w:pPr>
            <w:r w:rsidRPr="009C3AE5">
              <w:rPr>
                <w:sz w:val="20"/>
                <w:szCs w:val="20"/>
              </w:rPr>
              <w:t>Key question 3:</w:t>
            </w:r>
          </w:p>
        </w:tc>
        <w:tc>
          <w:tcPr>
            <w:tcW w:w="2681" w:type="dxa"/>
          </w:tcPr>
          <w:p w:rsidR="00732F96" w:rsidRPr="009C3AE5" w:rsidRDefault="00732F96" w:rsidP="00205DBC">
            <w:pPr>
              <w:rPr>
                <w:sz w:val="20"/>
                <w:szCs w:val="20"/>
              </w:rPr>
            </w:pPr>
          </w:p>
        </w:tc>
        <w:tc>
          <w:tcPr>
            <w:tcW w:w="2776" w:type="dxa"/>
          </w:tcPr>
          <w:p w:rsidR="00732F96" w:rsidRPr="009C3AE5" w:rsidRDefault="00732F96" w:rsidP="00205DBC">
            <w:pPr>
              <w:rPr>
                <w:sz w:val="20"/>
                <w:szCs w:val="20"/>
              </w:rPr>
            </w:pPr>
          </w:p>
        </w:tc>
        <w:tc>
          <w:tcPr>
            <w:tcW w:w="2612" w:type="dxa"/>
          </w:tcPr>
          <w:p w:rsidR="00732F96" w:rsidRPr="009C3AE5" w:rsidRDefault="00732F96" w:rsidP="00205DBC">
            <w:pPr>
              <w:rPr>
                <w:sz w:val="20"/>
                <w:szCs w:val="20"/>
              </w:rPr>
            </w:pPr>
          </w:p>
        </w:tc>
      </w:tr>
      <w:tr w:rsidR="00732F96" w:rsidRPr="009C3AE5" w:rsidTr="0060407E">
        <w:tc>
          <w:tcPr>
            <w:tcW w:w="1507" w:type="dxa"/>
          </w:tcPr>
          <w:p w:rsidR="00732F96" w:rsidRPr="009C3AE5" w:rsidRDefault="00732F96" w:rsidP="00205DBC">
            <w:pPr>
              <w:rPr>
                <w:sz w:val="20"/>
                <w:szCs w:val="20"/>
              </w:rPr>
            </w:pPr>
            <w:r w:rsidRPr="009C3AE5">
              <w:rPr>
                <w:sz w:val="20"/>
                <w:szCs w:val="20"/>
              </w:rPr>
              <w:t>Matsumoto (2006)</w:t>
            </w:r>
          </w:p>
        </w:tc>
        <w:tc>
          <w:tcPr>
            <w:tcW w:w="2681" w:type="dxa"/>
          </w:tcPr>
          <w:p w:rsidR="00732F96" w:rsidRPr="009C3AE5" w:rsidRDefault="00732F96" w:rsidP="00205DBC">
            <w:pPr>
              <w:rPr>
                <w:sz w:val="20"/>
                <w:szCs w:val="20"/>
              </w:rPr>
            </w:pPr>
            <w:r w:rsidRPr="009C3AE5">
              <w:rPr>
                <w:sz w:val="20"/>
                <w:szCs w:val="20"/>
              </w:rPr>
              <w:t>History of previous ACDF, including 2 with previous reoperation for ASD</w:t>
            </w:r>
          </w:p>
          <w:p w:rsidR="00732F96" w:rsidRPr="009C3AE5" w:rsidRDefault="00732F96" w:rsidP="00205DBC">
            <w:pPr>
              <w:rPr>
                <w:sz w:val="20"/>
                <w:szCs w:val="20"/>
              </w:rPr>
            </w:pPr>
          </w:p>
          <w:p w:rsidR="00732F96" w:rsidRPr="009C3AE5" w:rsidRDefault="00732F96" w:rsidP="00205DBC">
            <w:pPr>
              <w:rPr>
                <w:sz w:val="20"/>
                <w:szCs w:val="20"/>
              </w:rPr>
            </w:pPr>
            <w:r w:rsidRPr="009C3AE5">
              <w:rPr>
                <w:sz w:val="20"/>
                <w:szCs w:val="20"/>
              </w:rPr>
              <w:t>Reasons for ACDF:  disc herniation, spondylotic myelopathy, spinal injury</w:t>
            </w:r>
          </w:p>
          <w:p w:rsidR="00732F96" w:rsidRPr="009C3AE5" w:rsidRDefault="00732F96" w:rsidP="00205DBC">
            <w:pPr>
              <w:rPr>
                <w:sz w:val="20"/>
                <w:szCs w:val="20"/>
              </w:rPr>
            </w:pPr>
          </w:p>
          <w:p w:rsidR="00732F96" w:rsidRPr="009C3AE5" w:rsidRDefault="00732F96" w:rsidP="00205DBC">
            <w:pPr>
              <w:rPr>
                <w:sz w:val="20"/>
                <w:szCs w:val="20"/>
              </w:rPr>
            </w:pPr>
            <w:r w:rsidRPr="009C3AE5">
              <w:rPr>
                <w:sz w:val="20"/>
                <w:szCs w:val="20"/>
              </w:rPr>
              <w:t>Adjacent lesions included spondylosis, disc herniation; in superior segment (n = 21) or inferior segment (n = 10)</w:t>
            </w:r>
          </w:p>
        </w:tc>
        <w:tc>
          <w:tcPr>
            <w:tcW w:w="2776" w:type="dxa"/>
          </w:tcPr>
          <w:p w:rsidR="00732F96" w:rsidRPr="009C3AE5" w:rsidRDefault="00732F96" w:rsidP="00205DBC">
            <w:pPr>
              <w:rPr>
                <w:sz w:val="20"/>
                <w:szCs w:val="20"/>
              </w:rPr>
            </w:pPr>
            <w:r w:rsidRPr="009C3AE5">
              <w:rPr>
                <w:sz w:val="20"/>
                <w:szCs w:val="20"/>
              </w:rPr>
              <w:t>NR</w:t>
            </w:r>
          </w:p>
        </w:tc>
        <w:tc>
          <w:tcPr>
            <w:tcW w:w="2612" w:type="dxa"/>
          </w:tcPr>
          <w:p w:rsidR="00732F96" w:rsidRPr="009C3AE5" w:rsidRDefault="00732F96" w:rsidP="00205DBC">
            <w:pPr>
              <w:rPr>
                <w:sz w:val="20"/>
                <w:szCs w:val="20"/>
              </w:rPr>
            </w:pPr>
            <w:r w:rsidRPr="009C3AE5">
              <w:rPr>
                <w:sz w:val="20"/>
                <w:szCs w:val="20"/>
              </w:rPr>
              <w:t>“To evaluate the effectiveness of laminoplasty for cervical myelopathy resulting from adjacent-segment disease.”</w:t>
            </w:r>
          </w:p>
        </w:tc>
      </w:tr>
      <w:tr w:rsidR="00732F96" w:rsidRPr="009C3AE5" w:rsidTr="0060407E">
        <w:tc>
          <w:tcPr>
            <w:tcW w:w="1507" w:type="dxa"/>
          </w:tcPr>
          <w:p w:rsidR="00732F96" w:rsidRPr="009C3AE5" w:rsidRDefault="00732F96" w:rsidP="00205DBC">
            <w:pPr>
              <w:rPr>
                <w:sz w:val="20"/>
                <w:szCs w:val="20"/>
              </w:rPr>
            </w:pPr>
            <w:r w:rsidRPr="009C3AE5">
              <w:rPr>
                <w:sz w:val="20"/>
                <w:szCs w:val="20"/>
              </w:rPr>
              <w:t>Baba (1994)</w:t>
            </w:r>
          </w:p>
        </w:tc>
        <w:tc>
          <w:tcPr>
            <w:tcW w:w="2681" w:type="dxa"/>
          </w:tcPr>
          <w:p w:rsidR="00732F96" w:rsidRPr="009C3AE5" w:rsidRDefault="00732F96" w:rsidP="00205DBC">
            <w:pPr>
              <w:rPr>
                <w:sz w:val="20"/>
                <w:szCs w:val="20"/>
              </w:rPr>
            </w:pPr>
            <w:r w:rsidRPr="009C3AE5">
              <w:rPr>
                <w:sz w:val="20"/>
                <w:szCs w:val="20"/>
              </w:rPr>
              <w:t>Recursion of symptoms of spondyloticmyeloradiculopathy</w:t>
            </w:r>
          </w:p>
          <w:p w:rsidR="00732F96" w:rsidRPr="009C3AE5" w:rsidRDefault="00732F96" w:rsidP="00205DBC">
            <w:pPr>
              <w:rPr>
                <w:sz w:val="20"/>
                <w:szCs w:val="20"/>
              </w:rPr>
            </w:pPr>
          </w:p>
          <w:p w:rsidR="00732F96" w:rsidRPr="009C3AE5" w:rsidRDefault="00732F96" w:rsidP="00205DBC">
            <w:pPr>
              <w:rPr>
                <w:sz w:val="20"/>
                <w:szCs w:val="20"/>
              </w:rPr>
            </w:pPr>
            <w:r w:rsidRPr="009C3AE5">
              <w:rPr>
                <w:sz w:val="20"/>
                <w:szCs w:val="20"/>
              </w:rPr>
              <w:t>Previous ACDF</w:t>
            </w:r>
          </w:p>
        </w:tc>
        <w:tc>
          <w:tcPr>
            <w:tcW w:w="2776" w:type="dxa"/>
          </w:tcPr>
          <w:p w:rsidR="00732F96" w:rsidRPr="009C3AE5" w:rsidRDefault="00732F96" w:rsidP="00205DBC">
            <w:pPr>
              <w:rPr>
                <w:sz w:val="20"/>
                <w:szCs w:val="20"/>
              </w:rPr>
            </w:pPr>
            <w:r w:rsidRPr="009C3AE5">
              <w:rPr>
                <w:sz w:val="20"/>
                <w:szCs w:val="20"/>
              </w:rPr>
              <w:t>NR</w:t>
            </w:r>
          </w:p>
        </w:tc>
        <w:tc>
          <w:tcPr>
            <w:tcW w:w="2612" w:type="dxa"/>
          </w:tcPr>
          <w:p w:rsidR="00732F96" w:rsidRPr="009C3AE5" w:rsidRDefault="00732F96" w:rsidP="00205DBC">
            <w:pPr>
              <w:rPr>
                <w:sz w:val="20"/>
                <w:szCs w:val="20"/>
              </w:rPr>
            </w:pPr>
            <w:r w:rsidRPr="009C3AE5">
              <w:rPr>
                <w:sz w:val="20"/>
                <w:szCs w:val="20"/>
              </w:rPr>
              <w:t>“To assess the adverse effects of the original procedure on the adjacent intervertebral segments.”</w:t>
            </w:r>
          </w:p>
        </w:tc>
      </w:tr>
      <w:tr w:rsidR="00732F96" w:rsidRPr="009C3AE5" w:rsidTr="0060407E">
        <w:tc>
          <w:tcPr>
            <w:tcW w:w="1507" w:type="dxa"/>
          </w:tcPr>
          <w:p w:rsidR="00732F96" w:rsidRPr="009C3AE5" w:rsidRDefault="00732F96" w:rsidP="00205DBC">
            <w:pPr>
              <w:rPr>
                <w:sz w:val="20"/>
                <w:szCs w:val="20"/>
              </w:rPr>
            </w:pPr>
            <w:r w:rsidRPr="009C3AE5">
              <w:rPr>
                <w:sz w:val="20"/>
                <w:szCs w:val="20"/>
              </w:rPr>
              <w:t>Phillips (2009)</w:t>
            </w:r>
          </w:p>
        </w:tc>
        <w:tc>
          <w:tcPr>
            <w:tcW w:w="2681" w:type="dxa"/>
          </w:tcPr>
          <w:p w:rsidR="00732F96" w:rsidRPr="009C3AE5" w:rsidRDefault="00732F96" w:rsidP="00205DBC">
            <w:pPr>
              <w:rPr>
                <w:sz w:val="20"/>
                <w:szCs w:val="20"/>
              </w:rPr>
            </w:pPr>
            <w:r w:rsidRPr="009C3AE5">
              <w:rPr>
                <w:sz w:val="20"/>
                <w:szCs w:val="20"/>
              </w:rPr>
              <w:t>Age 18–65 yr</w:t>
            </w:r>
          </w:p>
          <w:p w:rsidR="00732F96" w:rsidRPr="009C3AE5" w:rsidRDefault="00732F96" w:rsidP="00205DBC">
            <w:pPr>
              <w:rPr>
                <w:sz w:val="20"/>
                <w:szCs w:val="20"/>
              </w:rPr>
            </w:pPr>
            <w:r w:rsidRPr="009C3AE5">
              <w:rPr>
                <w:sz w:val="20"/>
                <w:szCs w:val="20"/>
              </w:rPr>
              <w:t>Diagnosis of radiculopathy or myelopathy of the cervical spine</w:t>
            </w:r>
          </w:p>
          <w:p w:rsidR="00732F96" w:rsidRPr="009C3AE5" w:rsidRDefault="00732F96" w:rsidP="00205DBC">
            <w:pPr>
              <w:rPr>
                <w:sz w:val="20"/>
                <w:szCs w:val="20"/>
              </w:rPr>
            </w:pPr>
            <w:r w:rsidRPr="009C3AE5">
              <w:rPr>
                <w:sz w:val="20"/>
                <w:szCs w:val="20"/>
              </w:rPr>
              <w:t>Symptomatic at only 1 level from C3–C4–C7–T1</w:t>
            </w:r>
          </w:p>
          <w:p w:rsidR="00732F96" w:rsidRPr="009C3AE5" w:rsidRDefault="00732F96" w:rsidP="00205DBC">
            <w:pPr>
              <w:rPr>
                <w:sz w:val="20"/>
                <w:szCs w:val="20"/>
              </w:rPr>
            </w:pPr>
            <w:r w:rsidRPr="009C3AE5">
              <w:rPr>
                <w:sz w:val="20"/>
                <w:szCs w:val="20"/>
              </w:rPr>
              <w:t>Radiographically determined pathology at level to be treated correlating to primary symptoms</w:t>
            </w:r>
          </w:p>
          <w:p w:rsidR="00732F96" w:rsidRPr="009C3AE5" w:rsidRDefault="00732F96" w:rsidP="00205DBC">
            <w:pPr>
              <w:rPr>
                <w:sz w:val="20"/>
                <w:szCs w:val="20"/>
              </w:rPr>
            </w:pPr>
            <w:r w:rsidRPr="009C3AE5">
              <w:rPr>
                <w:sz w:val="20"/>
                <w:szCs w:val="20"/>
              </w:rPr>
              <w:t>Neck disability index score 30% (15/50)</w:t>
            </w:r>
          </w:p>
          <w:p w:rsidR="00732F96" w:rsidRPr="009C3AE5" w:rsidRDefault="00732F96" w:rsidP="00205DBC">
            <w:pPr>
              <w:rPr>
                <w:sz w:val="20"/>
                <w:szCs w:val="20"/>
              </w:rPr>
            </w:pPr>
            <w:r w:rsidRPr="009C3AE5">
              <w:rPr>
                <w:sz w:val="20"/>
                <w:szCs w:val="20"/>
              </w:rPr>
              <w:t>Unresponsive to nonoperative treatment for 6 wk, or presence</w:t>
            </w:r>
          </w:p>
          <w:p w:rsidR="00732F96" w:rsidRPr="009C3AE5" w:rsidRDefault="00732F96" w:rsidP="00205DBC">
            <w:pPr>
              <w:rPr>
                <w:sz w:val="20"/>
                <w:szCs w:val="20"/>
              </w:rPr>
            </w:pPr>
            <w:r w:rsidRPr="009C3AE5">
              <w:rPr>
                <w:sz w:val="20"/>
                <w:szCs w:val="20"/>
              </w:rPr>
              <w:t>of progressive nerve root/spinal cord compression in the face of conservative treatment.</w:t>
            </w:r>
          </w:p>
        </w:tc>
        <w:tc>
          <w:tcPr>
            <w:tcW w:w="2776" w:type="dxa"/>
          </w:tcPr>
          <w:p w:rsidR="00732F96" w:rsidRPr="009C3AE5" w:rsidRDefault="00732F96" w:rsidP="00205DBC">
            <w:pPr>
              <w:rPr>
                <w:sz w:val="20"/>
                <w:szCs w:val="20"/>
              </w:rPr>
            </w:pPr>
            <w:r w:rsidRPr="009C3AE5">
              <w:rPr>
                <w:sz w:val="20"/>
                <w:szCs w:val="20"/>
              </w:rPr>
              <w:t>Surgery site or active systemic infection.</w:t>
            </w:r>
          </w:p>
          <w:p w:rsidR="00732F96" w:rsidRPr="009C3AE5" w:rsidRDefault="00732F96" w:rsidP="00205DBC">
            <w:pPr>
              <w:rPr>
                <w:sz w:val="20"/>
                <w:szCs w:val="20"/>
              </w:rPr>
            </w:pPr>
            <w:r w:rsidRPr="009C3AE5">
              <w:rPr>
                <w:sz w:val="20"/>
                <w:szCs w:val="20"/>
              </w:rPr>
              <w:t>Prior attempted or completed cervical spine surgery, except laminoforaminotomy or a successful single-level anterior cervical fusion.</w:t>
            </w:r>
          </w:p>
          <w:p w:rsidR="00732F96" w:rsidRPr="009C3AE5" w:rsidRDefault="00732F96" w:rsidP="00205DBC">
            <w:pPr>
              <w:rPr>
                <w:sz w:val="20"/>
                <w:szCs w:val="20"/>
              </w:rPr>
            </w:pPr>
            <w:r w:rsidRPr="009C3AE5">
              <w:rPr>
                <w:sz w:val="20"/>
                <w:szCs w:val="20"/>
              </w:rPr>
              <w:t>Previous trauma to the C3–T1 levels resulting in significant bony or</w:t>
            </w:r>
          </w:p>
          <w:p w:rsidR="00732F96" w:rsidRPr="009C3AE5" w:rsidRDefault="00732F96" w:rsidP="00205DBC">
            <w:pPr>
              <w:rPr>
                <w:sz w:val="20"/>
                <w:szCs w:val="20"/>
              </w:rPr>
            </w:pPr>
            <w:r w:rsidRPr="009C3AE5">
              <w:rPr>
                <w:sz w:val="20"/>
                <w:szCs w:val="20"/>
              </w:rPr>
              <w:t>discoligamentous cervical spine injury.</w:t>
            </w:r>
          </w:p>
          <w:p w:rsidR="00732F96" w:rsidRPr="009C3AE5" w:rsidRDefault="00732F96" w:rsidP="00205DBC">
            <w:pPr>
              <w:rPr>
                <w:sz w:val="20"/>
                <w:szCs w:val="20"/>
              </w:rPr>
            </w:pPr>
            <w:r w:rsidRPr="009C3AE5">
              <w:rPr>
                <w:sz w:val="20"/>
                <w:szCs w:val="20"/>
              </w:rPr>
              <w:t>Axial neck pain in the absence of other symptoms of radiculopathy or myelopathy.</w:t>
            </w:r>
          </w:p>
          <w:p w:rsidR="00732F96" w:rsidRPr="009C3AE5" w:rsidRDefault="00732F96" w:rsidP="00205DBC">
            <w:pPr>
              <w:rPr>
                <w:sz w:val="20"/>
                <w:szCs w:val="20"/>
              </w:rPr>
            </w:pPr>
            <w:r w:rsidRPr="009C3AE5">
              <w:rPr>
                <w:sz w:val="20"/>
                <w:szCs w:val="20"/>
              </w:rPr>
              <w:t>Radiographic confirmation of severe facet joint disease or degeneration.</w:t>
            </w:r>
          </w:p>
          <w:p w:rsidR="00732F96" w:rsidRPr="009C3AE5" w:rsidRDefault="00732F96" w:rsidP="00205DBC">
            <w:pPr>
              <w:rPr>
                <w:sz w:val="20"/>
                <w:szCs w:val="20"/>
              </w:rPr>
            </w:pPr>
            <w:r w:rsidRPr="009C3AE5">
              <w:rPr>
                <w:sz w:val="20"/>
                <w:szCs w:val="20"/>
              </w:rPr>
              <w:t xml:space="preserve">Osteoporosis or any other </w:t>
            </w:r>
            <w:r w:rsidRPr="009C3AE5">
              <w:rPr>
                <w:sz w:val="20"/>
                <w:szCs w:val="20"/>
              </w:rPr>
              <w:lastRenderedPageBreak/>
              <w:t>metabolic bone disease.</w:t>
            </w:r>
          </w:p>
          <w:p w:rsidR="00732F96" w:rsidRPr="009C3AE5" w:rsidRDefault="00732F96" w:rsidP="00205DBC">
            <w:pPr>
              <w:rPr>
                <w:sz w:val="20"/>
                <w:szCs w:val="20"/>
              </w:rPr>
            </w:pPr>
            <w:r w:rsidRPr="009C3AE5">
              <w:rPr>
                <w:sz w:val="20"/>
                <w:szCs w:val="20"/>
              </w:rPr>
              <w:t>Severe diabetes mellitus</w:t>
            </w:r>
          </w:p>
          <w:p w:rsidR="00732F96" w:rsidRPr="009C3AE5" w:rsidRDefault="00732F96" w:rsidP="00205DBC">
            <w:pPr>
              <w:rPr>
                <w:sz w:val="20"/>
                <w:szCs w:val="20"/>
              </w:rPr>
            </w:pPr>
            <w:r w:rsidRPr="009C3AE5">
              <w:rPr>
                <w:sz w:val="20"/>
                <w:szCs w:val="20"/>
              </w:rPr>
              <w:t>Symptomatic DDD or significant cervical spondylosis at 2 or more levels;</w:t>
            </w:r>
          </w:p>
          <w:p w:rsidR="00732F96" w:rsidRPr="009C3AE5" w:rsidRDefault="00732F96" w:rsidP="00205DBC">
            <w:pPr>
              <w:rPr>
                <w:sz w:val="20"/>
                <w:szCs w:val="20"/>
              </w:rPr>
            </w:pPr>
            <w:r w:rsidRPr="009C3AE5">
              <w:rPr>
                <w:sz w:val="20"/>
                <w:szCs w:val="20"/>
              </w:rPr>
              <w:t>Marked cervical instability on resting lateral or flexion/extension radiographs.</w:t>
            </w:r>
          </w:p>
          <w:p w:rsidR="00732F96" w:rsidRPr="009C3AE5" w:rsidRDefault="00732F96" w:rsidP="00205DBC">
            <w:pPr>
              <w:rPr>
                <w:sz w:val="20"/>
                <w:szCs w:val="20"/>
              </w:rPr>
            </w:pPr>
            <w:r w:rsidRPr="009C3AE5">
              <w:rPr>
                <w:sz w:val="20"/>
                <w:szCs w:val="20"/>
              </w:rPr>
              <w:t>Known or suspected allergy to implant materials.</w:t>
            </w:r>
          </w:p>
          <w:p w:rsidR="00732F96" w:rsidRPr="009C3AE5" w:rsidRDefault="00732F96" w:rsidP="00205DBC">
            <w:pPr>
              <w:rPr>
                <w:sz w:val="20"/>
                <w:szCs w:val="20"/>
              </w:rPr>
            </w:pPr>
            <w:r w:rsidRPr="009C3AE5">
              <w:rPr>
                <w:sz w:val="20"/>
                <w:szCs w:val="20"/>
              </w:rPr>
              <w:t>Severe myelopathy</w:t>
            </w:r>
          </w:p>
          <w:p w:rsidR="00732F96" w:rsidRPr="009C3AE5" w:rsidRDefault="00732F96" w:rsidP="00205DBC">
            <w:pPr>
              <w:rPr>
                <w:sz w:val="20"/>
                <w:szCs w:val="20"/>
              </w:rPr>
            </w:pPr>
            <w:r w:rsidRPr="009C3AE5">
              <w:rPr>
                <w:sz w:val="20"/>
                <w:szCs w:val="20"/>
              </w:rPr>
              <w:t>Congenital canal stenosis with a canal diameter of 10 mm.</w:t>
            </w:r>
          </w:p>
          <w:p w:rsidR="00732F96" w:rsidRPr="009C3AE5" w:rsidRDefault="00732F96" w:rsidP="00205DBC">
            <w:pPr>
              <w:rPr>
                <w:sz w:val="20"/>
                <w:szCs w:val="20"/>
              </w:rPr>
            </w:pPr>
            <w:r w:rsidRPr="009C3AE5">
              <w:rPr>
                <w:sz w:val="20"/>
                <w:szCs w:val="20"/>
              </w:rPr>
              <w:t>Kyphotic segmental angulation of greater than 11° at treatment or adjacent levels.</w:t>
            </w:r>
          </w:p>
          <w:p w:rsidR="00732F96" w:rsidRPr="009C3AE5" w:rsidRDefault="00732F96" w:rsidP="00205DBC">
            <w:pPr>
              <w:rPr>
                <w:sz w:val="20"/>
                <w:szCs w:val="20"/>
              </w:rPr>
            </w:pPr>
            <w:r w:rsidRPr="009C3AE5">
              <w:rPr>
                <w:sz w:val="20"/>
                <w:szCs w:val="20"/>
              </w:rPr>
              <w:t>Autoimmune disorders that impact the musculoskeletal system.</w:t>
            </w:r>
          </w:p>
          <w:p w:rsidR="00732F96" w:rsidRPr="009C3AE5" w:rsidRDefault="00732F96" w:rsidP="00205DBC">
            <w:pPr>
              <w:rPr>
                <w:sz w:val="20"/>
                <w:szCs w:val="20"/>
              </w:rPr>
            </w:pPr>
            <w:r w:rsidRPr="009C3AE5">
              <w:rPr>
                <w:sz w:val="20"/>
                <w:szCs w:val="20"/>
              </w:rPr>
              <w:t>Congenital bony and/or spinal cord abnormalities that affect spinal stability.</w:t>
            </w:r>
          </w:p>
          <w:p w:rsidR="00732F96" w:rsidRPr="009C3AE5" w:rsidRDefault="00732F96" w:rsidP="00205DBC">
            <w:pPr>
              <w:rPr>
                <w:sz w:val="20"/>
                <w:szCs w:val="20"/>
              </w:rPr>
            </w:pPr>
            <w:r w:rsidRPr="009C3AE5">
              <w:rPr>
                <w:sz w:val="20"/>
                <w:szCs w:val="20"/>
              </w:rPr>
              <w:t>Spinal axis disease (thoracic or lumbar) or other degenerative joint disease to the extent that surgical consideration is likely anticipated within 6 mo after the</w:t>
            </w:r>
          </w:p>
          <w:p w:rsidR="00732F96" w:rsidRPr="009C3AE5" w:rsidRDefault="00732F96" w:rsidP="00205DBC">
            <w:pPr>
              <w:rPr>
                <w:sz w:val="20"/>
                <w:szCs w:val="20"/>
              </w:rPr>
            </w:pPr>
            <w:r w:rsidRPr="009C3AE5">
              <w:rPr>
                <w:sz w:val="20"/>
                <w:szCs w:val="20"/>
              </w:rPr>
              <w:t>cervical randomized procedure.</w:t>
            </w:r>
          </w:p>
          <w:p w:rsidR="00732F96" w:rsidRPr="009C3AE5" w:rsidRDefault="00732F96" w:rsidP="00205DBC">
            <w:pPr>
              <w:rPr>
                <w:sz w:val="20"/>
                <w:szCs w:val="20"/>
              </w:rPr>
            </w:pPr>
            <w:r w:rsidRPr="009C3AE5">
              <w:rPr>
                <w:sz w:val="20"/>
                <w:szCs w:val="20"/>
              </w:rPr>
              <w:t>Previous spine surgery within the 6 mo preceding the cervical randomized procedure.</w:t>
            </w:r>
          </w:p>
          <w:p w:rsidR="00732F96" w:rsidRPr="009C3AE5" w:rsidRDefault="00732F96" w:rsidP="00205DBC">
            <w:pPr>
              <w:rPr>
                <w:sz w:val="20"/>
                <w:szCs w:val="20"/>
              </w:rPr>
            </w:pPr>
            <w:r w:rsidRPr="009C3AE5">
              <w:rPr>
                <w:sz w:val="20"/>
                <w:szCs w:val="20"/>
              </w:rPr>
              <w:t>Currently experiencing acute episode of major mental illness or manifesting physical symptoms without a diagnosable medical condition to account for the symptoms.</w:t>
            </w:r>
          </w:p>
          <w:p w:rsidR="00732F96" w:rsidRPr="009C3AE5" w:rsidRDefault="00732F96" w:rsidP="00205DBC">
            <w:pPr>
              <w:rPr>
                <w:sz w:val="20"/>
                <w:szCs w:val="20"/>
              </w:rPr>
            </w:pPr>
            <w:r w:rsidRPr="009C3AE5">
              <w:rPr>
                <w:sz w:val="20"/>
                <w:szCs w:val="20"/>
              </w:rPr>
              <w:t>Current or recent history of substance abuse (drug or alcohol).</w:t>
            </w:r>
          </w:p>
          <w:p w:rsidR="00732F96" w:rsidRPr="009C3AE5" w:rsidRDefault="00732F96" w:rsidP="00205DBC">
            <w:pPr>
              <w:rPr>
                <w:sz w:val="20"/>
                <w:szCs w:val="20"/>
              </w:rPr>
            </w:pPr>
            <w:r w:rsidRPr="009C3AE5">
              <w:rPr>
                <w:sz w:val="20"/>
                <w:szCs w:val="20"/>
              </w:rPr>
              <w:t>Morbid obesity, def</w:t>
            </w:r>
            <w:r>
              <w:rPr>
                <w:sz w:val="20"/>
                <w:szCs w:val="20"/>
              </w:rPr>
              <w:t>ined as body mass index (“BMI”) &gt;</w:t>
            </w:r>
            <w:r w:rsidRPr="009C3AE5">
              <w:rPr>
                <w:sz w:val="20"/>
                <w:szCs w:val="20"/>
              </w:rPr>
              <w:t>40 or more than 100 lbs. over ideal body weight.</w:t>
            </w:r>
          </w:p>
          <w:p w:rsidR="00732F96" w:rsidRPr="009C3AE5" w:rsidRDefault="00732F96" w:rsidP="00205DBC">
            <w:pPr>
              <w:rPr>
                <w:sz w:val="20"/>
                <w:szCs w:val="20"/>
              </w:rPr>
            </w:pPr>
            <w:r w:rsidRPr="009C3AE5">
              <w:rPr>
                <w:sz w:val="20"/>
                <w:szCs w:val="20"/>
              </w:rPr>
              <w:t>Currently using, or planning to use, bone growth stimulators in the cervical spine.</w:t>
            </w:r>
          </w:p>
          <w:p w:rsidR="00732F96" w:rsidRPr="009C3AE5" w:rsidRDefault="00732F96" w:rsidP="00205DBC">
            <w:pPr>
              <w:rPr>
                <w:sz w:val="20"/>
                <w:szCs w:val="20"/>
              </w:rPr>
            </w:pPr>
            <w:r w:rsidRPr="009C3AE5">
              <w:rPr>
                <w:sz w:val="20"/>
                <w:szCs w:val="20"/>
              </w:rPr>
              <w:t>Currently pursuing personal litigation.</w:t>
            </w:r>
          </w:p>
        </w:tc>
        <w:tc>
          <w:tcPr>
            <w:tcW w:w="2612" w:type="dxa"/>
          </w:tcPr>
          <w:p w:rsidR="00732F96" w:rsidRPr="009C3AE5" w:rsidRDefault="00732F96" w:rsidP="00205DBC">
            <w:pPr>
              <w:rPr>
                <w:sz w:val="20"/>
                <w:szCs w:val="20"/>
              </w:rPr>
            </w:pPr>
            <w:r w:rsidRPr="009C3AE5">
              <w:rPr>
                <w:sz w:val="20"/>
                <w:szCs w:val="20"/>
              </w:rPr>
              <w:lastRenderedPageBreak/>
              <w:t>“To evaluate outcomes of cervical disc replacement performed adjacent to a prior cervical fusion.”</w:t>
            </w:r>
          </w:p>
        </w:tc>
      </w:tr>
    </w:tbl>
    <w:p w:rsidR="00306C03" w:rsidRDefault="00306C03"/>
    <w:p w:rsidR="00306C03" w:rsidRDefault="00306C03"/>
    <w:sectPr w:rsidR="00306C03" w:rsidSect="00681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42ADB"/>
    <w:multiLevelType w:val="hybridMultilevel"/>
    <w:tmpl w:val="B2C01FDE"/>
    <w:lvl w:ilvl="0" w:tplc="DF5EBD1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27105D"/>
    <w:rsid w:val="00011238"/>
    <w:rsid w:val="001A5C30"/>
    <w:rsid w:val="00270FC9"/>
    <w:rsid w:val="0027105D"/>
    <w:rsid w:val="002F29AB"/>
    <w:rsid w:val="00306C03"/>
    <w:rsid w:val="003F5F67"/>
    <w:rsid w:val="0060407E"/>
    <w:rsid w:val="006F2DC4"/>
    <w:rsid w:val="00730455"/>
    <w:rsid w:val="00732F96"/>
    <w:rsid w:val="00760A56"/>
    <w:rsid w:val="00861AA0"/>
    <w:rsid w:val="00CC6E52"/>
    <w:rsid w:val="00E32B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F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F96"/>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6E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F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F96"/>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6E52"/>
    <w:pPr>
      <w:ind w:left="720"/>
      <w:contextualSpacing/>
    </w:pPr>
  </w:style>
</w:styles>
</file>

<file path=word/webSettings.xml><?xml version="1.0" encoding="utf-8"?>
<w:webSettings xmlns:r="http://schemas.openxmlformats.org/officeDocument/2006/relationships" xmlns:w="http://schemas.openxmlformats.org/wordprocessingml/2006/main">
  <w:divs>
    <w:div w:id="62458545">
      <w:bodyDiv w:val="1"/>
      <w:marLeft w:val="0"/>
      <w:marRight w:val="0"/>
      <w:marTop w:val="0"/>
      <w:marBottom w:val="0"/>
      <w:divBdr>
        <w:top w:val="none" w:sz="0" w:space="0" w:color="auto"/>
        <w:left w:val="none" w:sz="0" w:space="0" w:color="auto"/>
        <w:bottom w:val="none" w:sz="0" w:space="0" w:color="auto"/>
        <w:right w:val="none" w:sz="0" w:space="0" w:color="auto"/>
      </w:divBdr>
    </w:div>
    <w:div w:id="76943923">
      <w:bodyDiv w:val="1"/>
      <w:marLeft w:val="0"/>
      <w:marRight w:val="0"/>
      <w:marTop w:val="0"/>
      <w:marBottom w:val="0"/>
      <w:divBdr>
        <w:top w:val="none" w:sz="0" w:space="0" w:color="auto"/>
        <w:left w:val="none" w:sz="0" w:space="0" w:color="auto"/>
        <w:bottom w:val="none" w:sz="0" w:space="0" w:color="auto"/>
        <w:right w:val="none" w:sz="0" w:space="0" w:color="auto"/>
      </w:divBdr>
    </w:div>
    <w:div w:id="113066686">
      <w:bodyDiv w:val="1"/>
      <w:marLeft w:val="0"/>
      <w:marRight w:val="0"/>
      <w:marTop w:val="0"/>
      <w:marBottom w:val="0"/>
      <w:divBdr>
        <w:top w:val="none" w:sz="0" w:space="0" w:color="auto"/>
        <w:left w:val="none" w:sz="0" w:space="0" w:color="auto"/>
        <w:bottom w:val="none" w:sz="0" w:space="0" w:color="auto"/>
        <w:right w:val="none" w:sz="0" w:space="0" w:color="auto"/>
      </w:divBdr>
    </w:div>
    <w:div w:id="116725826">
      <w:bodyDiv w:val="1"/>
      <w:marLeft w:val="0"/>
      <w:marRight w:val="0"/>
      <w:marTop w:val="0"/>
      <w:marBottom w:val="0"/>
      <w:divBdr>
        <w:top w:val="none" w:sz="0" w:space="0" w:color="auto"/>
        <w:left w:val="none" w:sz="0" w:space="0" w:color="auto"/>
        <w:bottom w:val="none" w:sz="0" w:space="0" w:color="auto"/>
        <w:right w:val="none" w:sz="0" w:space="0" w:color="auto"/>
      </w:divBdr>
    </w:div>
    <w:div w:id="265582339">
      <w:bodyDiv w:val="1"/>
      <w:marLeft w:val="0"/>
      <w:marRight w:val="0"/>
      <w:marTop w:val="0"/>
      <w:marBottom w:val="0"/>
      <w:divBdr>
        <w:top w:val="none" w:sz="0" w:space="0" w:color="auto"/>
        <w:left w:val="none" w:sz="0" w:space="0" w:color="auto"/>
        <w:bottom w:val="none" w:sz="0" w:space="0" w:color="auto"/>
        <w:right w:val="none" w:sz="0" w:space="0" w:color="auto"/>
      </w:divBdr>
    </w:div>
    <w:div w:id="419135479">
      <w:bodyDiv w:val="1"/>
      <w:marLeft w:val="0"/>
      <w:marRight w:val="0"/>
      <w:marTop w:val="0"/>
      <w:marBottom w:val="0"/>
      <w:divBdr>
        <w:top w:val="none" w:sz="0" w:space="0" w:color="auto"/>
        <w:left w:val="none" w:sz="0" w:space="0" w:color="auto"/>
        <w:bottom w:val="none" w:sz="0" w:space="0" w:color="auto"/>
        <w:right w:val="none" w:sz="0" w:space="0" w:color="auto"/>
      </w:divBdr>
    </w:div>
    <w:div w:id="465702344">
      <w:bodyDiv w:val="1"/>
      <w:marLeft w:val="0"/>
      <w:marRight w:val="0"/>
      <w:marTop w:val="0"/>
      <w:marBottom w:val="0"/>
      <w:divBdr>
        <w:top w:val="none" w:sz="0" w:space="0" w:color="auto"/>
        <w:left w:val="none" w:sz="0" w:space="0" w:color="auto"/>
        <w:bottom w:val="none" w:sz="0" w:space="0" w:color="auto"/>
        <w:right w:val="none" w:sz="0" w:space="0" w:color="auto"/>
      </w:divBdr>
    </w:div>
    <w:div w:id="632711475">
      <w:bodyDiv w:val="1"/>
      <w:marLeft w:val="0"/>
      <w:marRight w:val="0"/>
      <w:marTop w:val="0"/>
      <w:marBottom w:val="0"/>
      <w:divBdr>
        <w:top w:val="none" w:sz="0" w:space="0" w:color="auto"/>
        <w:left w:val="none" w:sz="0" w:space="0" w:color="auto"/>
        <w:bottom w:val="none" w:sz="0" w:space="0" w:color="auto"/>
        <w:right w:val="none" w:sz="0" w:space="0" w:color="auto"/>
      </w:divBdr>
    </w:div>
    <w:div w:id="739061665">
      <w:bodyDiv w:val="1"/>
      <w:marLeft w:val="0"/>
      <w:marRight w:val="0"/>
      <w:marTop w:val="0"/>
      <w:marBottom w:val="0"/>
      <w:divBdr>
        <w:top w:val="none" w:sz="0" w:space="0" w:color="auto"/>
        <w:left w:val="none" w:sz="0" w:space="0" w:color="auto"/>
        <w:bottom w:val="none" w:sz="0" w:space="0" w:color="auto"/>
        <w:right w:val="none" w:sz="0" w:space="0" w:color="auto"/>
      </w:divBdr>
    </w:div>
    <w:div w:id="931284061">
      <w:bodyDiv w:val="1"/>
      <w:marLeft w:val="0"/>
      <w:marRight w:val="0"/>
      <w:marTop w:val="0"/>
      <w:marBottom w:val="0"/>
      <w:divBdr>
        <w:top w:val="none" w:sz="0" w:space="0" w:color="auto"/>
        <w:left w:val="none" w:sz="0" w:space="0" w:color="auto"/>
        <w:bottom w:val="none" w:sz="0" w:space="0" w:color="auto"/>
        <w:right w:val="none" w:sz="0" w:space="0" w:color="auto"/>
      </w:divBdr>
    </w:div>
    <w:div w:id="1063523386">
      <w:bodyDiv w:val="1"/>
      <w:marLeft w:val="0"/>
      <w:marRight w:val="0"/>
      <w:marTop w:val="0"/>
      <w:marBottom w:val="0"/>
      <w:divBdr>
        <w:top w:val="none" w:sz="0" w:space="0" w:color="auto"/>
        <w:left w:val="none" w:sz="0" w:space="0" w:color="auto"/>
        <w:bottom w:val="none" w:sz="0" w:space="0" w:color="auto"/>
        <w:right w:val="none" w:sz="0" w:space="0" w:color="auto"/>
      </w:divBdr>
    </w:div>
    <w:div w:id="1764301233">
      <w:bodyDiv w:val="1"/>
      <w:marLeft w:val="0"/>
      <w:marRight w:val="0"/>
      <w:marTop w:val="0"/>
      <w:marBottom w:val="0"/>
      <w:divBdr>
        <w:top w:val="none" w:sz="0" w:space="0" w:color="auto"/>
        <w:left w:val="none" w:sz="0" w:space="0" w:color="auto"/>
        <w:bottom w:val="none" w:sz="0" w:space="0" w:color="auto"/>
        <w:right w:val="none" w:sz="0" w:space="0" w:color="auto"/>
      </w:divBdr>
    </w:div>
    <w:div w:id="2110158798">
      <w:bodyDiv w:val="1"/>
      <w:marLeft w:val="0"/>
      <w:marRight w:val="0"/>
      <w:marTop w:val="0"/>
      <w:marBottom w:val="0"/>
      <w:divBdr>
        <w:top w:val="none" w:sz="0" w:space="0" w:color="auto"/>
        <w:left w:val="none" w:sz="0" w:space="0" w:color="auto"/>
        <w:bottom w:val="none" w:sz="0" w:space="0" w:color="auto"/>
        <w:right w:val="none" w:sz="0" w:space="0" w:color="auto"/>
      </w:divBdr>
    </w:div>
    <w:div w:id="21122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Rebecca McCary</cp:lastModifiedBy>
  <cp:revision>2</cp:revision>
  <dcterms:created xsi:type="dcterms:W3CDTF">2012-09-07T13:30:00Z</dcterms:created>
  <dcterms:modified xsi:type="dcterms:W3CDTF">2012-09-07T13:30:00Z</dcterms:modified>
</cp:coreProperties>
</file>