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61749" w14:textId="79D0B9C6" w:rsidR="00E26B55" w:rsidRPr="00AA2AF6" w:rsidRDefault="00E26B55" w:rsidP="00A543B4">
      <w:pPr>
        <w:rPr>
          <w:b/>
          <w:sz w:val="28"/>
          <w:szCs w:val="28"/>
        </w:rPr>
      </w:pPr>
      <w:r w:rsidRPr="00AA2AF6">
        <w:rPr>
          <w:b/>
          <w:sz w:val="28"/>
          <w:szCs w:val="28"/>
        </w:rPr>
        <w:t>SUP</w:t>
      </w:r>
      <w:bookmarkStart w:id="0" w:name="_GoBack"/>
      <w:bookmarkEnd w:id="0"/>
      <w:r w:rsidRPr="00AA2AF6">
        <w:rPr>
          <w:b/>
          <w:sz w:val="28"/>
          <w:szCs w:val="28"/>
        </w:rPr>
        <w:t>PLEMENTAL MATERIAL</w:t>
      </w:r>
    </w:p>
    <w:p w14:paraId="0D47FCD3" w14:textId="77777777" w:rsidR="00E26B55" w:rsidRDefault="00E26B55" w:rsidP="00A543B4">
      <w:pPr>
        <w:rPr>
          <w:b/>
        </w:rPr>
      </w:pPr>
    </w:p>
    <w:p w14:paraId="1DBAF210" w14:textId="1D7D3914" w:rsidR="00E26B55" w:rsidRPr="009E0D27" w:rsidRDefault="00E26B55" w:rsidP="009E0D27">
      <w:pPr>
        <w:ind w:left="-720"/>
        <w:rPr>
          <w:b/>
        </w:rPr>
      </w:pPr>
      <w:r w:rsidRPr="009E0D27">
        <w:rPr>
          <w:b/>
        </w:rPr>
        <w:t xml:space="preserve">Table </w:t>
      </w:r>
      <w:r w:rsidR="00684073">
        <w:rPr>
          <w:b/>
        </w:rPr>
        <w:t>1</w:t>
      </w:r>
      <w:r w:rsidRPr="009E0D27">
        <w:rPr>
          <w:b/>
        </w:rPr>
        <w:t xml:space="preserve">.  Risk factors for radiographic </w:t>
      </w:r>
      <w:r w:rsidR="00995E47">
        <w:rPr>
          <w:b/>
        </w:rPr>
        <w:t>adjacent segment pathology</w:t>
      </w:r>
    </w:p>
    <w:tbl>
      <w:tblPr>
        <w:tblW w:w="1120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1555"/>
        <w:gridCol w:w="3060"/>
        <w:gridCol w:w="2567"/>
        <w:gridCol w:w="1681"/>
      </w:tblGrid>
      <w:tr w:rsidR="00E26B55" w:rsidRPr="009E0D27" w14:paraId="08ABC165" w14:textId="77777777" w:rsidTr="00A40D2E">
        <w:tc>
          <w:tcPr>
            <w:tcW w:w="2340" w:type="dxa"/>
            <w:tcBorders>
              <w:top w:val="single" w:sz="12" w:space="0" w:color="auto"/>
              <w:left w:val="nil"/>
              <w:bottom w:val="nil"/>
              <w:right w:val="nil"/>
            </w:tcBorders>
          </w:tcPr>
          <w:p w14:paraId="27E51E41" w14:textId="77777777" w:rsidR="00E26B55" w:rsidRPr="00A40D2E" w:rsidRDefault="00E26B55" w:rsidP="009E0D27">
            <w:pPr>
              <w:rPr>
                <w:b/>
                <w:sz w:val="18"/>
                <w:szCs w:val="18"/>
              </w:rPr>
            </w:pPr>
            <w:r w:rsidRPr="00A40D2E">
              <w:rPr>
                <w:b/>
                <w:sz w:val="18"/>
                <w:szCs w:val="18"/>
              </w:rPr>
              <w:t>Risk Factor</w:t>
            </w:r>
          </w:p>
        </w:tc>
        <w:tc>
          <w:tcPr>
            <w:tcW w:w="1555" w:type="dxa"/>
            <w:tcBorders>
              <w:top w:val="single" w:sz="12" w:space="0" w:color="auto"/>
              <w:left w:val="nil"/>
              <w:bottom w:val="single" w:sz="12" w:space="0" w:color="auto"/>
              <w:right w:val="nil"/>
            </w:tcBorders>
          </w:tcPr>
          <w:p w14:paraId="1BC67507" w14:textId="77777777" w:rsidR="00E26B55" w:rsidRPr="00A40D2E" w:rsidRDefault="00E26B55" w:rsidP="00A40D2E">
            <w:pPr>
              <w:jc w:val="center"/>
              <w:rPr>
                <w:b/>
                <w:sz w:val="18"/>
                <w:szCs w:val="18"/>
              </w:rPr>
            </w:pPr>
            <w:r w:rsidRPr="00A40D2E">
              <w:rPr>
                <w:b/>
                <w:sz w:val="18"/>
                <w:szCs w:val="18"/>
              </w:rPr>
              <w:t>Studies</w:t>
            </w:r>
          </w:p>
        </w:tc>
        <w:tc>
          <w:tcPr>
            <w:tcW w:w="3060" w:type="dxa"/>
            <w:tcBorders>
              <w:top w:val="single" w:sz="12" w:space="0" w:color="auto"/>
              <w:left w:val="nil"/>
              <w:bottom w:val="single" w:sz="12" w:space="0" w:color="auto"/>
              <w:right w:val="nil"/>
            </w:tcBorders>
          </w:tcPr>
          <w:p w14:paraId="27843B5D" w14:textId="77777777" w:rsidR="00E26B55" w:rsidRPr="00A40D2E" w:rsidRDefault="00E26B55" w:rsidP="00A40D2E">
            <w:pPr>
              <w:jc w:val="center"/>
              <w:rPr>
                <w:b/>
                <w:sz w:val="18"/>
                <w:szCs w:val="18"/>
              </w:rPr>
            </w:pPr>
          </w:p>
        </w:tc>
        <w:tc>
          <w:tcPr>
            <w:tcW w:w="2567" w:type="dxa"/>
            <w:tcBorders>
              <w:top w:val="single" w:sz="12" w:space="0" w:color="auto"/>
              <w:left w:val="nil"/>
              <w:bottom w:val="single" w:sz="12" w:space="0" w:color="auto"/>
              <w:right w:val="nil"/>
            </w:tcBorders>
          </w:tcPr>
          <w:p w14:paraId="16E62841" w14:textId="77777777" w:rsidR="00E26B55" w:rsidRPr="00A40D2E" w:rsidRDefault="00E26B55" w:rsidP="00A40D2E">
            <w:pPr>
              <w:jc w:val="center"/>
              <w:rPr>
                <w:b/>
                <w:sz w:val="18"/>
                <w:szCs w:val="18"/>
              </w:rPr>
            </w:pPr>
            <w:r w:rsidRPr="00A40D2E">
              <w:rPr>
                <w:b/>
                <w:sz w:val="18"/>
                <w:szCs w:val="18"/>
              </w:rPr>
              <w:t xml:space="preserve"> </w:t>
            </w:r>
          </w:p>
        </w:tc>
        <w:tc>
          <w:tcPr>
            <w:tcW w:w="1681" w:type="dxa"/>
            <w:tcBorders>
              <w:top w:val="single" w:sz="12" w:space="0" w:color="auto"/>
              <w:left w:val="nil"/>
              <w:bottom w:val="single" w:sz="12" w:space="0" w:color="auto"/>
              <w:right w:val="nil"/>
            </w:tcBorders>
          </w:tcPr>
          <w:p w14:paraId="16A3100F" w14:textId="77777777" w:rsidR="00E26B55" w:rsidRPr="00A40D2E" w:rsidRDefault="00E26B55" w:rsidP="00A40D2E">
            <w:pPr>
              <w:jc w:val="center"/>
              <w:rPr>
                <w:b/>
                <w:sz w:val="18"/>
                <w:szCs w:val="18"/>
              </w:rPr>
            </w:pPr>
            <w:r w:rsidRPr="00A40D2E">
              <w:rPr>
                <w:b/>
                <w:sz w:val="18"/>
                <w:szCs w:val="18"/>
              </w:rPr>
              <w:t>P-value</w:t>
            </w:r>
          </w:p>
        </w:tc>
      </w:tr>
      <w:tr w:rsidR="00E26B55" w:rsidRPr="009E0D27" w14:paraId="1A9A4633" w14:textId="77777777" w:rsidTr="00A40D2E">
        <w:tc>
          <w:tcPr>
            <w:tcW w:w="2340" w:type="dxa"/>
            <w:tcBorders>
              <w:top w:val="nil"/>
              <w:left w:val="nil"/>
              <w:bottom w:val="nil"/>
              <w:right w:val="nil"/>
            </w:tcBorders>
            <w:shd w:val="clear" w:color="auto" w:fill="D9D9D9"/>
          </w:tcPr>
          <w:p w14:paraId="4026E26C" w14:textId="77777777" w:rsidR="00E26B55" w:rsidRPr="00A40D2E" w:rsidRDefault="00E26B55" w:rsidP="009E0D27">
            <w:pPr>
              <w:rPr>
                <w:b/>
                <w:sz w:val="18"/>
                <w:szCs w:val="18"/>
              </w:rPr>
            </w:pPr>
            <w:r w:rsidRPr="00A40D2E">
              <w:rPr>
                <w:b/>
                <w:sz w:val="18"/>
                <w:szCs w:val="18"/>
              </w:rPr>
              <w:t>Surgical Factors</w:t>
            </w:r>
          </w:p>
        </w:tc>
        <w:tc>
          <w:tcPr>
            <w:tcW w:w="1555" w:type="dxa"/>
            <w:tcBorders>
              <w:top w:val="nil"/>
              <w:left w:val="nil"/>
              <w:bottom w:val="nil"/>
              <w:right w:val="nil"/>
            </w:tcBorders>
            <w:shd w:val="clear" w:color="auto" w:fill="D9D9D9"/>
          </w:tcPr>
          <w:p w14:paraId="2EC91733" w14:textId="77777777" w:rsidR="00E26B55" w:rsidRPr="00A40D2E" w:rsidRDefault="00E26B55" w:rsidP="009E0D27">
            <w:pPr>
              <w:rPr>
                <w:sz w:val="18"/>
                <w:szCs w:val="18"/>
              </w:rPr>
            </w:pPr>
          </w:p>
        </w:tc>
        <w:tc>
          <w:tcPr>
            <w:tcW w:w="3060" w:type="dxa"/>
            <w:tcBorders>
              <w:top w:val="nil"/>
              <w:left w:val="nil"/>
              <w:bottom w:val="nil"/>
              <w:right w:val="nil"/>
            </w:tcBorders>
            <w:shd w:val="clear" w:color="auto" w:fill="D9D9D9"/>
          </w:tcPr>
          <w:p w14:paraId="738BC61B" w14:textId="77777777" w:rsidR="00E26B55" w:rsidRPr="00A40D2E" w:rsidRDefault="00E26B55" w:rsidP="00A40D2E">
            <w:pPr>
              <w:jc w:val="center"/>
              <w:rPr>
                <w:sz w:val="18"/>
                <w:szCs w:val="18"/>
              </w:rPr>
            </w:pPr>
          </w:p>
        </w:tc>
        <w:tc>
          <w:tcPr>
            <w:tcW w:w="2567" w:type="dxa"/>
            <w:tcBorders>
              <w:top w:val="nil"/>
              <w:left w:val="nil"/>
              <w:bottom w:val="nil"/>
              <w:right w:val="nil"/>
            </w:tcBorders>
            <w:shd w:val="clear" w:color="auto" w:fill="D9D9D9"/>
          </w:tcPr>
          <w:p w14:paraId="543BFE0E" w14:textId="77777777" w:rsidR="00E26B55" w:rsidRPr="00A40D2E" w:rsidRDefault="00E26B55" w:rsidP="00A40D2E">
            <w:pPr>
              <w:jc w:val="center"/>
              <w:rPr>
                <w:sz w:val="18"/>
                <w:szCs w:val="18"/>
              </w:rPr>
            </w:pPr>
          </w:p>
        </w:tc>
        <w:tc>
          <w:tcPr>
            <w:tcW w:w="1681" w:type="dxa"/>
            <w:tcBorders>
              <w:top w:val="nil"/>
              <w:left w:val="nil"/>
              <w:bottom w:val="nil"/>
              <w:right w:val="nil"/>
            </w:tcBorders>
            <w:shd w:val="clear" w:color="auto" w:fill="D9D9D9"/>
          </w:tcPr>
          <w:p w14:paraId="1C8E4FDB" w14:textId="77777777" w:rsidR="00E26B55" w:rsidRPr="00A40D2E" w:rsidRDefault="00E26B55" w:rsidP="00A40D2E">
            <w:pPr>
              <w:jc w:val="center"/>
              <w:rPr>
                <w:sz w:val="18"/>
                <w:szCs w:val="18"/>
              </w:rPr>
            </w:pPr>
          </w:p>
        </w:tc>
      </w:tr>
      <w:tr w:rsidR="00E26B55" w:rsidRPr="009E0D27" w14:paraId="5DA7193E" w14:textId="77777777" w:rsidTr="00A40D2E">
        <w:tc>
          <w:tcPr>
            <w:tcW w:w="2340" w:type="dxa"/>
            <w:tcBorders>
              <w:top w:val="nil"/>
              <w:left w:val="nil"/>
              <w:bottom w:val="nil"/>
              <w:right w:val="nil"/>
            </w:tcBorders>
          </w:tcPr>
          <w:p w14:paraId="2B83CA80" w14:textId="77777777" w:rsidR="00E26B55" w:rsidRPr="00A40D2E" w:rsidRDefault="00E26B55" w:rsidP="009E0D27">
            <w:pPr>
              <w:rPr>
                <w:b/>
                <w:sz w:val="18"/>
                <w:szCs w:val="18"/>
              </w:rPr>
            </w:pPr>
            <w:r w:rsidRPr="00A40D2E">
              <w:rPr>
                <w:b/>
                <w:sz w:val="18"/>
                <w:szCs w:val="18"/>
              </w:rPr>
              <w:t>Number of levels fused</w:t>
            </w:r>
          </w:p>
        </w:tc>
        <w:tc>
          <w:tcPr>
            <w:tcW w:w="1555" w:type="dxa"/>
            <w:tcBorders>
              <w:top w:val="nil"/>
              <w:left w:val="nil"/>
              <w:bottom w:val="nil"/>
              <w:right w:val="nil"/>
            </w:tcBorders>
          </w:tcPr>
          <w:p w14:paraId="79FC5E46" w14:textId="77777777" w:rsidR="00E26B55" w:rsidRPr="00A40D2E" w:rsidRDefault="00E26B55" w:rsidP="009E0D27">
            <w:pPr>
              <w:rPr>
                <w:sz w:val="18"/>
                <w:szCs w:val="18"/>
              </w:rPr>
            </w:pPr>
            <w:r w:rsidRPr="00A40D2E">
              <w:rPr>
                <w:sz w:val="18"/>
                <w:szCs w:val="18"/>
              </w:rPr>
              <w:t>Komura 2012</w:t>
            </w:r>
          </w:p>
        </w:tc>
        <w:tc>
          <w:tcPr>
            <w:tcW w:w="3060" w:type="dxa"/>
            <w:tcBorders>
              <w:top w:val="nil"/>
              <w:left w:val="nil"/>
              <w:bottom w:val="nil"/>
              <w:right w:val="nil"/>
            </w:tcBorders>
          </w:tcPr>
          <w:p w14:paraId="61B99219" w14:textId="77777777" w:rsidR="00E26B55" w:rsidRPr="00A40D2E" w:rsidRDefault="00E26B55" w:rsidP="00A40D2E">
            <w:pPr>
              <w:ind w:left="162"/>
              <w:rPr>
                <w:sz w:val="18"/>
                <w:szCs w:val="18"/>
              </w:rPr>
            </w:pPr>
            <w:r w:rsidRPr="00A40D2E">
              <w:rPr>
                <w:sz w:val="18"/>
                <w:szCs w:val="18"/>
              </w:rPr>
              <w:t>≥ 4 levels: 26.0% (13/50)</w:t>
            </w:r>
          </w:p>
          <w:p w14:paraId="2726ADDD" w14:textId="77777777" w:rsidR="00E26B55" w:rsidRPr="00A40D2E" w:rsidRDefault="00E26B55" w:rsidP="00A40D2E">
            <w:pPr>
              <w:ind w:left="162"/>
              <w:rPr>
                <w:sz w:val="18"/>
                <w:szCs w:val="18"/>
              </w:rPr>
            </w:pPr>
            <w:r w:rsidRPr="00A40D2E">
              <w:rPr>
                <w:sz w:val="18"/>
                <w:szCs w:val="18"/>
              </w:rPr>
              <w:t>≤ 3 levels: 42.3% (22/52)</w:t>
            </w:r>
          </w:p>
          <w:p w14:paraId="11E8B687" w14:textId="77777777" w:rsidR="00E26B55" w:rsidRPr="00A40D2E" w:rsidRDefault="00E26B55" w:rsidP="00A40D2E">
            <w:pPr>
              <w:ind w:left="162"/>
              <w:rPr>
                <w:sz w:val="18"/>
                <w:szCs w:val="18"/>
              </w:rPr>
            </w:pPr>
          </w:p>
        </w:tc>
        <w:tc>
          <w:tcPr>
            <w:tcW w:w="2567" w:type="dxa"/>
            <w:tcBorders>
              <w:top w:val="nil"/>
              <w:left w:val="nil"/>
              <w:bottom w:val="nil"/>
              <w:right w:val="nil"/>
            </w:tcBorders>
          </w:tcPr>
          <w:p w14:paraId="27AF1836" w14:textId="77777777" w:rsidR="00E26B55" w:rsidRPr="00A40D2E" w:rsidRDefault="00E26B55" w:rsidP="009E0D27">
            <w:pPr>
              <w:rPr>
                <w:sz w:val="18"/>
                <w:szCs w:val="18"/>
              </w:rPr>
            </w:pPr>
            <w:r w:rsidRPr="00A40D2E">
              <w:rPr>
                <w:sz w:val="18"/>
                <w:szCs w:val="18"/>
              </w:rPr>
              <w:t>RR = 0.61 (95% CI, 0.35–1.08)</w:t>
            </w:r>
          </w:p>
        </w:tc>
        <w:tc>
          <w:tcPr>
            <w:tcW w:w="1681" w:type="dxa"/>
            <w:tcBorders>
              <w:top w:val="nil"/>
              <w:left w:val="nil"/>
              <w:bottom w:val="nil"/>
              <w:right w:val="nil"/>
            </w:tcBorders>
          </w:tcPr>
          <w:p w14:paraId="034087D1" w14:textId="77777777" w:rsidR="00E26B55" w:rsidRPr="00A40D2E" w:rsidRDefault="00E26B55" w:rsidP="00A40D2E">
            <w:pPr>
              <w:jc w:val="center"/>
              <w:rPr>
                <w:sz w:val="18"/>
                <w:szCs w:val="18"/>
              </w:rPr>
            </w:pPr>
            <w:r w:rsidRPr="00A40D2E">
              <w:rPr>
                <w:sz w:val="18"/>
                <w:szCs w:val="18"/>
              </w:rPr>
              <w:t>.083</w:t>
            </w:r>
          </w:p>
        </w:tc>
      </w:tr>
      <w:tr w:rsidR="00E26B55" w:rsidRPr="009E0D27" w14:paraId="5D05CB38" w14:textId="77777777" w:rsidTr="00A40D2E">
        <w:tc>
          <w:tcPr>
            <w:tcW w:w="2340" w:type="dxa"/>
            <w:tcBorders>
              <w:top w:val="nil"/>
              <w:left w:val="nil"/>
              <w:bottom w:val="nil"/>
              <w:right w:val="nil"/>
            </w:tcBorders>
          </w:tcPr>
          <w:p w14:paraId="6E8041D4" w14:textId="77777777" w:rsidR="00E26B55" w:rsidRPr="00A40D2E" w:rsidRDefault="00E26B55" w:rsidP="009E0D27">
            <w:pPr>
              <w:rPr>
                <w:b/>
                <w:sz w:val="18"/>
                <w:szCs w:val="18"/>
              </w:rPr>
            </w:pPr>
          </w:p>
        </w:tc>
        <w:tc>
          <w:tcPr>
            <w:tcW w:w="1555" w:type="dxa"/>
            <w:tcBorders>
              <w:top w:val="nil"/>
              <w:left w:val="nil"/>
              <w:bottom w:val="nil"/>
              <w:right w:val="nil"/>
            </w:tcBorders>
          </w:tcPr>
          <w:p w14:paraId="496A5ED9" w14:textId="77777777" w:rsidR="00E26B55" w:rsidRPr="00A40D2E" w:rsidRDefault="00E26B55" w:rsidP="009E0D27">
            <w:pPr>
              <w:rPr>
                <w:sz w:val="18"/>
                <w:szCs w:val="18"/>
              </w:rPr>
            </w:pPr>
          </w:p>
        </w:tc>
        <w:tc>
          <w:tcPr>
            <w:tcW w:w="3060" w:type="dxa"/>
            <w:tcBorders>
              <w:top w:val="nil"/>
              <w:left w:val="nil"/>
              <w:bottom w:val="nil"/>
              <w:right w:val="nil"/>
            </w:tcBorders>
          </w:tcPr>
          <w:p w14:paraId="10C575FD" w14:textId="77777777" w:rsidR="00E26B55" w:rsidRPr="00A40D2E" w:rsidRDefault="00E26B55" w:rsidP="00A40D2E">
            <w:pPr>
              <w:ind w:left="162"/>
              <w:rPr>
                <w:sz w:val="18"/>
                <w:szCs w:val="18"/>
              </w:rPr>
            </w:pPr>
          </w:p>
        </w:tc>
        <w:tc>
          <w:tcPr>
            <w:tcW w:w="2567" w:type="dxa"/>
            <w:tcBorders>
              <w:top w:val="nil"/>
              <w:left w:val="nil"/>
              <w:bottom w:val="nil"/>
              <w:right w:val="nil"/>
            </w:tcBorders>
          </w:tcPr>
          <w:p w14:paraId="024C2582" w14:textId="77777777" w:rsidR="00E26B55" w:rsidRPr="00A40D2E" w:rsidRDefault="00E26B55" w:rsidP="009E0D27">
            <w:pPr>
              <w:rPr>
                <w:sz w:val="18"/>
                <w:szCs w:val="18"/>
              </w:rPr>
            </w:pPr>
          </w:p>
        </w:tc>
        <w:tc>
          <w:tcPr>
            <w:tcW w:w="1681" w:type="dxa"/>
            <w:tcBorders>
              <w:top w:val="nil"/>
              <w:left w:val="nil"/>
              <w:bottom w:val="nil"/>
              <w:right w:val="nil"/>
            </w:tcBorders>
          </w:tcPr>
          <w:p w14:paraId="3E47A15A" w14:textId="77777777" w:rsidR="00E26B55" w:rsidRPr="00A40D2E" w:rsidRDefault="00E26B55" w:rsidP="00A40D2E">
            <w:pPr>
              <w:jc w:val="center"/>
              <w:rPr>
                <w:sz w:val="18"/>
                <w:szCs w:val="18"/>
              </w:rPr>
            </w:pPr>
          </w:p>
        </w:tc>
      </w:tr>
      <w:tr w:rsidR="00E26B55" w:rsidRPr="009E0D27" w14:paraId="794CE1BB" w14:textId="77777777" w:rsidTr="00A40D2E">
        <w:tc>
          <w:tcPr>
            <w:tcW w:w="2340" w:type="dxa"/>
            <w:tcBorders>
              <w:top w:val="nil"/>
              <w:left w:val="nil"/>
              <w:bottom w:val="nil"/>
              <w:right w:val="nil"/>
            </w:tcBorders>
          </w:tcPr>
          <w:p w14:paraId="425205CD" w14:textId="77777777" w:rsidR="00E26B55" w:rsidRPr="00A40D2E" w:rsidRDefault="00E26B55" w:rsidP="009E0D27">
            <w:pPr>
              <w:rPr>
                <w:b/>
                <w:sz w:val="18"/>
                <w:szCs w:val="18"/>
              </w:rPr>
            </w:pPr>
          </w:p>
        </w:tc>
        <w:tc>
          <w:tcPr>
            <w:tcW w:w="1555" w:type="dxa"/>
            <w:tcBorders>
              <w:top w:val="nil"/>
              <w:left w:val="nil"/>
              <w:bottom w:val="nil"/>
              <w:right w:val="nil"/>
            </w:tcBorders>
          </w:tcPr>
          <w:p w14:paraId="5FB556DF" w14:textId="77777777" w:rsidR="00E26B55" w:rsidRPr="00A40D2E" w:rsidRDefault="00E26B55" w:rsidP="009E0D27">
            <w:pPr>
              <w:rPr>
                <w:sz w:val="18"/>
                <w:szCs w:val="18"/>
              </w:rPr>
            </w:pPr>
            <w:proofErr w:type="spellStart"/>
            <w:r w:rsidRPr="00A40D2E">
              <w:rPr>
                <w:sz w:val="18"/>
                <w:szCs w:val="18"/>
              </w:rPr>
              <w:t>Nassr</w:t>
            </w:r>
            <w:proofErr w:type="spellEnd"/>
            <w:r w:rsidRPr="00A40D2E">
              <w:rPr>
                <w:sz w:val="18"/>
                <w:szCs w:val="18"/>
              </w:rPr>
              <w:t xml:space="preserve"> 2009</w:t>
            </w:r>
          </w:p>
        </w:tc>
        <w:tc>
          <w:tcPr>
            <w:tcW w:w="3060" w:type="dxa"/>
            <w:tcBorders>
              <w:top w:val="nil"/>
              <w:left w:val="nil"/>
              <w:bottom w:val="nil"/>
              <w:right w:val="nil"/>
            </w:tcBorders>
          </w:tcPr>
          <w:p w14:paraId="4AD29B34" w14:textId="77777777" w:rsidR="00E26B55" w:rsidRPr="00A40D2E" w:rsidRDefault="00E26B55" w:rsidP="009E0D27">
            <w:pPr>
              <w:rPr>
                <w:sz w:val="18"/>
                <w:szCs w:val="18"/>
              </w:rPr>
            </w:pPr>
            <w:r w:rsidRPr="00A40D2E">
              <w:rPr>
                <w:sz w:val="18"/>
                <w:szCs w:val="18"/>
              </w:rPr>
              <w:t>≥ 1 grade increase in degeneration:</w:t>
            </w:r>
          </w:p>
          <w:p w14:paraId="0C98ECD7" w14:textId="77777777" w:rsidR="00E26B55" w:rsidRPr="00A40D2E" w:rsidRDefault="00E26B55" w:rsidP="00A40D2E">
            <w:pPr>
              <w:ind w:left="162"/>
              <w:rPr>
                <w:sz w:val="18"/>
                <w:szCs w:val="18"/>
              </w:rPr>
            </w:pPr>
            <w:r w:rsidRPr="00A40D2E">
              <w:rPr>
                <w:sz w:val="18"/>
                <w:szCs w:val="18"/>
              </w:rPr>
              <w:t>2-level: 43.1% (22/51)</w:t>
            </w:r>
          </w:p>
          <w:p w14:paraId="61C2AA80" w14:textId="77777777" w:rsidR="00E26B55" w:rsidRPr="00A40D2E" w:rsidRDefault="00E26B55" w:rsidP="00A40D2E">
            <w:pPr>
              <w:ind w:left="162"/>
              <w:rPr>
                <w:sz w:val="18"/>
                <w:szCs w:val="18"/>
              </w:rPr>
            </w:pPr>
            <w:r w:rsidRPr="00A40D2E">
              <w:rPr>
                <w:sz w:val="18"/>
                <w:szCs w:val="18"/>
              </w:rPr>
              <w:t>1-level: 27.8% (10/36)</w:t>
            </w:r>
          </w:p>
          <w:p w14:paraId="0413EBC3" w14:textId="77777777" w:rsidR="00E26B55" w:rsidRPr="00A40D2E" w:rsidRDefault="00E26B55" w:rsidP="00A40D2E">
            <w:pPr>
              <w:ind w:left="162"/>
              <w:rPr>
                <w:sz w:val="18"/>
                <w:szCs w:val="18"/>
              </w:rPr>
            </w:pPr>
          </w:p>
        </w:tc>
        <w:tc>
          <w:tcPr>
            <w:tcW w:w="2567" w:type="dxa"/>
            <w:tcBorders>
              <w:top w:val="nil"/>
              <w:left w:val="nil"/>
              <w:bottom w:val="nil"/>
              <w:right w:val="nil"/>
            </w:tcBorders>
          </w:tcPr>
          <w:p w14:paraId="0B48439A" w14:textId="77777777" w:rsidR="00E26B55" w:rsidRPr="00A40D2E" w:rsidRDefault="00E26B55" w:rsidP="009E0D27">
            <w:pPr>
              <w:rPr>
                <w:sz w:val="18"/>
                <w:szCs w:val="18"/>
              </w:rPr>
            </w:pPr>
            <w:r w:rsidRPr="00A40D2E">
              <w:rPr>
                <w:sz w:val="18"/>
                <w:szCs w:val="18"/>
              </w:rPr>
              <w:t>RR = 1.55 (95% CI, 0.84–2.87)</w:t>
            </w:r>
          </w:p>
        </w:tc>
        <w:tc>
          <w:tcPr>
            <w:tcW w:w="1681" w:type="dxa"/>
            <w:tcBorders>
              <w:top w:val="nil"/>
              <w:left w:val="nil"/>
              <w:bottom w:val="nil"/>
              <w:right w:val="nil"/>
            </w:tcBorders>
          </w:tcPr>
          <w:p w14:paraId="6E56216A" w14:textId="77777777" w:rsidR="00E26B55" w:rsidRPr="00A40D2E" w:rsidRDefault="00E26B55" w:rsidP="00A40D2E">
            <w:pPr>
              <w:jc w:val="center"/>
              <w:rPr>
                <w:sz w:val="18"/>
                <w:szCs w:val="18"/>
              </w:rPr>
            </w:pPr>
            <w:r w:rsidRPr="00A40D2E">
              <w:rPr>
                <w:sz w:val="18"/>
                <w:szCs w:val="18"/>
              </w:rPr>
              <w:t>.143</w:t>
            </w:r>
          </w:p>
        </w:tc>
      </w:tr>
      <w:tr w:rsidR="00E26B55" w:rsidRPr="009E0D27" w14:paraId="2AD13627" w14:textId="77777777" w:rsidTr="00A40D2E">
        <w:tc>
          <w:tcPr>
            <w:tcW w:w="2340" w:type="dxa"/>
            <w:tcBorders>
              <w:top w:val="nil"/>
              <w:left w:val="nil"/>
              <w:bottom w:val="nil"/>
              <w:right w:val="nil"/>
            </w:tcBorders>
          </w:tcPr>
          <w:p w14:paraId="157CB773" w14:textId="77777777" w:rsidR="00E26B55" w:rsidRPr="00A40D2E" w:rsidRDefault="00E26B55" w:rsidP="009E0D27">
            <w:pPr>
              <w:rPr>
                <w:b/>
                <w:sz w:val="18"/>
                <w:szCs w:val="18"/>
              </w:rPr>
            </w:pPr>
          </w:p>
        </w:tc>
        <w:tc>
          <w:tcPr>
            <w:tcW w:w="1555" w:type="dxa"/>
            <w:tcBorders>
              <w:top w:val="nil"/>
              <w:left w:val="nil"/>
              <w:bottom w:val="nil"/>
              <w:right w:val="nil"/>
            </w:tcBorders>
          </w:tcPr>
          <w:p w14:paraId="6C967BA2" w14:textId="77777777" w:rsidR="00E26B55" w:rsidRPr="00A40D2E" w:rsidRDefault="00E26B55" w:rsidP="009E0D27">
            <w:pPr>
              <w:rPr>
                <w:sz w:val="18"/>
                <w:szCs w:val="18"/>
              </w:rPr>
            </w:pPr>
          </w:p>
        </w:tc>
        <w:tc>
          <w:tcPr>
            <w:tcW w:w="3060" w:type="dxa"/>
            <w:tcBorders>
              <w:top w:val="nil"/>
              <w:left w:val="nil"/>
              <w:bottom w:val="nil"/>
              <w:right w:val="nil"/>
            </w:tcBorders>
          </w:tcPr>
          <w:p w14:paraId="6411F348" w14:textId="77777777" w:rsidR="00E26B55" w:rsidRPr="00A40D2E" w:rsidRDefault="00E26B55" w:rsidP="009E0D27">
            <w:pPr>
              <w:rPr>
                <w:sz w:val="18"/>
                <w:szCs w:val="18"/>
              </w:rPr>
            </w:pPr>
          </w:p>
        </w:tc>
        <w:tc>
          <w:tcPr>
            <w:tcW w:w="2567" w:type="dxa"/>
            <w:tcBorders>
              <w:top w:val="nil"/>
              <w:left w:val="nil"/>
              <w:bottom w:val="nil"/>
              <w:right w:val="nil"/>
            </w:tcBorders>
          </w:tcPr>
          <w:p w14:paraId="1FAEEDB2" w14:textId="77777777" w:rsidR="00E26B55" w:rsidRPr="00A40D2E" w:rsidRDefault="00E26B55" w:rsidP="009E0D27">
            <w:pPr>
              <w:rPr>
                <w:sz w:val="18"/>
                <w:szCs w:val="18"/>
              </w:rPr>
            </w:pPr>
          </w:p>
        </w:tc>
        <w:tc>
          <w:tcPr>
            <w:tcW w:w="1681" w:type="dxa"/>
            <w:tcBorders>
              <w:top w:val="nil"/>
              <w:left w:val="nil"/>
              <w:bottom w:val="nil"/>
              <w:right w:val="nil"/>
            </w:tcBorders>
          </w:tcPr>
          <w:p w14:paraId="14E185A8" w14:textId="77777777" w:rsidR="00E26B55" w:rsidRPr="00A40D2E" w:rsidRDefault="00E26B55" w:rsidP="00A40D2E">
            <w:pPr>
              <w:jc w:val="center"/>
              <w:rPr>
                <w:sz w:val="18"/>
                <w:szCs w:val="18"/>
              </w:rPr>
            </w:pPr>
          </w:p>
        </w:tc>
      </w:tr>
      <w:tr w:rsidR="00E26B55" w:rsidRPr="009E0D27" w14:paraId="38123ECC" w14:textId="77777777" w:rsidTr="00A40D2E">
        <w:tc>
          <w:tcPr>
            <w:tcW w:w="2340" w:type="dxa"/>
            <w:tcBorders>
              <w:top w:val="nil"/>
              <w:left w:val="nil"/>
              <w:bottom w:val="nil"/>
              <w:right w:val="nil"/>
            </w:tcBorders>
          </w:tcPr>
          <w:p w14:paraId="371751E2" w14:textId="77777777" w:rsidR="00E26B55" w:rsidRPr="00A40D2E" w:rsidRDefault="00E26B55" w:rsidP="009E0D27">
            <w:pPr>
              <w:rPr>
                <w:b/>
                <w:sz w:val="18"/>
                <w:szCs w:val="18"/>
              </w:rPr>
            </w:pPr>
            <w:r w:rsidRPr="00A40D2E">
              <w:rPr>
                <w:b/>
                <w:sz w:val="18"/>
                <w:szCs w:val="18"/>
              </w:rPr>
              <w:t>Level of fusion</w:t>
            </w:r>
          </w:p>
        </w:tc>
        <w:tc>
          <w:tcPr>
            <w:tcW w:w="1555" w:type="dxa"/>
            <w:tcBorders>
              <w:top w:val="nil"/>
              <w:left w:val="nil"/>
              <w:bottom w:val="nil"/>
              <w:right w:val="nil"/>
            </w:tcBorders>
          </w:tcPr>
          <w:p w14:paraId="14AD0B2B" w14:textId="77777777" w:rsidR="00E26B55" w:rsidRPr="00A40D2E" w:rsidRDefault="00E26B55" w:rsidP="009E0D27">
            <w:pPr>
              <w:rPr>
                <w:sz w:val="18"/>
                <w:szCs w:val="18"/>
              </w:rPr>
            </w:pPr>
            <w:proofErr w:type="spellStart"/>
            <w:r w:rsidRPr="00A40D2E">
              <w:rPr>
                <w:sz w:val="18"/>
                <w:szCs w:val="18"/>
              </w:rPr>
              <w:t>Faldini</w:t>
            </w:r>
            <w:proofErr w:type="spellEnd"/>
            <w:r w:rsidRPr="00A40D2E">
              <w:rPr>
                <w:sz w:val="18"/>
                <w:szCs w:val="18"/>
              </w:rPr>
              <w:t xml:space="preserve">  2011</w:t>
            </w:r>
          </w:p>
        </w:tc>
        <w:tc>
          <w:tcPr>
            <w:tcW w:w="3060" w:type="dxa"/>
            <w:tcBorders>
              <w:top w:val="nil"/>
              <w:left w:val="nil"/>
              <w:bottom w:val="nil"/>
              <w:right w:val="nil"/>
            </w:tcBorders>
          </w:tcPr>
          <w:p w14:paraId="4D922FB6" w14:textId="77777777" w:rsidR="00E26B55" w:rsidRPr="00A40D2E" w:rsidRDefault="00E26B55" w:rsidP="009E0D27">
            <w:pPr>
              <w:rPr>
                <w:sz w:val="18"/>
                <w:szCs w:val="18"/>
              </w:rPr>
            </w:pPr>
            <w:r w:rsidRPr="00A40D2E">
              <w:rPr>
                <w:sz w:val="18"/>
                <w:szCs w:val="18"/>
              </w:rPr>
              <w:t>C4-5: 43.5% (20/46)</w:t>
            </w:r>
          </w:p>
          <w:p w14:paraId="7C3D30B4" w14:textId="77777777" w:rsidR="00E26B55" w:rsidRPr="00A40D2E" w:rsidRDefault="00E26B55" w:rsidP="009E0D27">
            <w:pPr>
              <w:rPr>
                <w:sz w:val="18"/>
                <w:szCs w:val="18"/>
              </w:rPr>
            </w:pPr>
            <w:r w:rsidRPr="00A40D2E">
              <w:rPr>
                <w:sz w:val="18"/>
                <w:szCs w:val="18"/>
              </w:rPr>
              <w:t>C5-6 or C5-7: 37.7% (23/61)</w:t>
            </w:r>
          </w:p>
          <w:p w14:paraId="5282768E" w14:textId="77777777" w:rsidR="00E26B55" w:rsidRPr="00A40D2E" w:rsidRDefault="00E26B55" w:rsidP="009E0D27">
            <w:pPr>
              <w:rPr>
                <w:sz w:val="18"/>
                <w:szCs w:val="18"/>
              </w:rPr>
            </w:pPr>
          </w:p>
        </w:tc>
        <w:tc>
          <w:tcPr>
            <w:tcW w:w="2567" w:type="dxa"/>
            <w:tcBorders>
              <w:top w:val="nil"/>
              <w:left w:val="nil"/>
              <w:bottom w:val="nil"/>
              <w:right w:val="nil"/>
            </w:tcBorders>
          </w:tcPr>
          <w:p w14:paraId="720B0784" w14:textId="77777777" w:rsidR="00E26B55" w:rsidRPr="00A40D2E" w:rsidRDefault="00E26B55" w:rsidP="009E0D27">
            <w:pPr>
              <w:rPr>
                <w:sz w:val="18"/>
                <w:szCs w:val="18"/>
              </w:rPr>
            </w:pPr>
            <w:r w:rsidRPr="00A40D2E">
              <w:rPr>
                <w:sz w:val="18"/>
                <w:szCs w:val="18"/>
              </w:rPr>
              <w:t>RR = 1.15 (95% CI, 0.73–1.8)</w:t>
            </w:r>
          </w:p>
        </w:tc>
        <w:tc>
          <w:tcPr>
            <w:tcW w:w="1681" w:type="dxa"/>
            <w:tcBorders>
              <w:top w:val="nil"/>
              <w:left w:val="nil"/>
              <w:bottom w:val="nil"/>
              <w:right w:val="nil"/>
            </w:tcBorders>
          </w:tcPr>
          <w:p w14:paraId="2C2C3C4E" w14:textId="77777777" w:rsidR="00E26B55" w:rsidRPr="00A40D2E" w:rsidRDefault="00E26B55" w:rsidP="00A40D2E">
            <w:pPr>
              <w:jc w:val="center"/>
              <w:rPr>
                <w:sz w:val="18"/>
                <w:szCs w:val="18"/>
              </w:rPr>
            </w:pPr>
            <w:r w:rsidRPr="00A40D2E">
              <w:rPr>
                <w:sz w:val="18"/>
                <w:szCs w:val="18"/>
              </w:rPr>
              <w:t>.547</w:t>
            </w:r>
          </w:p>
        </w:tc>
      </w:tr>
      <w:tr w:rsidR="00E26B55" w:rsidRPr="009E0D27" w14:paraId="2BB8D273" w14:textId="77777777" w:rsidTr="00A40D2E">
        <w:tc>
          <w:tcPr>
            <w:tcW w:w="2340" w:type="dxa"/>
            <w:tcBorders>
              <w:top w:val="nil"/>
              <w:left w:val="nil"/>
              <w:bottom w:val="nil"/>
              <w:right w:val="nil"/>
            </w:tcBorders>
          </w:tcPr>
          <w:p w14:paraId="2EFFF65F" w14:textId="77777777" w:rsidR="00E26B55" w:rsidRPr="00A40D2E" w:rsidRDefault="00E26B55" w:rsidP="009E0D27">
            <w:pPr>
              <w:rPr>
                <w:b/>
                <w:sz w:val="18"/>
                <w:szCs w:val="18"/>
              </w:rPr>
            </w:pPr>
          </w:p>
        </w:tc>
        <w:tc>
          <w:tcPr>
            <w:tcW w:w="1555" w:type="dxa"/>
            <w:tcBorders>
              <w:top w:val="nil"/>
              <w:left w:val="nil"/>
              <w:bottom w:val="nil"/>
              <w:right w:val="nil"/>
            </w:tcBorders>
          </w:tcPr>
          <w:p w14:paraId="2C9B6152" w14:textId="77777777" w:rsidR="00E26B55" w:rsidRPr="00A40D2E" w:rsidRDefault="00E26B55" w:rsidP="009E0D27">
            <w:pPr>
              <w:rPr>
                <w:sz w:val="18"/>
                <w:szCs w:val="18"/>
              </w:rPr>
            </w:pPr>
          </w:p>
        </w:tc>
        <w:tc>
          <w:tcPr>
            <w:tcW w:w="3060" w:type="dxa"/>
            <w:tcBorders>
              <w:top w:val="nil"/>
              <w:left w:val="nil"/>
              <w:bottom w:val="nil"/>
              <w:right w:val="nil"/>
            </w:tcBorders>
          </w:tcPr>
          <w:p w14:paraId="5FF15337" w14:textId="77777777" w:rsidR="00E26B55" w:rsidRPr="00A40D2E" w:rsidRDefault="00E26B55" w:rsidP="009E0D27">
            <w:pPr>
              <w:rPr>
                <w:sz w:val="18"/>
                <w:szCs w:val="18"/>
              </w:rPr>
            </w:pPr>
          </w:p>
        </w:tc>
        <w:tc>
          <w:tcPr>
            <w:tcW w:w="2567" w:type="dxa"/>
            <w:tcBorders>
              <w:top w:val="nil"/>
              <w:left w:val="nil"/>
              <w:bottom w:val="nil"/>
              <w:right w:val="nil"/>
            </w:tcBorders>
          </w:tcPr>
          <w:p w14:paraId="4812494F" w14:textId="77777777" w:rsidR="00E26B55" w:rsidRPr="00A40D2E" w:rsidRDefault="00E26B55" w:rsidP="009E0D27">
            <w:pPr>
              <w:rPr>
                <w:sz w:val="18"/>
                <w:szCs w:val="18"/>
              </w:rPr>
            </w:pPr>
          </w:p>
        </w:tc>
        <w:tc>
          <w:tcPr>
            <w:tcW w:w="1681" w:type="dxa"/>
            <w:tcBorders>
              <w:top w:val="nil"/>
              <w:left w:val="nil"/>
              <w:bottom w:val="nil"/>
              <w:right w:val="nil"/>
            </w:tcBorders>
          </w:tcPr>
          <w:p w14:paraId="00933DDC" w14:textId="77777777" w:rsidR="00E26B55" w:rsidRPr="00A40D2E" w:rsidRDefault="00E26B55" w:rsidP="00A40D2E">
            <w:pPr>
              <w:jc w:val="center"/>
              <w:rPr>
                <w:sz w:val="18"/>
                <w:szCs w:val="18"/>
              </w:rPr>
            </w:pPr>
          </w:p>
        </w:tc>
      </w:tr>
      <w:tr w:rsidR="00E26B55" w:rsidRPr="009E0D27" w14:paraId="5652C4D6" w14:textId="77777777" w:rsidTr="00A40D2E">
        <w:tc>
          <w:tcPr>
            <w:tcW w:w="2340" w:type="dxa"/>
            <w:tcBorders>
              <w:top w:val="nil"/>
              <w:left w:val="nil"/>
              <w:bottom w:val="nil"/>
              <w:right w:val="nil"/>
            </w:tcBorders>
          </w:tcPr>
          <w:p w14:paraId="6C6E6216" w14:textId="77777777" w:rsidR="00E26B55" w:rsidRPr="00A40D2E" w:rsidRDefault="00E26B55" w:rsidP="009E0D27">
            <w:pPr>
              <w:rPr>
                <w:b/>
                <w:sz w:val="18"/>
                <w:szCs w:val="18"/>
              </w:rPr>
            </w:pPr>
          </w:p>
        </w:tc>
        <w:tc>
          <w:tcPr>
            <w:tcW w:w="1555" w:type="dxa"/>
            <w:tcBorders>
              <w:top w:val="nil"/>
              <w:left w:val="nil"/>
              <w:bottom w:val="nil"/>
              <w:right w:val="nil"/>
            </w:tcBorders>
          </w:tcPr>
          <w:p w14:paraId="61B5E94D" w14:textId="77777777" w:rsidR="00E26B55" w:rsidRPr="00A40D2E" w:rsidRDefault="00E26B55" w:rsidP="009E0D27">
            <w:pPr>
              <w:rPr>
                <w:sz w:val="18"/>
                <w:szCs w:val="18"/>
              </w:rPr>
            </w:pPr>
            <w:r w:rsidRPr="00A40D2E">
              <w:rPr>
                <w:sz w:val="18"/>
                <w:szCs w:val="18"/>
              </w:rPr>
              <w:t>Komura 2012</w:t>
            </w:r>
          </w:p>
        </w:tc>
        <w:tc>
          <w:tcPr>
            <w:tcW w:w="3060" w:type="dxa"/>
            <w:tcBorders>
              <w:top w:val="nil"/>
              <w:left w:val="nil"/>
              <w:bottom w:val="nil"/>
              <w:right w:val="nil"/>
            </w:tcBorders>
          </w:tcPr>
          <w:p w14:paraId="1AC42895" w14:textId="77777777" w:rsidR="00E26B55" w:rsidRPr="00A40D2E" w:rsidRDefault="00E26B55" w:rsidP="009E0D27">
            <w:pPr>
              <w:rPr>
                <w:sz w:val="18"/>
                <w:szCs w:val="18"/>
              </w:rPr>
            </w:pPr>
            <w:r w:rsidRPr="00A40D2E">
              <w:rPr>
                <w:sz w:val="18"/>
                <w:szCs w:val="18"/>
              </w:rPr>
              <w:t>Excluding C5-6 and/or C6-7 fusion: 48.4% (15/31)</w:t>
            </w:r>
          </w:p>
          <w:p w14:paraId="7255AE66" w14:textId="77777777" w:rsidR="00E26B55" w:rsidRPr="00A40D2E" w:rsidRDefault="00E26B55" w:rsidP="009E0D27">
            <w:pPr>
              <w:rPr>
                <w:sz w:val="18"/>
                <w:szCs w:val="18"/>
              </w:rPr>
            </w:pPr>
            <w:r w:rsidRPr="00A40D2E">
              <w:rPr>
                <w:sz w:val="18"/>
                <w:szCs w:val="18"/>
              </w:rPr>
              <w:t>Including C5-6 and C6-7 fusion: 28.2% (20/71)</w:t>
            </w:r>
          </w:p>
        </w:tc>
        <w:tc>
          <w:tcPr>
            <w:tcW w:w="2567" w:type="dxa"/>
            <w:tcBorders>
              <w:top w:val="nil"/>
              <w:left w:val="nil"/>
              <w:bottom w:val="nil"/>
              <w:right w:val="nil"/>
            </w:tcBorders>
          </w:tcPr>
          <w:p w14:paraId="5C1069D3" w14:textId="77777777" w:rsidR="00E26B55" w:rsidRPr="00A40D2E" w:rsidRDefault="00E26B55" w:rsidP="009E0D27">
            <w:pPr>
              <w:rPr>
                <w:sz w:val="18"/>
                <w:szCs w:val="18"/>
              </w:rPr>
            </w:pPr>
            <w:r w:rsidRPr="00A40D2E">
              <w:rPr>
                <w:sz w:val="18"/>
                <w:szCs w:val="18"/>
              </w:rPr>
              <w:t>RR = 1.7 (95% CI, 1.0–2.9)</w:t>
            </w:r>
          </w:p>
        </w:tc>
        <w:tc>
          <w:tcPr>
            <w:tcW w:w="1681" w:type="dxa"/>
            <w:tcBorders>
              <w:top w:val="nil"/>
              <w:left w:val="nil"/>
              <w:bottom w:val="nil"/>
              <w:right w:val="nil"/>
            </w:tcBorders>
          </w:tcPr>
          <w:p w14:paraId="7CB8BDB5" w14:textId="77777777" w:rsidR="00E26B55" w:rsidRPr="00A40D2E" w:rsidRDefault="00E26B55" w:rsidP="00A40D2E">
            <w:pPr>
              <w:jc w:val="center"/>
              <w:rPr>
                <w:sz w:val="18"/>
                <w:szCs w:val="18"/>
              </w:rPr>
            </w:pPr>
            <w:r w:rsidRPr="00A40D2E">
              <w:rPr>
                <w:sz w:val="18"/>
                <w:szCs w:val="18"/>
              </w:rPr>
              <w:t>.048</w:t>
            </w:r>
          </w:p>
        </w:tc>
      </w:tr>
      <w:tr w:rsidR="00E26B55" w:rsidRPr="009E0D27" w14:paraId="0F036FAE" w14:textId="77777777" w:rsidTr="00A40D2E">
        <w:tc>
          <w:tcPr>
            <w:tcW w:w="2340" w:type="dxa"/>
            <w:tcBorders>
              <w:top w:val="nil"/>
              <w:left w:val="nil"/>
              <w:bottom w:val="nil"/>
              <w:right w:val="nil"/>
            </w:tcBorders>
          </w:tcPr>
          <w:p w14:paraId="405617CA" w14:textId="77777777" w:rsidR="00E26B55" w:rsidRPr="00A40D2E" w:rsidRDefault="00E26B55" w:rsidP="009E0D27">
            <w:pPr>
              <w:rPr>
                <w:b/>
                <w:sz w:val="18"/>
                <w:szCs w:val="18"/>
              </w:rPr>
            </w:pPr>
          </w:p>
        </w:tc>
        <w:tc>
          <w:tcPr>
            <w:tcW w:w="1555" w:type="dxa"/>
            <w:tcBorders>
              <w:top w:val="nil"/>
              <w:left w:val="nil"/>
              <w:bottom w:val="nil"/>
              <w:right w:val="nil"/>
            </w:tcBorders>
          </w:tcPr>
          <w:p w14:paraId="41DB7640" w14:textId="77777777" w:rsidR="00E26B55" w:rsidRPr="00A40D2E" w:rsidRDefault="00E26B55" w:rsidP="009E0D27">
            <w:pPr>
              <w:rPr>
                <w:sz w:val="18"/>
                <w:szCs w:val="18"/>
              </w:rPr>
            </w:pPr>
          </w:p>
        </w:tc>
        <w:tc>
          <w:tcPr>
            <w:tcW w:w="3060" w:type="dxa"/>
            <w:tcBorders>
              <w:top w:val="nil"/>
              <w:left w:val="nil"/>
              <w:bottom w:val="nil"/>
              <w:right w:val="nil"/>
            </w:tcBorders>
          </w:tcPr>
          <w:p w14:paraId="1B54553C" w14:textId="77777777" w:rsidR="00E26B55" w:rsidRPr="00A40D2E" w:rsidRDefault="00E26B55" w:rsidP="00A40D2E">
            <w:pPr>
              <w:jc w:val="center"/>
              <w:rPr>
                <w:sz w:val="18"/>
                <w:szCs w:val="18"/>
              </w:rPr>
            </w:pPr>
          </w:p>
        </w:tc>
        <w:tc>
          <w:tcPr>
            <w:tcW w:w="2567" w:type="dxa"/>
            <w:tcBorders>
              <w:top w:val="nil"/>
              <w:left w:val="nil"/>
              <w:bottom w:val="nil"/>
              <w:right w:val="nil"/>
            </w:tcBorders>
          </w:tcPr>
          <w:p w14:paraId="0D56AC6D" w14:textId="77777777" w:rsidR="00E26B55" w:rsidRPr="00A40D2E" w:rsidRDefault="00E26B55" w:rsidP="00A40D2E">
            <w:pPr>
              <w:jc w:val="center"/>
              <w:rPr>
                <w:sz w:val="18"/>
                <w:szCs w:val="18"/>
              </w:rPr>
            </w:pPr>
          </w:p>
        </w:tc>
        <w:tc>
          <w:tcPr>
            <w:tcW w:w="1681" w:type="dxa"/>
            <w:tcBorders>
              <w:top w:val="nil"/>
              <w:left w:val="nil"/>
              <w:bottom w:val="nil"/>
              <w:right w:val="nil"/>
            </w:tcBorders>
          </w:tcPr>
          <w:p w14:paraId="51218BF7" w14:textId="77777777" w:rsidR="00E26B55" w:rsidRPr="00A40D2E" w:rsidRDefault="00E26B55" w:rsidP="00A40D2E">
            <w:pPr>
              <w:jc w:val="center"/>
              <w:rPr>
                <w:sz w:val="18"/>
                <w:szCs w:val="18"/>
              </w:rPr>
            </w:pPr>
          </w:p>
        </w:tc>
      </w:tr>
      <w:tr w:rsidR="00E26B55" w:rsidRPr="009E0D27" w14:paraId="568E12B1" w14:textId="77777777" w:rsidTr="00A40D2E">
        <w:tc>
          <w:tcPr>
            <w:tcW w:w="2340" w:type="dxa"/>
            <w:tcBorders>
              <w:top w:val="nil"/>
              <w:left w:val="nil"/>
              <w:bottom w:val="single" w:sz="12" w:space="0" w:color="auto"/>
              <w:right w:val="nil"/>
            </w:tcBorders>
          </w:tcPr>
          <w:p w14:paraId="11E01DBC" w14:textId="77777777" w:rsidR="00E26B55" w:rsidRPr="00A40D2E" w:rsidRDefault="00E26B55" w:rsidP="009E0D27">
            <w:pPr>
              <w:rPr>
                <w:b/>
                <w:sz w:val="18"/>
                <w:szCs w:val="18"/>
              </w:rPr>
            </w:pPr>
            <w:r w:rsidRPr="00A40D2E">
              <w:rPr>
                <w:b/>
                <w:sz w:val="18"/>
                <w:szCs w:val="18"/>
              </w:rPr>
              <w:t>Needle localization</w:t>
            </w:r>
          </w:p>
        </w:tc>
        <w:tc>
          <w:tcPr>
            <w:tcW w:w="1555" w:type="dxa"/>
            <w:tcBorders>
              <w:top w:val="nil"/>
              <w:left w:val="nil"/>
              <w:bottom w:val="single" w:sz="12" w:space="0" w:color="auto"/>
              <w:right w:val="nil"/>
            </w:tcBorders>
          </w:tcPr>
          <w:p w14:paraId="5DE17FA0" w14:textId="77777777" w:rsidR="00E26B55" w:rsidRPr="00A40D2E" w:rsidRDefault="00E26B55" w:rsidP="009E0D27">
            <w:pPr>
              <w:rPr>
                <w:sz w:val="18"/>
                <w:szCs w:val="18"/>
              </w:rPr>
            </w:pPr>
            <w:proofErr w:type="spellStart"/>
            <w:r w:rsidRPr="00A40D2E">
              <w:rPr>
                <w:sz w:val="18"/>
                <w:szCs w:val="18"/>
              </w:rPr>
              <w:t>Nassr</w:t>
            </w:r>
            <w:proofErr w:type="spellEnd"/>
            <w:r w:rsidRPr="00A40D2E">
              <w:rPr>
                <w:sz w:val="18"/>
                <w:szCs w:val="18"/>
              </w:rPr>
              <w:t xml:space="preserve"> 2009</w:t>
            </w:r>
          </w:p>
        </w:tc>
        <w:tc>
          <w:tcPr>
            <w:tcW w:w="3060" w:type="dxa"/>
            <w:tcBorders>
              <w:top w:val="nil"/>
              <w:left w:val="nil"/>
              <w:bottom w:val="single" w:sz="12" w:space="0" w:color="auto"/>
              <w:right w:val="nil"/>
            </w:tcBorders>
          </w:tcPr>
          <w:p w14:paraId="2EE9FE29" w14:textId="4CE0CA33" w:rsidR="00E26B55" w:rsidRPr="00A40D2E" w:rsidRDefault="00E26B55" w:rsidP="009E0D27">
            <w:pPr>
              <w:rPr>
                <w:sz w:val="18"/>
                <w:szCs w:val="18"/>
              </w:rPr>
            </w:pPr>
            <w:r w:rsidRPr="00A40D2E">
              <w:rPr>
                <w:sz w:val="18"/>
                <w:szCs w:val="18"/>
              </w:rPr>
              <w:t xml:space="preserve">Increase of ≥ 1 grade </w:t>
            </w:r>
            <w:r w:rsidR="00995E47">
              <w:rPr>
                <w:sz w:val="18"/>
                <w:szCs w:val="18"/>
              </w:rPr>
              <w:t>ASP</w:t>
            </w:r>
            <w:r w:rsidRPr="00A40D2E">
              <w:rPr>
                <w:sz w:val="18"/>
                <w:szCs w:val="18"/>
              </w:rPr>
              <w:t>:</w:t>
            </w:r>
          </w:p>
          <w:p w14:paraId="61C826FC" w14:textId="77777777" w:rsidR="00E26B55" w:rsidRPr="00A40D2E" w:rsidRDefault="00E26B55" w:rsidP="00A40D2E">
            <w:pPr>
              <w:ind w:left="162"/>
              <w:rPr>
                <w:sz w:val="18"/>
                <w:szCs w:val="18"/>
              </w:rPr>
            </w:pPr>
            <w:r w:rsidRPr="00A40D2E">
              <w:rPr>
                <w:sz w:val="18"/>
                <w:szCs w:val="18"/>
              </w:rPr>
              <w:t>Incorrectly marked: 60.0% (9/15)</w:t>
            </w:r>
          </w:p>
          <w:p w14:paraId="568C854F" w14:textId="77777777" w:rsidR="00E26B55" w:rsidRPr="00A40D2E" w:rsidRDefault="00E26B55" w:rsidP="00A40D2E">
            <w:pPr>
              <w:ind w:left="162"/>
              <w:rPr>
                <w:sz w:val="18"/>
                <w:szCs w:val="18"/>
              </w:rPr>
            </w:pPr>
            <w:r w:rsidRPr="00A40D2E">
              <w:rPr>
                <w:sz w:val="18"/>
                <w:szCs w:val="18"/>
              </w:rPr>
              <w:t>Correctly marked: 31.9 (23/72)</w:t>
            </w:r>
          </w:p>
        </w:tc>
        <w:tc>
          <w:tcPr>
            <w:tcW w:w="2567" w:type="dxa"/>
            <w:tcBorders>
              <w:top w:val="nil"/>
              <w:left w:val="nil"/>
              <w:bottom w:val="single" w:sz="12" w:space="0" w:color="auto"/>
              <w:right w:val="nil"/>
            </w:tcBorders>
          </w:tcPr>
          <w:p w14:paraId="67E319E3" w14:textId="77777777" w:rsidR="00E26B55" w:rsidRPr="00A40D2E" w:rsidRDefault="00E26B55" w:rsidP="009E0D27">
            <w:pPr>
              <w:rPr>
                <w:sz w:val="18"/>
                <w:szCs w:val="18"/>
              </w:rPr>
            </w:pPr>
            <w:r w:rsidRPr="00A40D2E">
              <w:rPr>
                <w:sz w:val="18"/>
                <w:szCs w:val="18"/>
              </w:rPr>
              <w:t>RR = 1.9 (95% CI. 1.1–3.2)</w:t>
            </w:r>
          </w:p>
        </w:tc>
        <w:tc>
          <w:tcPr>
            <w:tcW w:w="1681" w:type="dxa"/>
            <w:tcBorders>
              <w:top w:val="nil"/>
              <w:left w:val="nil"/>
              <w:bottom w:val="single" w:sz="12" w:space="0" w:color="auto"/>
              <w:right w:val="nil"/>
            </w:tcBorders>
          </w:tcPr>
          <w:p w14:paraId="0E6512C7" w14:textId="77777777" w:rsidR="00E26B55" w:rsidRPr="00A40D2E" w:rsidRDefault="00E26B55" w:rsidP="00A40D2E">
            <w:pPr>
              <w:jc w:val="center"/>
              <w:rPr>
                <w:sz w:val="18"/>
                <w:szCs w:val="18"/>
              </w:rPr>
            </w:pPr>
            <w:r w:rsidRPr="00A40D2E">
              <w:rPr>
                <w:sz w:val="18"/>
                <w:szCs w:val="18"/>
              </w:rPr>
              <w:t>.04</w:t>
            </w:r>
          </w:p>
        </w:tc>
      </w:tr>
    </w:tbl>
    <w:p w14:paraId="236FE532" w14:textId="77777777" w:rsidR="00E26B55" w:rsidRPr="009E0D27" w:rsidRDefault="00E26B55" w:rsidP="009E0D27">
      <w:pPr>
        <w:rPr>
          <w:b/>
        </w:rPr>
      </w:pPr>
    </w:p>
    <w:p w14:paraId="16B8814A" w14:textId="77777777" w:rsidR="00E26B55" w:rsidRPr="009E0D27" w:rsidRDefault="00E26B55" w:rsidP="009E0D27">
      <w:pPr>
        <w:ind w:left="-630"/>
        <w:rPr>
          <w:b/>
          <w:sz w:val="18"/>
          <w:szCs w:val="18"/>
        </w:rPr>
      </w:pPr>
    </w:p>
    <w:p w14:paraId="3F44AA5B" w14:textId="103657BC" w:rsidR="00E26B55" w:rsidRPr="006E2C6F" w:rsidRDefault="00E26B55" w:rsidP="006E2C6F">
      <w:pPr>
        <w:ind w:left="-720"/>
        <w:rPr>
          <w:b/>
        </w:rPr>
      </w:pPr>
      <w:r w:rsidRPr="006E2C6F">
        <w:rPr>
          <w:b/>
        </w:rPr>
        <w:t xml:space="preserve">Table </w:t>
      </w:r>
      <w:r w:rsidR="00684073">
        <w:rPr>
          <w:b/>
        </w:rPr>
        <w:t>2</w:t>
      </w:r>
      <w:r w:rsidRPr="006E2C6F">
        <w:rPr>
          <w:b/>
        </w:rPr>
        <w:t xml:space="preserve">.  Risk factors for </w:t>
      </w:r>
      <w:r w:rsidR="00995E47">
        <w:rPr>
          <w:b/>
        </w:rPr>
        <w:t>RASP</w:t>
      </w:r>
      <w:r>
        <w:rPr>
          <w:b/>
        </w:rPr>
        <w:t xml:space="preserve"> in studies that reported means only.</w:t>
      </w:r>
    </w:p>
    <w:tbl>
      <w:tblPr>
        <w:tblW w:w="88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285"/>
        <w:gridCol w:w="1955"/>
        <w:gridCol w:w="1350"/>
        <w:gridCol w:w="1620"/>
      </w:tblGrid>
      <w:tr w:rsidR="00E26B55" w:rsidRPr="006E2C6F" w14:paraId="1F8F0648" w14:textId="77777777" w:rsidTr="00A40D2E">
        <w:tc>
          <w:tcPr>
            <w:tcW w:w="2610" w:type="dxa"/>
            <w:tcBorders>
              <w:top w:val="single" w:sz="12" w:space="0" w:color="auto"/>
              <w:left w:val="nil"/>
              <w:bottom w:val="nil"/>
              <w:right w:val="nil"/>
            </w:tcBorders>
          </w:tcPr>
          <w:p w14:paraId="484840EC" w14:textId="77777777" w:rsidR="00E26B55" w:rsidRPr="00A40D2E" w:rsidRDefault="00E26B55" w:rsidP="006E2C6F">
            <w:pPr>
              <w:rPr>
                <w:b/>
                <w:sz w:val="18"/>
                <w:szCs w:val="18"/>
              </w:rPr>
            </w:pPr>
            <w:r w:rsidRPr="00A40D2E">
              <w:rPr>
                <w:b/>
                <w:sz w:val="18"/>
                <w:szCs w:val="18"/>
              </w:rPr>
              <w:t>Risk Factor</w:t>
            </w:r>
          </w:p>
        </w:tc>
        <w:tc>
          <w:tcPr>
            <w:tcW w:w="1285" w:type="dxa"/>
            <w:tcBorders>
              <w:top w:val="single" w:sz="12" w:space="0" w:color="auto"/>
              <w:left w:val="nil"/>
              <w:bottom w:val="single" w:sz="12" w:space="0" w:color="auto"/>
              <w:right w:val="nil"/>
            </w:tcBorders>
          </w:tcPr>
          <w:p w14:paraId="16EF6BBD" w14:textId="77777777" w:rsidR="00E26B55" w:rsidRPr="00A40D2E" w:rsidRDefault="00E26B55" w:rsidP="00A40D2E">
            <w:pPr>
              <w:jc w:val="center"/>
              <w:rPr>
                <w:b/>
                <w:sz w:val="18"/>
                <w:szCs w:val="18"/>
              </w:rPr>
            </w:pPr>
            <w:r w:rsidRPr="00A40D2E">
              <w:rPr>
                <w:b/>
                <w:sz w:val="18"/>
                <w:szCs w:val="18"/>
              </w:rPr>
              <w:t>Studies</w:t>
            </w:r>
          </w:p>
        </w:tc>
        <w:tc>
          <w:tcPr>
            <w:tcW w:w="1955" w:type="dxa"/>
            <w:tcBorders>
              <w:top w:val="single" w:sz="12" w:space="0" w:color="auto"/>
              <w:left w:val="nil"/>
              <w:bottom w:val="single" w:sz="12" w:space="0" w:color="auto"/>
              <w:right w:val="nil"/>
            </w:tcBorders>
          </w:tcPr>
          <w:p w14:paraId="7A04E881" w14:textId="707956EE" w:rsidR="00E26B55" w:rsidRPr="00A40D2E" w:rsidRDefault="00EB0351" w:rsidP="00A40D2E">
            <w:pPr>
              <w:jc w:val="center"/>
              <w:rPr>
                <w:b/>
                <w:sz w:val="18"/>
                <w:szCs w:val="18"/>
              </w:rPr>
            </w:pPr>
            <w:r>
              <w:rPr>
                <w:b/>
                <w:sz w:val="18"/>
                <w:szCs w:val="18"/>
              </w:rPr>
              <w:t>CASP</w:t>
            </w:r>
          </w:p>
        </w:tc>
        <w:tc>
          <w:tcPr>
            <w:tcW w:w="1350" w:type="dxa"/>
            <w:tcBorders>
              <w:top w:val="single" w:sz="12" w:space="0" w:color="auto"/>
              <w:left w:val="nil"/>
              <w:bottom w:val="single" w:sz="12" w:space="0" w:color="auto"/>
              <w:right w:val="nil"/>
            </w:tcBorders>
          </w:tcPr>
          <w:p w14:paraId="29589B92" w14:textId="4265586B" w:rsidR="00E26B55" w:rsidRPr="00A40D2E" w:rsidRDefault="00E26B55" w:rsidP="00A40D2E">
            <w:pPr>
              <w:jc w:val="center"/>
              <w:rPr>
                <w:b/>
                <w:sz w:val="18"/>
                <w:szCs w:val="18"/>
              </w:rPr>
            </w:pPr>
            <w:r w:rsidRPr="00A40D2E">
              <w:rPr>
                <w:b/>
                <w:sz w:val="18"/>
                <w:szCs w:val="18"/>
              </w:rPr>
              <w:t xml:space="preserve"> No </w:t>
            </w:r>
            <w:r w:rsidR="00EB0351">
              <w:rPr>
                <w:b/>
                <w:sz w:val="18"/>
                <w:szCs w:val="18"/>
              </w:rPr>
              <w:t>CASP</w:t>
            </w:r>
          </w:p>
        </w:tc>
        <w:tc>
          <w:tcPr>
            <w:tcW w:w="1620" w:type="dxa"/>
            <w:tcBorders>
              <w:top w:val="single" w:sz="12" w:space="0" w:color="auto"/>
              <w:left w:val="nil"/>
              <w:bottom w:val="single" w:sz="12" w:space="0" w:color="auto"/>
              <w:right w:val="nil"/>
            </w:tcBorders>
          </w:tcPr>
          <w:p w14:paraId="4754E982" w14:textId="77777777" w:rsidR="00E26B55" w:rsidRPr="00A40D2E" w:rsidRDefault="00E26B55" w:rsidP="00A40D2E">
            <w:pPr>
              <w:jc w:val="center"/>
              <w:rPr>
                <w:b/>
                <w:sz w:val="18"/>
                <w:szCs w:val="18"/>
              </w:rPr>
            </w:pPr>
            <w:r w:rsidRPr="00A40D2E">
              <w:rPr>
                <w:b/>
                <w:i/>
                <w:sz w:val="18"/>
                <w:szCs w:val="18"/>
              </w:rPr>
              <w:t>P</w:t>
            </w:r>
            <w:r w:rsidRPr="00A40D2E">
              <w:rPr>
                <w:b/>
                <w:sz w:val="18"/>
                <w:szCs w:val="18"/>
              </w:rPr>
              <w:t>-value</w:t>
            </w:r>
          </w:p>
        </w:tc>
      </w:tr>
      <w:tr w:rsidR="00E26B55" w:rsidRPr="006E2C6F" w14:paraId="41029D15" w14:textId="77777777" w:rsidTr="00A40D2E">
        <w:tc>
          <w:tcPr>
            <w:tcW w:w="2610" w:type="dxa"/>
            <w:tcBorders>
              <w:top w:val="nil"/>
              <w:left w:val="nil"/>
              <w:bottom w:val="nil"/>
              <w:right w:val="nil"/>
            </w:tcBorders>
          </w:tcPr>
          <w:p w14:paraId="4CF0BAC4" w14:textId="77777777" w:rsidR="00E26B55" w:rsidRPr="00A40D2E" w:rsidRDefault="00E26B55" w:rsidP="006E2C6F">
            <w:pPr>
              <w:rPr>
                <w:sz w:val="18"/>
                <w:szCs w:val="18"/>
              </w:rPr>
            </w:pPr>
          </w:p>
        </w:tc>
        <w:tc>
          <w:tcPr>
            <w:tcW w:w="1285" w:type="dxa"/>
            <w:tcBorders>
              <w:top w:val="single" w:sz="12" w:space="0" w:color="auto"/>
              <w:left w:val="nil"/>
              <w:bottom w:val="nil"/>
              <w:right w:val="nil"/>
            </w:tcBorders>
          </w:tcPr>
          <w:p w14:paraId="4A39DD66" w14:textId="77777777" w:rsidR="00E26B55" w:rsidRPr="00A40D2E" w:rsidRDefault="00E26B55" w:rsidP="006E2C6F">
            <w:pPr>
              <w:rPr>
                <w:sz w:val="18"/>
                <w:szCs w:val="18"/>
              </w:rPr>
            </w:pPr>
          </w:p>
        </w:tc>
        <w:tc>
          <w:tcPr>
            <w:tcW w:w="1955" w:type="dxa"/>
            <w:tcBorders>
              <w:top w:val="single" w:sz="12" w:space="0" w:color="auto"/>
              <w:left w:val="nil"/>
              <w:bottom w:val="nil"/>
              <w:right w:val="nil"/>
            </w:tcBorders>
          </w:tcPr>
          <w:p w14:paraId="28EF76FC" w14:textId="77777777" w:rsidR="00E26B55" w:rsidRPr="00A40D2E" w:rsidRDefault="00E26B55" w:rsidP="006E2C6F">
            <w:pPr>
              <w:rPr>
                <w:sz w:val="18"/>
                <w:szCs w:val="18"/>
              </w:rPr>
            </w:pPr>
          </w:p>
        </w:tc>
        <w:tc>
          <w:tcPr>
            <w:tcW w:w="1350" w:type="dxa"/>
            <w:tcBorders>
              <w:top w:val="single" w:sz="12" w:space="0" w:color="auto"/>
              <w:left w:val="nil"/>
              <w:bottom w:val="nil"/>
              <w:right w:val="nil"/>
            </w:tcBorders>
          </w:tcPr>
          <w:p w14:paraId="05B46EBA" w14:textId="77777777" w:rsidR="00E26B55" w:rsidRPr="00A40D2E" w:rsidRDefault="00E26B55" w:rsidP="006E2C6F">
            <w:pPr>
              <w:rPr>
                <w:sz w:val="18"/>
                <w:szCs w:val="18"/>
              </w:rPr>
            </w:pPr>
          </w:p>
        </w:tc>
        <w:tc>
          <w:tcPr>
            <w:tcW w:w="1620" w:type="dxa"/>
            <w:tcBorders>
              <w:top w:val="single" w:sz="12" w:space="0" w:color="auto"/>
              <w:left w:val="nil"/>
              <w:bottom w:val="nil"/>
              <w:right w:val="nil"/>
            </w:tcBorders>
          </w:tcPr>
          <w:p w14:paraId="76088C7D" w14:textId="77777777" w:rsidR="00E26B55" w:rsidRPr="00A40D2E" w:rsidRDefault="00E26B55" w:rsidP="006E2C6F">
            <w:pPr>
              <w:rPr>
                <w:sz w:val="18"/>
                <w:szCs w:val="18"/>
              </w:rPr>
            </w:pPr>
          </w:p>
        </w:tc>
      </w:tr>
      <w:tr w:rsidR="00E26B55" w:rsidRPr="006E2C6F" w14:paraId="08059BBF" w14:textId="77777777" w:rsidTr="00A40D2E">
        <w:tc>
          <w:tcPr>
            <w:tcW w:w="2610" w:type="dxa"/>
            <w:tcBorders>
              <w:top w:val="nil"/>
              <w:left w:val="nil"/>
              <w:bottom w:val="nil"/>
              <w:right w:val="nil"/>
            </w:tcBorders>
            <w:shd w:val="clear" w:color="auto" w:fill="D9D9D9"/>
          </w:tcPr>
          <w:p w14:paraId="1C510A45" w14:textId="77777777" w:rsidR="00E26B55" w:rsidRPr="00A40D2E" w:rsidRDefault="00E26B55" w:rsidP="006E2C6F">
            <w:pPr>
              <w:rPr>
                <w:b/>
                <w:sz w:val="18"/>
                <w:szCs w:val="18"/>
              </w:rPr>
            </w:pPr>
            <w:r w:rsidRPr="00A40D2E">
              <w:rPr>
                <w:b/>
                <w:sz w:val="18"/>
                <w:szCs w:val="18"/>
              </w:rPr>
              <w:t>Patient Factors</w:t>
            </w:r>
          </w:p>
        </w:tc>
        <w:tc>
          <w:tcPr>
            <w:tcW w:w="1285" w:type="dxa"/>
            <w:tcBorders>
              <w:top w:val="nil"/>
              <w:left w:val="nil"/>
              <w:bottom w:val="nil"/>
              <w:right w:val="nil"/>
            </w:tcBorders>
            <w:shd w:val="clear" w:color="auto" w:fill="D9D9D9"/>
          </w:tcPr>
          <w:p w14:paraId="6C03B229" w14:textId="77777777" w:rsidR="00E26B55" w:rsidRPr="00A40D2E" w:rsidRDefault="00E26B55" w:rsidP="006E2C6F">
            <w:pPr>
              <w:rPr>
                <w:sz w:val="18"/>
                <w:szCs w:val="18"/>
              </w:rPr>
            </w:pPr>
          </w:p>
        </w:tc>
        <w:tc>
          <w:tcPr>
            <w:tcW w:w="1955" w:type="dxa"/>
            <w:tcBorders>
              <w:top w:val="nil"/>
              <w:left w:val="nil"/>
              <w:bottom w:val="nil"/>
              <w:right w:val="nil"/>
            </w:tcBorders>
            <w:shd w:val="clear" w:color="auto" w:fill="D9D9D9"/>
          </w:tcPr>
          <w:p w14:paraId="64D6B877" w14:textId="77777777" w:rsidR="00E26B55" w:rsidRPr="00A40D2E" w:rsidRDefault="00E26B55" w:rsidP="00A40D2E">
            <w:pPr>
              <w:jc w:val="center"/>
              <w:rPr>
                <w:sz w:val="18"/>
                <w:szCs w:val="18"/>
              </w:rPr>
            </w:pPr>
          </w:p>
        </w:tc>
        <w:tc>
          <w:tcPr>
            <w:tcW w:w="1350" w:type="dxa"/>
            <w:tcBorders>
              <w:top w:val="nil"/>
              <w:left w:val="nil"/>
              <w:bottom w:val="nil"/>
              <w:right w:val="nil"/>
            </w:tcBorders>
            <w:shd w:val="clear" w:color="auto" w:fill="D9D9D9"/>
          </w:tcPr>
          <w:p w14:paraId="1C6FAAE3" w14:textId="77777777" w:rsidR="00E26B55" w:rsidRPr="00A40D2E" w:rsidRDefault="00E26B55" w:rsidP="00A40D2E">
            <w:pPr>
              <w:jc w:val="center"/>
              <w:rPr>
                <w:sz w:val="18"/>
                <w:szCs w:val="18"/>
              </w:rPr>
            </w:pPr>
          </w:p>
        </w:tc>
        <w:tc>
          <w:tcPr>
            <w:tcW w:w="1620" w:type="dxa"/>
            <w:tcBorders>
              <w:top w:val="nil"/>
              <w:left w:val="nil"/>
              <w:bottom w:val="nil"/>
              <w:right w:val="nil"/>
            </w:tcBorders>
            <w:shd w:val="clear" w:color="auto" w:fill="D9D9D9"/>
          </w:tcPr>
          <w:p w14:paraId="02FB9166" w14:textId="77777777" w:rsidR="00E26B55" w:rsidRPr="00A40D2E" w:rsidRDefault="00E26B55" w:rsidP="00A40D2E">
            <w:pPr>
              <w:jc w:val="center"/>
              <w:rPr>
                <w:sz w:val="18"/>
                <w:szCs w:val="18"/>
              </w:rPr>
            </w:pPr>
          </w:p>
        </w:tc>
      </w:tr>
      <w:tr w:rsidR="00E26B55" w:rsidRPr="006E2C6F" w14:paraId="618CE6DC" w14:textId="77777777" w:rsidTr="00A40D2E">
        <w:tc>
          <w:tcPr>
            <w:tcW w:w="2610" w:type="dxa"/>
            <w:tcBorders>
              <w:top w:val="nil"/>
              <w:left w:val="nil"/>
              <w:bottom w:val="nil"/>
              <w:right w:val="nil"/>
            </w:tcBorders>
          </w:tcPr>
          <w:p w14:paraId="5A34AFE0" w14:textId="77777777" w:rsidR="00E26B55" w:rsidRPr="00A40D2E" w:rsidRDefault="00E26B55" w:rsidP="006E2C6F">
            <w:pPr>
              <w:rPr>
                <w:b/>
                <w:sz w:val="18"/>
                <w:szCs w:val="18"/>
              </w:rPr>
            </w:pPr>
            <w:r w:rsidRPr="00A40D2E">
              <w:rPr>
                <w:b/>
                <w:sz w:val="18"/>
                <w:szCs w:val="18"/>
              </w:rPr>
              <w:t>Age</w:t>
            </w:r>
          </w:p>
        </w:tc>
        <w:tc>
          <w:tcPr>
            <w:tcW w:w="1285" w:type="dxa"/>
            <w:tcBorders>
              <w:top w:val="nil"/>
              <w:left w:val="nil"/>
              <w:bottom w:val="nil"/>
              <w:right w:val="nil"/>
            </w:tcBorders>
          </w:tcPr>
          <w:p w14:paraId="324C0BC5" w14:textId="77777777" w:rsidR="00E26B55" w:rsidRPr="00A40D2E" w:rsidRDefault="00E26B55" w:rsidP="006E2C6F">
            <w:pPr>
              <w:rPr>
                <w:sz w:val="18"/>
                <w:szCs w:val="18"/>
              </w:rPr>
            </w:pPr>
            <w:proofErr w:type="spellStart"/>
            <w:r w:rsidRPr="00A40D2E">
              <w:rPr>
                <w:sz w:val="18"/>
                <w:szCs w:val="18"/>
              </w:rPr>
              <w:t>Nassr</w:t>
            </w:r>
            <w:proofErr w:type="spellEnd"/>
            <w:r w:rsidRPr="00A40D2E">
              <w:rPr>
                <w:sz w:val="18"/>
                <w:szCs w:val="18"/>
              </w:rPr>
              <w:t xml:space="preserve"> 2009</w:t>
            </w:r>
          </w:p>
        </w:tc>
        <w:tc>
          <w:tcPr>
            <w:tcW w:w="1955" w:type="dxa"/>
            <w:tcBorders>
              <w:top w:val="nil"/>
              <w:left w:val="nil"/>
              <w:bottom w:val="nil"/>
              <w:right w:val="nil"/>
            </w:tcBorders>
          </w:tcPr>
          <w:p w14:paraId="2A6C423C" w14:textId="77777777" w:rsidR="00E26B55" w:rsidRPr="00A40D2E" w:rsidRDefault="00E26B55" w:rsidP="00A40D2E">
            <w:pPr>
              <w:ind w:left="162"/>
              <w:jc w:val="center"/>
              <w:rPr>
                <w:sz w:val="18"/>
                <w:szCs w:val="18"/>
              </w:rPr>
            </w:pPr>
            <w:r w:rsidRPr="00A40D2E">
              <w:rPr>
                <w:sz w:val="18"/>
                <w:szCs w:val="18"/>
              </w:rPr>
              <w:t>NR</w:t>
            </w:r>
          </w:p>
        </w:tc>
        <w:tc>
          <w:tcPr>
            <w:tcW w:w="1350" w:type="dxa"/>
            <w:tcBorders>
              <w:top w:val="nil"/>
              <w:left w:val="nil"/>
              <w:bottom w:val="nil"/>
              <w:right w:val="nil"/>
            </w:tcBorders>
          </w:tcPr>
          <w:p w14:paraId="1635BE15" w14:textId="77777777" w:rsidR="00E26B55" w:rsidRPr="00A40D2E" w:rsidRDefault="00E26B55" w:rsidP="00A40D2E">
            <w:pPr>
              <w:jc w:val="center"/>
              <w:rPr>
                <w:sz w:val="18"/>
                <w:szCs w:val="18"/>
              </w:rPr>
            </w:pPr>
            <w:r w:rsidRPr="00A40D2E">
              <w:rPr>
                <w:sz w:val="18"/>
                <w:szCs w:val="18"/>
              </w:rPr>
              <w:t>NR</w:t>
            </w:r>
          </w:p>
        </w:tc>
        <w:tc>
          <w:tcPr>
            <w:tcW w:w="1620" w:type="dxa"/>
            <w:tcBorders>
              <w:top w:val="nil"/>
              <w:left w:val="nil"/>
              <w:bottom w:val="nil"/>
              <w:right w:val="nil"/>
            </w:tcBorders>
          </w:tcPr>
          <w:p w14:paraId="26C9EDA5" w14:textId="77777777" w:rsidR="00E26B55" w:rsidRPr="00A40D2E" w:rsidRDefault="00E26B55" w:rsidP="00A40D2E">
            <w:pPr>
              <w:jc w:val="center"/>
              <w:rPr>
                <w:sz w:val="18"/>
                <w:szCs w:val="18"/>
              </w:rPr>
            </w:pPr>
            <w:r w:rsidRPr="00A40D2E">
              <w:rPr>
                <w:sz w:val="18"/>
                <w:szCs w:val="18"/>
              </w:rPr>
              <w:t>.97</w:t>
            </w:r>
          </w:p>
          <w:p w14:paraId="2BAE8765" w14:textId="77777777" w:rsidR="00E26B55" w:rsidRPr="00A40D2E" w:rsidRDefault="00E26B55" w:rsidP="00A40D2E">
            <w:pPr>
              <w:jc w:val="center"/>
              <w:rPr>
                <w:sz w:val="18"/>
                <w:szCs w:val="18"/>
              </w:rPr>
            </w:pPr>
            <w:r w:rsidRPr="00A40D2E">
              <w:rPr>
                <w:sz w:val="18"/>
                <w:szCs w:val="18"/>
              </w:rPr>
              <w:t>(R = 0.005)</w:t>
            </w:r>
          </w:p>
        </w:tc>
      </w:tr>
      <w:tr w:rsidR="00E26B55" w:rsidRPr="006E2C6F" w14:paraId="79C6C9AE" w14:textId="77777777" w:rsidTr="00A40D2E">
        <w:tc>
          <w:tcPr>
            <w:tcW w:w="2610" w:type="dxa"/>
            <w:tcBorders>
              <w:top w:val="nil"/>
              <w:left w:val="nil"/>
              <w:bottom w:val="nil"/>
              <w:right w:val="nil"/>
            </w:tcBorders>
            <w:shd w:val="clear" w:color="auto" w:fill="D9D9D9"/>
          </w:tcPr>
          <w:p w14:paraId="75817676" w14:textId="77777777" w:rsidR="00E26B55" w:rsidRPr="00A40D2E" w:rsidRDefault="00E26B55" w:rsidP="006E2C6F">
            <w:pPr>
              <w:rPr>
                <w:b/>
                <w:sz w:val="18"/>
                <w:szCs w:val="18"/>
              </w:rPr>
            </w:pPr>
            <w:r w:rsidRPr="00A40D2E">
              <w:rPr>
                <w:b/>
                <w:sz w:val="18"/>
                <w:szCs w:val="18"/>
              </w:rPr>
              <w:t>Radiographic factors</w:t>
            </w:r>
          </w:p>
        </w:tc>
        <w:tc>
          <w:tcPr>
            <w:tcW w:w="1285" w:type="dxa"/>
            <w:tcBorders>
              <w:top w:val="nil"/>
              <w:left w:val="nil"/>
              <w:bottom w:val="nil"/>
              <w:right w:val="nil"/>
            </w:tcBorders>
            <w:shd w:val="clear" w:color="auto" w:fill="D9D9D9"/>
          </w:tcPr>
          <w:p w14:paraId="02AA8654" w14:textId="77777777" w:rsidR="00E26B55" w:rsidRPr="00A40D2E" w:rsidRDefault="00E26B55" w:rsidP="006E2C6F">
            <w:pPr>
              <w:rPr>
                <w:sz w:val="18"/>
                <w:szCs w:val="18"/>
              </w:rPr>
            </w:pPr>
          </w:p>
        </w:tc>
        <w:tc>
          <w:tcPr>
            <w:tcW w:w="1955" w:type="dxa"/>
            <w:tcBorders>
              <w:top w:val="nil"/>
              <w:left w:val="nil"/>
              <w:bottom w:val="nil"/>
              <w:right w:val="nil"/>
            </w:tcBorders>
            <w:shd w:val="clear" w:color="auto" w:fill="D9D9D9"/>
          </w:tcPr>
          <w:p w14:paraId="62F008EC" w14:textId="77777777" w:rsidR="00E26B55" w:rsidRPr="00A40D2E" w:rsidRDefault="00E26B55" w:rsidP="00A40D2E">
            <w:pPr>
              <w:jc w:val="center"/>
              <w:rPr>
                <w:sz w:val="18"/>
                <w:szCs w:val="18"/>
              </w:rPr>
            </w:pPr>
          </w:p>
        </w:tc>
        <w:tc>
          <w:tcPr>
            <w:tcW w:w="1350" w:type="dxa"/>
            <w:tcBorders>
              <w:top w:val="nil"/>
              <w:left w:val="nil"/>
              <w:bottom w:val="nil"/>
              <w:right w:val="nil"/>
            </w:tcBorders>
            <w:shd w:val="clear" w:color="auto" w:fill="D9D9D9"/>
          </w:tcPr>
          <w:p w14:paraId="2D933FB9" w14:textId="77777777" w:rsidR="00E26B55" w:rsidRPr="00A40D2E" w:rsidRDefault="00E26B55" w:rsidP="00A40D2E">
            <w:pPr>
              <w:jc w:val="center"/>
              <w:rPr>
                <w:sz w:val="18"/>
                <w:szCs w:val="18"/>
              </w:rPr>
            </w:pPr>
          </w:p>
        </w:tc>
        <w:tc>
          <w:tcPr>
            <w:tcW w:w="1620" w:type="dxa"/>
            <w:tcBorders>
              <w:top w:val="nil"/>
              <w:left w:val="nil"/>
              <w:bottom w:val="nil"/>
              <w:right w:val="nil"/>
            </w:tcBorders>
            <w:shd w:val="clear" w:color="auto" w:fill="D9D9D9"/>
          </w:tcPr>
          <w:p w14:paraId="05005B9A" w14:textId="77777777" w:rsidR="00E26B55" w:rsidRPr="00A40D2E" w:rsidRDefault="00E26B55" w:rsidP="00A40D2E">
            <w:pPr>
              <w:jc w:val="center"/>
              <w:rPr>
                <w:sz w:val="18"/>
                <w:szCs w:val="18"/>
              </w:rPr>
            </w:pPr>
          </w:p>
        </w:tc>
      </w:tr>
      <w:tr w:rsidR="00E26B55" w:rsidRPr="006E2C6F" w14:paraId="5D024356" w14:textId="77777777" w:rsidTr="00A40D2E">
        <w:tc>
          <w:tcPr>
            <w:tcW w:w="2610" w:type="dxa"/>
            <w:tcBorders>
              <w:top w:val="nil"/>
              <w:left w:val="nil"/>
              <w:bottom w:val="nil"/>
              <w:right w:val="nil"/>
            </w:tcBorders>
          </w:tcPr>
          <w:p w14:paraId="5A3414E4" w14:textId="77777777" w:rsidR="00E26B55" w:rsidRPr="00A40D2E" w:rsidRDefault="00E26B55" w:rsidP="006E2C6F">
            <w:pPr>
              <w:rPr>
                <w:b/>
                <w:sz w:val="18"/>
                <w:szCs w:val="18"/>
              </w:rPr>
            </w:pPr>
            <w:r w:rsidRPr="00A40D2E">
              <w:rPr>
                <w:b/>
                <w:sz w:val="18"/>
                <w:szCs w:val="18"/>
              </w:rPr>
              <w:t>Pre-op sagittal alignment of fused vertebrae (mean ± SD, °)</w:t>
            </w:r>
          </w:p>
        </w:tc>
        <w:tc>
          <w:tcPr>
            <w:tcW w:w="1285" w:type="dxa"/>
            <w:tcBorders>
              <w:top w:val="nil"/>
              <w:left w:val="nil"/>
              <w:bottom w:val="nil"/>
              <w:right w:val="nil"/>
            </w:tcBorders>
          </w:tcPr>
          <w:p w14:paraId="1B125243" w14:textId="77777777" w:rsidR="00E26B55" w:rsidRPr="00A40D2E" w:rsidRDefault="00E26B55" w:rsidP="006E2C6F">
            <w:pPr>
              <w:rPr>
                <w:sz w:val="18"/>
                <w:szCs w:val="18"/>
              </w:rPr>
            </w:pPr>
            <w:proofErr w:type="spellStart"/>
            <w:r w:rsidRPr="00A40D2E">
              <w:rPr>
                <w:sz w:val="18"/>
                <w:szCs w:val="18"/>
              </w:rPr>
              <w:t>Katsuura</w:t>
            </w:r>
            <w:proofErr w:type="spellEnd"/>
            <w:r w:rsidRPr="00A40D2E">
              <w:rPr>
                <w:sz w:val="18"/>
                <w:szCs w:val="18"/>
              </w:rPr>
              <w:t xml:space="preserve"> 2001 </w:t>
            </w:r>
          </w:p>
        </w:tc>
        <w:tc>
          <w:tcPr>
            <w:tcW w:w="1955" w:type="dxa"/>
            <w:tcBorders>
              <w:top w:val="nil"/>
              <w:left w:val="nil"/>
              <w:bottom w:val="nil"/>
              <w:right w:val="nil"/>
            </w:tcBorders>
          </w:tcPr>
          <w:p w14:paraId="28EA893E" w14:textId="77777777" w:rsidR="00E26B55" w:rsidRPr="00A40D2E" w:rsidRDefault="00E26B55" w:rsidP="00A40D2E">
            <w:pPr>
              <w:ind w:left="162"/>
              <w:jc w:val="center"/>
              <w:rPr>
                <w:sz w:val="18"/>
                <w:szCs w:val="18"/>
              </w:rPr>
            </w:pPr>
            <w:r w:rsidRPr="00A40D2E">
              <w:rPr>
                <w:sz w:val="18"/>
                <w:szCs w:val="18"/>
              </w:rPr>
              <w:t>2.0° ± 5.2°</w:t>
            </w:r>
          </w:p>
          <w:p w14:paraId="489FCC24" w14:textId="77777777" w:rsidR="00E26B55" w:rsidRPr="00A40D2E" w:rsidRDefault="00E26B55" w:rsidP="00A40D2E">
            <w:pPr>
              <w:ind w:left="162"/>
              <w:jc w:val="center"/>
              <w:rPr>
                <w:sz w:val="18"/>
                <w:szCs w:val="18"/>
              </w:rPr>
            </w:pPr>
          </w:p>
        </w:tc>
        <w:tc>
          <w:tcPr>
            <w:tcW w:w="1350" w:type="dxa"/>
            <w:tcBorders>
              <w:top w:val="nil"/>
              <w:left w:val="nil"/>
              <w:bottom w:val="nil"/>
              <w:right w:val="nil"/>
            </w:tcBorders>
          </w:tcPr>
          <w:p w14:paraId="356758E5" w14:textId="77777777" w:rsidR="00E26B55" w:rsidRPr="00A40D2E" w:rsidRDefault="00E26B55" w:rsidP="00A40D2E">
            <w:pPr>
              <w:jc w:val="center"/>
              <w:rPr>
                <w:sz w:val="18"/>
                <w:szCs w:val="18"/>
              </w:rPr>
            </w:pPr>
            <w:r w:rsidRPr="00A40D2E">
              <w:rPr>
                <w:sz w:val="18"/>
                <w:szCs w:val="18"/>
              </w:rPr>
              <w:t>2.5° ± 3.9°</w:t>
            </w:r>
          </w:p>
        </w:tc>
        <w:tc>
          <w:tcPr>
            <w:tcW w:w="1620" w:type="dxa"/>
            <w:tcBorders>
              <w:top w:val="nil"/>
              <w:left w:val="nil"/>
              <w:bottom w:val="nil"/>
              <w:right w:val="nil"/>
            </w:tcBorders>
          </w:tcPr>
          <w:p w14:paraId="58CA1E89" w14:textId="77777777" w:rsidR="00E26B55" w:rsidRPr="00A40D2E" w:rsidRDefault="00E26B55" w:rsidP="00A40D2E">
            <w:pPr>
              <w:jc w:val="center"/>
              <w:rPr>
                <w:sz w:val="18"/>
                <w:szCs w:val="18"/>
              </w:rPr>
            </w:pPr>
            <w:r w:rsidRPr="00A40D2E">
              <w:rPr>
                <w:sz w:val="18"/>
                <w:szCs w:val="18"/>
              </w:rPr>
              <w:t>ns</w:t>
            </w:r>
          </w:p>
        </w:tc>
      </w:tr>
      <w:tr w:rsidR="00E26B55" w:rsidRPr="006E2C6F" w14:paraId="25EE6792" w14:textId="77777777" w:rsidTr="00A40D2E">
        <w:tc>
          <w:tcPr>
            <w:tcW w:w="2610" w:type="dxa"/>
            <w:tcBorders>
              <w:top w:val="nil"/>
              <w:left w:val="nil"/>
              <w:bottom w:val="nil"/>
              <w:right w:val="nil"/>
            </w:tcBorders>
          </w:tcPr>
          <w:p w14:paraId="3ADE24B7" w14:textId="77777777" w:rsidR="00E26B55" w:rsidRPr="00A40D2E" w:rsidRDefault="00E26B55" w:rsidP="006E2C6F">
            <w:pPr>
              <w:rPr>
                <w:b/>
                <w:sz w:val="18"/>
                <w:szCs w:val="18"/>
              </w:rPr>
            </w:pPr>
          </w:p>
        </w:tc>
        <w:tc>
          <w:tcPr>
            <w:tcW w:w="1285" w:type="dxa"/>
            <w:tcBorders>
              <w:top w:val="nil"/>
              <w:left w:val="nil"/>
              <w:bottom w:val="nil"/>
              <w:right w:val="nil"/>
            </w:tcBorders>
          </w:tcPr>
          <w:p w14:paraId="77335E96" w14:textId="77777777" w:rsidR="00E26B55" w:rsidRPr="00A40D2E" w:rsidRDefault="00E26B55" w:rsidP="006E2C6F">
            <w:pPr>
              <w:rPr>
                <w:sz w:val="18"/>
                <w:szCs w:val="18"/>
              </w:rPr>
            </w:pPr>
          </w:p>
        </w:tc>
        <w:tc>
          <w:tcPr>
            <w:tcW w:w="1955" w:type="dxa"/>
            <w:tcBorders>
              <w:top w:val="nil"/>
              <w:left w:val="nil"/>
              <w:bottom w:val="nil"/>
              <w:right w:val="nil"/>
            </w:tcBorders>
          </w:tcPr>
          <w:p w14:paraId="08C0A618" w14:textId="77777777" w:rsidR="00E26B55" w:rsidRPr="00A40D2E" w:rsidRDefault="00E26B55" w:rsidP="00A40D2E">
            <w:pPr>
              <w:jc w:val="center"/>
              <w:rPr>
                <w:sz w:val="18"/>
                <w:szCs w:val="18"/>
              </w:rPr>
            </w:pPr>
          </w:p>
        </w:tc>
        <w:tc>
          <w:tcPr>
            <w:tcW w:w="1350" w:type="dxa"/>
            <w:tcBorders>
              <w:top w:val="nil"/>
              <w:left w:val="nil"/>
              <w:bottom w:val="nil"/>
              <w:right w:val="nil"/>
            </w:tcBorders>
          </w:tcPr>
          <w:p w14:paraId="61B09519" w14:textId="77777777" w:rsidR="00E26B55" w:rsidRPr="00A40D2E" w:rsidRDefault="00E26B55" w:rsidP="00A40D2E">
            <w:pPr>
              <w:jc w:val="center"/>
              <w:rPr>
                <w:sz w:val="18"/>
                <w:szCs w:val="18"/>
              </w:rPr>
            </w:pPr>
          </w:p>
        </w:tc>
        <w:tc>
          <w:tcPr>
            <w:tcW w:w="1620" w:type="dxa"/>
            <w:tcBorders>
              <w:top w:val="nil"/>
              <w:left w:val="nil"/>
              <w:bottom w:val="nil"/>
              <w:right w:val="nil"/>
            </w:tcBorders>
          </w:tcPr>
          <w:p w14:paraId="4E54CAA1" w14:textId="77777777" w:rsidR="00E26B55" w:rsidRPr="00A40D2E" w:rsidRDefault="00E26B55" w:rsidP="00A40D2E">
            <w:pPr>
              <w:jc w:val="center"/>
              <w:rPr>
                <w:sz w:val="18"/>
                <w:szCs w:val="18"/>
              </w:rPr>
            </w:pPr>
          </w:p>
        </w:tc>
      </w:tr>
      <w:tr w:rsidR="00E26B55" w:rsidRPr="006E2C6F" w14:paraId="727C5AED" w14:textId="77777777" w:rsidTr="00A40D2E">
        <w:tc>
          <w:tcPr>
            <w:tcW w:w="2610" w:type="dxa"/>
            <w:tcBorders>
              <w:top w:val="nil"/>
              <w:left w:val="nil"/>
              <w:bottom w:val="single" w:sz="12" w:space="0" w:color="auto"/>
              <w:right w:val="nil"/>
            </w:tcBorders>
          </w:tcPr>
          <w:p w14:paraId="460800CA" w14:textId="77777777" w:rsidR="00E26B55" w:rsidRPr="00A40D2E" w:rsidRDefault="00E26B55" w:rsidP="006E2C6F">
            <w:pPr>
              <w:rPr>
                <w:b/>
                <w:sz w:val="18"/>
                <w:szCs w:val="18"/>
              </w:rPr>
            </w:pPr>
            <w:r w:rsidRPr="00A40D2E">
              <w:rPr>
                <w:b/>
                <w:sz w:val="18"/>
                <w:szCs w:val="18"/>
              </w:rPr>
              <w:t>Pre-op alignment cervical spine (mean ± SD, °)</w:t>
            </w:r>
          </w:p>
        </w:tc>
        <w:tc>
          <w:tcPr>
            <w:tcW w:w="1285" w:type="dxa"/>
            <w:tcBorders>
              <w:top w:val="nil"/>
              <w:left w:val="nil"/>
              <w:bottom w:val="single" w:sz="12" w:space="0" w:color="auto"/>
              <w:right w:val="nil"/>
            </w:tcBorders>
          </w:tcPr>
          <w:p w14:paraId="3C131A6D" w14:textId="77777777" w:rsidR="00E26B55" w:rsidRPr="00A40D2E" w:rsidRDefault="00E26B55" w:rsidP="006E2C6F">
            <w:pPr>
              <w:rPr>
                <w:sz w:val="18"/>
                <w:szCs w:val="18"/>
              </w:rPr>
            </w:pPr>
            <w:proofErr w:type="spellStart"/>
            <w:r w:rsidRPr="00A40D2E">
              <w:rPr>
                <w:sz w:val="18"/>
                <w:szCs w:val="18"/>
              </w:rPr>
              <w:t>Katsuura</w:t>
            </w:r>
            <w:proofErr w:type="spellEnd"/>
            <w:r w:rsidRPr="00A40D2E">
              <w:rPr>
                <w:sz w:val="18"/>
                <w:szCs w:val="18"/>
              </w:rPr>
              <w:t xml:space="preserve"> 2001 </w:t>
            </w:r>
          </w:p>
        </w:tc>
        <w:tc>
          <w:tcPr>
            <w:tcW w:w="1955" w:type="dxa"/>
            <w:tcBorders>
              <w:top w:val="nil"/>
              <w:left w:val="nil"/>
              <w:bottom w:val="single" w:sz="12" w:space="0" w:color="auto"/>
              <w:right w:val="nil"/>
            </w:tcBorders>
          </w:tcPr>
          <w:p w14:paraId="43E9A7A8" w14:textId="77777777" w:rsidR="00E26B55" w:rsidRPr="00A40D2E" w:rsidRDefault="00E26B55" w:rsidP="00A40D2E">
            <w:pPr>
              <w:ind w:left="162"/>
              <w:jc w:val="center"/>
              <w:rPr>
                <w:sz w:val="18"/>
                <w:szCs w:val="18"/>
              </w:rPr>
            </w:pPr>
            <w:r w:rsidRPr="00A40D2E">
              <w:rPr>
                <w:sz w:val="18"/>
                <w:szCs w:val="18"/>
              </w:rPr>
              <w:t>8.8° ± 12.1°</w:t>
            </w:r>
          </w:p>
          <w:p w14:paraId="75D1AC9F" w14:textId="77777777" w:rsidR="00E26B55" w:rsidRPr="00A40D2E" w:rsidRDefault="00E26B55" w:rsidP="00A40D2E">
            <w:pPr>
              <w:ind w:left="162"/>
              <w:jc w:val="center"/>
              <w:rPr>
                <w:sz w:val="18"/>
                <w:szCs w:val="18"/>
              </w:rPr>
            </w:pPr>
          </w:p>
        </w:tc>
        <w:tc>
          <w:tcPr>
            <w:tcW w:w="1350" w:type="dxa"/>
            <w:tcBorders>
              <w:top w:val="nil"/>
              <w:left w:val="nil"/>
              <w:bottom w:val="single" w:sz="12" w:space="0" w:color="auto"/>
              <w:right w:val="nil"/>
            </w:tcBorders>
          </w:tcPr>
          <w:p w14:paraId="07D852BD" w14:textId="77777777" w:rsidR="00E26B55" w:rsidRPr="00A40D2E" w:rsidRDefault="00E26B55" w:rsidP="00A40D2E">
            <w:pPr>
              <w:ind w:left="162"/>
              <w:jc w:val="center"/>
              <w:rPr>
                <w:sz w:val="18"/>
                <w:szCs w:val="18"/>
              </w:rPr>
            </w:pPr>
            <w:r w:rsidRPr="00A40D2E">
              <w:rPr>
                <w:sz w:val="18"/>
                <w:szCs w:val="18"/>
              </w:rPr>
              <w:t>19.0° ± 12.1°</w:t>
            </w:r>
          </w:p>
          <w:p w14:paraId="10EAE39F" w14:textId="77777777" w:rsidR="00E26B55" w:rsidRPr="00A40D2E" w:rsidRDefault="00E26B55" w:rsidP="00A40D2E">
            <w:pPr>
              <w:jc w:val="center"/>
              <w:rPr>
                <w:sz w:val="18"/>
                <w:szCs w:val="18"/>
              </w:rPr>
            </w:pPr>
          </w:p>
        </w:tc>
        <w:tc>
          <w:tcPr>
            <w:tcW w:w="1620" w:type="dxa"/>
            <w:tcBorders>
              <w:top w:val="nil"/>
              <w:left w:val="nil"/>
              <w:bottom w:val="single" w:sz="12" w:space="0" w:color="auto"/>
              <w:right w:val="nil"/>
            </w:tcBorders>
          </w:tcPr>
          <w:p w14:paraId="1E2AFEC4" w14:textId="77777777" w:rsidR="00E26B55" w:rsidRPr="00A40D2E" w:rsidRDefault="00E26B55" w:rsidP="00A40D2E">
            <w:pPr>
              <w:jc w:val="center"/>
              <w:rPr>
                <w:sz w:val="18"/>
                <w:szCs w:val="18"/>
              </w:rPr>
            </w:pPr>
            <w:r w:rsidRPr="00A40D2E">
              <w:rPr>
                <w:sz w:val="18"/>
                <w:szCs w:val="18"/>
              </w:rPr>
              <w:t>.008</w:t>
            </w:r>
          </w:p>
        </w:tc>
      </w:tr>
    </w:tbl>
    <w:p w14:paraId="27B91901" w14:textId="77777777" w:rsidR="00E26B55" w:rsidRDefault="00E26B55" w:rsidP="00A543B4">
      <w:pPr>
        <w:rPr>
          <w:b/>
        </w:rPr>
        <w:sectPr w:rsidR="00E26B55" w:rsidSect="00BA7E0E">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pPr>
    </w:p>
    <w:p w14:paraId="03010C37" w14:textId="77777777" w:rsidR="00E26B55" w:rsidRDefault="00684073" w:rsidP="00A543B4">
      <w:pPr>
        <w:rPr>
          <w:b/>
        </w:rPr>
      </w:pPr>
      <w:r>
        <w:rPr>
          <w:b/>
        </w:rPr>
        <w:lastRenderedPageBreak/>
        <w:t xml:space="preserve">Table 3.  </w:t>
      </w:r>
      <w:r w:rsidR="00E26B55">
        <w:rPr>
          <w:b/>
        </w:rPr>
        <w:t>Detailed results for included studies</w:t>
      </w:r>
    </w:p>
    <w:tbl>
      <w:tblPr>
        <w:tblW w:w="13860" w:type="dxa"/>
        <w:tblInd w:w="-522"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1260"/>
        <w:gridCol w:w="1530"/>
        <w:gridCol w:w="1620"/>
        <w:gridCol w:w="2880"/>
        <w:gridCol w:w="4230"/>
        <w:gridCol w:w="2340"/>
      </w:tblGrid>
      <w:tr w:rsidR="00E26B55" w:rsidRPr="00210F5E" w14:paraId="201B2E2F" w14:textId="77777777" w:rsidTr="00D80C7F">
        <w:trPr>
          <w:trHeight w:val="170"/>
        </w:trPr>
        <w:tc>
          <w:tcPr>
            <w:tcW w:w="1260" w:type="dxa"/>
            <w:vMerge w:val="restart"/>
            <w:vAlign w:val="center"/>
          </w:tcPr>
          <w:p w14:paraId="5A3E4D15" w14:textId="77777777" w:rsidR="00E26B55" w:rsidRPr="00210F5E" w:rsidRDefault="00E26B55" w:rsidP="00DB45D6">
            <w:pPr>
              <w:jc w:val="center"/>
              <w:rPr>
                <w:sz w:val="20"/>
              </w:rPr>
            </w:pPr>
            <w:r>
              <w:rPr>
                <w:sz w:val="20"/>
              </w:rPr>
              <w:t xml:space="preserve">  </w:t>
            </w:r>
            <w:r w:rsidRPr="00210F5E">
              <w:rPr>
                <w:sz w:val="20"/>
              </w:rPr>
              <w:t>Author</w:t>
            </w:r>
          </w:p>
          <w:p w14:paraId="231FF3D4" w14:textId="77777777" w:rsidR="00E26B55" w:rsidRPr="00210F5E" w:rsidRDefault="00E26B55" w:rsidP="00DB45D6">
            <w:pPr>
              <w:ind w:left="-18" w:firstLine="18"/>
              <w:jc w:val="center"/>
              <w:rPr>
                <w:sz w:val="20"/>
              </w:rPr>
            </w:pPr>
            <w:r w:rsidRPr="00210F5E">
              <w:rPr>
                <w:sz w:val="20"/>
              </w:rPr>
              <w:t>(Year)</w:t>
            </w:r>
          </w:p>
        </w:tc>
        <w:tc>
          <w:tcPr>
            <w:tcW w:w="3150" w:type="dxa"/>
            <w:gridSpan w:val="2"/>
            <w:vAlign w:val="center"/>
          </w:tcPr>
          <w:p w14:paraId="1BD9C44A" w14:textId="77777777" w:rsidR="00E26B55" w:rsidRPr="00210F5E" w:rsidRDefault="00E26B55" w:rsidP="00DB45D6">
            <w:pPr>
              <w:jc w:val="center"/>
              <w:rPr>
                <w:sz w:val="20"/>
              </w:rPr>
            </w:pPr>
            <w:r w:rsidRPr="00210F5E">
              <w:rPr>
                <w:sz w:val="20"/>
              </w:rPr>
              <w:t>Outcomes</w:t>
            </w:r>
          </w:p>
        </w:tc>
        <w:tc>
          <w:tcPr>
            <w:tcW w:w="2880" w:type="dxa"/>
            <w:vMerge w:val="restart"/>
            <w:vAlign w:val="center"/>
          </w:tcPr>
          <w:p w14:paraId="0C4C0E2C" w14:textId="77777777" w:rsidR="00E26B55" w:rsidRDefault="00E26B55" w:rsidP="00DB45D6">
            <w:pPr>
              <w:jc w:val="center"/>
              <w:rPr>
                <w:sz w:val="20"/>
              </w:rPr>
            </w:pPr>
            <w:r>
              <w:rPr>
                <w:sz w:val="20"/>
              </w:rPr>
              <w:t>Risk factors evaluated</w:t>
            </w:r>
          </w:p>
        </w:tc>
        <w:tc>
          <w:tcPr>
            <w:tcW w:w="4230" w:type="dxa"/>
            <w:vMerge w:val="restart"/>
            <w:vAlign w:val="center"/>
          </w:tcPr>
          <w:p w14:paraId="5CC865CE" w14:textId="77777777" w:rsidR="00E26B55" w:rsidRDefault="00E26B55" w:rsidP="00DB45D6">
            <w:pPr>
              <w:jc w:val="center"/>
              <w:rPr>
                <w:sz w:val="20"/>
              </w:rPr>
            </w:pPr>
            <w:r>
              <w:rPr>
                <w:sz w:val="20"/>
              </w:rPr>
              <w:t>Risk or mean by significant risk factor</w:t>
            </w:r>
          </w:p>
        </w:tc>
        <w:tc>
          <w:tcPr>
            <w:tcW w:w="2340" w:type="dxa"/>
            <w:vMerge w:val="restart"/>
            <w:vAlign w:val="center"/>
          </w:tcPr>
          <w:p w14:paraId="0EF6760B" w14:textId="77777777" w:rsidR="00E26B55" w:rsidRPr="00210F5E" w:rsidRDefault="00E26B55" w:rsidP="00DB45D6">
            <w:pPr>
              <w:jc w:val="center"/>
              <w:rPr>
                <w:sz w:val="20"/>
              </w:rPr>
            </w:pPr>
            <w:r>
              <w:rPr>
                <w:sz w:val="20"/>
              </w:rPr>
              <w:t>Author’s Conclusions</w:t>
            </w:r>
          </w:p>
        </w:tc>
      </w:tr>
      <w:tr w:rsidR="00E26B55" w:rsidRPr="00210F5E" w14:paraId="24324EF2" w14:textId="77777777" w:rsidTr="00D80C7F">
        <w:trPr>
          <w:trHeight w:val="228"/>
        </w:trPr>
        <w:tc>
          <w:tcPr>
            <w:tcW w:w="1260" w:type="dxa"/>
            <w:vMerge/>
            <w:vAlign w:val="center"/>
          </w:tcPr>
          <w:p w14:paraId="4DC77EAA" w14:textId="77777777" w:rsidR="00E26B55" w:rsidRPr="00210F5E" w:rsidRDefault="00E26B55" w:rsidP="00DB45D6">
            <w:pPr>
              <w:jc w:val="center"/>
              <w:rPr>
                <w:sz w:val="20"/>
              </w:rPr>
            </w:pPr>
          </w:p>
        </w:tc>
        <w:tc>
          <w:tcPr>
            <w:tcW w:w="1530" w:type="dxa"/>
            <w:vAlign w:val="center"/>
          </w:tcPr>
          <w:p w14:paraId="7953256F" w14:textId="4DEB799E" w:rsidR="00E26B55" w:rsidRDefault="00995E47" w:rsidP="00DB45D6">
            <w:pPr>
              <w:jc w:val="center"/>
              <w:rPr>
                <w:sz w:val="20"/>
              </w:rPr>
            </w:pPr>
            <w:r>
              <w:rPr>
                <w:sz w:val="20"/>
              </w:rPr>
              <w:t>RASP</w:t>
            </w:r>
          </w:p>
        </w:tc>
        <w:tc>
          <w:tcPr>
            <w:tcW w:w="1620" w:type="dxa"/>
            <w:vAlign w:val="center"/>
          </w:tcPr>
          <w:p w14:paraId="05CFFFD3" w14:textId="430C9F40" w:rsidR="00E26B55" w:rsidRDefault="00EB0351" w:rsidP="00DB45D6">
            <w:pPr>
              <w:jc w:val="center"/>
              <w:rPr>
                <w:sz w:val="20"/>
              </w:rPr>
            </w:pPr>
            <w:r>
              <w:rPr>
                <w:sz w:val="20"/>
              </w:rPr>
              <w:t>CASP</w:t>
            </w:r>
          </w:p>
        </w:tc>
        <w:tc>
          <w:tcPr>
            <w:tcW w:w="2880" w:type="dxa"/>
            <w:vMerge/>
            <w:vAlign w:val="center"/>
          </w:tcPr>
          <w:p w14:paraId="1795F5BB" w14:textId="77777777" w:rsidR="00E26B55" w:rsidRDefault="00E26B55" w:rsidP="00DB45D6">
            <w:pPr>
              <w:jc w:val="center"/>
              <w:rPr>
                <w:sz w:val="20"/>
              </w:rPr>
            </w:pPr>
          </w:p>
        </w:tc>
        <w:tc>
          <w:tcPr>
            <w:tcW w:w="4230" w:type="dxa"/>
            <w:vMerge/>
            <w:vAlign w:val="center"/>
          </w:tcPr>
          <w:p w14:paraId="6F00C39F" w14:textId="77777777" w:rsidR="00E26B55" w:rsidRDefault="00E26B55" w:rsidP="00DB45D6">
            <w:pPr>
              <w:jc w:val="center"/>
              <w:rPr>
                <w:sz w:val="20"/>
              </w:rPr>
            </w:pPr>
          </w:p>
        </w:tc>
        <w:tc>
          <w:tcPr>
            <w:tcW w:w="2340" w:type="dxa"/>
            <w:vMerge/>
            <w:vAlign w:val="center"/>
          </w:tcPr>
          <w:p w14:paraId="0B5DAFEA" w14:textId="77777777" w:rsidR="00E26B55" w:rsidRDefault="00E26B55" w:rsidP="00DB45D6">
            <w:pPr>
              <w:jc w:val="center"/>
              <w:rPr>
                <w:sz w:val="20"/>
              </w:rPr>
            </w:pPr>
          </w:p>
        </w:tc>
      </w:tr>
      <w:tr w:rsidR="00E26B55" w:rsidRPr="00A316DD" w14:paraId="2EC01BEF" w14:textId="77777777" w:rsidTr="00D80C7F">
        <w:trPr>
          <w:trHeight w:val="386"/>
        </w:trPr>
        <w:tc>
          <w:tcPr>
            <w:tcW w:w="1260" w:type="dxa"/>
          </w:tcPr>
          <w:p w14:paraId="390B5076" w14:textId="77777777" w:rsidR="00E26B55" w:rsidRPr="00A316DD" w:rsidRDefault="00E26B55" w:rsidP="00DB45D6">
            <w:pPr>
              <w:jc w:val="center"/>
              <w:rPr>
                <w:sz w:val="20"/>
              </w:rPr>
            </w:pPr>
            <w:proofErr w:type="spellStart"/>
            <w:r w:rsidRPr="00A316DD">
              <w:rPr>
                <w:sz w:val="20"/>
              </w:rPr>
              <w:t>Faldini</w:t>
            </w:r>
            <w:proofErr w:type="spellEnd"/>
          </w:p>
          <w:p w14:paraId="021AA1B4" w14:textId="77777777" w:rsidR="00E26B55" w:rsidRPr="00A316DD" w:rsidRDefault="00E26B55" w:rsidP="00DB45D6">
            <w:pPr>
              <w:jc w:val="center"/>
              <w:rPr>
                <w:sz w:val="20"/>
              </w:rPr>
            </w:pPr>
            <w:r w:rsidRPr="00A316DD">
              <w:rPr>
                <w:sz w:val="20"/>
              </w:rPr>
              <w:t>(2011)</w:t>
            </w:r>
          </w:p>
        </w:tc>
        <w:tc>
          <w:tcPr>
            <w:tcW w:w="1530" w:type="dxa"/>
          </w:tcPr>
          <w:p w14:paraId="52BA19E8" w14:textId="77777777" w:rsidR="00E26B55" w:rsidRPr="00A316DD" w:rsidRDefault="00E26B55" w:rsidP="00DB45D6">
            <w:pPr>
              <w:pStyle w:val="ListParagraph"/>
              <w:ind w:left="0"/>
              <w:rPr>
                <w:sz w:val="20"/>
              </w:rPr>
            </w:pPr>
            <w:r w:rsidRPr="00A316DD">
              <w:rPr>
                <w:sz w:val="20"/>
              </w:rPr>
              <w:t>Grade 2-4:</w:t>
            </w:r>
          </w:p>
          <w:p w14:paraId="4880B6DE" w14:textId="77777777" w:rsidR="00E26B55" w:rsidRPr="00A316DD" w:rsidRDefault="00E26B55" w:rsidP="00DB45D6">
            <w:pPr>
              <w:pStyle w:val="ListParagraph"/>
              <w:ind w:left="0"/>
              <w:rPr>
                <w:sz w:val="20"/>
              </w:rPr>
            </w:pPr>
            <w:r w:rsidRPr="00A316DD">
              <w:rPr>
                <w:sz w:val="20"/>
              </w:rPr>
              <w:t>43/107 (40%)</w:t>
            </w:r>
          </w:p>
        </w:tc>
        <w:tc>
          <w:tcPr>
            <w:tcW w:w="1620" w:type="dxa"/>
          </w:tcPr>
          <w:p w14:paraId="0CF44E79" w14:textId="77777777" w:rsidR="00E26B55" w:rsidRPr="00A316DD" w:rsidRDefault="00E26B55" w:rsidP="00DB45D6">
            <w:pPr>
              <w:pStyle w:val="ListParagraph"/>
              <w:ind w:left="162"/>
              <w:rPr>
                <w:sz w:val="20"/>
              </w:rPr>
            </w:pPr>
            <w:r w:rsidRPr="00A316DD">
              <w:rPr>
                <w:sz w:val="20"/>
              </w:rPr>
              <w:t>NR</w:t>
            </w:r>
          </w:p>
        </w:tc>
        <w:tc>
          <w:tcPr>
            <w:tcW w:w="2880" w:type="dxa"/>
          </w:tcPr>
          <w:p w14:paraId="13733A0C" w14:textId="77777777" w:rsidR="00E26B55" w:rsidRPr="0061308A" w:rsidRDefault="00E26B55" w:rsidP="00D80C7F">
            <w:pPr>
              <w:pStyle w:val="ListParagraph"/>
              <w:numPr>
                <w:ilvl w:val="0"/>
                <w:numId w:val="35"/>
              </w:numPr>
              <w:ind w:left="162" w:hanging="162"/>
              <w:rPr>
                <w:sz w:val="20"/>
              </w:rPr>
            </w:pPr>
            <w:r w:rsidRPr="0061308A">
              <w:rPr>
                <w:sz w:val="20"/>
              </w:rPr>
              <w:t>Post-op sagittal segmental alignment (SSA) ≤ 0˚</w:t>
            </w:r>
          </w:p>
          <w:p w14:paraId="468699C7" w14:textId="77777777" w:rsidR="00E26B55" w:rsidRPr="0061308A" w:rsidRDefault="00E26B55" w:rsidP="00D80C7F">
            <w:pPr>
              <w:pStyle w:val="ListParagraph"/>
              <w:numPr>
                <w:ilvl w:val="0"/>
                <w:numId w:val="35"/>
              </w:numPr>
              <w:ind w:left="162" w:hanging="162"/>
              <w:rPr>
                <w:sz w:val="20"/>
              </w:rPr>
            </w:pPr>
            <w:r w:rsidRPr="0061308A">
              <w:rPr>
                <w:sz w:val="20"/>
              </w:rPr>
              <w:t>Post-op SSA &gt; 0˚</w:t>
            </w:r>
          </w:p>
          <w:p w14:paraId="34C642B5" w14:textId="77777777" w:rsidR="00E26B55" w:rsidRPr="00A316DD" w:rsidRDefault="00E26B55" w:rsidP="00D80C7F">
            <w:pPr>
              <w:pStyle w:val="ListParagraph"/>
              <w:numPr>
                <w:ilvl w:val="0"/>
                <w:numId w:val="35"/>
              </w:numPr>
              <w:ind w:left="162" w:hanging="162"/>
              <w:rPr>
                <w:sz w:val="20"/>
              </w:rPr>
            </w:pPr>
            <w:r w:rsidRPr="00A316DD">
              <w:rPr>
                <w:sz w:val="20"/>
              </w:rPr>
              <w:t>Sagittal alignment of the cervical spine (SACS)</w:t>
            </w:r>
          </w:p>
          <w:p w14:paraId="34F9E44F" w14:textId="77777777" w:rsidR="00E26B55" w:rsidRPr="00A316DD" w:rsidRDefault="00E26B55" w:rsidP="00D80C7F">
            <w:pPr>
              <w:pStyle w:val="ListParagraph"/>
              <w:numPr>
                <w:ilvl w:val="0"/>
                <w:numId w:val="35"/>
              </w:numPr>
              <w:ind w:left="162" w:hanging="162"/>
              <w:rPr>
                <w:sz w:val="20"/>
              </w:rPr>
            </w:pPr>
            <w:r w:rsidRPr="00A316DD">
              <w:rPr>
                <w:sz w:val="20"/>
              </w:rPr>
              <w:t>Level of fusion</w:t>
            </w:r>
          </w:p>
        </w:tc>
        <w:tc>
          <w:tcPr>
            <w:tcW w:w="4230" w:type="dxa"/>
          </w:tcPr>
          <w:p w14:paraId="71B87A45" w14:textId="77777777" w:rsidR="00E26B55" w:rsidRPr="00A316DD" w:rsidRDefault="00E26B55" w:rsidP="00D80C7F">
            <w:pPr>
              <w:pStyle w:val="ListParagraph"/>
              <w:numPr>
                <w:ilvl w:val="0"/>
                <w:numId w:val="35"/>
              </w:numPr>
              <w:ind w:left="162" w:right="-18" w:hanging="162"/>
              <w:rPr>
                <w:sz w:val="20"/>
              </w:rPr>
            </w:pPr>
            <w:r w:rsidRPr="00A316DD">
              <w:rPr>
                <w:sz w:val="20"/>
              </w:rPr>
              <w:t xml:space="preserve">Post-op SSA ≤ 0˚ = 61% </w:t>
            </w:r>
          </w:p>
          <w:p w14:paraId="4D37A586" w14:textId="77777777" w:rsidR="00E26B55" w:rsidRPr="00A316DD" w:rsidRDefault="00E26B55" w:rsidP="00D80C7F">
            <w:pPr>
              <w:pStyle w:val="ListParagraph"/>
              <w:numPr>
                <w:ilvl w:val="0"/>
                <w:numId w:val="35"/>
              </w:numPr>
              <w:ind w:left="162" w:right="-18" w:hanging="162"/>
              <w:rPr>
                <w:sz w:val="20"/>
              </w:rPr>
            </w:pPr>
            <w:r w:rsidRPr="00A316DD">
              <w:rPr>
                <w:sz w:val="20"/>
              </w:rPr>
              <w:t>Post-op SSA &gt; 0˚ = 27% (odds ratio (OR), 2.2; p &lt; 0.001)</w:t>
            </w:r>
          </w:p>
          <w:p w14:paraId="6AD5D447" w14:textId="01A0A75B" w:rsidR="00E26B55" w:rsidRPr="00A316DD" w:rsidRDefault="00E26B55" w:rsidP="00D80C7F">
            <w:pPr>
              <w:pStyle w:val="ListParagraph"/>
              <w:numPr>
                <w:ilvl w:val="0"/>
                <w:numId w:val="35"/>
              </w:numPr>
              <w:ind w:left="162" w:right="-18" w:hanging="162"/>
              <w:rPr>
                <w:sz w:val="20"/>
              </w:rPr>
            </w:pPr>
            <w:r w:rsidRPr="00A316DD">
              <w:rPr>
                <w:sz w:val="20"/>
              </w:rPr>
              <w:t xml:space="preserve">Logistic regression for post-op SSA and </w:t>
            </w:r>
            <w:r w:rsidR="00995E47">
              <w:rPr>
                <w:sz w:val="20"/>
              </w:rPr>
              <w:t>ASP</w:t>
            </w:r>
            <w:r w:rsidRPr="00A316DD">
              <w:rPr>
                <w:sz w:val="20"/>
              </w:rPr>
              <w:t xml:space="preserve">: OR = 0.79 (95% CI, 0.71-0.88; p &lt; 0.001), and +2.0˚ cutoff value of post-op SSA predicting </w:t>
            </w:r>
            <w:r w:rsidR="00995E47">
              <w:rPr>
                <w:sz w:val="20"/>
              </w:rPr>
              <w:t>ASP</w:t>
            </w:r>
          </w:p>
          <w:p w14:paraId="283D9664" w14:textId="5A1DDCD6" w:rsidR="00E26B55" w:rsidRPr="00A316DD" w:rsidRDefault="00E26B55" w:rsidP="00D80C7F">
            <w:pPr>
              <w:pStyle w:val="ListParagraph"/>
              <w:numPr>
                <w:ilvl w:val="0"/>
                <w:numId w:val="35"/>
              </w:numPr>
              <w:ind w:left="162" w:right="-18" w:hanging="162"/>
              <w:rPr>
                <w:sz w:val="20"/>
              </w:rPr>
            </w:pPr>
            <w:r w:rsidRPr="00A316DD">
              <w:rPr>
                <w:sz w:val="20"/>
              </w:rPr>
              <w:t xml:space="preserve">No correlation between post-op or last f/u SACS and </w:t>
            </w:r>
            <w:r w:rsidR="00995E47">
              <w:rPr>
                <w:sz w:val="20"/>
              </w:rPr>
              <w:t>ASP</w:t>
            </w:r>
          </w:p>
          <w:p w14:paraId="5DBF31B3" w14:textId="164F8F9D" w:rsidR="00E26B55" w:rsidRPr="00A316DD" w:rsidRDefault="00E26B55" w:rsidP="00D80C7F">
            <w:pPr>
              <w:pStyle w:val="ListParagraph"/>
              <w:numPr>
                <w:ilvl w:val="0"/>
                <w:numId w:val="35"/>
              </w:numPr>
              <w:ind w:left="162" w:right="-108" w:hanging="162"/>
              <w:rPr>
                <w:sz w:val="20"/>
              </w:rPr>
            </w:pPr>
            <w:r w:rsidRPr="00A316DD">
              <w:rPr>
                <w:sz w:val="20"/>
              </w:rPr>
              <w:t xml:space="preserve">No correlation between level of fusion and </w:t>
            </w:r>
            <w:r w:rsidR="00995E47">
              <w:rPr>
                <w:sz w:val="20"/>
              </w:rPr>
              <w:t>ASP</w:t>
            </w:r>
          </w:p>
        </w:tc>
        <w:tc>
          <w:tcPr>
            <w:tcW w:w="2340" w:type="dxa"/>
          </w:tcPr>
          <w:p w14:paraId="0AE282C9" w14:textId="4A460862" w:rsidR="00E26B55" w:rsidRPr="00A316DD" w:rsidRDefault="00E26B55" w:rsidP="00DB45D6">
            <w:pPr>
              <w:rPr>
                <w:sz w:val="20"/>
              </w:rPr>
            </w:pPr>
            <w:r w:rsidRPr="00A316DD">
              <w:rPr>
                <w:sz w:val="20"/>
              </w:rPr>
              <w:t xml:space="preserve">To prevent </w:t>
            </w:r>
            <w:r w:rsidR="00995E47">
              <w:rPr>
                <w:sz w:val="20"/>
              </w:rPr>
              <w:t>ASP</w:t>
            </w:r>
            <w:r w:rsidRPr="00A316DD">
              <w:rPr>
                <w:sz w:val="20"/>
              </w:rPr>
              <w:t xml:space="preserve">, proper </w:t>
            </w:r>
            <w:proofErr w:type="spellStart"/>
            <w:r w:rsidRPr="00A316DD">
              <w:rPr>
                <w:sz w:val="20"/>
              </w:rPr>
              <w:t>lordotic</w:t>
            </w:r>
            <w:proofErr w:type="spellEnd"/>
            <w:r w:rsidRPr="00A316DD">
              <w:rPr>
                <w:sz w:val="20"/>
              </w:rPr>
              <w:t xml:space="preserve"> sagittal segmental alignment (SSA) should be used when anterior interbody fusion of the cervical spine is indicated</w:t>
            </w:r>
          </w:p>
        </w:tc>
      </w:tr>
      <w:tr w:rsidR="00E26B55" w:rsidRPr="00A969CD" w14:paraId="20712C8A" w14:textId="77777777" w:rsidTr="00D80C7F">
        <w:trPr>
          <w:trHeight w:val="386"/>
        </w:trPr>
        <w:tc>
          <w:tcPr>
            <w:tcW w:w="1260" w:type="dxa"/>
          </w:tcPr>
          <w:p w14:paraId="1AFC5B2C" w14:textId="77777777" w:rsidR="00E26B55" w:rsidRPr="005F52FF" w:rsidRDefault="00E26B55" w:rsidP="00DB45D6">
            <w:pPr>
              <w:jc w:val="center"/>
              <w:rPr>
                <w:sz w:val="20"/>
              </w:rPr>
            </w:pPr>
            <w:proofErr w:type="spellStart"/>
            <w:r w:rsidRPr="005F52FF">
              <w:rPr>
                <w:sz w:val="20"/>
              </w:rPr>
              <w:t>Hilibrand</w:t>
            </w:r>
            <w:proofErr w:type="spellEnd"/>
            <w:r w:rsidRPr="005F52FF">
              <w:rPr>
                <w:sz w:val="20"/>
              </w:rPr>
              <w:t xml:space="preserve"> (1999)</w:t>
            </w:r>
          </w:p>
        </w:tc>
        <w:tc>
          <w:tcPr>
            <w:tcW w:w="1530" w:type="dxa"/>
          </w:tcPr>
          <w:p w14:paraId="5E425510" w14:textId="77777777" w:rsidR="00E26B55" w:rsidRPr="005F52FF" w:rsidRDefault="00E26B55" w:rsidP="00DB45D6">
            <w:pPr>
              <w:pStyle w:val="ListParagraph"/>
              <w:ind w:left="162"/>
              <w:rPr>
                <w:sz w:val="20"/>
              </w:rPr>
            </w:pPr>
            <w:r w:rsidRPr="005F52FF">
              <w:rPr>
                <w:sz w:val="20"/>
              </w:rPr>
              <w:t>NR</w:t>
            </w:r>
          </w:p>
        </w:tc>
        <w:tc>
          <w:tcPr>
            <w:tcW w:w="1620" w:type="dxa"/>
          </w:tcPr>
          <w:p w14:paraId="31C63BDA" w14:textId="77777777" w:rsidR="00E26B55" w:rsidRPr="005F52FF" w:rsidRDefault="00E26B55" w:rsidP="00DB45D6">
            <w:pPr>
              <w:pStyle w:val="ListParagraph"/>
              <w:ind w:left="-18"/>
              <w:rPr>
                <w:sz w:val="20"/>
              </w:rPr>
            </w:pPr>
            <w:r w:rsidRPr="005F52FF">
              <w:rPr>
                <w:sz w:val="20"/>
              </w:rPr>
              <w:t>55/374 (15%)</w:t>
            </w:r>
          </w:p>
        </w:tc>
        <w:tc>
          <w:tcPr>
            <w:tcW w:w="2880" w:type="dxa"/>
            <w:tcBorders>
              <w:right w:val="single" w:sz="4" w:space="0" w:color="000000"/>
            </w:tcBorders>
          </w:tcPr>
          <w:p w14:paraId="1CF2E966" w14:textId="77777777" w:rsidR="00E26B55" w:rsidRPr="005F52FF" w:rsidRDefault="00E26B55" w:rsidP="00D80C7F">
            <w:pPr>
              <w:pStyle w:val="ListParagraph"/>
              <w:numPr>
                <w:ilvl w:val="0"/>
                <w:numId w:val="34"/>
              </w:numPr>
              <w:ind w:left="162" w:hanging="180"/>
              <w:rPr>
                <w:sz w:val="20"/>
              </w:rPr>
            </w:pPr>
            <w:r w:rsidRPr="005F52FF">
              <w:rPr>
                <w:sz w:val="20"/>
              </w:rPr>
              <w:t>Number of levels</w:t>
            </w:r>
          </w:p>
          <w:p w14:paraId="2DF0A14F" w14:textId="77777777" w:rsidR="00E26B55" w:rsidRPr="005F52FF" w:rsidRDefault="00E26B55" w:rsidP="00D80C7F">
            <w:pPr>
              <w:pStyle w:val="ListParagraph"/>
              <w:numPr>
                <w:ilvl w:val="0"/>
                <w:numId w:val="34"/>
              </w:numPr>
              <w:ind w:left="162" w:hanging="180"/>
              <w:rPr>
                <w:sz w:val="20"/>
              </w:rPr>
            </w:pPr>
            <w:r w:rsidRPr="005F52FF">
              <w:rPr>
                <w:sz w:val="20"/>
              </w:rPr>
              <w:t>Surgery performed adjacent to the C5-C6 and/or C6-C7 levels</w:t>
            </w:r>
          </w:p>
          <w:p w14:paraId="03691078" w14:textId="77777777" w:rsidR="00E26B55" w:rsidRPr="005F52FF" w:rsidRDefault="00E26B55" w:rsidP="00D80C7F">
            <w:pPr>
              <w:pStyle w:val="ListParagraph"/>
              <w:numPr>
                <w:ilvl w:val="0"/>
                <w:numId w:val="34"/>
              </w:numPr>
              <w:ind w:left="162" w:hanging="180"/>
              <w:rPr>
                <w:sz w:val="20"/>
              </w:rPr>
            </w:pPr>
            <w:r w:rsidRPr="005F52FF">
              <w:rPr>
                <w:sz w:val="20"/>
              </w:rPr>
              <w:t>Age</w:t>
            </w:r>
          </w:p>
          <w:p w14:paraId="70A98AFB" w14:textId="77777777" w:rsidR="00E26B55" w:rsidRPr="005F52FF" w:rsidRDefault="00E26B55" w:rsidP="00DB45D6">
            <w:pPr>
              <w:pStyle w:val="ListParagraph"/>
              <w:ind w:left="-18"/>
              <w:rPr>
                <w:sz w:val="20"/>
              </w:rPr>
            </w:pPr>
          </w:p>
        </w:tc>
        <w:tc>
          <w:tcPr>
            <w:tcW w:w="4230" w:type="dxa"/>
          </w:tcPr>
          <w:p w14:paraId="3345B2A6" w14:textId="05FFDD3F" w:rsidR="00E26B55" w:rsidRPr="005F52FF" w:rsidRDefault="00E26B55" w:rsidP="00D80C7F">
            <w:pPr>
              <w:pStyle w:val="ListParagraph"/>
              <w:numPr>
                <w:ilvl w:val="0"/>
                <w:numId w:val="34"/>
              </w:numPr>
              <w:ind w:left="162" w:right="-18" w:hanging="180"/>
              <w:rPr>
                <w:sz w:val="20"/>
              </w:rPr>
            </w:pPr>
            <w:r w:rsidRPr="005F52FF">
              <w:rPr>
                <w:sz w:val="20"/>
              </w:rPr>
              <w:t xml:space="preserve">Anterior cervical fusions performed at more than one level had a significantly lower rate of </w:t>
            </w:r>
            <w:r w:rsidR="00995E47">
              <w:rPr>
                <w:sz w:val="20"/>
              </w:rPr>
              <w:t>ASP</w:t>
            </w:r>
            <w:r w:rsidRPr="005F52FF">
              <w:rPr>
                <w:sz w:val="20"/>
              </w:rPr>
              <w:t xml:space="preserve"> than those performed at a single level (12% vs. 18%, p ≤ .001)</w:t>
            </w:r>
          </w:p>
          <w:p w14:paraId="13E360B3" w14:textId="77777777" w:rsidR="00E26B55" w:rsidRPr="005F52FF" w:rsidRDefault="00E26B55" w:rsidP="00D80C7F">
            <w:pPr>
              <w:pStyle w:val="ListParagraph"/>
              <w:numPr>
                <w:ilvl w:val="0"/>
                <w:numId w:val="34"/>
              </w:numPr>
              <w:ind w:left="162" w:right="-18" w:hanging="180"/>
              <w:rPr>
                <w:sz w:val="20"/>
              </w:rPr>
            </w:pPr>
            <w:r w:rsidRPr="005F52FF">
              <w:rPr>
                <w:sz w:val="20"/>
              </w:rPr>
              <w:t>A significant inverse correlation was noted between the degree of radiographic changes at the adjacent level at the time of the procedure and the time until symptomatic disease developed at that level (r</w:t>
            </w:r>
            <w:r w:rsidRPr="005F52FF">
              <w:rPr>
                <w:sz w:val="20"/>
                <w:vertAlign w:val="superscript"/>
              </w:rPr>
              <w:t>2</w:t>
            </w:r>
            <w:r w:rsidRPr="005F52FF">
              <w:rPr>
                <w:sz w:val="20"/>
              </w:rPr>
              <w:t xml:space="preserve"> = -0.985)</w:t>
            </w:r>
          </w:p>
          <w:p w14:paraId="15017711" w14:textId="77777777" w:rsidR="00E26B55" w:rsidRPr="005F52FF" w:rsidRDefault="00E26B55" w:rsidP="00D80C7F">
            <w:pPr>
              <w:pStyle w:val="ListParagraph"/>
              <w:numPr>
                <w:ilvl w:val="0"/>
                <w:numId w:val="34"/>
              </w:numPr>
              <w:ind w:left="162" w:right="-18" w:hanging="180"/>
              <w:rPr>
                <w:sz w:val="20"/>
              </w:rPr>
            </w:pPr>
            <w:r w:rsidRPr="005F52FF">
              <w:rPr>
                <w:sz w:val="20"/>
              </w:rPr>
              <w:t xml:space="preserve">The relative risk at the interspaces between C3-C4 and between C4-C5 (levels at immediate risk) was 3.2 times that at the interspace between the C2-C3 or that at the </w:t>
            </w:r>
            <w:proofErr w:type="spellStart"/>
            <w:r w:rsidRPr="005F52FF">
              <w:rPr>
                <w:sz w:val="20"/>
              </w:rPr>
              <w:t>cervicothoracic</w:t>
            </w:r>
            <w:proofErr w:type="spellEnd"/>
            <w:r w:rsidRPr="005F52FF">
              <w:rPr>
                <w:sz w:val="20"/>
              </w:rPr>
              <w:t xml:space="preserve"> interspace (levels at low risk)</w:t>
            </w:r>
          </w:p>
          <w:p w14:paraId="744177F4" w14:textId="77777777" w:rsidR="00E26B55" w:rsidRPr="005F52FF" w:rsidRDefault="00E26B55" w:rsidP="00D80C7F">
            <w:pPr>
              <w:pStyle w:val="ListParagraph"/>
              <w:numPr>
                <w:ilvl w:val="0"/>
                <w:numId w:val="34"/>
              </w:numPr>
              <w:ind w:left="162" w:right="-18" w:hanging="180"/>
              <w:rPr>
                <w:sz w:val="20"/>
              </w:rPr>
            </w:pPr>
            <w:r w:rsidRPr="005F52FF">
              <w:rPr>
                <w:sz w:val="20"/>
              </w:rPr>
              <w:t>The relative risk at the interspaces between C5-C6 and C6-C7 (levels at high risk) was 4.9 times that at the levels at low risk</w:t>
            </w:r>
          </w:p>
          <w:p w14:paraId="0EA3AF00" w14:textId="77777777" w:rsidR="00E26B55" w:rsidRPr="005F52FF" w:rsidRDefault="00E26B55" w:rsidP="00D80C7F">
            <w:pPr>
              <w:pStyle w:val="ListParagraph"/>
              <w:numPr>
                <w:ilvl w:val="0"/>
                <w:numId w:val="34"/>
              </w:numPr>
              <w:ind w:left="162" w:right="-18" w:hanging="180"/>
              <w:rPr>
                <w:sz w:val="20"/>
              </w:rPr>
            </w:pPr>
            <w:r w:rsidRPr="005F52FF">
              <w:rPr>
                <w:sz w:val="20"/>
              </w:rPr>
              <w:t>The differences in relative risk between the low and intermediate-risk groups and between the low and high-risk groups were significant (p &lt; 0.01 and p &lt; 0.001)</w:t>
            </w:r>
          </w:p>
          <w:p w14:paraId="387D4115" w14:textId="77777777" w:rsidR="00E26B55" w:rsidRPr="005F52FF" w:rsidRDefault="00E26B55" w:rsidP="00D80C7F">
            <w:pPr>
              <w:pStyle w:val="ListParagraph"/>
              <w:numPr>
                <w:ilvl w:val="0"/>
                <w:numId w:val="34"/>
              </w:numPr>
              <w:ind w:left="162" w:right="-18" w:hanging="180"/>
              <w:rPr>
                <w:sz w:val="20"/>
              </w:rPr>
            </w:pPr>
            <w:r w:rsidRPr="005F52FF">
              <w:rPr>
                <w:sz w:val="20"/>
              </w:rPr>
              <w:t>Significant direct correlation between the patient’s age at the time of the operation and the degree of degeneration at the adjacent segment (r</w:t>
            </w:r>
            <w:r w:rsidRPr="005F52FF">
              <w:rPr>
                <w:sz w:val="20"/>
                <w:vertAlign w:val="superscript"/>
              </w:rPr>
              <w:t>2</w:t>
            </w:r>
            <w:r w:rsidRPr="005F52FF">
              <w:rPr>
                <w:sz w:val="20"/>
              </w:rPr>
              <w:t xml:space="preserve"> = 0.994)</w:t>
            </w:r>
          </w:p>
        </w:tc>
        <w:tc>
          <w:tcPr>
            <w:tcW w:w="2340" w:type="dxa"/>
          </w:tcPr>
          <w:p w14:paraId="3836914E" w14:textId="5C8E7BF1" w:rsidR="00E26B55" w:rsidRPr="00A969CD" w:rsidRDefault="00EB0351" w:rsidP="00DB45D6">
            <w:pPr>
              <w:rPr>
                <w:sz w:val="20"/>
              </w:rPr>
            </w:pPr>
            <w:r>
              <w:rPr>
                <w:sz w:val="20"/>
              </w:rPr>
              <w:t>CASP</w:t>
            </w:r>
            <w:r w:rsidR="00E26B55" w:rsidRPr="00A969CD">
              <w:rPr>
                <w:sz w:val="20"/>
              </w:rPr>
              <w:t xml:space="preserve"> may affect more than one-fourth of all patients within ten years after an anterior cervical arthrodesis. A single-level arthrodesis involving the fifth or sixth cervical vertebra and preexisting radiographic evidence of degeneration at adjacent levels appear to be the greatest risk factors for new disease. </w:t>
            </w:r>
          </w:p>
        </w:tc>
      </w:tr>
      <w:tr w:rsidR="00E26B55" w:rsidRPr="00A969CD" w14:paraId="417F2151" w14:textId="77777777" w:rsidTr="00D80C7F">
        <w:trPr>
          <w:trHeight w:val="386"/>
        </w:trPr>
        <w:tc>
          <w:tcPr>
            <w:tcW w:w="1260" w:type="dxa"/>
          </w:tcPr>
          <w:p w14:paraId="30C65D63" w14:textId="77777777" w:rsidR="00E26B55" w:rsidRPr="00A969CD" w:rsidRDefault="00E26B55" w:rsidP="00DB45D6">
            <w:pPr>
              <w:jc w:val="center"/>
              <w:rPr>
                <w:sz w:val="20"/>
              </w:rPr>
            </w:pPr>
            <w:r w:rsidRPr="00A969CD">
              <w:rPr>
                <w:sz w:val="20"/>
              </w:rPr>
              <w:lastRenderedPageBreak/>
              <w:t>Ishihara</w:t>
            </w:r>
          </w:p>
          <w:p w14:paraId="44F95BBB" w14:textId="77777777" w:rsidR="00E26B55" w:rsidRPr="00A969CD" w:rsidRDefault="00E26B55" w:rsidP="00DB45D6">
            <w:pPr>
              <w:jc w:val="center"/>
              <w:rPr>
                <w:sz w:val="20"/>
              </w:rPr>
            </w:pPr>
            <w:r w:rsidRPr="00A969CD">
              <w:rPr>
                <w:sz w:val="20"/>
              </w:rPr>
              <w:t>(2004)</w:t>
            </w:r>
          </w:p>
        </w:tc>
        <w:tc>
          <w:tcPr>
            <w:tcW w:w="1530" w:type="dxa"/>
          </w:tcPr>
          <w:p w14:paraId="2D40FAB0" w14:textId="77777777" w:rsidR="00E26B55" w:rsidRPr="00A969CD" w:rsidRDefault="00E26B55" w:rsidP="00DB45D6">
            <w:pPr>
              <w:pStyle w:val="ListParagraph"/>
              <w:ind w:left="162"/>
              <w:rPr>
                <w:sz w:val="20"/>
              </w:rPr>
            </w:pPr>
            <w:r w:rsidRPr="00A969CD">
              <w:rPr>
                <w:sz w:val="20"/>
              </w:rPr>
              <w:t>NR</w:t>
            </w:r>
          </w:p>
        </w:tc>
        <w:tc>
          <w:tcPr>
            <w:tcW w:w="1620" w:type="dxa"/>
          </w:tcPr>
          <w:p w14:paraId="30DDFF0A" w14:textId="77777777" w:rsidR="00E26B55" w:rsidRPr="00A969CD" w:rsidRDefault="00E26B55" w:rsidP="00DB45D6">
            <w:pPr>
              <w:pStyle w:val="ListParagraph"/>
              <w:ind w:left="-18"/>
              <w:rPr>
                <w:sz w:val="20"/>
              </w:rPr>
            </w:pPr>
            <w:r w:rsidRPr="00A969CD">
              <w:rPr>
                <w:sz w:val="20"/>
              </w:rPr>
              <w:t xml:space="preserve">19/112 (17%) </w:t>
            </w:r>
          </w:p>
          <w:p w14:paraId="4F8DF8F3" w14:textId="77777777" w:rsidR="00E26B55" w:rsidRPr="00A969CD" w:rsidRDefault="00E26B55" w:rsidP="00DB45D6">
            <w:pPr>
              <w:pStyle w:val="ListParagraph"/>
              <w:ind w:left="-18"/>
              <w:rPr>
                <w:sz w:val="20"/>
              </w:rPr>
            </w:pPr>
          </w:p>
          <w:p w14:paraId="149465B6" w14:textId="77777777" w:rsidR="00E26B55" w:rsidRPr="00A969CD" w:rsidRDefault="00E26B55" w:rsidP="00D80C7F">
            <w:pPr>
              <w:pStyle w:val="ListParagraph"/>
              <w:numPr>
                <w:ilvl w:val="0"/>
                <w:numId w:val="34"/>
              </w:numPr>
              <w:ind w:left="162" w:hanging="180"/>
              <w:rPr>
                <w:sz w:val="20"/>
              </w:rPr>
            </w:pPr>
            <w:r w:rsidRPr="00A969CD">
              <w:rPr>
                <w:sz w:val="20"/>
              </w:rPr>
              <w:t>0% (0/9) at C2-C3</w:t>
            </w:r>
          </w:p>
          <w:p w14:paraId="1C0EAC05" w14:textId="77777777" w:rsidR="00E26B55" w:rsidRPr="00A969CD" w:rsidRDefault="00E26B55" w:rsidP="00D80C7F">
            <w:pPr>
              <w:pStyle w:val="ListParagraph"/>
              <w:numPr>
                <w:ilvl w:val="0"/>
                <w:numId w:val="34"/>
              </w:numPr>
              <w:ind w:left="162" w:hanging="180"/>
              <w:rPr>
                <w:sz w:val="20"/>
              </w:rPr>
            </w:pPr>
            <w:r w:rsidRPr="00A969CD">
              <w:rPr>
                <w:sz w:val="20"/>
              </w:rPr>
              <w:t>7.7% (2/26) at C3-C4</w:t>
            </w:r>
          </w:p>
          <w:p w14:paraId="79E9F86E" w14:textId="77777777" w:rsidR="00E26B55" w:rsidRPr="00A969CD" w:rsidRDefault="00E26B55" w:rsidP="00D80C7F">
            <w:pPr>
              <w:pStyle w:val="ListParagraph"/>
              <w:numPr>
                <w:ilvl w:val="0"/>
                <w:numId w:val="34"/>
              </w:numPr>
              <w:ind w:left="162" w:hanging="180"/>
              <w:rPr>
                <w:sz w:val="20"/>
              </w:rPr>
            </w:pPr>
            <w:r w:rsidRPr="00A969CD">
              <w:rPr>
                <w:sz w:val="20"/>
              </w:rPr>
              <w:t>13.3% (10/75) at C4-C5</w:t>
            </w:r>
          </w:p>
          <w:p w14:paraId="1FEC9224" w14:textId="77777777" w:rsidR="00E26B55" w:rsidRPr="00A969CD" w:rsidRDefault="00E26B55" w:rsidP="00D80C7F">
            <w:pPr>
              <w:pStyle w:val="ListParagraph"/>
              <w:numPr>
                <w:ilvl w:val="0"/>
                <w:numId w:val="34"/>
              </w:numPr>
              <w:ind w:left="162" w:hanging="180"/>
              <w:rPr>
                <w:sz w:val="20"/>
              </w:rPr>
            </w:pPr>
            <w:r w:rsidRPr="00A969CD">
              <w:rPr>
                <w:sz w:val="20"/>
              </w:rPr>
              <w:t>13.0% (3/23) at C5-C6</w:t>
            </w:r>
          </w:p>
          <w:p w14:paraId="51AF446C" w14:textId="77777777" w:rsidR="00E26B55" w:rsidRPr="00A969CD" w:rsidRDefault="00E26B55" w:rsidP="00D80C7F">
            <w:pPr>
              <w:pStyle w:val="ListParagraph"/>
              <w:numPr>
                <w:ilvl w:val="0"/>
                <w:numId w:val="34"/>
              </w:numPr>
              <w:ind w:left="162" w:hanging="180"/>
              <w:rPr>
                <w:sz w:val="20"/>
              </w:rPr>
            </w:pPr>
            <w:r w:rsidRPr="00A969CD">
              <w:rPr>
                <w:sz w:val="20"/>
              </w:rPr>
              <w:t>10.3% (6/58) at C6-C7</w:t>
            </w:r>
          </w:p>
          <w:p w14:paraId="4BE0B8CD" w14:textId="77777777" w:rsidR="00E26B55" w:rsidRPr="00A969CD" w:rsidRDefault="00E26B55" w:rsidP="00D80C7F">
            <w:pPr>
              <w:pStyle w:val="ListParagraph"/>
              <w:numPr>
                <w:ilvl w:val="0"/>
                <w:numId w:val="34"/>
              </w:numPr>
              <w:ind w:left="162" w:hanging="180"/>
              <w:rPr>
                <w:sz w:val="20"/>
              </w:rPr>
            </w:pPr>
            <w:r w:rsidRPr="00A969CD">
              <w:rPr>
                <w:sz w:val="20"/>
              </w:rPr>
              <w:t>0% (0/33) at C7-T1</w:t>
            </w:r>
          </w:p>
        </w:tc>
        <w:tc>
          <w:tcPr>
            <w:tcW w:w="2880" w:type="dxa"/>
            <w:tcBorders>
              <w:right w:val="single" w:sz="4" w:space="0" w:color="000000"/>
            </w:tcBorders>
          </w:tcPr>
          <w:p w14:paraId="071E7AF3" w14:textId="77777777" w:rsidR="00E26B55" w:rsidRPr="00A969CD" w:rsidRDefault="00E26B55" w:rsidP="00DB45D6">
            <w:pPr>
              <w:pStyle w:val="ListParagraph"/>
              <w:ind w:left="-18"/>
              <w:rPr>
                <w:sz w:val="20"/>
              </w:rPr>
            </w:pPr>
            <w:r w:rsidRPr="00A969CD">
              <w:rPr>
                <w:sz w:val="20"/>
              </w:rPr>
              <w:t>Clinical parameters:</w:t>
            </w:r>
          </w:p>
          <w:p w14:paraId="375F7406" w14:textId="77777777" w:rsidR="00E26B55" w:rsidRPr="00A969CD" w:rsidRDefault="00E26B55" w:rsidP="00D80C7F">
            <w:pPr>
              <w:pStyle w:val="ListParagraph"/>
              <w:numPr>
                <w:ilvl w:val="0"/>
                <w:numId w:val="34"/>
              </w:numPr>
              <w:ind w:left="162" w:hanging="180"/>
              <w:rPr>
                <w:sz w:val="20"/>
              </w:rPr>
            </w:pPr>
            <w:r w:rsidRPr="00A969CD">
              <w:rPr>
                <w:sz w:val="20"/>
              </w:rPr>
              <w:t>Age</w:t>
            </w:r>
          </w:p>
          <w:p w14:paraId="63F2E969" w14:textId="77777777" w:rsidR="00E26B55" w:rsidRPr="00A969CD" w:rsidRDefault="00E26B55" w:rsidP="00D80C7F">
            <w:pPr>
              <w:pStyle w:val="ListParagraph"/>
              <w:numPr>
                <w:ilvl w:val="0"/>
                <w:numId w:val="34"/>
              </w:numPr>
              <w:ind w:left="162" w:hanging="180"/>
              <w:rPr>
                <w:sz w:val="20"/>
              </w:rPr>
            </w:pPr>
            <w:r w:rsidRPr="00A969CD">
              <w:rPr>
                <w:sz w:val="20"/>
              </w:rPr>
              <w:t>Sex</w:t>
            </w:r>
          </w:p>
          <w:p w14:paraId="78F15C2C" w14:textId="77777777" w:rsidR="00E26B55" w:rsidRPr="00A969CD" w:rsidRDefault="00E26B55" w:rsidP="00D80C7F">
            <w:pPr>
              <w:pStyle w:val="ListParagraph"/>
              <w:numPr>
                <w:ilvl w:val="0"/>
                <w:numId w:val="34"/>
              </w:numPr>
              <w:ind w:left="162" w:hanging="180"/>
              <w:rPr>
                <w:sz w:val="20"/>
              </w:rPr>
            </w:pPr>
            <w:r w:rsidRPr="00A969CD">
              <w:rPr>
                <w:sz w:val="20"/>
              </w:rPr>
              <w:t>Number of levels fused</w:t>
            </w:r>
          </w:p>
          <w:p w14:paraId="5E6A0DED" w14:textId="77777777" w:rsidR="00E26B55" w:rsidRPr="00A969CD" w:rsidRDefault="00E26B55" w:rsidP="00DB45D6">
            <w:pPr>
              <w:pStyle w:val="ListParagraph"/>
              <w:ind w:left="-18"/>
              <w:rPr>
                <w:sz w:val="20"/>
              </w:rPr>
            </w:pPr>
            <w:r w:rsidRPr="00A969CD">
              <w:rPr>
                <w:sz w:val="20"/>
              </w:rPr>
              <w:t>Radiological parameters:</w:t>
            </w:r>
          </w:p>
          <w:p w14:paraId="25A52660" w14:textId="77777777" w:rsidR="00E26B55" w:rsidRPr="00A969CD" w:rsidRDefault="00E26B55" w:rsidP="00D80C7F">
            <w:pPr>
              <w:pStyle w:val="ListParagraph"/>
              <w:numPr>
                <w:ilvl w:val="0"/>
                <w:numId w:val="34"/>
              </w:numPr>
              <w:ind w:left="162" w:hanging="180"/>
              <w:rPr>
                <w:sz w:val="20"/>
              </w:rPr>
            </w:pPr>
            <w:r w:rsidRPr="00A969CD">
              <w:rPr>
                <w:sz w:val="20"/>
              </w:rPr>
              <w:t>Pre-op cervical spine alignment</w:t>
            </w:r>
          </w:p>
          <w:p w14:paraId="4BBDEC38" w14:textId="77777777" w:rsidR="00E26B55" w:rsidRPr="00A969CD" w:rsidRDefault="00E26B55" w:rsidP="00D80C7F">
            <w:pPr>
              <w:pStyle w:val="ListParagraph"/>
              <w:numPr>
                <w:ilvl w:val="0"/>
                <w:numId w:val="34"/>
              </w:numPr>
              <w:ind w:left="162" w:hanging="180"/>
              <w:rPr>
                <w:sz w:val="20"/>
              </w:rPr>
            </w:pPr>
            <w:r w:rsidRPr="00A969CD">
              <w:rPr>
                <w:sz w:val="20"/>
              </w:rPr>
              <w:t>Pre-op range of motion of C2-C7 cervical spine</w:t>
            </w:r>
          </w:p>
          <w:p w14:paraId="501BF4CA" w14:textId="77777777" w:rsidR="00E26B55" w:rsidRPr="00A969CD" w:rsidRDefault="00E26B55" w:rsidP="00D80C7F">
            <w:pPr>
              <w:pStyle w:val="ListParagraph"/>
              <w:numPr>
                <w:ilvl w:val="0"/>
                <w:numId w:val="34"/>
              </w:numPr>
              <w:ind w:left="162" w:hanging="180"/>
              <w:rPr>
                <w:sz w:val="20"/>
              </w:rPr>
            </w:pPr>
            <w:proofErr w:type="spellStart"/>
            <w:r w:rsidRPr="00A969CD">
              <w:rPr>
                <w:sz w:val="20"/>
              </w:rPr>
              <w:t>Anteroposterior</w:t>
            </w:r>
            <w:proofErr w:type="spellEnd"/>
            <w:r w:rsidRPr="00A969CD">
              <w:rPr>
                <w:sz w:val="20"/>
              </w:rPr>
              <w:t xml:space="preserve"> spinal canal diameter</w:t>
            </w:r>
          </w:p>
          <w:p w14:paraId="5B8AB80E" w14:textId="06372DC8" w:rsidR="00E26B55" w:rsidRPr="0061308A" w:rsidRDefault="00E26B55" w:rsidP="00D80C7F">
            <w:pPr>
              <w:pStyle w:val="ListParagraph"/>
              <w:numPr>
                <w:ilvl w:val="0"/>
                <w:numId w:val="34"/>
              </w:numPr>
              <w:ind w:left="162" w:hanging="180"/>
              <w:rPr>
                <w:sz w:val="20"/>
              </w:rPr>
            </w:pPr>
            <w:r w:rsidRPr="0061308A">
              <w:rPr>
                <w:sz w:val="20"/>
              </w:rPr>
              <w:t xml:space="preserve">Pre-op existence of an </w:t>
            </w:r>
            <w:r w:rsidR="00EB0351">
              <w:rPr>
                <w:sz w:val="20"/>
              </w:rPr>
              <w:t>adjacent segment pathology</w:t>
            </w:r>
            <w:r w:rsidRPr="0061308A">
              <w:rPr>
                <w:sz w:val="20"/>
              </w:rPr>
              <w:t xml:space="preserve"> on plain radiograph, myelography and MRI</w:t>
            </w:r>
          </w:p>
        </w:tc>
        <w:tc>
          <w:tcPr>
            <w:tcW w:w="4230" w:type="dxa"/>
          </w:tcPr>
          <w:p w14:paraId="73C3E6A5" w14:textId="77777777" w:rsidR="00E26B55" w:rsidRPr="00A969CD" w:rsidRDefault="00E26B55" w:rsidP="00D80C7F">
            <w:pPr>
              <w:pStyle w:val="ListParagraph"/>
              <w:numPr>
                <w:ilvl w:val="0"/>
                <w:numId w:val="34"/>
              </w:numPr>
              <w:ind w:left="162" w:hanging="180"/>
              <w:rPr>
                <w:sz w:val="20"/>
              </w:rPr>
            </w:pPr>
            <w:r w:rsidRPr="00A969CD">
              <w:rPr>
                <w:sz w:val="20"/>
              </w:rPr>
              <w:t xml:space="preserve">Incidence of indentation of </w:t>
            </w:r>
            <w:proofErr w:type="spellStart"/>
            <w:r w:rsidRPr="00A969CD">
              <w:rPr>
                <w:sz w:val="20"/>
              </w:rPr>
              <w:t>dura</w:t>
            </w:r>
            <w:proofErr w:type="spellEnd"/>
            <w:r w:rsidRPr="00A969CD">
              <w:rPr>
                <w:sz w:val="20"/>
              </w:rPr>
              <w:t xml:space="preserve"> matter on pre-op myelography on MRI at the adjacent level were significantly higher in disease cases (p=0.0087)</w:t>
            </w:r>
          </w:p>
          <w:p w14:paraId="3D7447EB" w14:textId="77777777" w:rsidR="00E26B55" w:rsidRPr="00A969CD" w:rsidRDefault="00E26B55" w:rsidP="00D80C7F">
            <w:pPr>
              <w:pStyle w:val="ListParagraph"/>
              <w:numPr>
                <w:ilvl w:val="0"/>
                <w:numId w:val="34"/>
              </w:numPr>
              <w:ind w:left="162" w:hanging="180"/>
              <w:rPr>
                <w:sz w:val="20"/>
              </w:rPr>
            </w:pPr>
            <w:r w:rsidRPr="00A969CD">
              <w:rPr>
                <w:sz w:val="20"/>
              </w:rPr>
              <w:t>Incidence of disc protrusion on MRI at the adjacent level was significantly higher in disease cases (p = 0.0299)</w:t>
            </w:r>
          </w:p>
          <w:p w14:paraId="30F7E581" w14:textId="77777777" w:rsidR="00E26B55" w:rsidRPr="00A969CD" w:rsidRDefault="00E26B55" w:rsidP="00DB45D6">
            <w:pPr>
              <w:pStyle w:val="ListParagraph"/>
              <w:ind w:left="-18"/>
              <w:rPr>
                <w:sz w:val="20"/>
              </w:rPr>
            </w:pPr>
            <w:r w:rsidRPr="00A969CD">
              <w:rPr>
                <w:sz w:val="20"/>
              </w:rPr>
              <w:t>All other parameters showed no statistically significant differences:</w:t>
            </w:r>
          </w:p>
          <w:p w14:paraId="312C4541" w14:textId="77777777" w:rsidR="00E26B55" w:rsidRPr="00A969CD" w:rsidRDefault="00E26B55" w:rsidP="00D80C7F">
            <w:pPr>
              <w:pStyle w:val="ListParagraph"/>
              <w:numPr>
                <w:ilvl w:val="0"/>
                <w:numId w:val="34"/>
              </w:numPr>
              <w:ind w:left="162" w:hanging="180"/>
              <w:rPr>
                <w:sz w:val="20"/>
              </w:rPr>
            </w:pPr>
            <w:r w:rsidRPr="00A969CD">
              <w:rPr>
                <w:sz w:val="20"/>
              </w:rPr>
              <w:t>Age (p = 0.146)</w:t>
            </w:r>
          </w:p>
          <w:p w14:paraId="0A699BB8" w14:textId="77777777" w:rsidR="00E26B55" w:rsidRPr="00A969CD" w:rsidRDefault="00E26B55" w:rsidP="00D80C7F">
            <w:pPr>
              <w:pStyle w:val="ListParagraph"/>
              <w:numPr>
                <w:ilvl w:val="0"/>
                <w:numId w:val="34"/>
              </w:numPr>
              <w:ind w:left="162" w:hanging="180"/>
              <w:rPr>
                <w:sz w:val="20"/>
              </w:rPr>
            </w:pPr>
            <w:r w:rsidRPr="00A969CD">
              <w:rPr>
                <w:sz w:val="20"/>
              </w:rPr>
              <w:t>Sex (p = NR)</w:t>
            </w:r>
          </w:p>
          <w:p w14:paraId="108791CD" w14:textId="77777777" w:rsidR="00E26B55" w:rsidRPr="00A969CD" w:rsidRDefault="00E26B55" w:rsidP="00D80C7F">
            <w:pPr>
              <w:pStyle w:val="ListParagraph"/>
              <w:numPr>
                <w:ilvl w:val="0"/>
                <w:numId w:val="34"/>
              </w:numPr>
              <w:ind w:left="162" w:hanging="180"/>
              <w:rPr>
                <w:sz w:val="20"/>
              </w:rPr>
            </w:pPr>
            <w:r w:rsidRPr="00A969CD">
              <w:rPr>
                <w:sz w:val="20"/>
              </w:rPr>
              <w:t>Number of levels fused (p = 0.374)</w:t>
            </w:r>
          </w:p>
          <w:p w14:paraId="3BF1228A" w14:textId="77777777" w:rsidR="00E26B55" w:rsidRPr="00A969CD" w:rsidRDefault="00E26B55" w:rsidP="00D80C7F">
            <w:pPr>
              <w:pStyle w:val="ListParagraph"/>
              <w:numPr>
                <w:ilvl w:val="0"/>
                <w:numId w:val="34"/>
              </w:numPr>
              <w:ind w:left="162" w:hanging="180"/>
              <w:rPr>
                <w:sz w:val="20"/>
              </w:rPr>
            </w:pPr>
            <w:r w:rsidRPr="00A969CD">
              <w:rPr>
                <w:sz w:val="20"/>
              </w:rPr>
              <w:t>Pre-op cervical spine alignment (p = 0.262)</w:t>
            </w:r>
          </w:p>
          <w:p w14:paraId="2CC6E366" w14:textId="77777777" w:rsidR="00E26B55" w:rsidRPr="00A969CD" w:rsidRDefault="00E26B55" w:rsidP="00D80C7F">
            <w:pPr>
              <w:pStyle w:val="ListParagraph"/>
              <w:numPr>
                <w:ilvl w:val="0"/>
                <w:numId w:val="34"/>
              </w:numPr>
              <w:ind w:left="162" w:hanging="180"/>
              <w:rPr>
                <w:sz w:val="20"/>
              </w:rPr>
            </w:pPr>
            <w:r w:rsidRPr="00A969CD">
              <w:rPr>
                <w:sz w:val="20"/>
              </w:rPr>
              <w:t>Pre-op range of motion of C2-C7 cervical spine (p = 0.575)</w:t>
            </w:r>
          </w:p>
          <w:p w14:paraId="650E7CAB" w14:textId="77777777" w:rsidR="00E26B55" w:rsidRPr="00A969CD" w:rsidRDefault="00E26B55" w:rsidP="00D80C7F">
            <w:pPr>
              <w:pStyle w:val="ListParagraph"/>
              <w:numPr>
                <w:ilvl w:val="0"/>
                <w:numId w:val="34"/>
              </w:numPr>
              <w:ind w:left="162" w:hanging="180"/>
              <w:rPr>
                <w:sz w:val="20"/>
              </w:rPr>
            </w:pPr>
            <w:proofErr w:type="spellStart"/>
            <w:r w:rsidRPr="00A969CD">
              <w:rPr>
                <w:sz w:val="20"/>
              </w:rPr>
              <w:t>Anteroposterior</w:t>
            </w:r>
            <w:proofErr w:type="spellEnd"/>
            <w:r w:rsidRPr="00A969CD">
              <w:rPr>
                <w:sz w:val="20"/>
              </w:rPr>
              <w:t xml:space="preserve"> spinal canal diameter (p = NR)</w:t>
            </w:r>
          </w:p>
        </w:tc>
        <w:tc>
          <w:tcPr>
            <w:tcW w:w="2340" w:type="dxa"/>
          </w:tcPr>
          <w:p w14:paraId="77D1AA4C" w14:textId="4708AE64" w:rsidR="00E26B55" w:rsidRPr="00A969CD" w:rsidRDefault="00E26B55" w:rsidP="00DB45D6">
            <w:pPr>
              <w:rPr>
                <w:sz w:val="20"/>
              </w:rPr>
            </w:pPr>
            <w:r w:rsidRPr="00A969CD">
              <w:rPr>
                <w:sz w:val="20"/>
              </w:rPr>
              <w:t xml:space="preserve">The incidence of </w:t>
            </w:r>
            <w:r w:rsidR="008C4691">
              <w:rPr>
                <w:sz w:val="20"/>
              </w:rPr>
              <w:t>clinical adjacent</w:t>
            </w:r>
            <w:r w:rsidR="00EB0351">
              <w:rPr>
                <w:sz w:val="20"/>
              </w:rPr>
              <w:t xml:space="preserve"> segment pathology</w:t>
            </w:r>
            <w:r w:rsidRPr="00A969CD">
              <w:rPr>
                <w:sz w:val="20"/>
              </w:rPr>
              <w:t xml:space="preserve"> after ACIF was higher when pre-op myelography or MRI revealed asymptomatic disc degeneration at that level regardless of the number of the levels fused, pre-op alignment, spinal canal diameter or fusion alignment</w:t>
            </w:r>
          </w:p>
        </w:tc>
      </w:tr>
      <w:tr w:rsidR="00E26B55" w:rsidRPr="00916857" w14:paraId="02C9ABCB" w14:textId="77777777" w:rsidTr="00D80C7F">
        <w:trPr>
          <w:trHeight w:val="386"/>
        </w:trPr>
        <w:tc>
          <w:tcPr>
            <w:tcW w:w="1260" w:type="dxa"/>
          </w:tcPr>
          <w:p w14:paraId="452DF612" w14:textId="77777777" w:rsidR="00E26B55" w:rsidRPr="00916857" w:rsidRDefault="00E26B55" w:rsidP="00DB45D6">
            <w:pPr>
              <w:jc w:val="center"/>
              <w:rPr>
                <w:sz w:val="20"/>
              </w:rPr>
            </w:pPr>
            <w:proofErr w:type="spellStart"/>
            <w:r w:rsidRPr="00916857">
              <w:rPr>
                <w:sz w:val="20"/>
              </w:rPr>
              <w:t>Katsuura</w:t>
            </w:r>
            <w:proofErr w:type="spellEnd"/>
          </w:p>
          <w:p w14:paraId="0F45DB9F" w14:textId="77777777" w:rsidR="00E26B55" w:rsidRPr="00916857" w:rsidRDefault="00E26B55" w:rsidP="00DB45D6">
            <w:pPr>
              <w:jc w:val="center"/>
              <w:rPr>
                <w:sz w:val="20"/>
              </w:rPr>
            </w:pPr>
            <w:r w:rsidRPr="00916857">
              <w:rPr>
                <w:sz w:val="20"/>
              </w:rPr>
              <w:t>(2001)</w:t>
            </w:r>
          </w:p>
        </w:tc>
        <w:tc>
          <w:tcPr>
            <w:tcW w:w="1530" w:type="dxa"/>
          </w:tcPr>
          <w:p w14:paraId="06071664" w14:textId="77777777" w:rsidR="00E26B55" w:rsidRPr="00916857" w:rsidRDefault="00E26B55" w:rsidP="00DB45D6">
            <w:pPr>
              <w:rPr>
                <w:sz w:val="20"/>
              </w:rPr>
            </w:pPr>
            <w:r w:rsidRPr="00916857">
              <w:rPr>
                <w:sz w:val="20"/>
              </w:rPr>
              <w:t>21/42 (50%)</w:t>
            </w:r>
          </w:p>
          <w:p w14:paraId="58F2B392" w14:textId="77777777" w:rsidR="00E26B55" w:rsidRPr="00916857" w:rsidRDefault="00E26B55" w:rsidP="00DB45D6">
            <w:pPr>
              <w:rPr>
                <w:sz w:val="20"/>
              </w:rPr>
            </w:pPr>
          </w:p>
          <w:p w14:paraId="71DFDF8C" w14:textId="77777777" w:rsidR="00E26B55" w:rsidRPr="00916857" w:rsidRDefault="00E26B55" w:rsidP="00DB45D6">
            <w:pPr>
              <w:rPr>
                <w:sz w:val="20"/>
              </w:rPr>
            </w:pPr>
            <w:r w:rsidRPr="00916857">
              <w:rPr>
                <w:sz w:val="20"/>
              </w:rPr>
              <w:t>4/21 (19%) above the fusion</w:t>
            </w:r>
          </w:p>
          <w:p w14:paraId="348FF333" w14:textId="77777777" w:rsidR="00E26B55" w:rsidRPr="00916857" w:rsidRDefault="00E26B55" w:rsidP="00DB45D6">
            <w:pPr>
              <w:rPr>
                <w:sz w:val="20"/>
              </w:rPr>
            </w:pPr>
            <w:r w:rsidRPr="00916857">
              <w:rPr>
                <w:sz w:val="20"/>
              </w:rPr>
              <w:t>11/21 (52%) below fusion</w:t>
            </w:r>
          </w:p>
          <w:p w14:paraId="1171B064" w14:textId="77777777" w:rsidR="00E26B55" w:rsidRPr="00916857" w:rsidRDefault="00E26B55" w:rsidP="00DB45D6">
            <w:pPr>
              <w:rPr>
                <w:sz w:val="20"/>
              </w:rPr>
            </w:pPr>
            <w:r w:rsidRPr="00916857">
              <w:rPr>
                <w:sz w:val="20"/>
              </w:rPr>
              <w:t>6/21 (29%) both above and below fusion</w:t>
            </w:r>
          </w:p>
        </w:tc>
        <w:tc>
          <w:tcPr>
            <w:tcW w:w="1620" w:type="dxa"/>
          </w:tcPr>
          <w:p w14:paraId="51889D08" w14:textId="77777777" w:rsidR="00E26B55" w:rsidRPr="00916857" w:rsidRDefault="00E26B55" w:rsidP="00DB45D6">
            <w:pPr>
              <w:rPr>
                <w:sz w:val="20"/>
              </w:rPr>
            </w:pPr>
            <w:r w:rsidRPr="00916857">
              <w:rPr>
                <w:sz w:val="20"/>
              </w:rPr>
              <w:t>NR</w:t>
            </w:r>
          </w:p>
        </w:tc>
        <w:tc>
          <w:tcPr>
            <w:tcW w:w="2880" w:type="dxa"/>
            <w:tcBorders>
              <w:right w:val="single" w:sz="4" w:space="0" w:color="000000"/>
            </w:tcBorders>
          </w:tcPr>
          <w:p w14:paraId="00FD184C" w14:textId="77777777" w:rsidR="00E26B55" w:rsidRPr="00916857" w:rsidRDefault="00E26B55" w:rsidP="00D80C7F">
            <w:pPr>
              <w:pStyle w:val="ListParagraph"/>
              <w:numPr>
                <w:ilvl w:val="0"/>
                <w:numId w:val="34"/>
              </w:numPr>
              <w:ind w:left="162" w:hanging="180"/>
              <w:rPr>
                <w:b/>
                <w:sz w:val="20"/>
              </w:rPr>
            </w:pPr>
            <w:proofErr w:type="spellStart"/>
            <w:r w:rsidRPr="00916857">
              <w:rPr>
                <w:sz w:val="20"/>
              </w:rPr>
              <w:t>Malalignment</w:t>
            </w:r>
            <w:proofErr w:type="spellEnd"/>
            <w:r w:rsidRPr="00916857">
              <w:rPr>
                <w:sz w:val="20"/>
              </w:rPr>
              <w:t xml:space="preserve"> of the cervical spine:</w:t>
            </w:r>
          </w:p>
          <w:p w14:paraId="0899CDAA" w14:textId="77777777" w:rsidR="00E26B55" w:rsidRPr="00916857" w:rsidRDefault="00E26B55" w:rsidP="00D80C7F">
            <w:pPr>
              <w:pStyle w:val="ListParagraph"/>
              <w:numPr>
                <w:ilvl w:val="0"/>
                <w:numId w:val="34"/>
              </w:numPr>
              <w:ind w:left="162" w:hanging="180"/>
              <w:rPr>
                <w:b/>
                <w:sz w:val="20"/>
              </w:rPr>
            </w:pPr>
            <w:r w:rsidRPr="00916857">
              <w:rPr>
                <w:sz w:val="20"/>
              </w:rPr>
              <w:t>Alignment of the whole cervical spine (angle A)</w:t>
            </w:r>
          </w:p>
          <w:p w14:paraId="0F73B320" w14:textId="77777777" w:rsidR="00E26B55" w:rsidRPr="00916857" w:rsidRDefault="00E26B55" w:rsidP="00D80C7F">
            <w:pPr>
              <w:pStyle w:val="ListParagraph"/>
              <w:numPr>
                <w:ilvl w:val="0"/>
                <w:numId w:val="34"/>
              </w:numPr>
              <w:ind w:left="162" w:hanging="180"/>
              <w:rPr>
                <w:b/>
                <w:sz w:val="20"/>
              </w:rPr>
            </w:pPr>
            <w:r w:rsidRPr="00916857">
              <w:rPr>
                <w:sz w:val="20"/>
              </w:rPr>
              <w:t>Alignment of the fused segment (angle B)</w:t>
            </w:r>
          </w:p>
          <w:p w14:paraId="64AB92B9" w14:textId="77777777" w:rsidR="00E26B55" w:rsidRPr="00916857" w:rsidRDefault="00E26B55" w:rsidP="00DB45D6">
            <w:pPr>
              <w:rPr>
                <w:sz w:val="20"/>
              </w:rPr>
            </w:pPr>
          </w:p>
        </w:tc>
        <w:tc>
          <w:tcPr>
            <w:tcW w:w="4230" w:type="dxa"/>
          </w:tcPr>
          <w:p w14:paraId="2528BF54" w14:textId="77777777" w:rsidR="00E26B55" w:rsidRPr="00916857" w:rsidRDefault="00E26B55" w:rsidP="00D80C7F">
            <w:pPr>
              <w:pStyle w:val="ListParagraph"/>
              <w:numPr>
                <w:ilvl w:val="0"/>
                <w:numId w:val="34"/>
              </w:numPr>
              <w:ind w:left="162" w:hanging="180"/>
              <w:rPr>
                <w:b/>
                <w:sz w:val="20"/>
              </w:rPr>
            </w:pPr>
            <w:r w:rsidRPr="00916857">
              <w:rPr>
                <w:sz w:val="20"/>
              </w:rPr>
              <w:t>Physiological cervical lordosis was preserved in 18 cases (85.7%) in the group with normal adjacent levels; preserved in only 9 cases (42.8%) in the group with adjacent level degeneration</w:t>
            </w:r>
          </w:p>
          <w:p w14:paraId="2740BBE7" w14:textId="77777777" w:rsidR="00E26B55" w:rsidRPr="00916857" w:rsidRDefault="00E26B55" w:rsidP="00D80C7F">
            <w:pPr>
              <w:pStyle w:val="ListParagraph"/>
              <w:numPr>
                <w:ilvl w:val="0"/>
                <w:numId w:val="34"/>
              </w:numPr>
              <w:tabs>
                <w:tab w:val="left" w:pos="252"/>
                <w:tab w:val="left" w:pos="432"/>
              </w:tabs>
              <w:ind w:left="162" w:firstLine="90"/>
              <w:rPr>
                <w:b/>
                <w:sz w:val="20"/>
              </w:rPr>
            </w:pPr>
            <w:r w:rsidRPr="00916857">
              <w:rPr>
                <w:sz w:val="20"/>
              </w:rPr>
              <w:t>This difference was significant (</w:t>
            </w:r>
            <w:r w:rsidRPr="00916857">
              <w:rPr>
                <w:i/>
                <w:sz w:val="20"/>
              </w:rPr>
              <w:t>P</w:t>
            </w:r>
            <w:r w:rsidRPr="00916857">
              <w:rPr>
                <w:sz w:val="20"/>
              </w:rPr>
              <w:t>=0.015)</w:t>
            </w:r>
          </w:p>
          <w:p w14:paraId="79756435" w14:textId="77777777" w:rsidR="00E26B55" w:rsidRPr="00916857" w:rsidRDefault="00E26B55" w:rsidP="00D80C7F">
            <w:pPr>
              <w:pStyle w:val="ListParagraph"/>
              <w:numPr>
                <w:ilvl w:val="0"/>
                <w:numId w:val="34"/>
              </w:numPr>
              <w:ind w:left="162" w:hanging="180"/>
              <w:rPr>
                <w:b/>
                <w:sz w:val="20"/>
              </w:rPr>
            </w:pPr>
            <w:r w:rsidRPr="00916857">
              <w:rPr>
                <w:sz w:val="20"/>
              </w:rPr>
              <w:t>Alignment of the whole cervical spine (angle A) before operation and at f/u were both significantly smaller in the degeneration group than in the normal group (</w:t>
            </w:r>
            <w:r w:rsidRPr="00916857">
              <w:rPr>
                <w:i/>
                <w:sz w:val="20"/>
              </w:rPr>
              <w:t>P</w:t>
            </w:r>
            <w:r w:rsidRPr="00916857">
              <w:rPr>
                <w:sz w:val="20"/>
              </w:rPr>
              <w:t>=0.0081 and 0.0015, respectively)</w:t>
            </w:r>
          </w:p>
          <w:p w14:paraId="2792368C" w14:textId="77777777" w:rsidR="00E26B55" w:rsidRPr="00916857" w:rsidRDefault="00E26B55" w:rsidP="00D80C7F">
            <w:pPr>
              <w:pStyle w:val="ListParagraph"/>
              <w:numPr>
                <w:ilvl w:val="0"/>
                <w:numId w:val="34"/>
              </w:numPr>
              <w:ind w:left="162" w:hanging="180"/>
              <w:rPr>
                <w:b/>
                <w:sz w:val="20"/>
              </w:rPr>
            </w:pPr>
            <w:r w:rsidRPr="00916857">
              <w:rPr>
                <w:sz w:val="20"/>
              </w:rPr>
              <w:t>In contrast, the fused segment (angle B) was significantly smaller (</w:t>
            </w:r>
            <w:r w:rsidRPr="00916857">
              <w:rPr>
                <w:i/>
                <w:sz w:val="20"/>
              </w:rPr>
              <w:t>P</w:t>
            </w:r>
            <w:r w:rsidRPr="00916857">
              <w:rPr>
                <w:sz w:val="20"/>
              </w:rPr>
              <w:t>=0.0096) in the degeneration group only at f/u</w:t>
            </w:r>
          </w:p>
          <w:p w14:paraId="2F4364EA" w14:textId="77777777" w:rsidR="00E26B55" w:rsidRPr="00916857" w:rsidRDefault="00E26B55" w:rsidP="00D80C7F">
            <w:pPr>
              <w:pStyle w:val="ListParagraph"/>
              <w:numPr>
                <w:ilvl w:val="0"/>
                <w:numId w:val="34"/>
              </w:numPr>
              <w:ind w:left="162" w:hanging="180"/>
              <w:rPr>
                <w:b/>
                <w:sz w:val="20"/>
              </w:rPr>
            </w:pPr>
            <w:r w:rsidRPr="00916857">
              <w:rPr>
                <w:sz w:val="20"/>
              </w:rPr>
              <w:t>Pre-op angle A was highly significant of a determinant (</w:t>
            </w:r>
            <w:r w:rsidRPr="00916857">
              <w:rPr>
                <w:i/>
                <w:sz w:val="20"/>
              </w:rPr>
              <w:t>P</w:t>
            </w:r>
            <w:r w:rsidRPr="00916857">
              <w:rPr>
                <w:sz w:val="20"/>
              </w:rPr>
              <w:t>&lt;0.0001)</w:t>
            </w:r>
          </w:p>
          <w:p w14:paraId="4783267F" w14:textId="77777777" w:rsidR="00E26B55" w:rsidRPr="00916857" w:rsidRDefault="00E26B55" w:rsidP="00D80C7F">
            <w:pPr>
              <w:pStyle w:val="ListParagraph"/>
              <w:numPr>
                <w:ilvl w:val="0"/>
                <w:numId w:val="34"/>
              </w:numPr>
              <w:ind w:left="162" w:hanging="180"/>
              <w:rPr>
                <w:sz w:val="20"/>
              </w:rPr>
            </w:pPr>
            <w:r w:rsidRPr="00916857">
              <w:rPr>
                <w:sz w:val="20"/>
              </w:rPr>
              <w:t>Post-op angle B was a possible determinant (</w:t>
            </w:r>
            <w:r w:rsidRPr="00916857">
              <w:rPr>
                <w:i/>
                <w:sz w:val="20"/>
              </w:rPr>
              <w:t>P</w:t>
            </w:r>
            <w:r w:rsidRPr="00916857">
              <w:rPr>
                <w:sz w:val="20"/>
              </w:rPr>
              <w:t>=0.0671)</w:t>
            </w:r>
          </w:p>
        </w:tc>
        <w:tc>
          <w:tcPr>
            <w:tcW w:w="2340" w:type="dxa"/>
          </w:tcPr>
          <w:p w14:paraId="0D68A68A" w14:textId="77777777" w:rsidR="00E26B55" w:rsidRPr="00916857" w:rsidRDefault="00E26B55" w:rsidP="00DB45D6">
            <w:pPr>
              <w:rPr>
                <w:sz w:val="20"/>
              </w:rPr>
            </w:pPr>
            <w:r w:rsidRPr="00916857">
              <w:rPr>
                <w:sz w:val="20"/>
              </w:rPr>
              <w:t xml:space="preserve">One of the factors promoting degenerative change in adjacent intervertebral levels after anterior cervical fusion for degenerative disorders is postoperative </w:t>
            </w:r>
            <w:proofErr w:type="spellStart"/>
            <w:r w:rsidRPr="00916857">
              <w:rPr>
                <w:sz w:val="20"/>
              </w:rPr>
              <w:t>kyphotic</w:t>
            </w:r>
            <w:proofErr w:type="spellEnd"/>
            <w:r w:rsidRPr="00916857">
              <w:rPr>
                <w:sz w:val="20"/>
              </w:rPr>
              <w:t xml:space="preserve"> change in the cervical spine and the fused segment</w:t>
            </w:r>
          </w:p>
        </w:tc>
      </w:tr>
      <w:tr w:rsidR="00E26B55" w:rsidRPr="0085732F" w14:paraId="4F6B746B" w14:textId="77777777" w:rsidTr="00D80C7F">
        <w:trPr>
          <w:trHeight w:val="386"/>
        </w:trPr>
        <w:tc>
          <w:tcPr>
            <w:tcW w:w="1260" w:type="dxa"/>
          </w:tcPr>
          <w:p w14:paraId="0DD02BF1" w14:textId="77777777" w:rsidR="00E26B55" w:rsidRPr="0085732F" w:rsidRDefault="00E26B55" w:rsidP="00DB45D6">
            <w:pPr>
              <w:jc w:val="center"/>
              <w:rPr>
                <w:sz w:val="20"/>
              </w:rPr>
            </w:pPr>
            <w:r w:rsidRPr="0085732F">
              <w:rPr>
                <w:sz w:val="20"/>
              </w:rPr>
              <w:t>Komura</w:t>
            </w:r>
          </w:p>
          <w:p w14:paraId="063281F1" w14:textId="77777777" w:rsidR="00E26B55" w:rsidRPr="0085732F" w:rsidRDefault="00E26B55" w:rsidP="00DB45D6">
            <w:pPr>
              <w:jc w:val="center"/>
              <w:rPr>
                <w:sz w:val="20"/>
              </w:rPr>
            </w:pPr>
            <w:r w:rsidRPr="0085732F">
              <w:rPr>
                <w:sz w:val="20"/>
              </w:rPr>
              <w:t>(2012)</w:t>
            </w:r>
          </w:p>
        </w:tc>
        <w:tc>
          <w:tcPr>
            <w:tcW w:w="1530" w:type="dxa"/>
          </w:tcPr>
          <w:p w14:paraId="5AAFA64F" w14:textId="77777777" w:rsidR="00E26B55" w:rsidRPr="0085732F" w:rsidRDefault="00E26B55" w:rsidP="00DB45D6">
            <w:pPr>
              <w:rPr>
                <w:sz w:val="20"/>
              </w:rPr>
            </w:pPr>
            <w:r w:rsidRPr="0085732F">
              <w:rPr>
                <w:sz w:val="20"/>
              </w:rPr>
              <w:t>Overall: 35/102 (34%)</w:t>
            </w:r>
          </w:p>
          <w:p w14:paraId="1F8C018A" w14:textId="77777777" w:rsidR="00E26B55" w:rsidRPr="0085732F" w:rsidRDefault="00E26B55" w:rsidP="00DB45D6">
            <w:pPr>
              <w:rPr>
                <w:sz w:val="20"/>
              </w:rPr>
            </w:pPr>
          </w:p>
          <w:p w14:paraId="5923C0A1" w14:textId="77777777" w:rsidR="00E26B55" w:rsidRPr="0085732F" w:rsidRDefault="00E26B55" w:rsidP="00DB45D6">
            <w:pPr>
              <w:rPr>
                <w:sz w:val="20"/>
              </w:rPr>
            </w:pPr>
            <w:r w:rsidRPr="0085732F">
              <w:rPr>
                <w:sz w:val="20"/>
              </w:rPr>
              <w:t>L group: 13/50 (26%)</w:t>
            </w:r>
          </w:p>
          <w:p w14:paraId="4BA1D4DA" w14:textId="77777777" w:rsidR="00E26B55" w:rsidRPr="0085732F" w:rsidRDefault="00E26B55" w:rsidP="00DB45D6">
            <w:pPr>
              <w:rPr>
                <w:sz w:val="20"/>
              </w:rPr>
            </w:pPr>
            <w:r w:rsidRPr="0085732F">
              <w:rPr>
                <w:sz w:val="20"/>
              </w:rPr>
              <w:lastRenderedPageBreak/>
              <w:t>S group: 22/52 (42%)</w:t>
            </w:r>
          </w:p>
          <w:p w14:paraId="1A6F8C69" w14:textId="77777777" w:rsidR="00E26B55" w:rsidRPr="0085732F" w:rsidRDefault="00E26B55" w:rsidP="00DB45D6">
            <w:pPr>
              <w:rPr>
                <w:sz w:val="20"/>
              </w:rPr>
            </w:pPr>
          </w:p>
          <w:p w14:paraId="446A4A1F" w14:textId="77777777" w:rsidR="00E26B55" w:rsidRPr="0085732F" w:rsidRDefault="00E26B55" w:rsidP="00DB45D6">
            <w:pPr>
              <w:rPr>
                <w:sz w:val="20"/>
              </w:rPr>
            </w:pPr>
            <w:r w:rsidRPr="0085732F">
              <w:rPr>
                <w:sz w:val="20"/>
              </w:rPr>
              <w:t>C group: 20/71 (28%)</w:t>
            </w:r>
          </w:p>
          <w:p w14:paraId="3CAA6705" w14:textId="77777777" w:rsidR="00E26B55" w:rsidRPr="0085732F" w:rsidRDefault="00E26B55" w:rsidP="00DB45D6">
            <w:pPr>
              <w:rPr>
                <w:sz w:val="20"/>
              </w:rPr>
            </w:pPr>
            <w:r w:rsidRPr="0085732F">
              <w:rPr>
                <w:sz w:val="20"/>
              </w:rPr>
              <w:t>NC group: 15/31 (48%)</w:t>
            </w:r>
          </w:p>
        </w:tc>
        <w:tc>
          <w:tcPr>
            <w:tcW w:w="1620" w:type="dxa"/>
          </w:tcPr>
          <w:p w14:paraId="703F09E6" w14:textId="77777777" w:rsidR="00E26B55" w:rsidRPr="0085732F" w:rsidRDefault="00E26B55" w:rsidP="00DB45D6">
            <w:pPr>
              <w:rPr>
                <w:sz w:val="20"/>
              </w:rPr>
            </w:pPr>
            <w:r w:rsidRPr="0085732F">
              <w:rPr>
                <w:sz w:val="20"/>
              </w:rPr>
              <w:lastRenderedPageBreak/>
              <w:t>Overall: 12/102 (12%)</w:t>
            </w:r>
          </w:p>
          <w:p w14:paraId="3D6BA9A7" w14:textId="77777777" w:rsidR="00E26B55" w:rsidRPr="0085732F" w:rsidRDefault="00E26B55" w:rsidP="00DB45D6">
            <w:pPr>
              <w:rPr>
                <w:sz w:val="20"/>
              </w:rPr>
            </w:pPr>
          </w:p>
          <w:p w14:paraId="66583120" w14:textId="77777777" w:rsidR="00E26B55" w:rsidRPr="0085732F" w:rsidRDefault="00E26B55" w:rsidP="00DB45D6">
            <w:pPr>
              <w:rPr>
                <w:sz w:val="20"/>
              </w:rPr>
            </w:pPr>
            <w:r w:rsidRPr="0085732F">
              <w:rPr>
                <w:sz w:val="20"/>
              </w:rPr>
              <w:t>L group: 1/50 (2%)</w:t>
            </w:r>
          </w:p>
          <w:p w14:paraId="60618113" w14:textId="77777777" w:rsidR="00E26B55" w:rsidRPr="0085732F" w:rsidRDefault="00E26B55" w:rsidP="00DB45D6">
            <w:pPr>
              <w:rPr>
                <w:sz w:val="20"/>
              </w:rPr>
            </w:pPr>
            <w:r w:rsidRPr="0085732F">
              <w:rPr>
                <w:sz w:val="20"/>
              </w:rPr>
              <w:lastRenderedPageBreak/>
              <w:t>S group: 11/52 (21%)</w:t>
            </w:r>
          </w:p>
          <w:p w14:paraId="17A197B0" w14:textId="77777777" w:rsidR="00E26B55" w:rsidRPr="0085732F" w:rsidRDefault="00E26B55" w:rsidP="00DB45D6">
            <w:pPr>
              <w:rPr>
                <w:sz w:val="20"/>
              </w:rPr>
            </w:pPr>
          </w:p>
          <w:p w14:paraId="2D44EFFD" w14:textId="77777777" w:rsidR="00E26B55" w:rsidRPr="0085732F" w:rsidRDefault="00E26B55" w:rsidP="00DB45D6">
            <w:pPr>
              <w:rPr>
                <w:sz w:val="20"/>
              </w:rPr>
            </w:pPr>
            <w:r w:rsidRPr="0085732F">
              <w:rPr>
                <w:sz w:val="20"/>
              </w:rPr>
              <w:t>C group: 4/71 (5.6%)</w:t>
            </w:r>
          </w:p>
          <w:p w14:paraId="48B78777" w14:textId="77777777" w:rsidR="00E26B55" w:rsidRPr="0085732F" w:rsidRDefault="00E26B55" w:rsidP="00DB45D6">
            <w:pPr>
              <w:rPr>
                <w:sz w:val="20"/>
              </w:rPr>
            </w:pPr>
            <w:r w:rsidRPr="0085732F">
              <w:rPr>
                <w:sz w:val="20"/>
              </w:rPr>
              <w:t>NC group: 8/31 (26%)</w:t>
            </w:r>
          </w:p>
        </w:tc>
        <w:tc>
          <w:tcPr>
            <w:tcW w:w="2880" w:type="dxa"/>
            <w:tcBorders>
              <w:right w:val="single" w:sz="4" w:space="0" w:color="000000"/>
            </w:tcBorders>
          </w:tcPr>
          <w:p w14:paraId="43D4AFCE" w14:textId="77777777" w:rsidR="00E26B55" w:rsidRPr="0085732F" w:rsidRDefault="00E26B55" w:rsidP="00D80C7F">
            <w:pPr>
              <w:pStyle w:val="ListParagraph"/>
              <w:numPr>
                <w:ilvl w:val="0"/>
                <w:numId w:val="34"/>
              </w:numPr>
              <w:ind w:left="162" w:hanging="180"/>
              <w:rPr>
                <w:sz w:val="20"/>
              </w:rPr>
            </w:pPr>
            <w:r w:rsidRPr="0085732F">
              <w:rPr>
                <w:sz w:val="20"/>
              </w:rPr>
              <w:lastRenderedPageBreak/>
              <w:t>Number of fusion levels (long ≥ 4 levels vs. short &lt; 3)</w:t>
            </w:r>
          </w:p>
          <w:p w14:paraId="516947EE" w14:textId="77777777" w:rsidR="00E26B55" w:rsidRPr="0085732F" w:rsidRDefault="00E26B55" w:rsidP="00D80C7F">
            <w:pPr>
              <w:pStyle w:val="ListParagraph"/>
              <w:numPr>
                <w:ilvl w:val="0"/>
                <w:numId w:val="34"/>
              </w:numPr>
              <w:ind w:left="162" w:hanging="180"/>
              <w:rPr>
                <w:sz w:val="20"/>
              </w:rPr>
            </w:pPr>
            <w:r w:rsidRPr="0085732F">
              <w:rPr>
                <w:sz w:val="20"/>
              </w:rPr>
              <w:t>Location of fusion levels (including C5-6 and C6-7 vs. including only one level)</w:t>
            </w:r>
          </w:p>
        </w:tc>
        <w:tc>
          <w:tcPr>
            <w:tcW w:w="4230" w:type="dxa"/>
          </w:tcPr>
          <w:p w14:paraId="4EF943FC" w14:textId="77777777" w:rsidR="00E26B55" w:rsidRPr="0085732F" w:rsidRDefault="00E26B55" w:rsidP="00D80C7F">
            <w:pPr>
              <w:pStyle w:val="ListParagraph"/>
              <w:numPr>
                <w:ilvl w:val="0"/>
                <w:numId w:val="34"/>
              </w:numPr>
              <w:ind w:left="162" w:hanging="180"/>
              <w:rPr>
                <w:sz w:val="20"/>
              </w:rPr>
            </w:pPr>
            <w:r w:rsidRPr="0085732F">
              <w:rPr>
                <w:sz w:val="20"/>
              </w:rPr>
              <w:t>Tendency of higher incidence of ADD in the S group (</w:t>
            </w:r>
            <w:r w:rsidRPr="0085732F">
              <w:rPr>
                <w:i/>
                <w:sz w:val="20"/>
              </w:rPr>
              <w:t>P</w:t>
            </w:r>
            <w:r w:rsidRPr="0085732F">
              <w:rPr>
                <w:sz w:val="20"/>
              </w:rPr>
              <w:t xml:space="preserve"> = 0.083) than in the L group</w:t>
            </w:r>
          </w:p>
          <w:p w14:paraId="4BB2022C" w14:textId="77777777" w:rsidR="00E26B55" w:rsidRPr="0085732F" w:rsidRDefault="00E26B55" w:rsidP="00D80C7F">
            <w:pPr>
              <w:pStyle w:val="ListParagraph"/>
              <w:numPr>
                <w:ilvl w:val="0"/>
                <w:numId w:val="34"/>
              </w:numPr>
              <w:ind w:left="162" w:hanging="180"/>
              <w:rPr>
                <w:sz w:val="20"/>
              </w:rPr>
            </w:pPr>
            <w:r w:rsidRPr="0085732F">
              <w:rPr>
                <w:sz w:val="20"/>
              </w:rPr>
              <w:t>The incidence of symptomatic ADD (</w:t>
            </w:r>
            <w:proofErr w:type="spellStart"/>
            <w:r w:rsidRPr="0085732F">
              <w:rPr>
                <w:sz w:val="20"/>
              </w:rPr>
              <w:t>sADD</w:t>
            </w:r>
            <w:proofErr w:type="spellEnd"/>
            <w:r w:rsidRPr="0085732F">
              <w:rPr>
                <w:sz w:val="20"/>
              </w:rPr>
              <w:t>) was significantly higher in the S group than in the L group (</w:t>
            </w:r>
            <w:r w:rsidRPr="0085732F">
              <w:rPr>
                <w:i/>
                <w:sz w:val="20"/>
              </w:rPr>
              <w:t>P</w:t>
            </w:r>
            <w:r w:rsidRPr="0085732F">
              <w:rPr>
                <w:sz w:val="20"/>
              </w:rPr>
              <w:t xml:space="preserve"> = 0.024)</w:t>
            </w:r>
          </w:p>
          <w:p w14:paraId="070A33D8" w14:textId="77777777" w:rsidR="00E26B55" w:rsidRPr="0085732F" w:rsidRDefault="00E26B55" w:rsidP="00D80C7F">
            <w:pPr>
              <w:pStyle w:val="ListParagraph"/>
              <w:numPr>
                <w:ilvl w:val="0"/>
                <w:numId w:val="34"/>
              </w:numPr>
              <w:ind w:left="162" w:hanging="180"/>
              <w:rPr>
                <w:sz w:val="20"/>
              </w:rPr>
            </w:pPr>
            <w:r w:rsidRPr="0085732F">
              <w:rPr>
                <w:sz w:val="20"/>
              </w:rPr>
              <w:lastRenderedPageBreak/>
              <w:t xml:space="preserve">The incidence of ADD and </w:t>
            </w:r>
            <w:proofErr w:type="spellStart"/>
            <w:r w:rsidRPr="0085732F">
              <w:rPr>
                <w:sz w:val="20"/>
              </w:rPr>
              <w:t>sADD</w:t>
            </w:r>
            <w:proofErr w:type="spellEnd"/>
            <w:r w:rsidRPr="0085732F">
              <w:rPr>
                <w:sz w:val="20"/>
              </w:rPr>
              <w:t xml:space="preserve"> were significantly (</w:t>
            </w:r>
            <w:r w:rsidRPr="0085732F">
              <w:rPr>
                <w:i/>
                <w:sz w:val="20"/>
              </w:rPr>
              <w:t>P</w:t>
            </w:r>
            <w:r w:rsidRPr="0085732F">
              <w:rPr>
                <w:sz w:val="20"/>
              </w:rPr>
              <w:t xml:space="preserve"> = 0.048, 0.0066) higher in the NC group than in the C group</w:t>
            </w:r>
          </w:p>
        </w:tc>
        <w:tc>
          <w:tcPr>
            <w:tcW w:w="2340" w:type="dxa"/>
          </w:tcPr>
          <w:p w14:paraId="2D73A17D" w14:textId="77777777" w:rsidR="00E26B55" w:rsidRPr="0085732F" w:rsidRDefault="00E26B55" w:rsidP="00DB45D6">
            <w:pPr>
              <w:rPr>
                <w:sz w:val="20"/>
              </w:rPr>
            </w:pPr>
            <w:r w:rsidRPr="0085732F">
              <w:rPr>
                <w:sz w:val="20"/>
              </w:rPr>
              <w:lastRenderedPageBreak/>
              <w:t>Symptomatic ADD is less frequently associated with long-level ADF (≥ 4 disc levels) than short-level ADF (&lt; 3 levels)</w:t>
            </w:r>
          </w:p>
          <w:p w14:paraId="4806FED8" w14:textId="77777777" w:rsidR="00E26B55" w:rsidRPr="0085732F" w:rsidRDefault="00E26B55" w:rsidP="00DB45D6">
            <w:pPr>
              <w:rPr>
                <w:sz w:val="20"/>
              </w:rPr>
            </w:pPr>
            <w:r w:rsidRPr="0085732F">
              <w:rPr>
                <w:sz w:val="20"/>
              </w:rPr>
              <w:lastRenderedPageBreak/>
              <w:t>ADD occurs less frequently among patients in whom C5-6 and C6-7 are fused than among those in whom C5-6 or C6-7 is left as an adjacent level, irrespective of the length of fusion</w:t>
            </w:r>
          </w:p>
        </w:tc>
      </w:tr>
      <w:tr w:rsidR="00E26B55" w:rsidRPr="0085732F" w14:paraId="6824A998" w14:textId="77777777" w:rsidTr="00D80C7F">
        <w:trPr>
          <w:trHeight w:val="386"/>
        </w:trPr>
        <w:tc>
          <w:tcPr>
            <w:tcW w:w="1260" w:type="dxa"/>
          </w:tcPr>
          <w:p w14:paraId="685DFF71" w14:textId="77777777" w:rsidR="00E26B55" w:rsidRPr="0085732F" w:rsidRDefault="00E26B55" w:rsidP="00DB45D6">
            <w:pPr>
              <w:jc w:val="center"/>
              <w:rPr>
                <w:sz w:val="20"/>
              </w:rPr>
            </w:pPr>
            <w:proofErr w:type="spellStart"/>
            <w:r w:rsidRPr="0085732F">
              <w:rPr>
                <w:sz w:val="20"/>
              </w:rPr>
              <w:lastRenderedPageBreak/>
              <w:t>Nassr</w:t>
            </w:r>
            <w:proofErr w:type="spellEnd"/>
          </w:p>
          <w:p w14:paraId="791D7255" w14:textId="77777777" w:rsidR="00E26B55" w:rsidRPr="0085732F" w:rsidRDefault="00E26B55" w:rsidP="00DB45D6">
            <w:pPr>
              <w:jc w:val="center"/>
              <w:rPr>
                <w:sz w:val="20"/>
              </w:rPr>
            </w:pPr>
            <w:r w:rsidRPr="0085732F">
              <w:rPr>
                <w:sz w:val="20"/>
              </w:rPr>
              <w:t>(2009)</w:t>
            </w:r>
          </w:p>
          <w:p w14:paraId="79B81060" w14:textId="77777777" w:rsidR="00E26B55" w:rsidRPr="0085732F" w:rsidRDefault="00E26B55" w:rsidP="00DB45D6">
            <w:pPr>
              <w:jc w:val="center"/>
              <w:rPr>
                <w:sz w:val="20"/>
              </w:rPr>
            </w:pPr>
          </w:p>
        </w:tc>
        <w:tc>
          <w:tcPr>
            <w:tcW w:w="1530" w:type="dxa"/>
          </w:tcPr>
          <w:p w14:paraId="2559297D" w14:textId="77777777" w:rsidR="00E26B55" w:rsidRPr="0085732F" w:rsidRDefault="00E26B55" w:rsidP="00DB45D6">
            <w:pPr>
              <w:rPr>
                <w:sz w:val="20"/>
              </w:rPr>
            </w:pPr>
            <w:r w:rsidRPr="0085732F">
              <w:rPr>
                <w:sz w:val="20"/>
              </w:rPr>
              <w:t>Overall increase*: 32/87 (37%)</w:t>
            </w:r>
          </w:p>
          <w:p w14:paraId="68996890" w14:textId="77777777" w:rsidR="00E26B55" w:rsidRPr="0085732F" w:rsidRDefault="00E26B55" w:rsidP="00DB45D6">
            <w:pPr>
              <w:rPr>
                <w:sz w:val="20"/>
              </w:rPr>
            </w:pPr>
          </w:p>
          <w:p w14:paraId="604D5971" w14:textId="77777777" w:rsidR="00E26B55" w:rsidRPr="0085732F" w:rsidRDefault="00E26B55" w:rsidP="00DB45D6">
            <w:pPr>
              <w:rPr>
                <w:sz w:val="20"/>
              </w:rPr>
            </w:pPr>
            <w:r w:rsidRPr="0085732F">
              <w:rPr>
                <w:sz w:val="20"/>
              </w:rPr>
              <w:t>Correctly marked discs: 23/72 (32%)</w:t>
            </w:r>
          </w:p>
          <w:p w14:paraId="126D2AEE" w14:textId="77777777" w:rsidR="00E26B55" w:rsidRPr="0085732F" w:rsidRDefault="00E26B55" w:rsidP="00DB45D6">
            <w:pPr>
              <w:rPr>
                <w:sz w:val="20"/>
              </w:rPr>
            </w:pPr>
          </w:p>
          <w:p w14:paraId="0114AF00" w14:textId="77777777" w:rsidR="00E26B55" w:rsidRPr="0085732F" w:rsidRDefault="00E26B55" w:rsidP="00DB45D6">
            <w:pPr>
              <w:rPr>
                <w:sz w:val="20"/>
              </w:rPr>
            </w:pPr>
            <w:r w:rsidRPr="0085732F">
              <w:rPr>
                <w:sz w:val="20"/>
              </w:rPr>
              <w:t>Incorrectly marked discs: 9/15 (60%)</w:t>
            </w:r>
          </w:p>
          <w:p w14:paraId="118A51DE" w14:textId="77777777" w:rsidR="00E26B55" w:rsidRPr="0085732F" w:rsidRDefault="00E26B55" w:rsidP="00DB45D6">
            <w:pPr>
              <w:rPr>
                <w:sz w:val="20"/>
              </w:rPr>
            </w:pPr>
          </w:p>
          <w:p w14:paraId="02737457" w14:textId="77777777" w:rsidR="00E26B55" w:rsidRPr="0085732F" w:rsidRDefault="00E26B55" w:rsidP="00DB45D6">
            <w:pPr>
              <w:rPr>
                <w:sz w:val="20"/>
              </w:rPr>
            </w:pPr>
          </w:p>
        </w:tc>
        <w:tc>
          <w:tcPr>
            <w:tcW w:w="1620" w:type="dxa"/>
          </w:tcPr>
          <w:p w14:paraId="2242DF8C" w14:textId="77777777" w:rsidR="00E26B55" w:rsidRPr="0085732F" w:rsidRDefault="00E26B55" w:rsidP="00D80C7F">
            <w:pPr>
              <w:ind w:right="-108"/>
              <w:rPr>
                <w:sz w:val="20"/>
              </w:rPr>
            </w:pPr>
            <w:r w:rsidRPr="0085732F">
              <w:rPr>
                <w:sz w:val="20"/>
              </w:rPr>
              <w:t>NR</w:t>
            </w:r>
          </w:p>
          <w:p w14:paraId="7A86C6F3" w14:textId="77777777" w:rsidR="00E26B55" w:rsidRPr="0085732F" w:rsidRDefault="00E26B55" w:rsidP="00D80C7F">
            <w:pPr>
              <w:ind w:right="-108"/>
              <w:rPr>
                <w:sz w:val="20"/>
              </w:rPr>
            </w:pPr>
          </w:p>
          <w:p w14:paraId="1F8B639C" w14:textId="77777777" w:rsidR="00E26B55" w:rsidRPr="0085732F" w:rsidRDefault="00E26B55" w:rsidP="00D80C7F">
            <w:pPr>
              <w:ind w:right="-108"/>
              <w:rPr>
                <w:sz w:val="20"/>
              </w:rPr>
            </w:pPr>
            <w:r w:rsidRPr="0085732F">
              <w:rPr>
                <w:sz w:val="20"/>
              </w:rPr>
              <w:t>*When comparing cervical disc degeneration grade on pre- and post-op radiographs, the correctly marked discs stayed the same in 68%, increased by 1 grade in 29%, and increased by 2 grades in 3%. In the incorrect group, 40% stayed the same and 60% advanced 1 disc grade.</w:t>
            </w:r>
          </w:p>
        </w:tc>
        <w:tc>
          <w:tcPr>
            <w:tcW w:w="2880" w:type="dxa"/>
            <w:tcBorders>
              <w:right w:val="single" w:sz="4" w:space="0" w:color="000000"/>
            </w:tcBorders>
          </w:tcPr>
          <w:p w14:paraId="41791530" w14:textId="77777777" w:rsidR="00E26B55" w:rsidRPr="0085732F" w:rsidRDefault="00E26B55" w:rsidP="00D80C7F">
            <w:pPr>
              <w:pStyle w:val="ListParagraph"/>
              <w:numPr>
                <w:ilvl w:val="0"/>
                <w:numId w:val="34"/>
              </w:numPr>
              <w:ind w:left="162" w:hanging="180"/>
              <w:rPr>
                <w:sz w:val="20"/>
              </w:rPr>
            </w:pPr>
            <w:r w:rsidRPr="0085732F">
              <w:rPr>
                <w:sz w:val="20"/>
              </w:rPr>
              <w:t>Age</w:t>
            </w:r>
          </w:p>
          <w:p w14:paraId="5D2EB125" w14:textId="77777777" w:rsidR="00E26B55" w:rsidRPr="0085732F" w:rsidRDefault="00E26B55" w:rsidP="00D80C7F">
            <w:pPr>
              <w:pStyle w:val="ListParagraph"/>
              <w:numPr>
                <w:ilvl w:val="0"/>
                <w:numId w:val="34"/>
              </w:numPr>
              <w:ind w:left="162" w:hanging="180"/>
              <w:rPr>
                <w:sz w:val="20"/>
              </w:rPr>
            </w:pPr>
            <w:r w:rsidRPr="0085732F">
              <w:rPr>
                <w:sz w:val="20"/>
              </w:rPr>
              <w:t>Length of follow-up</w:t>
            </w:r>
          </w:p>
          <w:p w14:paraId="634EC90F" w14:textId="77777777" w:rsidR="00E26B55" w:rsidRPr="0085732F" w:rsidRDefault="00E26B55" w:rsidP="00D80C7F">
            <w:pPr>
              <w:pStyle w:val="ListParagraph"/>
              <w:numPr>
                <w:ilvl w:val="0"/>
                <w:numId w:val="34"/>
              </w:numPr>
              <w:ind w:left="162" w:hanging="180"/>
              <w:rPr>
                <w:sz w:val="20"/>
              </w:rPr>
            </w:pPr>
            <w:r w:rsidRPr="0085732F">
              <w:rPr>
                <w:sz w:val="20"/>
              </w:rPr>
              <w:t>Levels of fusion (1 vs. 2)</w:t>
            </w:r>
          </w:p>
          <w:p w14:paraId="60841E83" w14:textId="77777777" w:rsidR="00E26B55" w:rsidRPr="0085732F" w:rsidRDefault="00E26B55" w:rsidP="00D80C7F">
            <w:pPr>
              <w:pStyle w:val="ListParagraph"/>
              <w:numPr>
                <w:ilvl w:val="0"/>
                <w:numId w:val="34"/>
              </w:numPr>
              <w:ind w:left="162" w:hanging="180"/>
              <w:rPr>
                <w:sz w:val="20"/>
              </w:rPr>
            </w:pPr>
            <w:r w:rsidRPr="0085732F">
              <w:rPr>
                <w:sz w:val="20"/>
              </w:rPr>
              <w:t>Correct vs. incorrect needle localization</w:t>
            </w:r>
          </w:p>
          <w:p w14:paraId="47936E2B" w14:textId="77777777" w:rsidR="00E26B55" w:rsidRPr="0085732F" w:rsidRDefault="00E26B55" w:rsidP="00DB45D6">
            <w:pPr>
              <w:rPr>
                <w:sz w:val="20"/>
              </w:rPr>
            </w:pPr>
          </w:p>
        </w:tc>
        <w:tc>
          <w:tcPr>
            <w:tcW w:w="4230" w:type="dxa"/>
          </w:tcPr>
          <w:p w14:paraId="7DF634A5" w14:textId="39D9227A" w:rsidR="00E26B55" w:rsidRPr="0085732F" w:rsidRDefault="00E26B55" w:rsidP="00D80C7F">
            <w:pPr>
              <w:pStyle w:val="ListParagraph"/>
              <w:numPr>
                <w:ilvl w:val="0"/>
                <w:numId w:val="34"/>
              </w:numPr>
              <w:ind w:left="162" w:hanging="180"/>
              <w:rPr>
                <w:sz w:val="20"/>
              </w:rPr>
            </w:pPr>
            <w:r w:rsidRPr="0085732F">
              <w:rPr>
                <w:sz w:val="20"/>
              </w:rPr>
              <w:t xml:space="preserve">No correlation between age and </w:t>
            </w:r>
            <w:r w:rsidR="00995E47">
              <w:rPr>
                <w:sz w:val="20"/>
              </w:rPr>
              <w:t>ASP</w:t>
            </w:r>
            <w:r w:rsidRPr="0085732F">
              <w:rPr>
                <w:sz w:val="20"/>
              </w:rPr>
              <w:t xml:space="preserve"> (</w:t>
            </w:r>
            <w:r w:rsidRPr="0085732F">
              <w:rPr>
                <w:i/>
                <w:sz w:val="20"/>
              </w:rPr>
              <w:t>R</w:t>
            </w:r>
            <w:r w:rsidRPr="0085732F">
              <w:rPr>
                <w:sz w:val="20"/>
              </w:rPr>
              <w:t xml:space="preserve"> = 0.005, </w:t>
            </w:r>
            <w:r w:rsidRPr="0085732F">
              <w:rPr>
                <w:i/>
                <w:sz w:val="20"/>
              </w:rPr>
              <w:t>P</w:t>
            </w:r>
            <w:r w:rsidRPr="0085732F">
              <w:rPr>
                <w:sz w:val="20"/>
              </w:rPr>
              <w:t xml:space="preserve"> = 0.97)</w:t>
            </w:r>
          </w:p>
          <w:p w14:paraId="694E93A7" w14:textId="29FE99D9" w:rsidR="00E26B55" w:rsidRPr="0085732F" w:rsidRDefault="00E26B55" w:rsidP="00D80C7F">
            <w:pPr>
              <w:pStyle w:val="ListParagraph"/>
              <w:numPr>
                <w:ilvl w:val="0"/>
                <w:numId w:val="34"/>
              </w:numPr>
              <w:ind w:left="162" w:hanging="180"/>
              <w:rPr>
                <w:sz w:val="20"/>
              </w:rPr>
            </w:pPr>
            <w:r w:rsidRPr="0085732F">
              <w:rPr>
                <w:sz w:val="20"/>
              </w:rPr>
              <w:t xml:space="preserve">No correlation between length of follow-up and </w:t>
            </w:r>
            <w:r w:rsidR="00995E47">
              <w:rPr>
                <w:sz w:val="20"/>
              </w:rPr>
              <w:t>ASP</w:t>
            </w:r>
            <w:r w:rsidRPr="0085732F">
              <w:rPr>
                <w:sz w:val="20"/>
              </w:rPr>
              <w:t xml:space="preserve"> (</w:t>
            </w:r>
            <w:r w:rsidRPr="0085732F">
              <w:rPr>
                <w:i/>
                <w:sz w:val="20"/>
              </w:rPr>
              <w:t>R</w:t>
            </w:r>
            <w:r w:rsidRPr="0085732F">
              <w:rPr>
                <w:sz w:val="20"/>
              </w:rPr>
              <w:t xml:space="preserve"> = 0.11, </w:t>
            </w:r>
            <w:r w:rsidRPr="0085732F">
              <w:rPr>
                <w:i/>
                <w:sz w:val="20"/>
              </w:rPr>
              <w:t>P</w:t>
            </w:r>
            <w:r w:rsidRPr="0085732F">
              <w:rPr>
                <w:sz w:val="20"/>
              </w:rPr>
              <w:t xml:space="preserve"> = 0.17)</w:t>
            </w:r>
          </w:p>
          <w:p w14:paraId="0683554C" w14:textId="77777777" w:rsidR="00E26B55" w:rsidRPr="0085732F" w:rsidRDefault="00E26B55" w:rsidP="00D80C7F">
            <w:pPr>
              <w:pStyle w:val="ListParagraph"/>
              <w:numPr>
                <w:ilvl w:val="0"/>
                <w:numId w:val="34"/>
              </w:numPr>
              <w:ind w:left="162" w:hanging="180"/>
              <w:rPr>
                <w:sz w:val="20"/>
              </w:rPr>
            </w:pPr>
            <w:r w:rsidRPr="0085732F">
              <w:rPr>
                <w:sz w:val="20"/>
              </w:rPr>
              <w:t xml:space="preserve">When comparing 1 vs. 2-level fusion, they were equally likely to develop disc degeneration above the level of fusion (28% of the 1-level fusion patients advanced at least 1 grade; 43% of the 2-level fusion patients advanced at least 1 grade, </w:t>
            </w:r>
            <w:r w:rsidRPr="0085732F">
              <w:rPr>
                <w:i/>
                <w:sz w:val="20"/>
              </w:rPr>
              <w:t>P</w:t>
            </w:r>
            <w:r w:rsidRPr="0085732F">
              <w:rPr>
                <w:sz w:val="20"/>
              </w:rPr>
              <w:t xml:space="preserve"> = 0.143)</w:t>
            </w:r>
          </w:p>
          <w:p w14:paraId="776C0019" w14:textId="77777777" w:rsidR="00E26B55" w:rsidRPr="0085732F" w:rsidRDefault="00E26B55" w:rsidP="00D80C7F">
            <w:pPr>
              <w:pStyle w:val="ListParagraph"/>
              <w:numPr>
                <w:ilvl w:val="0"/>
                <w:numId w:val="34"/>
              </w:numPr>
              <w:ind w:left="162" w:hanging="180"/>
              <w:rPr>
                <w:sz w:val="20"/>
              </w:rPr>
            </w:pPr>
            <w:r w:rsidRPr="0085732F">
              <w:rPr>
                <w:sz w:val="20"/>
              </w:rPr>
              <w:t>Patients in the incorrectly marked group were statistically more likely to demonstrate progressive disc degeneration (odds ratio 3.2; 95% CI 1.02-10.05)</w:t>
            </w:r>
          </w:p>
        </w:tc>
        <w:tc>
          <w:tcPr>
            <w:tcW w:w="2340" w:type="dxa"/>
          </w:tcPr>
          <w:p w14:paraId="054CC7D4" w14:textId="77777777" w:rsidR="00E26B55" w:rsidRPr="0085732F" w:rsidRDefault="00E26B55" w:rsidP="00DB45D6">
            <w:pPr>
              <w:rPr>
                <w:sz w:val="20"/>
              </w:rPr>
            </w:pPr>
            <w:r w:rsidRPr="0085732F">
              <w:rPr>
                <w:sz w:val="20"/>
              </w:rPr>
              <w:t xml:space="preserve">There is a 3-fold increase in risk of developing adjacent level disc degeneration in incorrectly marked discs after ACDF at short-term follow-up. </w:t>
            </w:r>
          </w:p>
          <w:p w14:paraId="6D9AD685" w14:textId="004C7387" w:rsidR="00E26B55" w:rsidRPr="0085732F" w:rsidRDefault="00E26B55" w:rsidP="00DB45D6">
            <w:pPr>
              <w:rPr>
                <w:sz w:val="20"/>
              </w:rPr>
            </w:pPr>
            <w:r w:rsidRPr="0085732F">
              <w:rPr>
                <w:sz w:val="20"/>
              </w:rPr>
              <w:t xml:space="preserve">This may indicate that either needle related trauma or unnecessary surgical dissection contributes to accelerated </w:t>
            </w:r>
            <w:r w:rsidR="00EB0351">
              <w:rPr>
                <w:sz w:val="20"/>
              </w:rPr>
              <w:t>adjacent segment pathology</w:t>
            </w:r>
            <w:r w:rsidRPr="0085732F">
              <w:rPr>
                <w:sz w:val="20"/>
              </w:rPr>
              <w:t>.</w:t>
            </w:r>
          </w:p>
        </w:tc>
      </w:tr>
      <w:tr w:rsidR="00E26B55" w14:paraId="591801D6" w14:textId="77777777" w:rsidTr="00D80C7F">
        <w:trPr>
          <w:trHeight w:val="386"/>
        </w:trPr>
        <w:tc>
          <w:tcPr>
            <w:tcW w:w="1260" w:type="dxa"/>
          </w:tcPr>
          <w:p w14:paraId="618B2108" w14:textId="77777777" w:rsidR="00E26B55" w:rsidRPr="00B80C4B" w:rsidRDefault="00E26B55" w:rsidP="00DB45D6">
            <w:pPr>
              <w:jc w:val="center"/>
              <w:rPr>
                <w:sz w:val="20"/>
              </w:rPr>
            </w:pPr>
            <w:r w:rsidRPr="00B80C4B">
              <w:rPr>
                <w:sz w:val="20"/>
              </w:rPr>
              <w:t>Wu</w:t>
            </w:r>
          </w:p>
          <w:p w14:paraId="317F1091" w14:textId="77777777" w:rsidR="00E26B55" w:rsidRPr="00B80C4B" w:rsidRDefault="00E26B55" w:rsidP="00DB45D6">
            <w:pPr>
              <w:jc w:val="center"/>
              <w:rPr>
                <w:sz w:val="20"/>
              </w:rPr>
            </w:pPr>
            <w:r w:rsidRPr="00B80C4B">
              <w:rPr>
                <w:sz w:val="20"/>
              </w:rPr>
              <w:t>(2012)</w:t>
            </w:r>
          </w:p>
        </w:tc>
        <w:tc>
          <w:tcPr>
            <w:tcW w:w="1530" w:type="dxa"/>
          </w:tcPr>
          <w:p w14:paraId="72AB4A4A" w14:textId="77777777" w:rsidR="00E26B55" w:rsidRPr="00B80C4B" w:rsidRDefault="00E26B55" w:rsidP="00DB45D6">
            <w:pPr>
              <w:rPr>
                <w:sz w:val="20"/>
              </w:rPr>
            </w:pPr>
            <w:r w:rsidRPr="00B80C4B">
              <w:rPr>
                <w:sz w:val="20"/>
              </w:rPr>
              <w:t>568/19,385 (2.9%) received 2 ACDFs</w:t>
            </w:r>
          </w:p>
          <w:p w14:paraId="304DDAE4" w14:textId="77777777" w:rsidR="00E26B55" w:rsidRPr="00B80C4B" w:rsidRDefault="00E26B55" w:rsidP="00DB45D6">
            <w:pPr>
              <w:rPr>
                <w:sz w:val="20"/>
              </w:rPr>
            </w:pPr>
          </w:p>
          <w:p w14:paraId="35D326C9" w14:textId="77777777" w:rsidR="00E26B55" w:rsidRPr="00B80C4B" w:rsidRDefault="00E26B55" w:rsidP="00DB45D6">
            <w:pPr>
              <w:rPr>
                <w:sz w:val="20"/>
              </w:rPr>
            </w:pPr>
            <w:r w:rsidRPr="00B80C4B">
              <w:rPr>
                <w:sz w:val="20"/>
              </w:rPr>
              <w:t>29/19,385 (0.1%) received ≥ 3 ACDFs</w:t>
            </w:r>
          </w:p>
        </w:tc>
        <w:tc>
          <w:tcPr>
            <w:tcW w:w="1620" w:type="dxa"/>
          </w:tcPr>
          <w:p w14:paraId="0083AB37" w14:textId="77777777" w:rsidR="00E26B55" w:rsidRPr="00B80C4B" w:rsidRDefault="00E26B55" w:rsidP="00DB45D6">
            <w:pPr>
              <w:rPr>
                <w:sz w:val="20"/>
              </w:rPr>
            </w:pPr>
            <w:r w:rsidRPr="00B80C4B">
              <w:rPr>
                <w:sz w:val="20"/>
              </w:rPr>
              <w:t>NR</w:t>
            </w:r>
          </w:p>
        </w:tc>
        <w:tc>
          <w:tcPr>
            <w:tcW w:w="2880" w:type="dxa"/>
            <w:tcBorders>
              <w:right w:val="single" w:sz="4" w:space="0" w:color="000000"/>
            </w:tcBorders>
          </w:tcPr>
          <w:p w14:paraId="564C0750" w14:textId="77777777" w:rsidR="00E26B55" w:rsidRPr="00B80C4B" w:rsidRDefault="00E26B55" w:rsidP="00D80C7F">
            <w:pPr>
              <w:pStyle w:val="ListParagraph"/>
              <w:numPr>
                <w:ilvl w:val="0"/>
                <w:numId w:val="34"/>
              </w:numPr>
              <w:ind w:left="162" w:hanging="180"/>
              <w:rPr>
                <w:sz w:val="20"/>
              </w:rPr>
            </w:pPr>
            <w:r w:rsidRPr="00B80C4B">
              <w:rPr>
                <w:sz w:val="20"/>
              </w:rPr>
              <w:t>Age</w:t>
            </w:r>
          </w:p>
          <w:p w14:paraId="3DC179F5" w14:textId="77777777" w:rsidR="00E26B55" w:rsidRPr="00B80C4B" w:rsidRDefault="00E26B55" w:rsidP="00D80C7F">
            <w:pPr>
              <w:pStyle w:val="ListParagraph"/>
              <w:numPr>
                <w:ilvl w:val="0"/>
                <w:numId w:val="34"/>
              </w:numPr>
              <w:ind w:left="162" w:hanging="180"/>
              <w:rPr>
                <w:sz w:val="20"/>
              </w:rPr>
            </w:pPr>
            <w:r w:rsidRPr="00B80C4B">
              <w:rPr>
                <w:sz w:val="20"/>
              </w:rPr>
              <w:t>Gender</w:t>
            </w:r>
          </w:p>
          <w:p w14:paraId="42706E8A" w14:textId="77777777" w:rsidR="00E26B55" w:rsidRPr="00B80C4B" w:rsidRDefault="00E26B55" w:rsidP="00D80C7F">
            <w:pPr>
              <w:pStyle w:val="ListParagraph"/>
              <w:numPr>
                <w:ilvl w:val="0"/>
                <w:numId w:val="34"/>
              </w:numPr>
              <w:ind w:left="162" w:hanging="180"/>
              <w:rPr>
                <w:sz w:val="20"/>
              </w:rPr>
            </w:pPr>
            <w:r w:rsidRPr="00B80C4B">
              <w:rPr>
                <w:sz w:val="20"/>
              </w:rPr>
              <w:t>Diabetes mellitus</w:t>
            </w:r>
          </w:p>
          <w:p w14:paraId="6E4D895C" w14:textId="77777777" w:rsidR="00E26B55" w:rsidRPr="00B80C4B" w:rsidRDefault="00E26B55" w:rsidP="00D80C7F">
            <w:pPr>
              <w:pStyle w:val="ListParagraph"/>
              <w:numPr>
                <w:ilvl w:val="0"/>
                <w:numId w:val="34"/>
              </w:numPr>
              <w:ind w:left="162" w:hanging="180"/>
              <w:rPr>
                <w:sz w:val="20"/>
              </w:rPr>
            </w:pPr>
            <w:r w:rsidRPr="00B80C4B">
              <w:rPr>
                <w:sz w:val="20"/>
              </w:rPr>
              <w:t>Hypertension</w:t>
            </w:r>
          </w:p>
          <w:p w14:paraId="2F9B7779" w14:textId="77777777" w:rsidR="00E26B55" w:rsidRPr="00B80C4B" w:rsidRDefault="00E26B55" w:rsidP="00D80C7F">
            <w:pPr>
              <w:pStyle w:val="ListParagraph"/>
              <w:numPr>
                <w:ilvl w:val="0"/>
                <w:numId w:val="34"/>
              </w:numPr>
              <w:ind w:left="162" w:hanging="180"/>
              <w:rPr>
                <w:sz w:val="20"/>
              </w:rPr>
            </w:pPr>
            <w:r w:rsidRPr="00B80C4B">
              <w:rPr>
                <w:sz w:val="20"/>
              </w:rPr>
              <w:t>Cerebrovascular disease</w:t>
            </w:r>
          </w:p>
          <w:p w14:paraId="7A4329E8" w14:textId="77777777" w:rsidR="00E26B55" w:rsidRPr="00B80C4B" w:rsidRDefault="00E26B55" w:rsidP="00D80C7F">
            <w:pPr>
              <w:pStyle w:val="ListParagraph"/>
              <w:numPr>
                <w:ilvl w:val="0"/>
                <w:numId w:val="34"/>
              </w:numPr>
              <w:ind w:left="162" w:hanging="180"/>
              <w:rPr>
                <w:sz w:val="20"/>
              </w:rPr>
            </w:pPr>
            <w:r w:rsidRPr="00B80C4B">
              <w:rPr>
                <w:sz w:val="20"/>
              </w:rPr>
              <w:t>Heart disease</w:t>
            </w:r>
          </w:p>
          <w:p w14:paraId="7DAB9806" w14:textId="77777777" w:rsidR="00E26B55" w:rsidRPr="00B80C4B" w:rsidRDefault="00E26B55" w:rsidP="00D80C7F">
            <w:pPr>
              <w:pStyle w:val="ListParagraph"/>
              <w:numPr>
                <w:ilvl w:val="0"/>
                <w:numId w:val="34"/>
              </w:numPr>
              <w:ind w:left="162" w:hanging="180"/>
              <w:rPr>
                <w:sz w:val="20"/>
              </w:rPr>
            </w:pPr>
            <w:r w:rsidRPr="00B80C4B">
              <w:rPr>
                <w:sz w:val="20"/>
              </w:rPr>
              <w:t>Socioeconomic factors (insurance amount, urbanization level)</w:t>
            </w:r>
          </w:p>
        </w:tc>
        <w:tc>
          <w:tcPr>
            <w:tcW w:w="4230" w:type="dxa"/>
          </w:tcPr>
          <w:p w14:paraId="3AF40A01" w14:textId="498E4BE7" w:rsidR="00E26B55" w:rsidRPr="00B80C4B" w:rsidRDefault="00E26B55" w:rsidP="00D80C7F">
            <w:pPr>
              <w:pStyle w:val="ListParagraph"/>
              <w:numPr>
                <w:ilvl w:val="0"/>
                <w:numId w:val="34"/>
              </w:numPr>
              <w:ind w:left="162" w:hanging="180"/>
              <w:rPr>
                <w:sz w:val="20"/>
              </w:rPr>
            </w:pPr>
            <w:r w:rsidRPr="00B80C4B">
              <w:rPr>
                <w:sz w:val="20"/>
              </w:rPr>
              <w:t>Among those with secondary surgery (</w:t>
            </w:r>
            <w:r w:rsidR="00995E47">
              <w:rPr>
                <w:sz w:val="20"/>
              </w:rPr>
              <w:t>ASP</w:t>
            </w:r>
            <w:r w:rsidRPr="00B80C4B">
              <w:rPr>
                <w:sz w:val="20"/>
              </w:rPr>
              <w:t xml:space="preserve">): </w:t>
            </w:r>
          </w:p>
          <w:p w14:paraId="3F308A86" w14:textId="77777777" w:rsidR="00E26B55" w:rsidRPr="00B80C4B" w:rsidRDefault="00E26B55" w:rsidP="00D80C7F">
            <w:pPr>
              <w:pStyle w:val="ListParagraph"/>
              <w:numPr>
                <w:ilvl w:val="1"/>
                <w:numId w:val="34"/>
              </w:numPr>
              <w:ind w:left="252" w:hanging="180"/>
              <w:rPr>
                <w:sz w:val="20"/>
              </w:rPr>
            </w:pPr>
            <w:r w:rsidRPr="00B80C4B">
              <w:rPr>
                <w:sz w:val="20"/>
              </w:rPr>
              <w:t xml:space="preserve">367 (64.6%) were male and 201 (35.4%) were female </w:t>
            </w:r>
          </w:p>
          <w:p w14:paraId="443F1F6E" w14:textId="77777777" w:rsidR="00E26B55" w:rsidRPr="00B80C4B" w:rsidRDefault="00E26B55" w:rsidP="00D80C7F">
            <w:pPr>
              <w:pStyle w:val="ListParagraph"/>
              <w:numPr>
                <w:ilvl w:val="1"/>
                <w:numId w:val="34"/>
              </w:numPr>
              <w:ind w:left="252" w:hanging="180"/>
              <w:rPr>
                <w:sz w:val="20"/>
              </w:rPr>
            </w:pPr>
            <w:r w:rsidRPr="00B80C4B">
              <w:rPr>
                <w:sz w:val="20"/>
              </w:rPr>
              <w:t>335 (59.0%) were 40 to 59 years of age, 141 (24.8%) &gt; 60 years of age, and 92 (16.2%) 15 to 39 years of age</w:t>
            </w:r>
          </w:p>
          <w:p w14:paraId="44A59641" w14:textId="77777777" w:rsidR="00E26B55" w:rsidRPr="00B80C4B" w:rsidRDefault="00E26B55" w:rsidP="00D80C7F">
            <w:pPr>
              <w:pStyle w:val="ListParagraph"/>
              <w:numPr>
                <w:ilvl w:val="0"/>
                <w:numId w:val="34"/>
              </w:numPr>
              <w:ind w:left="162" w:hanging="180"/>
              <w:rPr>
                <w:sz w:val="20"/>
              </w:rPr>
            </w:pPr>
            <w:r w:rsidRPr="00B80C4B">
              <w:rPr>
                <w:sz w:val="20"/>
              </w:rPr>
              <w:t>Secondary ACDF operations more likely for male patients (adjusted hazard ratio = 1.27) than for female patients with statistical significance (</w:t>
            </w:r>
            <w:r w:rsidRPr="00B80C4B">
              <w:rPr>
                <w:i/>
                <w:sz w:val="20"/>
              </w:rPr>
              <w:t>P</w:t>
            </w:r>
            <w:r w:rsidRPr="00B80C4B">
              <w:rPr>
                <w:sz w:val="20"/>
              </w:rPr>
              <w:t xml:space="preserve"> = .008)</w:t>
            </w:r>
          </w:p>
          <w:p w14:paraId="1F82068B" w14:textId="77777777" w:rsidR="00E26B55" w:rsidRPr="00B80C4B" w:rsidRDefault="00E26B55" w:rsidP="00D80C7F">
            <w:pPr>
              <w:pStyle w:val="ListParagraph"/>
              <w:numPr>
                <w:ilvl w:val="0"/>
                <w:numId w:val="34"/>
              </w:numPr>
              <w:ind w:left="162" w:hanging="180"/>
            </w:pPr>
            <w:r w:rsidRPr="00B80C4B">
              <w:rPr>
                <w:sz w:val="20"/>
              </w:rPr>
              <w:t xml:space="preserve">Patients 15 to 39 and 40 to 59 years of age were more likely to receive a secondary operation </w:t>
            </w:r>
            <w:r w:rsidRPr="00B80C4B">
              <w:rPr>
                <w:sz w:val="20"/>
              </w:rPr>
              <w:lastRenderedPageBreak/>
              <w:t xml:space="preserve">than those &gt; 60 years of age (hazard ratio = 1.45 and 1.41; </w:t>
            </w:r>
            <w:r w:rsidRPr="00B80C4B">
              <w:rPr>
                <w:i/>
                <w:sz w:val="20"/>
              </w:rPr>
              <w:t>P</w:t>
            </w:r>
            <w:r w:rsidRPr="00B80C4B">
              <w:rPr>
                <w:sz w:val="20"/>
              </w:rPr>
              <w:t xml:space="preserve"> = .009 and .002, respectively)</w:t>
            </w:r>
          </w:p>
          <w:p w14:paraId="5A41CE8C" w14:textId="77777777" w:rsidR="00E26B55" w:rsidRPr="00B80C4B" w:rsidRDefault="00E26B55" w:rsidP="00D80C7F">
            <w:pPr>
              <w:pStyle w:val="ListParagraph"/>
              <w:numPr>
                <w:ilvl w:val="0"/>
                <w:numId w:val="34"/>
              </w:numPr>
              <w:ind w:left="162" w:hanging="180"/>
            </w:pPr>
            <w:r w:rsidRPr="00B80C4B">
              <w:rPr>
                <w:sz w:val="20"/>
              </w:rPr>
              <w:t xml:space="preserve">Comorbid systemic diseases, including diabetes mellitus, hypertension, cerebrovascular disease, and heart disease had no significant influence on the incidence of a secondary ACDF operation (hazard ratio = 1.10, 1.17, 1.39, and 1.40; </w:t>
            </w:r>
            <w:r w:rsidRPr="00B80C4B">
              <w:rPr>
                <w:i/>
                <w:sz w:val="20"/>
              </w:rPr>
              <w:t>P</w:t>
            </w:r>
            <w:r w:rsidRPr="00B80C4B">
              <w:rPr>
                <w:sz w:val="20"/>
              </w:rPr>
              <w:t xml:space="preserve"> = 0.523, 0.213, 0.064, and 0.134, respectively)</w:t>
            </w:r>
          </w:p>
          <w:p w14:paraId="299DB8B6" w14:textId="77777777" w:rsidR="00E26B55" w:rsidRPr="00B80C4B" w:rsidRDefault="00E26B55" w:rsidP="00D80C7F">
            <w:pPr>
              <w:pStyle w:val="ListParagraph"/>
              <w:numPr>
                <w:ilvl w:val="0"/>
                <w:numId w:val="34"/>
              </w:numPr>
              <w:ind w:left="162" w:hanging="180"/>
            </w:pPr>
            <w:r w:rsidRPr="00B80C4B">
              <w:rPr>
                <w:sz w:val="20"/>
              </w:rPr>
              <w:t>No significant influences on the incidence of a secondary ACDF operation were found among the socioeconomic groups (insurance amount and urbanization levels)</w:t>
            </w:r>
          </w:p>
        </w:tc>
        <w:tc>
          <w:tcPr>
            <w:tcW w:w="2340" w:type="dxa"/>
          </w:tcPr>
          <w:p w14:paraId="22C3EE84" w14:textId="4B0FF7CD" w:rsidR="00E26B55" w:rsidRDefault="00E26B55" w:rsidP="00DB45D6">
            <w:pPr>
              <w:rPr>
                <w:sz w:val="20"/>
              </w:rPr>
            </w:pPr>
            <w:r>
              <w:rPr>
                <w:sz w:val="20"/>
              </w:rPr>
              <w:lastRenderedPageBreak/>
              <w:t xml:space="preserve">Repeat ACDF surgery for </w:t>
            </w:r>
            <w:r w:rsidR="00995E47">
              <w:rPr>
                <w:sz w:val="20"/>
              </w:rPr>
              <w:t>ASP</w:t>
            </w:r>
            <w:r>
              <w:rPr>
                <w:sz w:val="20"/>
              </w:rPr>
              <w:t xml:space="preserve"> cumulated steadily for an annual incidence of approximately 0.8%. This is remarkably lower than the reported incidence of </w:t>
            </w:r>
            <w:r w:rsidR="00EB0351">
              <w:rPr>
                <w:sz w:val="20"/>
              </w:rPr>
              <w:t>CASP</w:t>
            </w:r>
            <w:r>
              <w:rPr>
                <w:sz w:val="20"/>
              </w:rPr>
              <w:t xml:space="preserve"> by </w:t>
            </w:r>
            <w:proofErr w:type="spellStart"/>
            <w:r>
              <w:rPr>
                <w:sz w:val="20"/>
              </w:rPr>
              <w:t>Hilibrand</w:t>
            </w:r>
            <w:proofErr w:type="spellEnd"/>
            <w:r>
              <w:rPr>
                <w:sz w:val="20"/>
              </w:rPr>
              <w:t xml:space="preserve"> et al. </w:t>
            </w:r>
          </w:p>
          <w:p w14:paraId="51A213F8" w14:textId="75C16D9C" w:rsidR="00E26B55" w:rsidRDefault="00E26B55" w:rsidP="00DB45D6">
            <w:pPr>
              <w:rPr>
                <w:sz w:val="20"/>
              </w:rPr>
            </w:pPr>
            <w:r>
              <w:rPr>
                <w:sz w:val="20"/>
              </w:rPr>
              <w:t xml:space="preserve">At the end of the 10-year cohort, a considerable portion of patients (5.6%) underwent reoperation for </w:t>
            </w:r>
            <w:r w:rsidR="00995E47">
              <w:rPr>
                <w:sz w:val="20"/>
              </w:rPr>
              <w:t>ASP</w:t>
            </w:r>
            <w:r>
              <w:rPr>
                <w:sz w:val="20"/>
              </w:rPr>
              <w:t>.</w:t>
            </w:r>
          </w:p>
          <w:p w14:paraId="51E4FF03" w14:textId="77777777" w:rsidR="00E26B55" w:rsidRDefault="00E26B55" w:rsidP="00DB45D6">
            <w:pPr>
              <w:rPr>
                <w:sz w:val="20"/>
              </w:rPr>
            </w:pPr>
            <w:r>
              <w:rPr>
                <w:sz w:val="20"/>
              </w:rPr>
              <w:lastRenderedPageBreak/>
              <w:t>Male and younger patients (&lt; 60 years of age) were more likely to undergo reoperations.</w:t>
            </w:r>
          </w:p>
        </w:tc>
      </w:tr>
    </w:tbl>
    <w:p w14:paraId="090B503A" w14:textId="77777777" w:rsidR="00E26B55" w:rsidRDefault="00E26B55" w:rsidP="00A543B4">
      <w:pPr>
        <w:rPr>
          <w:b/>
        </w:rPr>
      </w:pPr>
    </w:p>
    <w:p w14:paraId="1211809D" w14:textId="77777777" w:rsidR="009F6EF4" w:rsidRDefault="009F6EF4" w:rsidP="00A543B4">
      <w:pPr>
        <w:rPr>
          <w:b/>
        </w:rPr>
      </w:pPr>
    </w:p>
    <w:p w14:paraId="447FBBB6" w14:textId="77777777" w:rsidR="009F6EF4" w:rsidRDefault="009F6EF4" w:rsidP="00A543B4">
      <w:pPr>
        <w:rPr>
          <w:b/>
        </w:rPr>
        <w:sectPr w:rsidR="009F6EF4" w:rsidSect="00D425D9">
          <w:pgSz w:w="15840" w:h="12240" w:orient="landscape"/>
          <w:pgMar w:top="1440" w:right="1440" w:bottom="1440" w:left="1440" w:header="720" w:footer="720" w:gutter="0"/>
          <w:cols w:space="720"/>
          <w:docGrid w:linePitch="360"/>
        </w:sectPr>
      </w:pPr>
    </w:p>
    <w:p w14:paraId="73510331" w14:textId="77777777" w:rsidR="009F6EF4" w:rsidRPr="009F6EF4" w:rsidRDefault="00684073" w:rsidP="009F6EF4">
      <w:pPr>
        <w:rPr>
          <w:b/>
        </w:rPr>
      </w:pPr>
      <w:r>
        <w:rPr>
          <w:b/>
        </w:rPr>
        <w:lastRenderedPageBreak/>
        <w:t xml:space="preserve">Table 4.  </w:t>
      </w:r>
      <w:r w:rsidR="009F6EF4" w:rsidRPr="009F6EF4">
        <w:rPr>
          <w:b/>
        </w:rPr>
        <w:t>Evidence Summary</w:t>
      </w:r>
    </w:p>
    <w:tbl>
      <w:tblPr>
        <w:tblW w:w="12960" w:type="dxa"/>
        <w:tblInd w:w="144" w:type="dxa"/>
        <w:tblLayout w:type="fixed"/>
        <w:tblCellMar>
          <w:left w:w="0" w:type="dxa"/>
          <w:right w:w="0" w:type="dxa"/>
        </w:tblCellMar>
        <w:tblLook w:val="0600" w:firstRow="0" w:lastRow="0" w:firstColumn="0" w:lastColumn="0" w:noHBand="1" w:noVBand="1"/>
      </w:tblPr>
      <w:tblGrid>
        <w:gridCol w:w="2160"/>
        <w:gridCol w:w="1260"/>
        <w:gridCol w:w="5220"/>
        <w:gridCol w:w="1080"/>
        <w:gridCol w:w="1440"/>
        <w:gridCol w:w="1800"/>
      </w:tblGrid>
      <w:tr w:rsidR="009F6EF4" w:rsidRPr="00141C3D" w14:paraId="11486CAE" w14:textId="77777777" w:rsidTr="006C76FC">
        <w:trPr>
          <w:trHeight w:val="421"/>
        </w:trPr>
        <w:tc>
          <w:tcPr>
            <w:tcW w:w="12960" w:type="dxa"/>
            <w:gridSpan w:val="6"/>
            <w:tcBorders>
              <w:top w:val="single" w:sz="4" w:space="0" w:color="auto"/>
              <w:left w:val="single" w:sz="4" w:space="0" w:color="auto"/>
              <w:bottom w:val="single" w:sz="8" w:space="0" w:color="000000"/>
              <w:right w:val="single" w:sz="4" w:space="0" w:color="auto"/>
            </w:tcBorders>
            <w:shd w:val="clear" w:color="auto" w:fill="auto"/>
            <w:tcMar>
              <w:top w:w="72" w:type="dxa"/>
              <w:left w:w="144" w:type="dxa"/>
              <w:bottom w:w="72" w:type="dxa"/>
              <w:right w:w="144" w:type="dxa"/>
            </w:tcMar>
          </w:tcPr>
          <w:p w14:paraId="05F452FC" w14:textId="77777777" w:rsidR="009F6EF4" w:rsidRPr="00141C3D" w:rsidRDefault="009F6EF4" w:rsidP="0032419B">
            <w:pPr>
              <w:rPr>
                <w:sz w:val="20"/>
              </w:rPr>
            </w:pPr>
            <w:r w:rsidRPr="00141C3D">
              <w:rPr>
                <w:bCs/>
                <w:sz w:val="20"/>
                <w:u w:val="single"/>
              </w:rPr>
              <w:t>Baseline quality</w:t>
            </w:r>
            <w:r w:rsidRPr="00141C3D">
              <w:rPr>
                <w:bCs/>
                <w:sz w:val="20"/>
              </w:rPr>
              <w:t xml:space="preserve">:  </w:t>
            </w:r>
            <w:r w:rsidRPr="00141C3D">
              <w:rPr>
                <w:sz w:val="20"/>
              </w:rPr>
              <w:t>HIGH = majority of article Level I/II.  LOW = majority of articles Level III/IV.</w:t>
            </w:r>
          </w:p>
          <w:p w14:paraId="09203B7B" w14:textId="77777777" w:rsidR="009F6EF4" w:rsidRPr="00141C3D" w:rsidRDefault="009F6EF4" w:rsidP="0032419B">
            <w:pPr>
              <w:rPr>
                <w:sz w:val="20"/>
              </w:rPr>
            </w:pPr>
            <w:r w:rsidRPr="00141C3D">
              <w:rPr>
                <w:bCs/>
                <w:sz w:val="20"/>
                <w:u w:val="single"/>
              </w:rPr>
              <w:t>UPGRADE:</w:t>
            </w:r>
            <w:r w:rsidRPr="00141C3D">
              <w:rPr>
                <w:bCs/>
                <w:sz w:val="20"/>
              </w:rPr>
              <w:t xml:space="preserve">  </w:t>
            </w:r>
            <w:r w:rsidRPr="00141C3D">
              <w:rPr>
                <w:sz w:val="20"/>
              </w:rPr>
              <w:t>Large magnitude of effect (1 or 2 levels); dose response gradient (1 level)</w:t>
            </w:r>
          </w:p>
          <w:p w14:paraId="34969E6C" w14:textId="77777777" w:rsidR="009F6EF4" w:rsidRPr="00141C3D" w:rsidRDefault="009F6EF4" w:rsidP="0032419B">
            <w:pPr>
              <w:ind w:right="-144"/>
              <w:rPr>
                <w:bCs/>
                <w:sz w:val="20"/>
                <w:szCs w:val="20"/>
              </w:rPr>
            </w:pPr>
            <w:r w:rsidRPr="00141C3D">
              <w:rPr>
                <w:bCs/>
                <w:sz w:val="20"/>
                <w:u w:val="single"/>
              </w:rPr>
              <w:t>DOWNGRADE</w:t>
            </w:r>
            <w:r w:rsidRPr="00141C3D">
              <w:rPr>
                <w:bCs/>
                <w:sz w:val="20"/>
              </w:rPr>
              <w:t xml:space="preserve">:  </w:t>
            </w:r>
            <w:r w:rsidRPr="00141C3D">
              <w:rPr>
                <w:sz w:val="20"/>
              </w:rPr>
              <w:t>Inconsistency of results (1 or 2 levels); indirectness of evidence (1 or 2 levels); imprecision of effect estimates (1 or 2 levels)</w:t>
            </w:r>
          </w:p>
        </w:tc>
      </w:tr>
      <w:tr w:rsidR="009F6EF4" w:rsidRPr="00141C3D" w14:paraId="494EEDD8" w14:textId="77777777" w:rsidTr="006C76FC">
        <w:trPr>
          <w:trHeight w:val="421"/>
        </w:trPr>
        <w:tc>
          <w:tcPr>
            <w:tcW w:w="2160" w:type="dxa"/>
            <w:tcBorders>
              <w:top w:val="single" w:sz="4" w:space="0" w:color="auto"/>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227E01B7" w14:textId="77777777" w:rsidR="009F6EF4" w:rsidRPr="00141C3D" w:rsidRDefault="009F6EF4" w:rsidP="0032419B">
            <w:pPr>
              <w:rPr>
                <w:b/>
                <w:sz w:val="20"/>
                <w:szCs w:val="20"/>
              </w:rPr>
            </w:pPr>
          </w:p>
        </w:tc>
        <w:tc>
          <w:tcPr>
            <w:tcW w:w="126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148D4A" w14:textId="77777777" w:rsidR="009F6EF4" w:rsidRPr="00141C3D" w:rsidRDefault="009F6EF4" w:rsidP="0032419B">
            <w:pPr>
              <w:ind w:left="-119" w:right="-144"/>
              <w:rPr>
                <w:b/>
                <w:sz w:val="20"/>
                <w:szCs w:val="20"/>
              </w:rPr>
            </w:pPr>
            <w:r w:rsidRPr="00141C3D">
              <w:rPr>
                <w:b/>
                <w:bCs/>
                <w:sz w:val="20"/>
                <w:szCs w:val="20"/>
              </w:rPr>
              <w:t>Strength of evidence</w:t>
            </w:r>
          </w:p>
        </w:tc>
        <w:tc>
          <w:tcPr>
            <w:tcW w:w="5220"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4A7D387B" w14:textId="77777777" w:rsidR="009F6EF4" w:rsidRPr="00141C3D" w:rsidRDefault="009F6EF4" w:rsidP="0032419B">
            <w:pPr>
              <w:rPr>
                <w:b/>
                <w:sz w:val="20"/>
                <w:szCs w:val="20"/>
              </w:rPr>
            </w:pPr>
            <w:r w:rsidRPr="00141C3D">
              <w:rPr>
                <w:b/>
                <w:bCs/>
                <w:sz w:val="20"/>
                <w:szCs w:val="20"/>
              </w:rPr>
              <w:t>Conclusions/Comments</w:t>
            </w:r>
          </w:p>
        </w:tc>
        <w:tc>
          <w:tcPr>
            <w:tcW w:w="1080" w:type="dxa"/>
            <w:tcBorders>
              <w:top w:val="single" w:sz="4" w:space="0" w:color="auto"/>
              <w:left w:val="single" w:sz="8" w:space="0" w:color="000000"/>
              <w:bottom w:val="single" w:sz="8" w:space="0" w:color="000000"/>
              <w:right w:val="single" w:sz="4" w:space="0" w:color="auto"/>
            </w:tcBorders>
          </w:tcPr>
          <w:p w14:paraId="40ECB667" w14:textId="77777777" w:rsidR="009F6EF4" w:rsidRPr="00141C3D" w:rsidRDefault="009F6EF4" w:rsidP="0032419B">
            <w:pPr>
              <w:ind w:left="-54" w:right="-144"/>
              <w:jc w:val="center"/>
              <w:rPr>
                <w:b/>
                <w:sz w:val="20"/>
                <w:szCs w:val="20"/>
              </w:rPr>
            </w:pPr>
            <w:r w:rsidRPr="00141C3D">
              <w:rPr>
                <w:b/>
                <w:bCs/>
                <w:sz w:val="20"/>
                <w:szCs w:val="20"/>
              </w:rPr>
              <w:t>Baseline</w:t>
            </w:r>
          </w:p>
        </w:tc>
        <w:tc>
          <w:tcPr>
            <w:tcW w:w="1440" w:type="dxa"/>
            <w:tcBorders>
              <w:top w:val="single" w:sz="4" w:space="0" w:color="auto"/>
              <w:left w:val="single" w:sz="8" w:space="0" w:color="000000"/>
              <w:bottom w:val="single" w:sz="8" w:space="0" w:color="000000"/>
              <w:right w:val="single" w:sz="4" w:space="0" w:color="auto"/>
            </w:tcBorders>
          </w:tcPr>
          <w:p w14:paraId="541E6096" w14:textId="77777777" w:rsidR="009F6EF4" w:rsidRPr="00141C3D" w:rsidRDefault="009F6EF4" w:rsidP="0032419B">
            <w:pPr>
              <w:ind w:left="-54" w:right="-54"/>
              <w:jc w:val="center"/>
              <w:rPr>
                <w:b/>
                <w:sz w:val="20"/>
                <w:szCs w:val="20"/>
              </w:rPr>
            </w:pPr>
            <w:r w:rsidRPr="00141C3D">
              <w:rPr>
                <w:b/>
                <w:bCs/>
                <w:sz w:val="20"/>
                <w:szCs w:val="20"/>
              </w:rPr>
              <w:t>UPGRADE (levels)</w:t>
            </w:r>
          </w:p>
        </w:tc>
        <w:tc>
          <w:tcPr>
            <w:tcW w:w="1800" w:type="dxa"/>
            <w:tcBorders>
              <w:top w:val="single" w:sz="4" w:space="0" w:color="auto"/>
              <w:left w:val="single" w:sz="8" w:space="0" w:color="000000"/>
              <w:bottom w:val="single" w:sz="8" w:space="0" w:color="000000"/>
              <w:right w:val="single" w:sz="4" w:space="0" w:color="auto"/>
            </w:tcBorders>
          </w:tcPr>
          <w:p w14:paraId="2C6C4C29" w14:textId="77777777" w:rsidR="009F6EF4" w:rsidRPr="00141C3D" w:rsidRDefault="009F6EF4" w:rsidP="0032419B">
            <w:pPr>
              <w:ind w:left="-144" w:right="-144"/>
              <w:jc w:val="center"/>
              <w:rPr>
                <w:b/>
                <w:bCs/>
                <w:sz w:val="20"/>
                <w:szCs w:val="20"/>
              </w:rPr>
            </w:pPr>
            <w:r w:rsidRPr="00141C3D">
              <w:rPr>
                <w:b/>
                <w:bCs/>
                <w:sz w:val="20"/>
                <w:szCs w:val="20"/>
              </w:rPr>
              <w:t>DOWN-GRADE</w:t>
            </w:r>
          </w:p>
          <w:p w14:paraId="51B2896D" w14:textId="77777777" w:rsidR="009F6EF4" w:rsidRPr="00141C3D" w:rsidRDefault="009F6EF4" w:rsidP="0032419B">
            <w:pPr>
              <w:ind w:left="-144" w:right="-144"/>
              <w:jc w:val="center"/>
              <w:rPr>
                <w:b/>
                <w:sz w:val="20"/>
                <w:szCs w:val="20"/>
              </w:rPr>
            </w:pPr>
            <w:r w:rsidRPr="00141C3D">
              <w:rPr>
                <w:b/>
                <w:bCs/>
                <w:sz w:val="20"/>
                <w:szCs w:val="20"/>
              </w:rPr>
              <w:t>(levels)</w:t>
            </w:r>
          </w:p>
        </w:tc>
      </w:tr>
      <w:tr w:rsidR="009F6EF4" w:rsidRPr="00141C3D" w14:paraId="56A4C26F" w14:textId="77777777" w:rsidTr="006C76FC">
        <w:trPr>
          <w:trHeight w:val="28"/>
        </w:trPr>
        <w:tc>
          <w:tcPr>
            <w:tcW w:w="12960" w:type="dxa"/>
            <w:gridSpan w:val="6"/>
            <w:tcBorders>
              <w:top w:val="single" w:sz="8" w:space="0" w:color="000000"/>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40749BD" w14:textId="46A0B474" w:rsidR="009F6EF4" w:rsidRPr="00141C3D" w:rsidRDefault="009F6EF4" w:rsidP="0032419B">
            <w:pPr>
              <w:ind w:left="-107" w:right="-58"/>
              <w:rPr>
                <w:b/>
                <w:sz w:val="20"/>
                <w:szCs w:val="20"/>
              </w:rPr>
            </w:pPr>
            <w:r w:rsidRPr="00EE5BA6">
              <w:rPr>
                <w:b/>
                <w:sz w:val="20"/>
                <w:szCs w:val="20"/>
              </w:rPr>
              <w:t xml:space="preserve">Key </w:t>
            </w:r>
            <w:r w:rsidRPr="00141C3D">
              <w:rPr>
                <w:b/>
                <w:sz w:val="20"/>
                <w:szCs w:val="20"/>
              </w:rPr>
              <w:t xml:space="preserve">Question 1: </w:t>
            </w:r>
            <w:r w:rsidRPr="00EE5BA6">
              <w:rPr>
                <w:b/>
                <w:sz w:val="20"/>
                <w:szCs w:val="20"/>
              </w:rPr>
              <w:t xml:space="preserve">What is the estimated risk </w:t>
            </w:r>
            <w:proofErr w:type="gramStart"/>
            <w:r w:rsidRPr="00EE5BA6">
              <w:rPr>
                <w:b/>
                <w:sz w:val="20"/>
                <w:szCs w:val="20"/>
              </w:rPr>
              <w:t xml:space="preserve">of </w:t>
            </w:r>
            <w:r w:rsidR="00393369">
              <w:rPr>
                <w:b/>
                <w:sz w:val="20"/>
                <w:szCs w:val="20"/>
              </w:rPr>
              <w:t xml:space="preserve"> </w:t>
            </w:r>
            <w:r w:rsidR="00EB0351">
              <w:rPr>
                <w:b/>
                <w:sz w:val="20"/>
                <w:szCs w:val="20"/>
              </w:rPr>
              <w:t>CASP</w:t>
            </w:r>
            <w:proofErr w:type="gramEnd"/>
            <w:r w:rsidRPr="00EE5BA6">
              <w:rPr>
                <w:b/>
                <w:sz w:val="20"/>
                <w:szCs w:val="20"/>
              </w:rPr>
              <w:t xml:space="preserve"> after cervical fusion for degenerative disease?  </w:t>
            </w:r>
          </w:p>
        </w:tc>
      </w:tr>
      <w:tr w:rsidR="009F6EF4" w:rsidRPr="00141C3D" w14:paraId="4727858D" w14:textId="77777777" w:rsidTr="006C76FC">
        <w:trPr>
          <w:trHeight w:val="28"/>
        </w:trPr>
        <w:tc>
          <w:tcPr>
            <w:tcW w:w="2160"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14:paraId="09C3F006" w14:textId="77777777" w:rsidR="009F6EF4" w:rsidRPr="00141C3D" w:rsidRDefault="00393369" w:rsidP="00E50BAC">
            <w:pPr>
              <w:ind w:right="-197"/>
              <w:contextualSpacing/>
              <w:rPr>
                <w:sz w:val="20"/>
                <w:szCs w:val="20"/>
              </w:rPr>
            </w:pPr>
            <w:r>
              <w:rPr>
                <w:sz w:val="20"/>
                <w:szCs w:val="20"/>
              </w:rPr>
              <w:t xml:space="preserve">Risk </w:t>
            </w:r>
          </w:p>
        </w:tc>
        <w:tc>
          <w:tcPr>
            <w:tcW w:w="1260"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14:paraId="3CDBC589" w14:textId="77777777" w:rsidR="009F6EF4" w:rsidRPr="00141C3D" w:rsidRDefault="00393369" w:rsidP="0032419B">
            <w:pPr>
              <w:ind w:left="-144" w:right="-144"/>
              <w:jc w:val="center"/>
              <w:rPr>
                <w:sz w:val="20"/>
                <w:szCs w:val="20"/>
              </w:rPr>
            </w:pPr>
            <w:r>
              <w:rPr>
                <w:sz w:val="20"/>
                <w:szCs w:val="20"/>
              </w:rPr>
              <w:t>Low</w:t>
            </w:r>
          </w:p>
        </w:tc>
        <w:tc>
          <w:tcPr>
            <w:tcW w:w="5220" w:type="dxa"/>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tcPr>
          <w:p w14:paraId="5635EAD1" w14:textId="7AC36B83" w:rsidR="009F6EF4" w:rsidRPr="00141C3D" w:rsidRDefault="00393369" w:rsidP="00393369">
            <w:pPr>
              <w:numPr>
                <w:ilvl w:val="0"/>
                <w:numId w:val="32"/>
              </w:numPr>
              <w:tabs>
                <w:tab w:val="left" w:pos="126"/>
              </w:tabs>
              <w:ind w:left="129" w:right="-58" w:hanging="187"/>
              <w:rPr>
                <w:sz w:val="20"/>
                <w:szCs w:val="20"/>
              </w:rPr>
            </w:pPr>
            <w:r>
              <w:rPr>
                <w:sz w:val="20"/>
                <w:szCs w:val="20"/>
              </w:rPr>
              <w:t xml:space="preserve">The prevalence of </w:t>
            </w:r>
            <w:r w:rsidR="00EB0351">
              <w:rPr>
                <w:sz w:val="20"/>
                <w:szCs w:val="20"/>
              </w:rPr>
              <w:t>CASP</w:t>
            </w:r>
            <w:r>
              <w:rPr>
                <w:sz w:val="20"/>
                <w:szCs w:val="20"/>
              </w:rPr>
              <w:t xml:space="preserve"> ranged from 11 to 12% at 5 years and from 16 to 38% at 10 years</w:t>
            </w:r>
          </w:p>
        </w:tc>
        <w:tc>
          <w:tcPr>
            <w:tcW w:w="1080" w:type="dxa"/>
            <w:tcBorders>
              <w:top w:val="single" w:sz="4" w:space="0" w:color="auto"/>
              <w:left w:val="single" w:sz="4" w:space="0" w:color="auto"/>
              <w:right w:val="single" w:sz="4" w:space="0" w:color="auto"/>
            </w:tcBorders>
          </w:tcPr>
          <w:p w14:paraId="6D7E29CB" w14:textId="77777777" w:rsidR="009F6EF4" w:rsidRPr="00141C3D" w:rsidRDefault="00393369" w:rsidP="00393369">
            <w:pPr>
              <w:tabs>
                <w:tab w:val="left" w:pos="126"/>
              </w:tabs>
              <w:ind w:left="90" w:right="-58"/>
              <w:jc w:val="center"/>
              <w:rPr>
                <w:sz w:val="20"/>
                <w:szCs w:val="20"/>
              </w:rPr>
            </w:pPr>
            <w:r>
              <w:rPr>
                <w:sz w:val="20"/>
                <w:szCs w:val="20"/>
              </w:rPr>
              <w:t>Low</w:t>
            </w:r>
          </w:p>
        </w:tc>
        <w:tc>
          <w:tcPr>
            <w:tcW w:w="1440" w:type="dxa"/>
            <w:tcBorders>
              <w:top w:val="single" w:sz="4" w:space="0" w:color="auto"/>
              <w:left w:val="single" w:sz="4" w:space="0" w:color="auto"/>
              <w:right w:val="single" w:sz="4" w:space="0" w:color="auto"/>
            </w:tcBorders>
          </w:tcPr>
          <w:p w14:paraId="1C1630BB" w14:textId="77777777" w:rsidR="009F6EF4" w:rsidRPr="00141C3D" w:rsidRDefault="00393369" w:rsidP="00393369">
            <w:pPr>
              <w:tabs>
                <w:tab w:val="left" w:pos="126"/>
              </w:tabs>
              <w:ind w:left="90" w:right="-58"/>
              <w:jc w:val="center"/>
              <w:rPr>
                <w:sz w:val="20"/>
                <w:szCs w:val="20"/>
              </w:rPr>
            </w:pPr>
            <w:r>
              <w:rPr>
                <w:sz w:val="20"/>
                <w:szCs w:val="20"/>
              </w:rPr>
              <w:t>No</w:t>
            </w:r>
          </w:p>
        </w:tc>
        <w:tc>
          <w:tcPr>
            <w:tcW w:w="1800" w:type="dxa"/>
            <w:tcBorders>
              <w:top w:val="single" w:sz="4" w:space="0" w:color="auto"/>
              <w:left w:val="single" w:sz="4" w:space="0" w:color="auto"/>
              <w:right w:val="single" w:sz="4" w:space="0" w:color="auto"/>
            </w:tcBorders>
          </w:tcPr>
          <w:p w14:paraId="1A5843A3" w14:textId="77777777" w:rsidR="009F6EF4" w:rsidRPr="00141C3D" w:rsidRDefault="005512C0" w:rsidP="005512C0">
            <w:pPr>
              <w:tabs>
                <w:tab w:val="left" w:pos="126"/>
              </w:tabs>
              <w:ind w:left="90" w:right="-58"/>
              <w:jc w:val="center"/>
              <w:rPr>
                <w:sz w:val="20"/>
                <w:szCs w:val="20"/>
              </w:rPr>
            </w:pPr>
            <w:r>
              <w:rPr>
                <w:sz w:val="20"/>
                <w:szCs w:val="20"/>
              </w:rPr>
              <w:t>No</w:t>
            </w:r>
          </w:p>
        </w:tc>
      </w:tr>
      <w:tr w:rsidR="009F6EF4" w:rsidRPr="00141C3D" w14:paraId="4A20B99E" w14:textId="77777777" w:rsidTr="006C76FC">
        <w:trPr>
          <w:trHeight w:val="28"/>
        </w:trPr>
        <w:tc>
          <w:tcPr>
            <w:tcW w:w="12960" w:type="dxa"/>
            <w:gridSpan w:val="6"/>
            <w:tcBorders>
              <w:top w:val="single" w:sz="4" w:space="0" w:color="auto"/>
              <w:left w:val="single" w:sz="4" w:space="0" w:color="auto"/>
              <w:bottom w:val="single" w:sz="8" w:space="0" w:color="000000"/>
              <w:right w:val="single" w:sz="4" w:space="0" w:color="auto"/>
            </w:tcBorders>
            <w:shd w:val="clear" w:color="auto" w:fill="D9D9D9" w:themeFill="background1" w:themeFillShade="D9"/>
            <w:tcMar>
              <w:top w:w="72" w:type="dxa"/>
              <w:left w:w="144" w:type="dxa"/>
              <w:bottom w:w="72" w:type="dxa"/>
              <w:right w:w="144" w:type="dxa"/>
            </w:tcMar>
          </w:tcPr>
          <w:p w14:paraId="523B5B0C" w14:textId="58DE5C63" w:rsidR="009F6EF4" w:rsidRPr="00141C3D" w:rsidRDefault="009F6EF4" w:rsidP="0032419B">
            <w:pPr>
              <w:tabs>
                <w:tab w:val="left" w:pos="126"/>
              </w:tabs>
              <w:ind w:left="90" w:right="-58"/>
              <w:rPr>
                <w:b/>
                <w:sz w:val="20"/>
                <w:szCs w:val="20"/>
              </w:rPr>
            </w:pPr>
            <w:r w:rsidRPr="00EE5BA6">
              <w:rPr>
                <w:b/>
                <w:sz w:val="20"/>
                <w:szCs w:val="20"/>
              </w:rPr>
              <w:t xml:space="preserve">Key </w:t>
            </w:r>
            <w:r w:rsidRPr="00141C3D">
              <w:rPr>
                <w:b/>
                <w:sz w:val="20"/>
                <w:szCs w:val="20"/>
              </w:rPr>
              <w:t xml:space="preserve">Question 2: </w:t>
            </w:r>
            <w:r w:rsidRPr="00EE5BA6">
              <w:rPr>
                <w:b/>
                <w:sz w:val="20"/>
                <w:szCs w:val="20"/>
              </w:rPr>
              <w:t xml:space="preserve">Among patients undergoing cervical fusion, are there factors associated with an increased risk of </w:t>
            </w:r>
            <w:r w:rsidR="00EB0351">
              <w:rPr>
                <w:b/>
                <w:sz w:val="20"/>
                <w:szCs w:val="20"/>
              </w:rPr>
              <w:t>CASP</w:t>
            </w:r>
            <w:r w:rsidRPr="00EE5BA6">
              <w:rPr>
                <w:b/>
                <w:sz w:val="20"/>
                <w:szCs w:val="20"/>
              </w:rPr>
              <w:t xml:space="preserve"> in the following categories: patient factors, disease factors and surgical factors?</w:t>
            </w:r>
          </w:p>
        </w:tc>
      </w:tr>
      <w:tr w:rsidR="009F6EF4" w:rsidRPr="00141C3D" w14:paraId="4990E077" w14:textId="77777777" w:rsidTr="006C76FC">
        <w:trPr>
          <w:trHeight w:val="178"/>
        </w:trPr>
        <w:tc>
          <w:tcPr>
            <w:tcW w:w="12960" w:type="dxa"/>
            <w:gridSpan w:val="6"/>
            <w:tcBorders>
              <w:top w:val="single" w:sz="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tcPr>
          <w:p w14:paraId="647DCF91" w14:textId="77777777" w:rsidR="009F6EF4" w:rsidRPr="00141C3D" w:rsidRDefault="009F6EF4" w:rsidP="0032419B">
            <w:pPr>
              <w:tabs>
                <w:tab w:val="left" w:pos="126"/>
              </w:tabs>
              <w:ind w:left="90" w:right="-58"/>
              <w:rPr>
                <w:i/>
                <w:sz w:val="20"/>
                <w:szCs w:val="20"/>
              </w:rPr>
            </w:pPr>
            <w:r w:rsidRPr="00141C3D">
              <w:rPr>
                <w:i/>
                <w:sz w:val="20"/>
                <w:szCs w:val="20"/>
              </w:rPr>
              <w:t>Patient Factors</w:t>
            </w:r>
          </w:p>
        </w:tc>
      </w:tr>
      <w:tr w:rsidR="009F6EF4" w:rsidRPr="00141C3D" w14:paraId="19C636A1"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5600198F" w14:textId="77777777" w:rsidR="009F6EF4" w:rsidRPr="00141C3D" w:rsidRDefault="009F6EF4" w:rsidP="0032419B">
            <w:pPr>
              <w:ind w:right="-197"/>
              <w:contextualSpacing/>
              <w:rPr>
                <w:sz w:val="20"/>
                <w:szCs w:val="20"/>
              </w:rPr>
            </w:pPr>
            <w:r>
              <w:rPr>
                <w:sz w:val="20"/>
                <w:szCs w:val="20"/>
              </w:rPr>
              <w:t>Sex</w:t>
            </w:r>
            <w:r w:rsidRPr="00141C3D">
              <w:rPr>
                <w:sz w:val="20"/>
                <w:szCs w:val="20"/>
              </w:rPr>
              <w:t xml:space="preserve"> </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CE1651B" w14:textId="30C0FF86" w:rsidR="009F6EF4" w:rsidRPr="00141C3D" w:rsidRDefault="006C76FC" w:rsidP="006C76FC">
            <w:pPr>
              <w:ind w:left="-54" w:right="-54"/>
              <w:rPr>
                <w:sz w:val="20"/>
                <w:szCs w:val="20"/>
              </w:rPr>
            </w:pPr>
            <w:r>
              <w:rPr>
                <w:sz w:val="20"/>
                <w:szCs w:val="20"/>
              </w:rPr>
              <w:t>Insufficient</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4DF094B3" w14:textId="259C752A" w:rsidR="009F6EF4" w:rsidRPr="00141C3D" w:rsidRDefault="009F6EF4" w:rsidP="0032419B">
            <w:pPr>
              <w:numPr>
                <w:ilvl w:val="0"/>
                <w:numId w:val="32"/>
              </w:numPr>
              <w:tabs>
                <w:tab w:val="left" w:pos="126"/>
              </w:tabs>
              <w:ind w:left="129" w:right="-58" w:hanging="187"/>
              <w:rPr>
                <w:sz w:val="20"/>
                <w:szCs w:val="20"/>
              </w:rPr>
            </w:pPr>
            <w:r w:rsidRPr="00141C3D">
              <w:rPr>
                <w:sz w:val="20"/>
                <w:szCs w:val="20"/>
                <w:u w:val="single"/>
              </w:rPr>
              <w:t xml:space="preserve">Risk of </w:t>
            </w:r>
            <w:r w:rsidR="00EB0351">
              <w:rPr>
                <w:sz w:val="20"/>
                <w:szCs w:val="20"/>
                <w:u w:val="single"/>
              </w:rPr>
              <w:t>CASP</w:t>
            </w:r>
            <w:r w:rsidRPr="00141C3D">
              <w:rPr>
                <w:sz w:val="20"/>
                <w:szCs w:val="20"/>
              </w:rPr>
              <w:t xml:space="preserve">: slightly greater for females, though not statistically significant (1 retrospective </w:t>
            </w:r>
            <w:r>
              <w:rPr>
                <w:sz w:val="20"/>
                <w:szCs w:val="20"/>
              </w:rPr>
              <w:t>cohort</w:t>
            </w:r>
            <w:r w:rsidRPr="00141C3D">
              <w:rPr>
                <w:sz w:val="20"/>
                <w:szCs w:val="20"/>
              </w:rPr>
              <w:t>): 18.4% vs. 16.2%</w:t>
            </w:r>
          </w:p>
        </w:tc>
        <w:tc>
          <w:tcPr>
            <w:tcW w:w="1080" w:type="dxa"/>
            <w:tcBorders>
              <w:top w:val="single" w:sz="8" w:space="0" w:color="000000"/>
              <w:left w:val="single" w:sz="8" w:space="0" w:color="000000"/>
              <w:right w:val="single" w:sz="4" w:space="0" w:color="auto"/>
            </w:tcBorders>
          </w:tcPr>
          <w:p w14:paraId="21857357" w14:textId="77777777" w:rsidR="009F6EF4" w:rsidRPr="00141C3D" w:rsidRDefault="009F6EF4" w:rsidP="00393369">
            <w:pPr>
              <w:tabs>
                <w:tab w:val="left" w:pos="126"/>
              </w:tabs>
              <w:ind w:left="90" w:right="-58"/>
              <w:jc w:val="center"/>
              <w:rPr>
                <w:sz w:val="20"/>
                <w:szCs w:val="20"/>
              </w:rPr>
            </w:pPr>
            <w:r w:rsidRPr="00141C3D">
              <w:rPr>
                <w:sz w:val="20"/>
                <w:szCs w:val="20"/>
              </w:rPr>
              <w:t>Low</w:t>
            </w:r>
          </w:p>
        </w:tc>
        <w:tc>
          <w:tcPr>
            <w:tcW w:w="1440" w:type="dxa"/>
            <w:tcBorders>
              <w:top w:val="single" w:sz="8" w:space="0" w:color="000000"/>
              <w:left w:val="single" w:sz="8" w:space="0" w:color="000000"/>
              <w:right w:val="single" w:sz="4" w:space="0" w:color="auto"/>
            </w:tcBorders>
          </w:tcPr>
          <w:p w14:paraId="17A6A20E" w14:textId="77777777" w:rsidR="009F6EF4" w:rsidRPr="00141C3D" w:rsidRDefault="005512C0" w:rsidP="00393369">
            <w:pPr>
              <w:tabs>
                <w:tab w:val="left" w:pos="126"/>
              </w:tabs>
              <w:ind w:left="90" w:right="-58"/>
              <w:jc w:val="center"/>
              <w:rPr>
                <w:sz w:val="20"/>
                <w:szCs w:val="20"/>
              </w:rPr>
            </w:pPr>
            <w:r>
              <w:rPr>
                <w:sz w:val="20"/>
                <w:szCs w:val="20"/>
              </w:rPr>
              <w:t>No</w:t>
            </w:r>
          </w:p>
        </w:tc>
        <w:tc>
          <w:tcPr>
            <w:tcW w:w="1800" w:type="dxa"/>
            <w:tcBorders>
              <w:top w:val="single" w:sz="8" w:space="0" w:color="000000"/>
              <w:left w:val="single" w:sz="8" w:space="0" w:color="000000"/>
              <w:right w:val="single" w:sz="8" w:space="0" w:color="000000"/>
            </w:tcBorders>
          </w:tcPr>
          <w:p w14:paraId="6EA3B791" w14:textId="77777777" w:rsidR="009F6EF4" w:rsidRPr="00141C3D" w:rsidRDefault="009F6EF4" w:rsidP="00393369">
            <w:pPr>
              <w:tabs>
                <w:tab w:val="left" w:pos="126"/>
              </w:tabs>
              <w:ind w:left="90" w:right="-58"/>
              <w:jc w:val="center"/>
              <w:rPr>
                <w:sz w:val="20"/>
                <w:szCs w:val="20"/>
              </w:rPr>
            </w:pPr>
            <w:r w:rsidRPr="00141C3D">
              <w:rPr>
                <w:sz w:val="20"/>
                <w:szCs w:val="20"/>
              </w:rPr>
              <w:t>(1) single study</w:t>
            </w:r>
          </w:p>
        </w:tc>
      </w:tr>
      <w:tr w:rsidR="009F6EF4" w:rsidRPr="00141C3D" w14:paraId="0507691F"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642A8931" w14:textId="77777777" w:rsidR="009F6EF4" w:rsidRDefault="009F6EF4" w:rsidP="0032419B">
            <w:pPr>
              <w:ind w:left="73" w:right="-197"/>
              <w:contextualSpacing/>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DDFA50" w14:textId="3E537BDD" w:rsidR="009F6EF4" w:rsidRPr="00141C3D" w:rsidRDefault="00A938F8" w:rsidP="006C76FC">
            <w:pPr>
              <w:ind w:left="-54" w:right="-54"/>
              <w:rPr>
                <w:sz w:val="20"/>
                <w:szCs w:val="20"/>
              </w:rPr>
            </w:pPr>
            <w:r>
              <w:rPr>
                <w:sz w:val="20"/>
                <w:szCs w:val="20"/>
              </w:rPr>
              <w:t>Moderate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34D89CEA" w14:textId="487EDCB7" w:rsidR="009F6EF4" w:rsidRPr="00141C3D" w:rsidRDefault="009F6EF4" w:rsidP="0032419B">
            <w:pPr>
              <w:numPr>
                <w:ilvl w:val="0"/>
                <w:numId w:val="32"/>
              </w:numPr>
              <w:tabs>
                <w:tab w:val="left" w:pos="126"/>
              </w:tabs>
              <w:ind w:left="129" w:right="-58" w:hanging="187"/>
              <w:rPr>
                <w:sz w:val="20"/>
                <w:szCs w:val="20"/>
              </w:rPr>
            </w:pPr>
            <w:r w:rsidRPr="00141C3D">
              <w:rPr>
                <w:sz w:val="20"/>
                <w:szCs w:val="20"/>
                <w:u w:val="single"/>
              </w:rPr>
              <w:t xml:space="preserve">Risk of subsequent operation due to </w:t>
            </w:r>
            <w:r w:rsidR="00EB0351">
              <w:rPr>
                <w:sz w:val="20"/>
                <w:szCs w:val="20"/>
                <w:u w:val="single"/>
              </w:rPr>
              <w:t>CASP</w:t>
            </w:r>
            <w:r w:rsidRPr="00141C3D">
              <w:rPr>
                <w:sz w:val="20"/>
                <w:szCs w:val="20"/>
                <w:u w:val="single"/>
              </w:rPr>
              <w:t>:</w:t>
            </w:r>
            <w:r w:rsidRPr="00141C3D">
              <w:rPr>
                <w:sz w:val="20"/>
                <w:szCs w:val="20"/>
              </w:rPr>
              <w:t xml:space="preserve"> statistically greater for males (1 database study): </w:t>
            </w:r>
            <w:proofErr w:type="spellStart"/>
            <w:r w:rsidRPr="00141C3D">
              <w:rPr>
                <w:sz w:val="20"/>
                <w:szCs w:val="20"/>
              </w:rPr>
              <w:t>aHR</w:t>
            </w:r>
            <w:proofErr w:type="spellEnd"/>
            <w:r w:rsidRPr="00141C3D">
              <w:rPr>
                <w:sz w:val="20"/>
                <w:szCs w:val="20"/>
              </w:rPr>
              <w:t xml:space="preserve"> = 1.27 </w:t>
            </w:r>
            <w:r w:rsidRPr="00141C3D">
              <w:rPr>
                <w:bCs/>
                <w:sz w:val="20"/>
                <w:szCs w:val="20"/>
              </w:rPr>
              <w:t>(95% CI, 1.07–1.52</w:t>
            </w:r>
            <w:r>
              <w:rPr>
                <w:bCs/>
                <w:sz w:val="20"/>
                <w:szCs w:val="20"/>
              </w:rPr>
              <w:t>)</w:t>
            </w:r>
          </w:p>
        </w:tc>
        <w:tc>
          <w:tcPr>
            <w:tcW w:w="1080" w:type="dxa"/>
            <w:tcBorders>
              <w:left w:val="single" w:sz="8" w:space="0" w:color="000000"/>
              <w:bottom w:val="single" w:sz="8" w:space="0" w:color="000000"/>
              <w:right w:val="single" w:sz="4" w:space="0" w:color="auto"/>
            </w:tcBorders>
          </w:tcPr>
          <w:p w14:paraId="75088C47" w14:textId="29F82A15" w:rsidR="009F6EF4" w:rsidRPr="00141C3D" w:rsidRDefault="00A938F8" w:rsidP="00393369">
            <w:pPr>
              <w:tabs>
                <w:tab w:val="left" w:pos="126"/>
              </w:tabs>
              <w:ind w:left="90" w:right="-58"/>
              <w:jc w:val="center"/>
              <w:rPr>
                <w:sz w:val="20"/>
                <w:szCs w:val="20"/>
              </w:rPr>
            </w:pPr>
            <w:r>
              <w:rPr>
                <w:sz w:val="20"/>
                <w:szCs w:val="20"/>
              </w:rPr>
              <w:t>High</w:t>
            </w:r>
          </w:p>
        </w:tc>
        <w:tc>
          <w:tcPr>
            <w:tcW w:w="1440" w:type="dxa"/>
            <w:tcBorders>
              <w:left w:val="single" w:sz="8" w:space="0" w:color="000000"/>
              <w:bottom w:val="single" w:sz="8" w:space="0" w:color="000000"/>
              <w:right w:val="single" w:sz="4" w:space="0" w:color="auto"/>
            </w:tcBorders>
          </w:tcPr>
          <w:p w14:paraId="63FA86BD" w14:textId="77777777" w:rsidR="009F6EF4" w:rsidRPr="00141C3D" w:rsidRDefault="005512C0" w:rsidP="00393369">
            <w:pPr>
              <w:tabs>
                <w:tab w:val="left" w:pos="126"/>
              </w:tabs>
              <w:ind w:left="90" w:right="-58"/>
              <w:jc w:val="center"/>
              <w:rPr>
                <w:sz w:val="20"/>
                <w:szCs w:val="20"/>
              </w:rPr>
            </w:pPr>
            <w:r>
              <w:rPr>
                <w:sz w:val="20"/>
                <w:szCs w:val="20"/>
              </w:rPr>
              <w:t>No</w:t>
            </w:r>
          </w:p>
        </w:tc>
        <w:tc>
          <w:tcPr>
            <w:tcW w:w="1800" w:type="dxa"/>
            <w:tcBorders>
              <w:left w:val="single" w:sz="8" w:space="0" w:color="000000"/>
              <w:bottom w:val="single" w:sz="8" w:space="0" w:color="000000"/>
              <w:right w:val="single" w:sz="8" w:space="0" w:color="000000"/>
            </w:tcBorders>
          </w:tcPr>
          <w:p w14:paraId="1D0FDFBF" w14:textId="77777777" w:rsidR="009F6EF4" w:rsidRPr="00141C3D" w:rsidRDefault="009F6EF4" w:rsidP="00393369">
            <w:pPr>
              <w:tabs>
                <w:tab w:val="left" w:pos="126"/>
              </w:tabs>
              <w:ind w:left="90" w:right="-58"/>
              <w:jc w:val="center"/>
              <w:rPr>
                <w:sz w:val="20"/>
                <w:szCs w:val="20"/>
              </w:rPr>
            </w:pPr>
            <w:r w:rsidRPr="00141C3D">
              <w:rPr>
                <w:sz w:val="20"/>
                <w:szCs w:val="20"/>
              </w:rPr>
              <w:t>(1) single study</w:t>
            </w:r>
          </w:p>
        </w:tc>
      </w:tr>
      <w:tr w:rsidR="009F6EF4" w:rsidRPr="00141C3D" w14:paraId="354604C6" w14:textId="77777777" w:rsidTr="006C76FC">
        <w:trPr>
          <w:trHeight w:val="28"/>
        </w:trPr>
        <w:tc>
          <w:tcPr>
            <w:tcW w:w="21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8588FB9" w14:textId="77777777" w:rsidR="009F6EF4" w:rsidRPr="00141C3D" w:rsidRDefault="009F6EF4" w:rsidP="0032419B">
            <w:pPr>
              <w:contextualSpacing/>
              <w:rPr>
                <w:sz w:val="20"/>
                <w:szCs w:val="20"/>
              </w:rPr>
            </w:pPr>
            <w:r>
              <w:rPr>
                <w:sz w:val="20"/>
                <w:szCs w:val="20"/>
              </w:rPr>
              <w:t>Age</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88E6E4B" w14:textId="6B3412EB" w:rsidR="009F6EF4" w:rsidRPr="00141C3D" w:rsidRDefault="006C76FC" w:rsidP="006C76FC">
            <w:pPr>
              <w:ind w:left="-54" w:right="-54"/>
              <w:rPr>
                <w:sz w:val="20"/>
                <w:szCs w:val="20"/>
              </w:rPr>
            </w:pPr>
            <w:r>
              <w:rPr>
                <w:sz w:val="20"/>
                <w:szCs w:val="20"/>
              </w:rPr>
              <w:t>Insufficient</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1B2A1508" w14:textId="1A40C6D9" w:rsidR="009F6EF4" w:rsidRPr="00141C3D" w:rsidRDefault="009F6EF4" w:rsidP="0032419B">
            <w:pPr>
              <w:numPr>
                <w:ilvl w:val="0"/>
                <w:numId w:val="32"/>
              </w:numPr>
              <w:tabs>
                <w:tab w:val="left" w:pos="126"/>
              </w:tabs>
              <w:ind w:left="129" w:right="-58" w:hanging="187"/>
              <w:rPr>
                <w:sz w:val="20"/>
                <w:szCs w:val="20"/>
              </w:rPr>
            </w:pPr>
            <w:r w:rsidRPr="00141C3D">
              <w:rPr>
                <w:sz w:val="20"/>
                <w:szCs w:val="20"/>
                <w:u w:val="single"/>
              </w:rPr>
              <w:t xml:space="preserve">Risk of </w:t>
            </w:r>
            <w:r w:rsidR="00EB0351">
              <w:rPr>
                <w:sz w:val="20"/>
                <w:szCs w:val="20"/>
                <w:u w:val="single"/>
              </w:rPr>
              <w:t>CASP</w:t>
            </w:r>
            <w:r w:rsidRPr="00141C3D">
              <w:rPr>
                <w:sz w:val="20"/>
                <w:szCs w:val="20"/>
              </w:rPr>
              <w:t>:</w:t>
            </w:r>
            <w:r>
              <w:rPr>
                <w:sz w:val="20"/>
                <w:szCs w:val="20"/>
              </w:rPr>
              <w:t xml:space="preserve"> older age was highly correlated with </w:t>
            </w:r>
            <w:r w:rsidR="00EB0351">
              <w:rPr>
                <w:sz w:val="20"/>
                <w:szCs w:val="20"/>
              </w:rPr>
              <w:t>CASP</w:t>
            </w:r>
            <w:r w:rsidRPr="00E27EF8">
              <w:rPr>
                <w:sz w:val="20"/>
                <w:szCs w:val="20"/>
              </w:rPr>
              <w:t xml:space="preserve"> (</w:t>
            </w:r>
            <w:r w:rsidRPr="00E27EF8">
              <w:rPr>
                <w:bCs/>
                <w:sz w:val="20"/>
                <w:szCs w:val="20"/>
              </w:rPr>
              <w:t>r</w:t>
            </w:r>
            <w:r w:rsidRPr="00E27EF8">
              <w:rPr>
                <w:bCs/>
                <w:sz w:val="20"/>
                <w:szCs w:val="20"/>
                <w:vertAlign w:val="superscript"/>
              </w:rPr>
              <w:t>2</w:t>
            </w:r>
            <w:r w:rsidRPr="00E27EF8">
              <w:rPr>
                <w:bCs/>
                <w:sz w:val="20"/>
                <w:szCs w:val="20"/>
              </w:rPr>
              <w:t xml:space="preserve"> = 0.994) in one retrospective</w:t>
            </w:r>
            <w:r>
              <w:rPr>
                <w:bCs/>
                <w:sz w:val="20"/>
                <w:szCs w:val="20"/>
              </w:rPr>
              <w:t xml:space="preserve"> cohort; in another, younger age appeared to be a slight risk factor for </w:t>
            </w:r>
            <w:r w:rsidR="00EB0351">
              <w:rPr>
                <w:bCs/>
                <w:sz w:val="20"/>
                <w:szCs w:val="20"/>
              </w:rPr>
              <w:t>CASP</w:t>
            </w:r>
            <w:r>
              <w:rPr>
                <w:bCs/>
                <w:sz w:val="20"/>
                <w:szCs w:val="20"/>
              </w:rPr>
              <w:t xml:space="preserve">, though not statistically significant </w:t>
            </w:r>
          </w:p>
        </w:tc>
        <w:tc>
          <w:tcPr>
            <w:tcW w:w="1080" w:type="dxa"/>
            <w:tcBorders>
              <w:top w:val="single" w:sz="8" w:space="0" w:color="000000"/>
              <w:left w:val="single" w:sz="8" w:space="0" w:color="000000"/>
              <w:right w:val="single" w:sz="4" w:space="0" w:color="auto"/>
            </w:tcBorders>
          </w:tcPr>
          <w:p w14:paraId="387588F5" w14:textId="77777777" w:rsidR="009F6EF4" w:rsidRPr="00141C3D" w:rsidRDefault="009F6EF4" w:rsidP="00393369">
            <w:pPr>
              <w:tabs>
                <w:tab w:val="left" w:pos="126"/>
              </w:tabs>
              <w:ind w:left="90" w:right="-58"/>
              <w:jc w:val="center"/>
              <w:rPr>
                <w:sz w:val="20"/>
                <w:szCs w:val="20"/>
              </w:rPr>
            </w:pPr>
            <w:r>
              <w:rPr>
                <w:sz w:val="20"/>
                <w:szCs w:val="20"/>
              </w:rPr>
              <w:t>Low</w:t>
            </w:r>
          </w:p>
        </w:tc>
        <w:tc>
          <w:tcPr>
            <w:tcW w:w="1440" w:type="dxa"/>
            <w:tcBorders>
              <w:top w:val="single" w:sz="8" w:space="0" w:color="000000"/>
              <w:left w:val="single" w:sz="8" w:space="0" w:color="000000"/>
              <w:right w:val="single" w:sz="4" w:space="0" w:color="auto"/>
            </w:tcBorders>
          </w:tcPr>
          <w:p w14:paraId="1013E990" w14:textId="77777777" w:rsidR="009F6EF4" w:rsidRPr="00141C3D" w:rsidRDefault="005512C0" w:rsidP="00393369">
            <w:pPr>
              <w:tabs>
                <w:tab w:val="left" w:pos="126"/>
              </w:tabs>
              <w:ind w:left="90" w:right="-58"/>
              <w:jc w:val="center"/>
              <w:rPr>
                <w:sz w:val="20"/>
                <w:szCs w:val="20"/>
              </w:rPr>
            </w:pPr>
            <w:r>
              <w:rPr>
                <w:sz w:val="20"/>
                <w:szCs w:val="20"/>
              </w:rPr>
              <w:t>No</w:t>
            </w:r>
          </w:p>
        </w:tc>
        <w:tc>
          <w:tcPr>
            <w:tcW w:w="1800" w:type="dxa"/>
            <w:tcBorders>
              <w:top w:val="single" w:sz="8" w:space="0" w:color="000000"/>
              <w:left w:val="single" w:sz="8" w:space="0" w:color="000000"/>
              <w:right w:val="single" w:sz="8" w:space="0" w:color="000000"/>
            </w:tcBorders>
          </w:tcPr>
          <w:p w14:paraId="66F3E285" w14:textId="77777777" w:rsidR="009F6EF4" w:rsidRPr="00141C3D" w:rsidRDefault="009F6EF4" w:rsidP="00393369">
            <w:pPr>
              <w:ind w:left="360" w:right="-58" w:hanging="270"/>
              <w:jc w:val="center"/>
              <w:rPr>
                <w:sz w:val="20"/>
                <w:szCs w:val="20"/>
              </w:rPr>
            </w:pPr>
            <w:r>
              <w:rPr>
                <w:sz w:val="20"/>
                <w:szCs w:val="20"/>
              </w:rPr>
              <w:t>(1) inconsistent results</w:t>
            </w:r>
          </w:p>
        </w:tc>
      </w:tr>
      <w:tr w:rsidR="009F6EF4" w:rsidRPr="00141C3D" w14:paraId="3BC02529" w14:textId="77777777" w:rsidTr="006C76FC">
        <w:trPr>
          <w:trHeight w:val="28"/>
        </w:trPr>
        <w:tc>
          <w:tcPr>
            <w:tcW w:w="21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31EE74" w14:textId="77777777" w:rsidR="009F6EF4" w:rsidRDefault="009F6EF4" w:rsidP="0032419B">
            <w:pPr>
              <w:ind w:left="73"/>
              <w:contextualSpacing/>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95BFC4" w14:textId="4453101E" w:rsidR="009F6EF4" w:rsidRPr="00141C3D" w:rsidRDefault="00A938F8" w:rsidP="006C76FC">
            <w:pPr>
              <w:ind w:left="-54" w:right="-54"/>
              <w:rPr>
                <w:sz w:val="20"/>
                <w:szCs w:val="20"/>
              </w:rPr>
            </w:pPr>
            <w:r>
              <w:rPr>
                <w:sz w:val="20"/>
                <w:szCs w:val="20"/>
              </w:rPr>
              <w:t>Moderate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33EAA40F" w14:textId="4464310F" w:rsidR="009F6EF4" w:rsidRPr="00E27EF8" w:rsidRDefault="009F6EF4" w:rsidP="0032419B">
            <w:pPr>
              <w:numPr>
                <w:ilvl w:val="0"/>
                <w:numId w:val="32"/>
              </w:numPr>
              <w:tabs>
                <w:tab w:val="left" w:pos="126"/>
              </w:tabs>
              <w:ind w:left="129" w:right="-58" w:hanging="187"/>
              <w:rPr>
                <w:sz w:val="20"/>
                <w:szCs w:val="20"/>
              </w:rPr>
            </w:pPr>
            <w:r w:rsidRPr="00E27EF8">
              <w:rPr>
                <w:sz w:val="20"/>
                <w:szCs w:val="20"/>
                <w:u w:val="single"/>
              </w:rPr>
              <w:t xml:space="preserve">Risk of subsequent operation due to </w:t>
            </w:r>
            <w:r w:rsidR="00EB0351">
              <w:rPr>
                <w:sz w:val="20"/>
                <w:szCs w:val="20"/>
                <w:u w:val="single"/>
              </w:rPr>
              <w:t>CASP</w:t>
            </w:r>
            <w:r w:rsidRPr="00E27EF8">
              <w:rPr>
                <w:sz w:val="20"/>
                <w:szCs w:val="20"/>
              </w:rPr>
              <w:t xml:space="preserve">: statistically greater in patients &lt; 60 years vs. ≥ 60 years </w:t>
            </w:r>
            <w:r>
              <w:rPr>
                <w:sz w:val="20"/>
                <w:szCs w:val="20"/>
              </w:rPr>
              <w:t>(1 database study)</w:t>
            </w:r>
          </w:p>
        </w:tc>
        <w:tc>
          <w:tcPr>
            <w:tcW w:w="1080" w:type="dxa"/>
            <w:tcBorders>
              <w:left w:val="single" w:sz="8" w:space="0" w:color="000000"/>
              <w:bottom w:val="single" w:sz="8" w:space="0" w:color="000000"/>
              <w:right w:val="single" w:sz="4" w:space="0" w:color="auto"/>
            </w:tcBorders>
          </w:tcPr>
          <w:p w14:paraId="4BA4B5D4" w14:textId="7E3D4EDC" w:rsidR="009F6EF4" w:rsidRPr="00141C3D" w:rsidRDefault="00A938F8" w:rsidP="00393369">
            <w:pPr>
              <w:tabs>
                <w:tab w:val="left" w:pos="126"/>
              </w:tabs>
              <w:ind w:left="90" w:right="-58"/>
              <w:jc w:val="center"/>
              <w:rPr>
                <w:sz w:val="20"/>
                <w:szCs w:val="20"/>
              </w:rPr>
            </w:pPr>
            <w:r>
              <w:rPr>
                <w:sz w:val="20"/>
                <w:szCs w:val="20"/>
              </w:rPr>
              <w:t>High</w:t>
            </w:r>
          </w:p>
        </w:tc>
        <w:tc>
          <w:tcPr>
            <w:tcW w:w="1440" w:type="dxa"/>
            <w:tcBorders>
              <w:left w:val="single" w:sz="8" w:space="0" w:color="000000"/>
              <w:bottom w:val="single" w:sz="8" w:space="0" w:color="000000"/>
              <w:right w:val="single" w:sz="4" w:space="0" w:color="auto"/>
            </w:tcBorders>
          </w:tcPr>
          <w:p w14:paraId="08E072D1" w14:textId="77777777" w:rsidR="009F6EF4" w:rsidRPr="00141C3D" w:rsidRDefault="005512C0" w:rsidP="00393369">
            <w:pPr>
              <w:tabs>
                <w:tab w:val="left" w:pos="126"/>
              </w:tabs>
              <w:ind w:left="90" w:right="-58"/>
              <w:jc w:val="center"/>
              <w:rPr>
                <w:sz w:val="20"/>
                <w:szCs w:val="20"/>
              </w:rPr>
            </w:pPr>
            <w:r>
              <w:rPr>
                <w:sz w:val="20"/>
                <w:szCs w:val="20"/>
              </w:rPr>
              <w:t>No</w:t>
            </w:r>
          </w:p>
        </w:tc>
        <w:tc>
          <w:tcPr>
            <w:tcW w:w="1800" w:type="dxa"/>
            <w:tcBorders>
              <w:left w:val="single" w:sz="8" w:space="0" w:color="000000"/>
              <w:bottom w:val="single" w:sz="8" w:space="0" w:color="000000"/>
              <w:right w:val="single" w:sz="8" w:space="0" w:color="000000"/>
            </w:tcBorders>
          </w:tcPr>
          <w:p w14:paraId="25A16583" w14:textId="77777777" w:rsidR="009F6EF4" w:rsidRPr="00141C3D" w:rsidRDefault="009F6EF4" w:rsidP="00393369">
            <w:pPr>
              <w:tabs>
                <w:tab w:val="left" w:pos="126"/>
              </w:tabs>
              <w:ind w:left="90" w:right="-58"/>
              <w:jc w:val="center"/>
              <w:rPr>
                <w:sz w:val="20"/>
                <w:szCs w:val="20"/>
              </w:rPr>
            </w:pPr>
            <w:r w:rsidRPr="00E27EF8">
              <w:rPr>
                <w:sz w:val="20"/>
                <w:szCs w:val="20"/>
              </w:rPr>
              <w:t>(1) single study</w:t>
            </w:r>
          </w:p>
        </w:tc>
      </w:tr>
      <w:tr w:rsidR="006C76FC" w:rsidRPr="00141C3D" w14:paraId="72793EE3"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555E762D" w14:textId="77777777" w:rsidR="006C76FC" w:rsidRPr="000C6A4B" w:rsidRDefault="006C76FC" w:rsidP="0032419B">
            <w:pPr>
              <w:contextualSpacing/>
              <w:rPr>
                <w:sz w:val="20"/>
                <w:szCs w:val="20"/>
              </w:rPr>
            </w:pPr>
            <w:r w:rsidRPr="000C6A4B">
              <w:rPr>
                <w:sz w:val="20"/>
                <w:szCs w:val="20"/>
              </w:rPr>
              <w:t>Comorbidities</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3E885D9" w14:textId="7C738017" w:rsidR="006C76FC" w:rsidRPr="000C6A4B" w:rsidRDefault="006C76FC" w:rsidP="006C76FC">
            <w:pPr>
              <w:ind w:left="-54" w:right="-54"/>
              <w:jc w:val="center"/>
              <w:rPr>
                <w:sz w:val="20"/>
                <w:szCs w:val="20"/>
              </w:rPr>
            </w:pPr>
            <w:r>
              <w:rPr>
                <w:sz w:val="20"/>
                <w:szCs w:val="20"/>
              </w:rPr>
              <w:t>No evidence</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2A63A615" w14:textId="5B88E33B"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w:t>
            </w:r>
            <w:r w:rsidR="00EB0351">
              <w:rPr>
                <w:sz w:val="20"/>
                <w:szCs w:val="20"/>
                <w:u w:val="single"/>
              </w:rPr>
              <w:t>CASP</w:t>
            </w:r>
            <w:r w:rsidRPr="000C6A4B">
              <w:rPr>
                <w:sz w:val="20"/>
                <w:szCs w:val="20"/>
              </w:rPr>
              <w:t>:</w:t>
            </w:r>
            <w:r>
              <w:rPr>
                <w:sz w:val="20"/>
                <w:szCs w:val="20"/>
              </w:rPr>
              <w:t xml:space="preserve"> none reported</w:t>
            </w:r>
          </w:p>
        </w:tc>
        <w:tc>
          <w:tcPr>
            <w:tcW w:w="1080" w:type="dxa"/>
            <w:tcBorders>
              <w:top w:val="single" w:sz="8" w:space="0" w:color="000000"/>
              <w:left w:val="single" w:sz="8" w:space="0" w:color="000000"/>
              <w:right w:val="single" w:sz="4" w:space="0" w:color="auto"/>
            </w:tcBorders>
          </w:tcPr>
          <w:p w14:paraId="4BE73BB6" w14:textId="77777777" w:rsidR="006C76FC" w:rsidRPr="00141C3D" w:rsidRDefault="006C76FC" w:rsidP="00393369">
            <w:pPr>
              <w:tabs>
                <w:tab w:val="left" w:pos="126"/>
              </w:tabs>
              <w:ind w:left="90" w:right="-58"/>
              <w:jc w:val="center"/>
              <w:rPr>
                <w:sz w:val="20"/>
                <w:szCs w:val="20"/>
              </w:rPr>
            </w:pPr>
            <w:r>
              <w:rPr>
                <w:sz w:val="20"/>
                <w:szCs w:val="20"/>
              </w:rPr>
              <w:t>N/A</w:t>
            </w:r>
          </w:p>
        </w:tc>
        <w:tc>
          <w:tcPr>
            <w:tcW w:w="1440" w:type="dxa"/>
            <w:tcBorders>
              <w:top w:val="single" w:sz="8" w:space="0" w:color="000000"/>
              <w:left w:val="single" w:sz="8" w:space="0" w:color="000000"/>
              <w:right w:val="single" w:sz="4" w:space="0" w:color="auto"/>
            </w:tcBorders>
          </w:tcPr>
          <w:p w14:paraId="00EA84EC" w14:textId="77777777" w:rsidR="006C76FC" w:rsidRPr="00141C3D" w:rsidRDefault="006C76FC" w:rsidP="00393369">
            <w:pPr>
              <w:tabs>
                <w:tab w:val="left" w:pos="126"/>
              </w:tabs>
              <w:ind w:left="90" w:right="-58"/>
              <w:jc w:val="center"/>
              <w:rPr>
                <w:sz w:val="20"/>
                <w:szCs w:val="20"/>
              </w:rPr>
            </w:pPr>
          </w:p>
        </w:tc>
        <w:tc>
          <w:tcPr>
            <w:tcW w:w="1800" w:type="dxa"/>
            <w:tcBorders>
              <w:top w:val="single" w:sz="8" w:space="0" w:color="000000"/>
              <w:left w:val="single" w:sz="8" w:space="0" w:color="000000"/>
              <w:right w:val="single" w:sz="8" w:space="0" w:color="000000"/>
            </w:tcBorders>
          </w:tcPr>
          <w:p w14:paraId="3FF9F001" w14:textId="77777777" w:rsidR="006C76FC" w:rsidRPr="00141C3D" w:rsidRDefault="006C76FC" w:rsidP="00393369">
            <w:pPr>
              <w:tabs>
                <w:tab w:val="left" w:pos="126"/>
              </w:tabs>
              <w:ind w:left="90" w:right="-58"/>
              <w:jc w:val="center"/>
              <w:rPr>
                <w:sz w:val="20"/>
                <w:szCs w:val="20"/>
              </w:rPr>
            </w:pPr>
          </w:p>
        </w:tc>
      </w:tr>
      <w:tr w:rsidR="006C76FC" w:rsidRPr="00141C3D" w14:paraId="618EAD23"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306E7EAE" w14:textId="77777777" w:rsidR="006C76FC" w:rsidRPr="003579EE" w:rsidRDefault="006C76FC" w:rsidP="0032419B">
            <w:pPr>
              <w:contextualSpacing/>
              <w:rPr>
                <w:sz w:val="18"/>
                <w:szCs w:val="18"/>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FEA890" w14:textId="79190A1D" w:rsidR="006C76FC" w:rsidRPr="000C6A4B" w:rsidRDefault="00A938F8" w:rsidP="006C76FC">
            <w:pPr>
              <w:ind w:left="-54" w:right="-54"/>
              <w:jc w:val="center"/>
              <w:rPr>
                <w:sz w:val="20"/>
                <w:szCs w:val="20"/>
              </w:rPr>
            </w:pPr>
            <w:r>
              <w:rPr>
                <w:sz w:val="20"/>
                <w:szCs w:val="20"/>
              </w:rPr>
              <w:t>Moderate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59955D80" w14:textId="667A8624" w:rsidR="006C76FC" w:rsidRPr="000C6A4B" w:rsidRDefault="006C76FC" w:rsidP="0032419B">
            <w:pPr>
              <w:numPr>
                <w:ilvl w:val="0"/>
                <w:numId w:val="32"/>
              </w:numPr>
              <w:tabs>
                <w:tab w:val="left" w:pos="126"/>
              </w:tabs>
              <w:ind w:left="129" w:right="-58" w:hanging="187"/>
              <w:rPr>
                <w:sz w:val="20"/>
                <w:szCs w:val="20"/>
              </w:rPr>
            </w:pPr>
            <w:r w:rsidRPr="000C6A4B">
              <w:rPr>
                <w:sz w:val="20"/>
                <w:szCs w:val="20"/>
                <w:u w:val="single"/>
              </w:rPr>
              <w:t xml:space="preserve">Risk of subsequent operation due to </w:t>
            </w:r>
            <w:r w:rsidR="00EB0351">
              <w:rPr>
                <w:sz w:val="20"/>
                <w:szCs w:val="20"/>
                <w:u w:val="single"/>
              </w:rPr>
              <w:t>CASP</w:t>
            </w:r>
            <w:r w:rsidRPr="000C6A4B">
              <w:rPr>
                <w:sz w:val="20"/>
                <w:szCs w:val="20"/>
              </w:rPr>
              <w:t xml:space="preserve">: diabetes mellitus, hypertension, cerebrovascular disease, and heart disease not significant risk factors </w:t>
            </w:r>
            <w:r>
              <w:rPr>
                <w:sz w:val="20"/>
                <w:szCs w:val="20"/>
              </w:rPr>
              <w:t>(1 database study)</w:t>
            </w:r>
          </w:p>
        </w:tc>
        <w:tc>
          <w:tcPr>
            <w:tcW w:w="1080" w:type="dxa"/>
            <w:tcBorders>
              <w:left w:val="single" w:sz="8" w:space="0" w:color="000000"/>
              <w:bottom w:val="single" w:sz="8" w:space="0" w:color="000000"/>
              <w:right w:val="single" w:sz="4" w:space="0" w:color="auto"/>
            </w:tcBorders>
          </w:tcPr>
          <w:p w14:paraId="5230D263" w14:textId="12225A7B" w:rsidR="006C76FC" w:rsidRPr="00141C3D" w:rsidRDefault="00A938F8" w:rsidP="00393369">
            <w:pPr>
              <w:ind w:left="90" w:right="-58"/>
              <w:jc w:val="center"/>
              <w:rPr>
                <w:sz w:val="20"/>
                <w:szCs w:val="20"/>
              </w:rPr>
            </w:pPr>
            <w:r>
              <w:rPr>
                <w:sz w:val="20"/>
                <w:szCs w:val="20"/>
              </w:rPr>
              <w:t>High</w:t>
            </w:r>
          </w:p>
        </w:tc>
        <w:tc>
          <w:tcPr>
            <w:tcW w:w="1440" w:type="dxa"/>
            <w:tcBorders>
              <w:left w:val="single" w:sz="8" w:space="0" w:color="000000"/>
              <w:bottom w:val="single" w:sz="8" w:space="0" w:color="000000"/>
              <w:right w:val="single" w:sz="4" w:space="0" w:color="auto"/>
            </w:tcBorders>
          </w:tcPr>
          <w:p w14:paraId="36040678" w14:textId="77777777" w:rsidR="006C76FC" w:rsidRPr="00141C3D" w:rsidRDefault="006C76FC" w:rsidP="00393369">
            <w:pPr>
              <w:ind w:left="90" w:right="-58"/>
              <w:jc w:val="center"/>
              <w:rPr>
                <w:sz w:val="20"/>
                <w:szCs w:val="20"/>
              </w:rPr>
            </w:pPr>
            <w:r>
              <w:rPr>
                <w:sz w:val="20"/>
                <w:szCs w:val="20"/>
              </w:rPr>
              <w:t>No</w:t>
            </w:r>
          </w:p>
        </w:tc>
        <w:tc>
          <w:tcPr>
            <w:tcW w:w="1800" w:type="dxa"/>
            <w:tcBorders>
              <w:left w:val="single" w:sz="8" w:space="0" w:color="000000"/>
              <w:bottom w:val="single" w:sz="8" w:space="0" w:color="000000"/>
              <w:right w:val="single" w:sz="8" w:space="0" w:color="000000"/>
            </w:tcBorders>
          </w:tcPr>
          <w:p w14:paraId="5378EFA7" w14:textId="77777777" w:rsidR="006C76FC" w:rsidRPr="00141C3D" w:rsidRDefault="006C76FC" w:rsidP="00393369">
            <w:pPr>
              <w:ind w:left="90" w:right="-58"/>
              <w:jc w:val="center"/>
              <w:rPr>
                <w:sz w:val="20"/>
                <w:szCs w:val="20"/>
              </w:rPr>
            </w:pPr>
            <w:r w:rsidRPr="00E27EF8">
              <w:rPr>
                <w:sz w:val="20"/>
                <w:szCs w:val="20"/>
              </w:rPr>
              <w:t>(1) single study</w:t>
            </w:r>
          </w:p>
        </w:tc>
      </w:tr>
      <w:tr w:rsidR="006C76FC" w:rsidRPr="00141C3D" w14:paraId="0AD59A9C"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3994FEE4" w14:textId="77777777" w:rsidR="006C76FC" w:rsidRPr="000C6A4B" w:rsidRDefault="006C76FC" w:rsidP="0032419B">
            <w:pPr>
              <w:contextualSpacing/>
              <w:rPr>
                <w:sz w:val="20"/>
                <w:szCs w:val="20"/>
              </w:rPr>
            </w:pPr>
            <w:r w:rsidRPr="000C6A4B">
              <w:rPr>
                <w:sz w:val="20"/>
                <w:szCs w:val="20"/>
              </w:rPr>
              <w:t>Socioeconomics</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24034F3D" w14:textId="77777777" w:rsidR="006C76FC" w:rsidRPr="000C6A4B" w:rsidRDefault="006C76FC" w:rsidP="006C76FC">
            <w:pPr>
              <w:ind w:left="-144" w:right="-144"/>
              <w:jc w:val="center"/>
              <w:rPr>
                <w:sz w:val="20"/>
                <w:szCs w:val="20"/>
              </w:rPr>
            </w:pPr>
            <w:r>
              <w:rPr>
                <w:sz w:val="20"/>
                <w:szCs w:val="20"/>
              </w:rPr>
              <w:t>No evidence</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2E03ABE8" w14:textId="75D41126"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w:t>
            </w:r>
            <w:r w:rsidR="00EB0351">
              <w:rPr>
                <w:sz w:val="20"/>
                <w:szCs w:val="20"/>
                <w:u w:val="single"/>
              </w:rPr>
              <w:t>CASP</w:t>
            </w:r>
            <w:r w:rsidRPr="000C6A4B">
              <w:rPr>
                <w:sz w:val="20"/>
                <w:szCs w:val="20"/>
              </w:rPr>
              <w:t>:  none reported</w:t>
            </w:r>
          </w:p>
        </w:tc>
        <w:tc>
          <w:tcPr>
            <w:tcW w:w="1080" w:type="dxa"/>
            <w:tcBorders>
              <w:top w:val="single" w:sz="8" w:space="0" w:color="000000"/>
              <w:left w:val="single" w:sz="8" w:space="0" w:color="000000"/>
              <w:right w:val="single" w:sz="4" w:space="0" w:color="auto"/>
            </w:tcBorders>
          </w:tcPr>
          <w:p w14:paraId="5DE6A777" w14:textId="77777777" w:rsidR="006C76FC" w:rsidRPr="00141C3D" w:rsidRDefault="006C76FC" w:rsidP="00F37137">
            <w:pPr>
              <w:ind w:left="90" w:right="-58"/>
              <w:jc w:val="center"/>
              <w:rPr>
                <w:sz w:val="20"/>
                <w:szCs w:val="20"/>
              </w:rPr>
            </w:pPr>
            <w:r>
              <w:rPr>
                <w:sz w:val="20"/>
                <w:szCs w:val="20"/>
              </w:rPr>
              <w:t>N/A</w:t>
            </w:r>
          </w:p>
        </w:tc>
        <w:tc>
          <w:tcPr>
            <w:tcW w:w="1440" w:type="dxa"/>
            <w:tcBorders>
              <w:top w:val="single" w:sz="8" w:space="0" w:color="000000"/>
              <w:left w:val="single" w:sz="8" w:space="0" w:color="000000"/>
              <w:right w:val="single" w:sz="4" w:space="0" w:color="auto"/>
            </w:tcBorders>
          </w:tcPr>
          <w:p w14:paraId="74B3654E" w14:textId="77777777" w:rsidR="006C76FC" w:rsidRPr="00141C3D" w:rsidRDefault="006C76FC" w:rsidP="0032419B">
            <w:pPr>
              <w:ind w:left="90" w:right="-58"/>
              <w:rPr>
                <w:sz w:val="20"/>
                <w:szCs w:val="20"/>
              </w:rPr>
            </w:pPr>
          </w:p>
        </w:tc>
        <w:tc>
          <w:tcPr>
            <w:tcW w:w="1800" w:type="dxa"/>
            <w:tcBorders>
              <w:top w:val="single" w:sz="8" w:space="0" w:color="000000"/>
              <w:left w:val="single" w:sz="8" w:space="0" w:color="000000"/>
              <w:right w:val="single" w:sz="4" w:space="0" w:color="auto"/>
            </w:tcBorders>
          </w:tcPr>
          <w:p w14:paraId="214262D0" w14:textId="77777777" w:rsidR="006C76FC" w:rsidRPr="00141C3D" w:rsidRDefault="006C76FC" w:rsidP="0032419B">
            <w:pPr>
              <w:ind w:left="90" w:right="-58"/>
              <w:rPr>
                <w:sz w:val="20"/>
                <w:szCs w:val="20"/>
              </w:rPr>
            </w:pPr>
          </w:p>
        </w:tc>
      </w:tr>
      <w:tr w:rsidR="006C76FC" w:rsidRPr="00141C3D" w14:paraId="183BCEC7"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3F990C5E" w14:textId="77777777" w:rsidR="006C76FC" w:rsidRPr="000C6A4B" w:rsidRDefault="006C76FC" w:rsidP="0032419B">
            <w:pPr>
              <w:ind w:left="252"/>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7C46BD" w14:textId="668F512E" w:rsidR="006C76FC" w:rsidRPr="000C6A4B" w:rsidRDefault="00A938F8" w:rsidP="006C76FC">
            <w:pPr>
              <w:ind w:left="-54" w:right="-54"/>
              <w:jc w:val="center"/>
              <w:rPr>
                <w:sz w:val="20"/>
                <w:szCs w:val="20"/>
              </w:rPr>
            </w:pPr>
            <w:r>
              <w:rPr>
                <w:sz w:val="20"/>
                <w:szCs w:val="20"/>
              </w:rPr>
              <w:t>Moderate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53B2C3A2" w14:textId="7230F778"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subsequent operation due to </w:t>
            </w:r>
            <w:r w:rsidR="00EB0351">
              <w:rPr>
                <w:sz w:val="20"/>
                <w:szCs w:val="20"/>
                <w:u w:val="single"/>
              </w:rPr>
              <w:t>CASP</w:t>
            </w:r>
            <w:r w:rsidRPr="000C6A4B">
              <w:rPr>
                <w:sz w:val="20"/>
                <w:szCs w:val="20"/>
              </w:rPr>
              <w:t>: income and urbanization level not significant risk factors</w:t>
            </w:r>
            <w:r>
              <w:rPr>
                <w:sz w:val="20"/>
                <w:szCs w:val="20"/>
              </w:rPr>
              <w:t xml:space="preserve"> (1 database study)</w:t>
            </w:r>
          </w:p>
        </w:tc>
        <w:tc>
          <w:tcPr>
            <w:tcW w:w="1080" w:type="dxa"/>
            <w:tcBorders>
              <w:left w:val="single" w:sz="8" w:space="0" w:color="000000"/>
              <w:bottom w:val="single" w:sz="8" w:space="0" w:color="000000"/>
              <w:right w:val="single" w:sz="4" w:space="0" w:color="auto"/>
            </w:tcBorders>
          </w:tcPr>
          <w:p w14:paraId="0C080B2D" w14:textId="23FA2352" w:rsidR="006C76FC" w:rsidRPr="00141C3D" w:rsidRDefault="00A938F8" w:rsidP="005512C0">
            <w:pPr>
              <w:ind w:left="90" w:right="-58"/>
              <w:jc w:val="center"/>
              <w:rPr>
                <w:sz w:val="20"/>
                <w:szCs w:val="20"/>
              </w:rPr>
            </w:pPr>
            <w:r>
              <w:rPr>
                <w:sz w:val="20"/>
                <w:szCs w:val="20"/>
              </w:rPr>
              <w:t>High</w:t>
            </w:r>
          </w:p>
        </w:tc>
        <w:tc>
          <w:tcPr>
            <w:tcW w:w="1440" w:type="dxa"/>
            <w:tcBorders>
              <w:left w:val="single" w:sz="8" w:space="0" w:color="000000"/>
              <w:bottom w:val="single" w:sz="8" w:space="0" w:color="000000"/>
              <w:right w:val="single" w:sz="4" w:space="0" w:color="auto"/>
            </w:tcBorders>
          </w:tcPr>
          <w:p w14:paraId="2BA17159" w14:textId="77777777" w:rsidR="006C76FC" w:rsidRPr="00141C3D" w:rsidRDefault="006C76FC" w:rsidP="005512C0">
            <w:pPr>
              <w:ind w:left="90" w:right="-58"/>
              <w:jc w:val="center"/>
              <w:rPr>
                <w:sz w:val="20"/>
                <w:szCs w:val="20"/>
              </w:rPr>
            </w:pPr>
            <w:r>
              <w:rPr>
                <w:sz w:val="20"/>
                <w:szCs w:val="20"/>
              </w:rPr>
              <w:t>No</w:t>
            </w:r>
          </w:p>
        </w:tc>
        <w:tc>
          <w:tcPr>
            <w:tcW w:w="1800" w:type="dxa"/>
            <w:tcBorders>
              <w:left w:val="single" w:sz="8" w:space="0" w:color="000000"/>
              <w:bottom w:val="single" w:sz="8" w:space="0" w:color="000000"/>
              <w:right w:val="single" w:sz="4" w:space="0" w:color="auto"/>
            </w:tcBorders>
          </w:tcPr>
          <w:p w14:paraId="6B863F6B" w14:textId="77777777" w:rsidR="006C76FC" w:rsidRPr="00141C3D" w:rsidRDefault="006C76FC" w:rsidP="005512C0">
            <w:pPr>
              <w:ind w:left="90" w:right="-58"/>
              <w:jc w:val="center"/>
              <w:rPr>
                <w:sz w:val="20"/>
                <w:szCs w:val="20"/>
              </w:rPr>
            </w:pPr>
            <w:r w:rsidRPr="00E27EF8">
              <w:rPr>
                <w:sz w:val="20"/>
                <w:szCs w:val="20"/>
              </w:rPr>
              <w:t>(1) single study</w:t>
            </w:r>
          </w:p>
        </w:tc>
      </w:tr>
      <w:tr w:rsidR="006C76FC" w:rsidRPr="00141C3D" w14:paraId="44434B09" w14:textId="77777777" w:rsidTr="006C76FC">
        <w:trPr>
          <w:trHeight w:val="187"/>
        </w:trPr>
        <w:tc>
          <w:tcPr>
            <w:tcW w:w="2160" w:type="dxa"/>
            <w:tcBorders>
              <w:top w:val="single" w:sz="8" w:space="0" w:color="000000"/>
              <w:left w:val="single" w:sz="4" w:space="0" w:color="auto"/>
              <w:bottom w:val="single" w:sz="8" w:space="0" w:color="000000"/>
            </w:tcBorders>
            <w:shd w:val="clear" w:color="auto" w:fill="auto"/>
            <w:tcMar>
              <w:top w:w="72" w:type="dxa"/>
              <w:left w:w="144" w:type="dxa"/>
              <w:bottom w:w="72" w:type="dxa"/>
              <w:right w:w="144" w:type="dxa"/>
            </w:tcMar>
          </w:tcPr>
          <w:p w14:paraId="49787924" w14:textId="77777777" w:rsidR="006C76FC" w:rsidRPr="000C6A4B" w:rsidRDefault="006C76FC" w:rsidP="0032419B">
            <w:pPr>
              <w:rPr>
                <w:i/>
                <w:sz w:val="20"/>
                <w:szCs w:val="20"/>
              </w:rPr>
            </w:pPr>
            <w:r w:rsidRPr="000C6A4B">
              <w:rPr>
                <w:i/>
                <w:sz w:val="20"/>
                <w:szCs w:val="20"/>
              </w:rPr>
              <w:t>Surgical Factors</w:t>
            </w:r>
          </w:p>
        </w:tc>
        <w:tc>
          <w:tcPr>
            <w:tcW w:w="1260" w:type="dxa"/>
            <w:tcBorders>
              <w:top w:val="single" w:sz="8" w:space="0" w:color="000000"/>
              <w:bottom w:val="single" w:sz="8" w:space="0" w:color="000000"/>
            </w:tcBorders>
            <w:shd w:val="clear" w:color="auto" w:fill="auto"/>
            <w:tcMar>
              <w:top w:w="72" w:type="dxa"/>
              <w:left w:w="144" w:type="dxa"/>
              <w:bottom w:w="72" w:type="dxa"/>
              <w:right w:w="144" w:type="dxa"/>
            </w:tcMar>
          </w:tcPr>
          <w:p w14:paraId="2DCC338B" w14:textId="77777777" w:rsidR="006C76FC" w:rsidRPr="000C6A4B" w:rsidRDefault="006C76FC" w:rsidP="0032419B">
            <w:pPr>
              <w:ind w:left="-108" w:right="-76"/>
              <w:jc w:val="center"/>
              <w:rPr>
                <w:sz w:val="20"/>
                <w:szCs w:val="20"/>
              </w:rPr>
            </w:pPr>
          </w:p>
        </w:tc>
        <w:tc>
          <w:tcPr>
            <w:tcW w:w="5220" w:type="dxa"/>
            <w:tcBorders>
              <w:top w:val="single" w:sz="8" w:space="0" w:color="000000"/>
              <w:bottom w:val="single" w:sz="8" w:space="0" w:color="000000"/>
            </w:tcBorders>
            <w:shd w:val="clear" w:color="auto" w:fill="auto"/>
            <w:tcMar>
              <w:top w:w="72" w:type="dxa"/>
              <w:left w:w="144" w:type="dxa"/>
              <w:bottom w:w="72" w:type="dxa"/>
              <w:right w:w="144" w:type="dxa"/>
            </w:tcMar>
          </w:tcPr>
          <w:p w14:paraId="0DE230B1" w14:textId="77777777" w:rsidR="006C76FC" w:rsidRPr="000C6A4B" w:rsidRDefault="006C76FC" w:rsidP="0032419B">
            <w:pPr>
              <w:rPr>
                <w:sz w:val="20"/>
                <w:szCs w:val="20"/>
                <w:u w:val="single"/>
              </w:rPr>
            </w:pPr>
          </w:p>
        </w:tc>
        <w:tc>
          <w:tcPr>
            <w:tcW w:w="1080" w:type="dxa"/>
            <w:tcBorders>
              <w:top w:val="single" w:sz="8" w:space="0" w:color="000000"/>
              <w:bottom w:val="single" w:sz="8" w:space="0" w:color="000000"/>
            </w:tcBorders>
          </w:tcPr>
          <w:p w14:paraId="3972BDEF" w14:textId="77777777" w:rsidR="006C76FC" w:rsidRPr="00141C3D" w:rsidRDefault="006C76FC" w:rsidP="005512C0">
            <w:pPr>
              <w:ind w:left="90" w:right="-58"/>
              <w:jc w:val="center"/>
              <w:rPr>
                <w:sz w:val="20"/>
                <w:szCs w:val="20"/>
              </w:rPr>
            </w:pPr>
          </w:p>
        </w:tc>
        <w:tc>
          <w:tcPr>
            <w:tcW w:w="1440" w:type="dxa"/>
            <w:tcBorders>
              <w:top w:val="single" w:sz="8" w:space="0" w:color="000000"/>
              <w:bottom w:val="single" w:sz="8" w:space="0" w:color="000000"/>
            </w:tcBorders>
          </w:tcPr>
          <w:p w14:paraId="01ED462E" w14:textId="77777777" w:rsidR="006C76FC" w:rsidRPr="00141C3D" w:rsidRDefault="006C76FC" w:rsidP="005512C0">
            <w:pPr>
              <w:ind w:left="90" w:right="-58"/>
              <w:jc w:val="center"/>
              <w:rPr>
                <w:sz w:val="20"/>
                <w:szCs w:val="20"/>
              </w:rPr>
            </w:pPr>
          </w:p>
        </w:tc>
        <w:tc>
          <w:tcPr>
            <w:tcW w:w="1800" w:type="dxa"/>
            <w:tcBorders>
              <w:top w:val="single" w:sz="8" w:space="0" w:color="000000"/>
              <w:bottom w:val="single" w:sz="8" w:space="0" w:color="000000"/>
              <w:right w:val="single" w:sz="4" w:space="0" w:color="auto"/>
            </w:tcBorders>
          </w:tcPr>
          <w:p w14:paraId="06AA09B6" w14:textId="77777777" w:rsidR="006C76FC" w:rsidRPr="00141C3D" w:rsidRDefault="006C76FC" w:rsidP="005512C0">
            <w:pPr>
              <w:ind w:left="90" w:right="-58"/>
              <w:jc w:val="center"/>
              <w:rPr>
                <w:sz w:val="20"/>
                <w:szCs w:val="20"/>
              </w:rPr>
            </w:pPr>
          </w:p>
        </w:tc>
      </w:tr>
      <w:tr w:rsidR="006C76FC" w:rsidRPr="00141C3D" w14:paraId="5348D76B"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64A2606A" w14:textId="77777777" w:rsidR="006C76FC" w:rsidRPr="000C6A4B" w:rsidRDefault="006C76FC" w:rsidP="0032419B">
            <w:pPr>
              <w:contextualSpacing/>
              <w:rPr>
                <w:sz w:val="20"/>
                <w:szCs w:val="20"/>
              </w:rPr>
            </w:pPr>
            <w:r>
              <w:rPr>
                <w:sz w:val="20"/>
                <w:szCs w:val="20"/>
              </w:rPr>
              <w:t>Number of levels fused</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4459B05A" w14:textId="130BC4C0" w:rsidR="006C76FC" w:rsidRPr="000C6A4B" w:rsidRDefault="00F37137" w:rsidP="0032419B">
            <w:pPr>
              <w:ind w:left="-108" w:right="-76"/>
              <w:jc w:val="center"/>
              <w:rPr>
                <w:sz w:val="20"/>
                <w:szCs w:val="20"/>
              </w:rPr>
            </w:pPr>
            <w:r>
              <w:rPr>
                <w:sz w:val="20"/>
                <w:szCs w:val="20"/>
              </w:rPr>
              <w:t>Low</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3FCF5179" w14:textId="7A971E5E" w:rsidR="006C76FC" w:rsidRPr="009F0750" w:rsidRDefault="006C76FC" w:rsidP="0032419B">
            <w:pPr>
              <w:numPr>
                <w:ilvl w:val="0"/>
                <w:numId w:val="32"/>
              </w:numPr>
              <w:tabs>
                <w:tab w:val="left" w:pos="126"/>
              </w:tabs>
              <w:ind w:left="129" w:right="-58" w:hanging="187"/>
              <w:rPr>
                <w:sz w:val="20"/>
                <w:szCs w:val="20"/>
                <w:u w:val="single"/>
              </w:rPr>
            </w:pPr>
            <w:r w:rsidRPr="009F0750">
              <w:rPr>
                <w:sz w:val="20"/>
                <w:szCs w:val="20"/>
                <w:u w:val="single"/>
              </w:rPr>
              <w:t xml:space="preserve">Risk of </w:t>
            </w:r>
            <w:r w:rsidR="00EB0351">
              <w:rPr>
                <w:sz w:val="20"/>
                <w:szCs w:val="20"/>
                <w:u w:val="single"/>
              </w:rPr>
              <w:t>CASP</w:t>
            </w:r>
            <w:r w:rsidRPr="009F0750">
              <w:rPr>
                <w:sz w:val="20"/>
                <w:szCs w:val="20"/>
              </w:rPr>
              <w:t xml:space="preserve">: </w:t>
            </w:r>
            <w:r>
              <w:rPr>
                <w:sz w:val="20"/>
                <w:szCs w:val="20"/>
              </w:rPr>
              <w:t>slightly greater, though not statistically significant, following single- vs. multilevel fusion in 2 retrospective cohorts; in a third cohort, 11-times greater risk when ≤ 3 levels fused vs. ≥ 4 levels (</w:t>
            </w:r>
            <w:r w:rsidRPr="00312255">
              <w:rPr>
                <w:bCs/>
                <w:sz w:val="20"/>
                <w:szCs w:val="20"/>
              </w:rPr>
              <w:t xml:space="preserve">RR = 10.6; 95% CI, 1.42–78.9; </w:t>
            </w:r>
            <w:r w:rsidRPr="00312255">
              <w:rPr>
                <w:bCs/>
                <w:i/>
                <w:sz w:val="20"/>
                <w:szCs w:val="20"/>
              </w:rPr>
              <w:t>P</w:t>
            </w:r>
            <w:r w:rsidRPr="00312255">
              <w:rPr>
                <w:bCs/>
                <w:sz w:val="20"/>
                <w:szCs w:val="20"/>
              </w:rPr>
              <w:t xml:space="preserve"> = .004)</w:t>
            </w:r>
          </w:p>
        </w:tc>
        <w:tc>
          <w:tcPr>
            <w:tcW w:w="1080" w:type="dxa"/>
            <w:tcBorders>
              <w:top w:val="single" w:sz="8" w:space="0" w:color="000000"/>
              <w:left w:val="single" w:sz="8" w:space="0" w:color="000000"/>
              <w:right w:val="single" w:sz="4" w:space="0" w:color="auto"/>
            </w:tcBorders>
          </w:tcPr>
          <w:p w14:paraId="0F757490" w14:textId="77777777" w:rsidR="006C76FC" w:rsidRPr="00141C3D" w:rsidRDefault="006C76FC" w:rsidP="005512C0">
            <w:pPr>
              <w:ind w:left="90" w:right="-58"/>
              <w:jc w:val="center"/>
              <w:rPr>
                <w:sz w:val="20"/>
                <w:szCs w:val="20"/>
              </w:rPr>
            </w:pPr>
            <w:r>
              <w:rPr>
                <w:sz w:val="20"/>
                <w:szCs w:val="20"/>
              </w:rPr>
              <w:t>Low</w:t>
            </w:r>
          </w:p>
        </w:tc>
        <w:tc>
          <w:tcPr>
            <w:tcW w:w="1440" w:type="dxa"/>
            <w:tcBorders>
              <w:top w:val="single" w:sz="8" w:space="0" w:color="000000"/>
              <w:left w:val="single" w:sz="8" w:space="0" w:color="000000"/>
              <w:right w:val="single" w:sz="4" w:space="0" w:color="auto"/>
            </w:tcBorders>
          </w:tcPr>
          <w:p w14:paraId="2805777B" w14:textId="77777777" w:rsidR="006C76FC" w:rsidRPr="00141C3D" w:rsidRDefault="006C76FC" w:rsidP="005512C0">
            <w:pPr>
              <w:ind w:left="90" w:right="-58"/>
              <w:jc w:val="center"/>
              <w:rPr>
                <w:sz w:val="20"/>
                <w:szCs w:val="20"/>
              </w:rPr>
            </w:pPr>
            <w:r>
              <w:rPr>
                <w:sz w:val="20"/>
                <w:szCs w:val="20"/>
              </w:rPr>
              <w:t>No</w:t>
            </w:r>
          </w:p>
        </w:tc>
        <w:tc>
          <w:tcPr>
            <w:tcW w:w="1800" w:type="dxa"/>
            <w:tcBorders>
              <w:top w:val="single" w:sz="8" w:space="0" w:color="000000"/>
              <w:left w:val="single" w:sz="8" w:space="0" w:color="000000"/>
              <w:right w:val="single" w:sz="4" w:space="0" w:color="auto"/>
            </w:tcBorders>
          </w:tcPr>
          <w:p w14:paraId="74C561E0" w14:textId="31A2CE3E" w:rsidR="006C76FC" w:rsidRPr="00141C3D" w:rsidRDefault="00F03367" w:rsidP="005512C0">
            <w:pPr>
              <w:ind w:left="90" w:right="-58"/>
              <w:jc w:val="center"/>
              <w:rPr>
                <w:sz w:val="20"/>
                <w:szCs w:val="20"/>
              </w:rPr>
            </w:pPr>
            <w:r>
              <w:rPr>
                <w:sz w:val="20"/>
                <w:szCs w:val="20"/>
              </w:rPr>
              <w:t>No</w:t>
            </w:r>
          </w:p>
        </w:tc>
      </w:tr>
      <w:tr w:rsidR="006C76FC" w:rsidRPr="00141C3D" w14:paraId="1586F448"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2C7D0641" w14:textId="77777777" w:rsidR="006C76FC" w:rsidRPr="000C6A4B" w:rsidRDefault="006C76FC" w:rsidP="0032419B">
            <w:pPr>
              <w:ind w:left="252"/>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65B20C" w14:textId="77777777" w:rsidR="006C76FC" w:rsidRPr="000C6A4B" w:rsidRDefault="006C76FC" w:rsidP="0032419B">
            <w:pPr>
              <w:ind w:left="-108" w:right="-76"/>
              <w:jc w:val="center"/>
              <w:rPr>
                <w:sz w:val="20"/>
                <w:szCs w:val="20"/>
              </w:rPr>
            </w:pPr>
            <w:r>
              <w:rPr>
                <w:sz w:val="20"/>
                <w:szCs w:val="20"/>
              </w:rPr>
              <w:t>No evidence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7F6C464E" w14:textId="29661432"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subsequent operation due to </w:t>
            </w:r>
            <w:r w:rsidR="00EB0351">
              <w:rPr>
                <w:sz w:val="20"/>
                <w:szCs w:val="20"/>
                <w:u w:val="single"/>
              </w:rPr>
              <w:t>CASP</w:t>
            </w:r>
            <w:r w:rsidRPr="000C6A4B">
              <w:rPr>
                <w:sz w:val="20"/>
                <w:szCs w:val="20"/>
              </w:rPr>
              <w:t>:</w:t>
            </w:r>
            <w:r>
              <w:rPr>
                <w:sz w:val="20"/>
                <w:szCs w:val="20"/>
              </w:rPr>
              <w:t xml:space="preserve"> none reported</w:t>
            </w:r>
          </w:p>
        </w:tc>
        <w:tc>
          <w:tcPr>
            <w:tcW w:w="1080" w:type="dxa"/>
            <w:tcBorders>
              <w:left w:val="single" w:sz="8" w:space="0" w:color="000000"/>
              <w:bottom w:val="single" w:sz="8" w:space="0" w:color="000000"/>
              <w:right w:val="single" w:sz="4" w:space="0" w:color="auto"/>
            </w:tcBorders>
          </w:tcPr>
          <w:p w14:paraId="77D21744" w14:textId="77777777" w:rsidR="006C76FC" w:rsidRPr="00141C3D" w:rsidRDefault="006C76FC" w:rsidP="005512C0">
            <w:pPr>
              <w:ind w:left="90" w:right="-58"/>
              <w:jc w:val="center"/>
              <w:rPr>
                <w:sz w:val="20"/>
                <w:szCs w:val="20"/>
              </w:rPr>
            </w:pPr>
            <w:r>
              <w:rPr>
                <w:sz w:val="20"/>
                <w:szCs w:val="20"/>
              </w:rPr>
              <w:t>N/A</w:t>
            </w:r>
          </w:p>
        </w:tc>
        <w:tc>
          <w:tcPr>
            <w:tcW w:w="1440" w:type="dxa"/>
            <w:tcBorders>
              <w:left w:val="single" w:sz="8" w:space="0" w:color="000000"/>
              <w:bottom w:val="single" w:sz="8" w:space="0" w:color="000000"/>
              <w:right w:val="single" w:sz="4" w:space="0" w:color="auto"/>
            </w:tcBorders>
          </w:tcPr>
          <w:p w14:paraId="51D39280" w14:textId="77777777" w:rsidR="006C76FC" w:rsidRPr="00141C3D" w:rsidRDefault="006C76FC" w:rsidP="005512C0">
            <w:pPr>
              <w:ind w:left="90" w:right="-58"/>
              <w:jc w:val="center"/>
              <w:rPr>
                <w:sz w:val="20"/>
                <w:szCs w:val="20"/>
              </w:rPr>
            </w:pPr>
          </w:p>
        </w:tc>
        <w:tc>
          <w:tcPr>
            <w:tcW w:w="1800" w:type="dxa"/>
            <w:tcBorders>
              <w:left w:val="single" w:sz="8" w:space="0" w:color="000000"/>
              <w:bottom w:val="single" w:sz="8" w:space="0" w:color="000000"/>
              <w:right w:val="single" w:sz="4" w:space="0" w:color="auto"/>
            </w:tcBorders>
          </w:tcPr>
          <w:p w14:paraId="3CA809A6" w14:textId="77777777" w:rsidR="006C76FC" w:rsidRPr="00141C3D" w:rsidRDefault="006C76FC" w:rsidP="005512C0">
            <w:pPr>
              <w:ind w:left="90" w:right="-58"/>
              <w:jc w:val="center"/>
              <w:rPr>
                <w:sz w:val="20"/>
                <w:szCs w:val="20"/>
              </w:rPr>
            </w:pPr>
          </w:p>
        </w:tc>
      </w:tr>
      <w:tr w:rsidR="006C76FC" w:rsidRPr="00141C3D" w14:paraId="425E9497"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755632DD" w14:textId="77777777" w:rsidR="006C76FC" w:rsidRPr="000C6A4B" w:rsidRDefault="006C76FC" w:rsidP="0032419B">
            <w:pPr>
              <w:contextualSpacing/>
              <w:rPr>
                <w:sz w:val="20"/>
                <w:szCs w:val="20"/>
              </w:rPr>
            </w:pPr>
            <w:r>
              <w:rPr>
                <w:sz w:val="20"/>
                <w:szCs w:val="20"/>
              </w:rPr>
              <w:t>Level of fusion</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06EA37C8" w14:textId="4269DF43" w:rsidR="006C76FC" w:rsidRPr="000C6A4B" w:rsidRDefault="00BF3653" w:rsidP="0032419B">
            <w:pPr>
              <w:ind w:left="-108" w:right="-76"/>
              <w:jc w:val="center"/>
              <w:rPr>
                <w:sz w:val="20"/>
                <w:szCs w:val="20"/>
              </w:rPr>
            </w:pPr>
            <w:r>
              <w:rPr>
                <w:sz w:val="20"/>
                <w:szCs w:val="20"/>
              </w:rPr>
              <w:t>Moderate</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626AB1EB" w14:textId="2AA91566" w:rsidR="006C76FC" w:rsidRPr="000C6A4B" w:rsidRDefault="006C76FC" w:rsidP="00F03367">
            <w:pPr>
              <w:numPr>
                <w:ilvl w:val="0"/>
                <w:numId w:val="32"/>
              </w:numPr>
              <w:tabs>
                <w:tab w:val="left" w:pos="126"/>
              </w:tabs>
              <w:ind w:left="129" w:right="-58" w:hanging="187"/>
              <w:rPr>
                <w:sz w:val="20"/>
                <w:szCs w:val="20"/>
                <w:u w:val="single"/>
              </w:rPr>
            </w:pPr>
            <w:r w:rsidRPr="000C6A4B">
              <w:rPr>
                <w:sz w:val="20"/>
                <w:szCs w:val="20"/>
                <w:u w:val="single"/>
              </w:rPr>
              <w:t xml:space="preserve">Risk of </w:t>
            </w:r>
            <w:r w:rsidR="00EB0351">
              <w:rPr>
                <w:sz w:val="20"/>
                <w:szCs w:val="20"/>
                <w:u w:val="single"/>
              </w:rPr>
              <w:t>CASP</w:t>
            </w:r>
            <w:r w:rsidRPr="000C6A4B">
              <w:rPr>
                <w:sz w:val="20"/>
                <w:szCs w:val="20"/>
              </w:rPr>
              <w:t xml:space="preserve">:  </w:t>
            </w:r>
            <w:r w:rsidR="00F03367">
              <w:rPr>
                <w:bCs/>
                <w:sz w:val="20"/>
                <w:szCs w:val="20"/>
              </w:rPr>
              <w:t>Fusing</w:t>
            </w:r>
            <w:r w:rsidR="00F03367" w:rsidRPr="00F03367">
              <w:rPr>
                <w:bCs/>
                <w:sz w:val="20"/>
                <w:szCs w:val="20"/>
              </w:rPr>
              <w:t xml:space="preserve"> adjacent to but not including the C5-6 and/or C6-7 disc space appears to consistently increase the risk of developing </w:t>
            </w:r>
            <w:r w:rsidR="00EB0351">
              <w:rPr>
                <w:bCs/>
                <w:sz w:val="20"/>
                <w:szCs w:val="20"/>
              </w:rPr>
              <w:t>CASP</w:t>
            </w:r>
          </w:p>
        </w:tc>
        <w:tc>
          <w:tcPr>
            <w:tcW w:w="1080" w:type="dxa"/>
            <w:tcBorders>
              <w:top w:val="single" w:sz="8" w:space="0" w:color="000000"/>
              <w:left w:val="single" w:sz="8" w:space="0" w:color="000000"/>
              <w:right w:val="single" w:sz="4" w:space="0" w:color="auto"/>
            </w:tcBorders>
          </w:tcPr>
          <w:p w14:paraId="32388267" w14:textId="258563A8" w:rsidR="006C76FC" w:rsidRPr="00141C3D" w:rsidRDefault="00F03367" w:rsidP="005512C0">
            <w:pPr>
              <w:ind w:left="90" w:right="-58"/>
              <w:jc w:val="center"/>
              <w:rPr>
                <w:sz w:val="20"/>
                <w:szCs w:val="20"/>
              </w:rPr>
            </w:pPr>
            <w:r>
              <w:rPr>
                <w:sz w:val="20"/>
                <w:szCs w:val="20"/>
              </w:rPr>
              <w:t>Low</w:t>
            </w:r>
          </w:p>
        </w:tc>
        <w:tc>
          <w:tcPr>
            <w:tcW w:w="1440" w:type="dxa"/>
            <w:tcBorders>
              <w:top w:val="single" w:sz="8" w:space="0" w:color="000000"/>
              <w:left w:val="single" w:sz="8" w:space="0" w:color="000000"/>
              <w:right w:val="single" w:sz="4" w:space="0" w:color="auto"/>
            </w:tcBorders>
          </w:tcPr>
          <w:p w14:paraId="3CEF70D3" w14:textId="760C6E98" w:rsidR="006C76FC" w:rsidRPr="00CE13E0" w:rsidRDefault="00CE13E0" w:rsidP="00CE13E0">
            <w:pPr>
              <w:jc w:val="center"/>
              <w:rPr>
                <w:sz w:val="20"/>
                <w:szCs w:val="20"/>
              </w:rPr>
            </w:pPr>
            <w:r w:rsidRPr="00CE13E0">
              <w:rPr>
                <w:sz w:val="20"/>
                <w:szCs w:val="20"/>
              </w:rPr>
              <w:t>(1</w:t>
            </w:r>
            <w:r>
              <w:rPr>
                <w:sz w:val="20"/>
                <w:szCs w:val="20"/>
              </w:rPr>
              <w:t xml:space="preserve">) </w:t>
            </w:r>
            <w:r w:rsidR="00F03367" w:rsidRPr="00CE13E0">
              <w:rPr>
                <w:sz w:val="20"/>
                <w:szCs w:val="20"/>
              </w:rPr>
              <w:t>m</w:t>
            </w:r>
            <w:r>
              <w:rPr>
                <w:sz w:val="20"/>
                <w:szCs w:val="20"/>
              </w:rPr>
              <w:t>agnitude of effect</w:t>
            </w:r>
          </w:p>
        </w:tc>
        <w:tc>
          <w:tcPr>
            <w:tcW w:w="1800" w:type="dxa"/>
            <w:tcBorders>
              <w:top w:val="single" w:sz="8" w:space="0" w:color="000000"/>
              <w:left w:val="single" w:sz="8" w:space="0" w:color="000000"/>
              <w:right w:val="single" w:sz="4" w:space="0" w:color="auto"/>
            </w:tcBorders>
          </w:tcPr>
          <w:p w14:paraId="48C82C76" w14:textId="07C77D1B" w:rsidR="006C76FC" w:rsidRPr="00141C3D" w:rsidRDefault="00F03367" w:rsidP="005512C0">
            <w:pPr>
              <w:ind w:left="90" w:right="-58"/>
              <w:jc w:val="center"/>
              <w:rPr>
                <w:sz w:val="20"/>
                <w:szCs w:val="20"/>
              </w:rPr>
            </w:pPr>
            <w:r>
              <w:rPr>
                <w:sz w:val="20"/>
                <w:szCs w:val="20"/>
              </w:rPr>
              <w:t>No</w:t>
            </w:r>
          </w:p>
        </w:tc>
      </w:tr>
      <w:tr w:rsidR="006C76FC" w:rsidRPr="00141C3D" w14:paraId="77201EF3"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41774A02" w14:textId="77777777" w:rsidR="006C76FC" w:rsidRPr="000C6A4B" w:rsidRDefault="006C76FC" w:rsidP="0032419B">
            <w:pPr>
              <w:ind w:left="252"/>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5F10CF" w14:textId="7E894969" w:rsidR="006C76FC" w:rsidRPr="000C6A4B" w:rsidRDefault="00A938F8" w:rsidP="0032419B">
            <w:pPr>
              <w:ind w:left="-108" w:right="-76"/>
              <w:jc w:val="center"/>
              <w:rPr>
                <w:sz w:val="20"/>
                <w:szCs w:val="20"/>
              </w:rPr>
            </w:pPr>
            <w:r>
              <w:rPr>
                <w:sz w:val="20"/>
                <w:szCs w:val="20"/>
              </w:rPr>
              <w:t>Moderate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1214A620" w14:textId="626CE444" w:rsidR="006C76FC" w:rsidRPr="000C6A4B" w:rsidRDefault="006C76FC" w:rsidP="0032419B">
            <w:pPr>
              <w:numPr>
                <w:ilvl w:val="0"/>
                <w:numId w:val="32"/>
              </w:numPr>
              <w:tabs>
                <w:tab w:val="left" w:pos="126"/>
              </w:tabs>
              <w:ind w:left="129" w:right="-58" w:hanging="187"/>
              <w:rPr>
                <w:sz w:val="20"/>
                <w:szCs w:val="20"/>
                <w:u w:val="single"/>
              </w:rPr>
            </w:pPr>
            <w:r w:rsidRPr="00312255">
              <w:rPr>
                <w:sz w:val="20"/>
                <w:szCs w:val="20"/>
                <w:u w:val="single"/>
              </w:rPr>
              <w:t xml:space="preserve">Risk of subsequent operation due to </w:t>
            </w:r>
            <w:r w:rsidR="00EB0351">
              <w:rPr>
                <w:sz w:val="20"/>
                <w:szCs w:val="20"/>
                <w:u w:val="single"/>
              </w:rPr>
              <w:t>CASP</w:t>
            </w:r>
            <w:r w:rsidRPr="00312255">
              <w:rPr>
                <w:sz w:val="20"/>
                <w:szCs w:val="20"/>
              </w:rPr>
              <w:t xml:space="preserve">: statistically greater when C5-6 and C6-7 were not fused (vs. fused): </w:t>
            </w:r>
            <w:r>
              <w:rPr>
                <w:bCs/>
                <w:sz w:val="20"/>
                <w:szCs w:val="20"/>
              </w:rPr>
              <w:t>9.7% vs. 0%</w:t>
            </w:r>
          </w:p>
        </w:tc>
        <w:tc>
          <w:tcPr>
            <w:tcW w:w="1080" w:type="dxa"/>
            <w:tcBorders>
              <w:left w:val="single" w:sz="8" w:space="0" w:color="000000"/>
              <w:bottom w:val="single" w:sz="8" w:space="0" w:color="000000"/>
              <w:right w:val="single" w:sz="4" w:space="0" w:color="auto"/>
            </w:tcBorders>
          </w:tcPr>
          <w:p w14:paraId="3D35D3B2" w14:textId="5ED34D12" w:rsidR="006C76FC" w:rsidRPr="00141C3D" w:rsidRDefault="00A938F8" w:rsidP="005512C0">
            <w:pPr>
              <w:ind w:left="90" w:right="-58"/>
              <w:jc w:val="center"/>
              <w:rPr>
                <w:sz w:val="20"/>
                <w:szCs w:val="20"/>
              </w:rPr>
            </w:pPr>
            <w:r>
              <w:rPr>
                <w:sz w:val="20"/>
                <w:szCs w:val="20"/>
              </w:rPr>
              <w:t>High</w:t>
            </w:r>
          </w:p>
        </w:tc>
        <w:tc>
          <w:tcPr>
            <w:tcW w:w="1440" w:type="dxa"/>
            <w:tcBorders>
              <w:left w:val="single" w:sz="8" w:space="0" w:color="000000"/>
              <w:bottom w:val="single" w:sz="8" w:space="0" w:color="000000"/>
              <w:right w:val="single" w:sz="4" w:space="0" w:color="auto"/>
            </w:tcBorders>
          </w:tcPr>
          <w:p w14:paraId="550724BC" w14:textId="77777777" w:rsidR="006C76FC" w:rsidRPr="00141C3D" w:rsidRDefault="006C76FC" w:rsidP="005512C0">
            <w:pPr>
              <w:ind w:left="90" w:right="-58"/>
              <w:jc w:val="center"/>
              <w:rPr>
                <w:sz w:val="20"/>
                <w:szCs w:val="20"/>
              </w:rPr>
            </w:pPr>
            <w:r>
              <w:rPr>
                <w:sz w:val="20"/>
                <w:szCs w:val="20"/>
              </w:rPr>
              <w:t>No</w:t>
            </w:r>
          </w:p>
        </w:tc>
        <w:tc>
          <w:tcPr>
            <w:tcW w:w="1800" w:type="dxa"/>
            <w:tcBorders>
              <w:left w:val="single" w:sz="8" w:space="0" w:color="000000"/>
              <w:bottom w:val="single" w:sz="8" w:space="0" w:color="000000"/>
              <w:right w:val="single" w:sz="4" w:space="0" w:color="auto"/>
            </w:tcBorders>
          </w:tcPr>
          <w:p w14:paraId="0E192EAB" w14:textId="77777777" w:rsidR="006C76FC" w:rsidRPr="00141C3D" w:rsidRDefault="006C76FC" w:rsidP="005512C0">
            <w:pPr>
              <w:ind w:left="90" w:right="-58"/>
              <w:jc w:val="center"/>
              <w:rPr>
                <w:sz w:val="20"/>
                <w:szCs w:val="20"/>
              </w:rPr>
            </w:pPr>
            <w:r w:rsidRPr="00E27EF8">
              <w:rPr>
                <w:sz w:val="20"/>
                <w:szCs w:val="20"/>
              </w:rPr>
              <w:t>(1) single study</w:t>
            </w:r>
          </w:p>
        </w:tc>
      </w:tr>
      <w:tr w:rsidR="006C76FC" w:rsidRPr="00141C3D" w14:paraId="1DC2DE1E" w14:textId="77777777" w:rsidTr="0002578D">
        <w:trPr>
          <w:trHeight w:val="214"/>
        </w:trPr>
        <w:tc>
          <w:tcPr>
            <w:tcW w:w="2160" w:type="dxa"/>
            <w:tcBorders>
              <w:top w:val="single" w:sz="8" w:space="0" w:color="000000"/>
              <w:left w:val="single" w:sz="4" w:space="0" w:color="auto"/>
              <w:bottom w:val="single" w:sz="8" w:space="0" w:color="000000"/>
            </w:tcBorders>
            <w:shd w:val="clear" w:color="auto" w:fill="auto"/>
            <w:tcMar>
              <w:top w:w="72" w:type="dxa"/>
              <w:left w:w="144" w:type="dxa"/>
              <w:bottom w:w="72" w:type="dxa"/>
              <w:right w:w="144" w:type="dxa"/>
            </w:tcMar>
          </w:tcPr>
          <w:p w14:paraId="26503F66" w14:textId="77777777" w:rsidR="006C76FC" w:rsidRPr="00312255" w:rsidRDefault="006C76FC" w:rsidP="0032419B">
            <w:pPr>
              <w:rPr>
                <w:i/>
                <w:sz w:val="20"/>
                <w:szCs w:val="20"/>
              </w:rPr>
            </w:pPr>
            <w:r w:rsidRPr="00312255">
              <w:rPr>
                <w:i/>
                <w:sz w:val="20"/>
                <w:szCs w:val="20"/>
              </w:rPr>
              <w:t>Radiographic Factors</w:t>
            </w:r>
          </w:p>
        </w:tc>
        <w:tc>
          <w:tcPr>
            <w:tcW w:w="1260" w:type="dxa"/>
            <w:tcBorders>
              <w:top w:val="single" w:sz="8" w:space="0" w:color="000000"/>
              <w:bottom w:val="single" w:sz="8" w:space="0" w:color="000000"/>
            </w:tcBorders>
            <w:shd w:val="clear" w:color="auto" w:fill="auto"/>
            <w:tcMar>
              <w:top w:w="72" w:type="dxa"/>
              <w:left w:w="144" w:type="dxa"/>
              <w:bottom w:w="72" w:type="dxa"/>
              <w:right w:w="144" w:type="dxa"/>
            </w:tcMar>
          </w:tcPr>
          <w:p w14:paraId="6F9CEDEA" w14:textId="77777777" w:rsidR="006C76FC" w:rsidRPr="000C6A4B" w:rsidRDefault="006C76FC" w:rsidP="0032419B">
            <w:pPr>
              <w:ind w:left="-108" w:right="-76"/>
              <w:jc w:val="center"/>
              <w:rPr>
                <w:sz w:val="20"/>
                <w:szCs w:val="20"/>
              </w:rPr>
            </w:pPr>
          </w:p>
        </w:tc>
        <w:tc>
          <w:tcPr>
            <w:tcW w:w="5220" w:type="dxa"/>
            <w:tcBorders>
              <w:top w:val="single" w:sz="8" w:space="0" w:color="000000"/>
              <w:bottom w:val="single" w:sz="8" w:space="0" w:color="000000"/>
            </w:tcBorders>
            <w:shd w:val="clear" w:color="auto" w:fill="auto"/>
            <w:tcMar>
              <w:top w:w="72" w:type="dxa"/>
              <w:left w:w="144" w:type="dxa"/>
              <w:bottom w:w="72" w:type="dxa"/>
              <w:right w:w="144" w:type="dxa"/>
            </w:tcMar>
          </w:tcPr>
          <w:p w14:paraId="72601D3F" w14:textId="77777777" w:rsidR="006C76FC" w:rsidRPr="000C6A4B" w:rsidRDefault="006C76FC" w:rsidP="0032419B">
            <w:pPr>
              <w:rPr>
                <w:sz w:val="20"/>
                <w:szCs w:val="20"/>
                <w:u w:val="single"/>
              </w:rPr>
            </w:pPr>
          </w:p>
        </w:tc>
        <w:tc>
          <w:tcPr>
            <w:tcW w:w="1080" w:type="dxa"/>
            <w:tcBorders>
              <w:top w:val="single" w:sz="8" w:space="0" w:color="000000"/>
              <w:bottom w:val="single" w:sz="8" w:space="0" w:color="000000"/>
            </w:tcBorders>
          </w:tcPr>
          <w:p w14:paraId="6C4EE1CF" w14:textId="77777777" w:rsidR="006C76FC" w:rsidRPr="00141C3D" w:rsidRDefault="006C76FC" w:rsidP="005512C0">
            <w:pPr>
              <w:ind w:left="90" w:right="-58"/>
              <w:jc w:val="center"/>
              <w:rPr>
                <w:sz w:val="20"/>
                <w:szCs w:val="20"/>
              </w:rPr>
            </w:pPr>
          </w:p>
        </w:tc>
        <w:tc>
          <w:tcPr>
            <w:tcW w:w="1440" w:type="dxa"/>
            <w:tcBorders>
              <w:top w:val="single" w:sz="8" w:space="0" w:color="000000"/>
              <w:bottom w:val="single" w:sz="8" w:space="0" w:color="000000"/>
            </w:tcBorders>
          </w:tcPr>
          <w:p w14:paraId="2939C001" w14:textId="77777777" w:rsidR="006C76FC" w:rsidRPr="00141C3D" w:rsidRDefault="006C76FC" w:rsidP="005512C0">
            <w:pPr>
              <w:ind w:left="90" w:right="-58"/>
              <w:jc w:val="center"/>
              <w:rPr>
                <w:sz w:val="20"/>
                <w:szCs w:val="20"/>
              </w:rPr>
            </w:pPr>
          </w:p>
        </w:tc>
        <w:tc>
          <w:tcPr>
            <w:tcW w:w="1800" w:type="dxa"/>
            <w:tcBorders>
              <w:top w:val="single" w:sz="8" w:space="0" w:color="000000"/>
              <w:bottom w:val="single" w:sz="8" w:space="0" w:color="000000"/>
              <w:right w:val="single" w:sz="4" w:space="0" w:color="auto"/>
            </w:tcBorders>
          </w:tcPr>
          <w:p w14:paraId="2787BF4E" w14:textId="77777777" w:rsidR="006C76FC" w:rsidRPr="00141C3D" w:rsidRDefault="006C76FC" w:rsidP="005512C0">
            <w:pPr>
              <w:ind w:left="90" w:right="-58"/>
              <w:jc w:val="center"/>
              <w:rPr>
                <w:sz w:val="20"/>
                <w:szCs w:val="20"/>
              </w:rPr>
            </w:pPr>
          </w:p>
        </w:tc>
      </w:tr>
      <w:tr w:rsidR="006C76FC" w:rsidRPr="00141C3D" w14:paraId="4E4FBF8E"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57CFE303" w14:textId="77777777" w:rsidR="006C76FC" w:rsidRPr="000C6A4B" w:rsidRDefault="006C76FC" w:rsidP="0032419B">
            <w:pPr>
              <w:contextualSpacing/>
              <w:rPr>
                <w:sz w:val="20"/>
                <w:szCs w:val="20"/>
              </w:rPr>
            </w:pPr>
            <w:r>
              <w:rPr>
                <w:sz w:val="20"/>
                <w:szCs w:val="20"/>
              </w:rPr>
              <w:t>Preoperative  radiographic parameters</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5D44DA2E" w14:textId="62FDC1BB" w:rsidR="006C76FC" w:rsidRPr="000C6A4B" w:rsidRDefault="006C76FC" w:rsidP="0032419B">
            <w:pPr>
              <w:ind w:left="-108" w:right="-76"/>
              <w:jc w:val="center"/>
              <w:rPr>
                <w:sz w:val="20"/>
                <w:szCs w:val="20"/>
              </w:rPr>
            </w:pPr>
            <w:r>
              <w:rPr>
                <w:sz w:val="20"/>
                <w:szCs w:val="20"/>
              </w:rPr>
              <w:t>Insufficient</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35730CB9" w14:textId="1C7CFEFB" w:rsidR="006C76FC" w:rsidRPr="00F93AC5" w:rsidRDefault="006C76FC" w:rsidP="0032419B">
            <w:pPr>
              <w:numPr>
                <w:ilvl w:val="0"/>
                <w:numId w:val="32"/>
              </w:numPr>
              <w:tabs>
                <w:tab w:val="left" w:pos="126"/>
              </w:tabs>
              <w:ind w:left="129" w:right="-58" w:hanging="187"/>
              <w:rPr>
                <w:bCs/>
                <w:sz w:val="20"/>
                <w:szCs w:val="20"/>
              </w:rPr>
            </w:pPr>
            <w:r w:rsidRPr="00312255">
              <w:rPr>
                <w:sz w:val="20"/>
                <w:szCs w:val="20"/>
                <w:u w:val="single"/>
              </w:rPr>
              <w:t xml:space="preserve">Risk of </w:t>
            </w:r>
            <w:r w:rsidR="00EB0351">
              <w:rPr>
                <w:sz w:val="20"/>
                <w:szCs w:val="20"/>
                <w:u w:val="single"/>
              </w:rPr>
              <w:t>CASP</w:t>
            </w:r>
            <w:r w:rsidRPr="00312255">
              <w:rPr>
                <w:sz w:val="20"/>
                <w:szCs w:val="20"/>
              </w:rPr>
              <w:t xml:space="preserve">: </w:t>
            </w:r>
            <w:r>
              <w:rPr>
                <w:sz w:val="20"/>
                <w:szCs w:val="20"/>
              </w:rPr>
              <w:t xml:space="preserve">3-times greater </w:t>
            </w:r>
            <w:r w:rsidRPr="00312255">
              <w:rPr>
                <w:sz w:val="20"/>
                <w:szCs w:val="20"/>
              </w:rPr>
              <w:t>with the presence (vs. absence) of disc protrusion (</w:t>
            </w:r>
            <w:r w:rsidRPr="00312255">
              <w:rPr>
                <w:bCs/>
                <w:sz w:val="20"/>
                <w:szCs w:val="20"/>
              </w:rPr>
              <w:t>RR = 3.5, 95% CI, 1.6–7.6)</w:t>
            </w:r>
            <w:r>
              <w:rPr>
                <w:sz w:val="20"/>
                <w:szCs w:val="20"/>
              </w:rPr>
              <w:t xml:space="preserve"> and</w:t>
            </w:r>
            <w:r w:rsidRPr="00312255">
              <w:rPr>
                <w:sz w:val="20"/>
                <w:szCs w:val="20"/>
              </w:rPr>
              <w:t xml:space="preserve"> indentation of </w:t>
            </w:r>
            <w:proofErr w:type="spellStart"/>
            <w:r w:rsidRPr="00312255">
              <w:rPr>
                <w:sz w:val="20"/>
                <w:szCs w:val="20"/>
              </w:rPr>
              <w:t>dura</w:t>
            </w:r>
            <w:proofErr w:type="spellEnd"/>
            <w:r w:rsidRPr="00312255">
              <w:rPr>
                <w:sz w:val="20"/>
                <w:szCs w:val="20"/>
              </w:rPr>
              <w:t xml:space="preserve"> matter (</w:t>
            </w:r>
            <w:r w:rsidRPr="00312255">
              <w:rPr>
                <w:bCs/>
                <w:sz w:val="20"/>
                <w:szCs w:val="20"/>
              </w:rPr>
              <w:t>RR = 3.0, 95% CI, 1.4–6.7)</w:t>
            </w:r>
            <w:r>
              <w:rPr>
                <w:bCs/>
                <w:sz w:val="20"/>
                <w:szCs w:val="20"/>
              </w:rPr>
              <w:t>,</w:t>
            </w:r>
            <w:r>
              <w:rPr>
                <w:sz w:val="20"/>
                <w:szCs w:val="20"/>
              </w:rPr>
              <w:t xml:space="preserve"> and twice the risk with </w:t>
            </w:r>
            <w:r w:rsidRPr="00312255">
              <w:rPr>
                <w:sz w:val="20"/>
                <w:szCs w:val="20"/>
              </w:rPr>
              <w:t xml:space="preserve">a low density area </w:t>
            </w:r>
            <w:r>
              <w:rPr>
                <w:sz w:val="20"/>
                <w:szCs w:val="20"/>
              </w:rPr>
              <w:t>(</w:t>
            </w:r>
            <w:r w:rsidRPr="00312255">
              <w:rPr>
                <w:bCs/>
                <w:sz w:val="20"/>
                <w:szCs w:val="20"/>
              </w:rPr>
              <w:t>RR = 2.1, 95% CI, 0.92–4.9) as reported by 1 retrospective cohort</w:t>
            </w:r>
            <w:r>
              <w:rPr>
                <w:bCs/>
                <w:sz w:val="20"/>
                <w:szCs w:val="20"/>
              </w:rPr>
              <w:t xml:space="preserve">; </w:t>
            </w:r>
            <w:r w:rsidRPr="00F93AC5">
              <w:rPr>
                <w:sz w:val="20"/>
                <w:szCs w:val="20"/>
              </w:rPr>
              <w:t>alignment</w:t>
            </w:r>
            <w:r w:rsidRPr="00F93AC5">
              <w:rPr>
                <w:bCs/>
                <w:sz w:val="20"/>
                <w:szCs w:val="20"/>
              </w:rPr>
              <w:t xml:space="preserve"> of the cervical spine, range-of-motion of the cervical spine and at the upper and lower adjacent levels were not significant risk factors in the same study</w:t>
            </w:r>
          </w:p>
        </w:tc>
        <w:tc>
          <w:tcPr>
            <w:tcW w:w="1080" w:type="dxa"/>
            <w:tcBorders>
              <w:top w:val="single" w:sz="8" w:space="0" w:color="000000"/>
              <w:left w:val="single" w:sz="8" w:space="0" w:color="000000"/>
              <w:right w:val="single" w:sz="4" w:space="0" w:color="auto"/>
            </w:tcBorders>
          </w:tcPr>
          <w:p w14:paraId="19BBF245" w14:textId="77777777" w:rsidR="006C76FC" w:rsidRPr="00141C3D" w:rsidRDefault="006C76FC" w:rsidP="005512C0">
            <w:pPr>
              <w:ind w:left="90" w:right="-58"/>
              <w:jc w:val="center"/>
              <w:rPr>
                <w:sz w:val="20"/>
                <w:szCs w:val="20"/>
              </w:rPr>
            </w:pPr>
            <w:r>
              <w:rPr>
                <w:sz w:val="20"/>
                <w:szCs w:val="20"/>
              </w:rPr>
              <w:t>Low</w:t>
            </w:r>
          </w:p>
        </w:tc>
        <w:tc>
          <w:tcPr>
            <w:tcW w:w="1440" w:type="dxa"/>
            <w:tcBorders>
              <w:top w:val="single" w:sz="8" w:space="0" w:color="000000"/>
              <w:left w:val="single" w:sz="8" w:space="0" w:color="000000"/>
              <w:right w:val="single" w:sz="4" w:space="0" w:color="auto"/>
            </w:tcBorders>
          </w:tcPr>
          <w:p w14:paraId="5A4A0B78" w14:textId="77777777" w:rsidR="006C76FC" w:rsidRPr="00141C3D" w:rsidRDefault="006C76FC" w:rsidP="005512C0">
            <w:pPr>
              <w:ind w:left="90" w:right="-58"/>
              <w:jc w:val="center"/>
              <w:rPr>
                <w:sz w:val="20"/>
                <w:szCs w:val="20"/>
              </w:rPr>
            </w:pPr>
            <w:r>
              <w:rPr>
                <w:sz w:val="20"/>
                <w:szCs w:val="20"/>
              </w:rPr>
              <w:t>No</w:t>
            </w:r>
          </w:p>
        </w:tc>
        <w:tc>
          <w:tcPr>
            <w:tcW w:w="1800" w:type="dxa"/>
            <w:tcBorders>
              <w:top w:val="single" w:sz="8" w:space="0" w:color="000000"/>
              <w:left w:val="single" w:sz="8" w:space="0" w:color="000000"/>
              <w:right w:val="single" w:sz="4" w:space="0" w:color="auto"/>
            </w:tcBorders>
          </w:tcPr>
          <w:p w14:paraId="65A6E298" w14:textId="77777777" w:rsidR="006C76FC" w:rsidRPr="00141C3D" w:rsidRDefault="006C76FC" w:rsidP="005512C0">
            <w:pPr>
              <w:ind w:left="90" w:right="-58"/>
              <w:jc w:val="center"/>
              <w:rPr>
                <w:sz w:val="20"/>
                <w:szCs w:val="20"/>
              </w:rPr>
            </w:pPr>
            <w:r w:rsidRPr="00E27EF8">
              <w:rPr>
                <w:sz w:val="20"/>
                <w:szCs w:val="20"/>
              </w:rPr>
              <w:t>(1) single study</w:t>
            </w:r>
          </w:p>
        </w:tc>
      </w:tr>
      <w:tr w:rsidR="006C76FC" w:rsidRPr="00141C3D" w14:paraId="6760C506"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6474785C" w14:textId="77777777" w:rsidR="006C76FC" w:rsidRPr="000C6A4B" w:rsidRDefault="006C76FC" w:rsidP="0032419B">
            <w:pPr>
              <w:ind w:left="252"/>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3A5017" w14:textId="77777777" w:rsidR="006C76FC" w:rsidRPr="000C6A4B" w:rsidRDefault="006C76FC" w:rsidP="0032419B">
            <w:pPr>
              <w:ind w:left="-108" w:right="-76"/>
              <w:jc w:val="center"/>
              <w:rPr>
                <w:sz w:val="20"/>
                <w:szCs w:val="20"/>
              </w:rPr>
            </w:pPr>
            <w:r>
              <w:rPr>
                <w:sz w:val="20"/>
                <w:szCs w:val="20"/>
              </w:rPr>
              <w:t>No evidence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4F1F670F" w14:textId="48AA8BFC"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subsequent operation due to </w:t>
            </w:r>
            <w:r w:rsidR="00EB0351">
              <w:rPr>
                <w:sz w:val="20"/>
                <w:szCs w:val="20"/>
                <w:u w:val="single"/>
              </w:rPr>
              <w:t>CASP</w:t>
            </w:r>
            <w:r w:rsidRPr="000C6A4B">
              <w:rPr>
                <w:sz w:val="20"/>
                <w:szCs w:val="20"/>
              </w:rPr>
              <w:t>:</w:t>
            </w:r>
            <w:r>
              <w:rPr>
                <w:sz w:val="20"/>
                <w:szCs w:val="20"/>
              </w:rPr>
              <w:t xml:space="preserve"> none reported</w:t>
            </w:r>
          </w:p>
        </w:tc>
        <w:tc>
          <w:tcPr>
            <w:tcW w:w="1080" w:type="dxa"/>
            <w:tcBorders>
              <w:left w:val="single" w:sz="8" w:space="0" w:color="000000"/>
              <w:bottom w:val="single" w:sz="8" w:space="0" w:color="000000"/>
              <w:right w:val="single" w:sz="4" w:space="0" w:color="auto"/>
            </w:tcBorders>
          </w:tcPr>
          <w:p w14:paraId="02C18916" w14:textId="77777777" w:rsidR="006C76FC" w:rsidRPr="00141C3D" w:rsidRDefault="006C76FC" w:rsidP="005512C0">
            <w:pPr>
              <w:ind w:left="90" w:right="-58"/>
              <w:jc w:val="center"/>
              <w:rPr>
                <w:sz w:val="20"/>
                <w:szCs w:val="20"/>
              </w:rPr>
            </w:pPr>
            <w:r>
              <w:rPr>
                <w:sz w:val="20"/>
                <w:szCs w:val="20"/>
              </w:rPr>
              <w:t>N/A</w:t>
            </w:r>
          </w:p>
        </w:tc>
        <w:tc>
          <w:tcPr>
            <w:tcW w:w="1440" w:type="dxa"/>
            <w:tcBorders>
              <w:left w:val="single" w:sz="8" w:space="0" w:color="000000"/>
              <w:bottom w:val="single" w:sz="8" w:space="0" w:color="000000"/>
              <w:right w:val="single" w:sz="4" w:space="0" w:color="auto"/>
            </w:tcBorders>
          </w:tcPr>
          <w:p w14:paraId="55B4D447" w14:textId="77777777" w:rsidR="006C76FC" w:rsidRPr="00141C3D" w:rsidRDefault="006C76FC" w:rsidP="005512C0">
            <w:pPr>
              <w:ind w:left="90" w:right="-58"/>
              <w:jc w:val="center"/>
              <w:rPr>
                <w:sz w:val="20"/>
                <w:szCs w:val="20"/>
              </w:rPr>
            </w:pPr>
          </w:p>
        </w:tc>
        <w:tc>
          <w:tcPr>
            <w:tcW w:w="1800" w:type="dxa"/>
            <w:tcBorders>
              <w:left w:val="single" w:sz="8" w:space="0" w:color="000000"/>
              <w:bottom w:val="single" w:sz="8" w:space="0" w:color="000000"/>
              <w:right w:val="single" w:sz="4" w:space="0" w:color="auto"/>
            </w:tcBorders>
          </w:tcPr>
          <w:p w14:paraId="154085FC" w14:textId="77777777" w:rsidR="006C76FC" w:rsidRPr="00141C3D" w:rsidRDefault="006C76FC" w:rsidP="005512C0">
            <w:pPr>
              <w:ind w:left="90" w:right="-58"/>
              <w:jc w:val="center"/>
              <w:rPr>
                <w:sz w:val="20"/>
                <w:szCs w:val="20"/>
              </w:rPr>
            </w:pPr>
          </w:p>
        </w:tc>
      </w:tr>
      <w:tr w:rsidR="006C76FC" w:rsidRPr="00141C3D" w14:paraId="7127766F" w14:textId="77777777" w:rsidTr="006C76FC">
        <w:trPr>
          <w:trHeight w:val="28"/>
        </w:trPr>
        <w:tc>
          <w:tcPr>
            <w:tcW w:w="2160" w:type="dxa"/>
            <w:tcBorders>
              <w:top w:val="single" w:sz="8" w:space="0" w:color="000000"/>
              <w:left w:val="single" w:sz="4" w:space="0" w:color="auto"/>
              <w:right w:val="single" w:sz="8" w:space="0" w:color="000000"/>
            </w:tcBorders>
            <w:shd w:val="clear" w:color="auto" w:fill="auto"/>
            <w:tcMar>
              <w:top w:w="72" w:type="dxa"/>
              <w:left w:w="144" w:type="dxa"/>
              <w:bottom w:w="72" w:type="dxa"/>
              <w:right w:w="144" w:type="dxa"/>
            </w:tcMar>
          </w:tcPr>
          <w:p w14:paraId="06736507" w14:textId="77777777" w:rsidR="006C76FC" w:rsidRPr="009018A5" w:rsidRDefault="006C76FC" w:rsidP="0032419B">
            <w:pPr>
              <w:contextualSpacing/>
              <w:rPr>
                <w:sz w:val="20"/>
                <w:szCs w:val="20"/>
              </w:rPr>
            </w:pPr>
            <w:proofErr w:type="spellStart"/>
            <w:r w:rsidRPr="009018A5">
              <w:rPr>
                <w:sz w:val="20"/>
                <w:szCs w:val="20"/>
              </w:rPr>
              <w:t>Anteroposterior</w:t>
            </w:r>
            <w:proofErr w:type="spellEnd"/>
            <w:r w:rsidRPr="009018A5">
              <w:rPr>
                <w:sz w:val="20"/>
                <w:szCs w:val="20"/>
              </w:rPr>
              <w:t xml:space="preserve"> diameter of spinal canal</w:t>
            </w:r>
          </w:p>
        </w:tc>
        <w:tc>
          <w:tcPr>
            <w:tcW w:w="126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14:paraId="13F77BF6" w14:textId="39AFEE1B" w:rsidR="006C76FC" w:rsidRPr="009018A5" w:rsidRDefault="006C76FC" w:rsidP="0032419B">
            <w:pPr>
              <w:ind w:left="-108" w:right="-76"/>
              <w:jc w:val="center"/>
              <w:rPr>
                <w:sz w:val="20"/>
                <w:szCs w:val="20"/>
              </w:rPr>
            </w:pPr>
            <w:r>
              <w:rPr>
                <w:sz w:val="20"/>
                <w:szCs w:val="20"/>
              </w:rPr>
              <w:t>Insufficient</w:t>
            </w:r>
          </w:p>
        </w:tc>
        <w:tc>
          <w:tcPr>
            <w:tcW w:w="5220" w:type="dxa"/>
            <w:tcBorders>
              <w:top w:val="single" w:sz="8" w:space="0" w:color="000000"/>
              <w:left w:val="single" w:sz="8" w:space="0" w:color="000000"/>
              <w:right w:val="single" w:sz="4" w:space="0" w:color="auto"/>
            </w:tcBorders>
            <w:shd w:val="clear" w:color="auto" w:fill="auto"/>
            <w:tcMar>
              <w:top w:w="72" w:type="dxa"/>
              <w:left w:w="144" w:type="dxa"/>
              <w:bottom w:w="72" w:type="dxa"/>
              <w:right w:w="144" w:type="dxa"/>
            </w:tcMar>
          </w:tcPr>
          <w:p w14:paraId="185B4B9C" w14:textId="20AB0CE2" w:rsidR="006C76FC" w:rsidRPr="009018A5" w:rsidRDefault="006C76FC" w:rsidP="00E50BAC">
            <w:pPr>
              <w:numPr>
                <w:ilvl w:val="0"/>
                <w:numId w:val="32"/>
              </w:numPr>
              <w:tabs>
                <w:tab w:val="left" w:pos="126"/>
              </w:tabs>
              <w:ind w:left="129" w:right="-58" w:hanging="187"/>
              <w:rPr>
                <w:sz w:val="20"/>
                <w:szCs w:val="20"/>
              </w:rPr>
            </w:pPr>
            <w:r w:rsidRPr="009018A5">
              <w:rPr>
                <w:sz w:val="20"/>
                <w:szCs w:val="20"/>
                <w:u w:val="single"/>
              </w:rPr>
              <w:t xml:space="preserve">Risk of </w:t>
            </w:r>
            <w:r w:rsidR="00EB0351">
              <w:rPr>
                <w:sz w:val="20"/>
                <w:szCs w:val="20"/>
                <w:u w:val="single"/>
              </w:rPr>
              <w:t>CASP</w:t>
            </w:r>
            <w:r w:rsidRPr="009018A5">
              <w:rPr>
                <w:sz w:val="20"/>
                <w:szCs w:val="20"/>
              </w:rPr>
              <w:t>:</w:t>
            </w:r>
            <w:r>
              <w:rPr>
                <w:sz w:val="20"/>
                <w:szCs w:val="20"/>
              </w:rPr>
              <w:t xml:space="preserve"> s</w:t>
            </w:r>
            <w:r w:rsidRPr="009018A5">
              <w:rPr>
                <w:sz w:val="20"/>
                <w:szCs w:val="20"/>
              </w:rPr>
              <w:t xml:space="preserve">ignificantly smaller mean diameter was reported </w:t>
            </w:r>
            <w:r>
              <w:rPr>
                <w:sz w:val="20"/>
                <w:szCs w:val="20"/>
              </w:rPr>
              <w:t xml:space="preserve">in those with versus without </w:t>
            </w:r>
            <w:r w:rsidR="00EB0351">
              <w:rPr>
                <w:sz w:val="20"/>
                <w:szCs w:val="20"/>
              </w:rPr>
              <w:t>CASP</w:t>
            </w:r>
            <w:r>
              <w:rPr>
                <w:sz w:val="20"/>
                <w:szCs w:val="20"/>
              </w:rPr>
              <w:t xml:space="preserve"> </w:t>
            </w:r>
            <w:r w:rsidRPr="009018A5">
              <w:rPr>
                <w:sz w:val="20"/>
                <w:szCs w:val="20"/>
              </w:rPr>
              <w:t>in one</w:t>
            </w:r>
            <w:r>
              <w:rPr>
                <w:sz w:val="20"/>
                <w:szCs w:val="20"/>
              </w:rPr>
              <w:t xml:space="preserve"> retrospective cohort but not in the other</w:t>
            </w:r>
            <w:r w:rsidRPr="009018A5">
              <w:rPr>
                <w:sz w:val="20"/>
                <w:szCs w:val="20"/>
              </w:rPr>
              <w:t xml:space="preserve"> </w:t>
            </w:r>
          </w:p>
        </w:tc>
        <w:tc>
          <w:tcPr>
            <w:tcW w:w="1080" w:type="dxa"/>
            <w:tcBorders>
              <w:top w:val="single" w:sz="8" w:space="0" w:color="000000"/>
              <w:left w:val="single" w:sz="8" w:space="0" w:color="000000"/>
              <w:right w:val="single" w:sz="4" w:space="0" w:color="auto"/>
            </w:tcBorders>
          </w:tcPr>
          <w:p w14:paraId="01705ED7" w14:textId="77777777" w:rsidR="006C76FC" w:rsidRPr="00141C3D" w:rsidRDefault="006C76FC" w:rsidP="005512C0">
            <w:pPr>
              <w:ind w:left="90" w:right="-58"/>
              <w:jc w:val="center"/>
              <w:rPr>
                <w:sz w:val="20"/>
                <w:szCs w:val="20"/>
              </w:rPr>
            </w:pPr>
            <w:r>
              <w:rPr>
                <w:sz w:val="20"/>
                <w:szCs w:val="20"/>
              </w:rPr>
              <w:t>Low</w:t>
            </w:r>
          </w:p>
        </w:tc>
        <w:tc>
          <w:tcPr>
            <w:tcW w:w="1440" w:type="dxa"/>
            <w:tcBorders>
              <w:top w:val="single" w:sz="8" w:space="0" w:color="000000"/>
              <w:left w:val="single" w:sz="8" w:space="0" w:color="000000"/>
              <w:right w:val="single" w:sz="4" w:space="0" w:color="auto"/>
            </w:tcBorders>
          </w:tcPr>
          <w:p w14:paraId="4EF3164D" w14:textId="77777777" w:rsidR="006C76FC" w:rsidRPr="00141C3D" w:rsidRDefault="006C76FC" w:rsidP="005512C0">
            <w:pPr>
              <w:ind w:left="90" w:right="-58"/>
              <w:jc w:val="center"/>
              <w:rPr>
                <w:sz w:val="20"/>
                <w:szCs w:val="20"/>
              </w:rPr>
            </w:pPr>
            <w:r>
              <w:rPr>
                <w:sz w:val="20"/>
                <w:szCs w:val="20"/>
              </w:rPr>
              <w:t>No</w:t>
            </w:r>
          </w:p>
        </w:tc>
        <w:tc>
          <w:tcPr>
            <w:tcW w:w="1800" w:type="dxa"/>
            <w:tcBorders>
              <w:top w:val="single" w:sz="8" w:space="0" w:color="000000"/>
              <w:left w:val="single" w:sz="8" w:space="0" w:color="000000"/>
              <w:right w:val="single" w:sz="4" w:space="0" w:color="auto"/>
            </w:tcBorders>
          </w:tcPr>
          <w:p w14:paraId="5EAB6AA7" w14:textId="77777777" w:rsidR="006C76FC" w:rsidRPr="00141C3D" w:rsidRDefault="006C76FC" w:rsidP="005512C0">
            <w:pPr>
              <w:ind w:left="90" w:right="-58"/>
              <w:jc w:val="center"/>
              <w:rPr>
                <w:sz w:val="20"/>
                <w:szCs w:val="20"/>
              </w:rPr>
            </w:pPr>
            <w:r>
              <w:rPr>
                <w:sz w:val="20"/>
                <w:szCs w:val="20"/>
              </w:rPr>
              <w:t>(1) inconsistent results</w:t>
            </w:r>
          </w:p>
        </w:tc>
      </w:tr>
      <w:tr w:rsidR="006C76FC" w:rsidRPr="00141C3D" w14:paraId="5ADB0D9D" w14:textId="77777777" w:rsidTr="006C76FC">
        <w:trPr>
          <w:trHeight w:val="28"/>
        </w:trPr>
        <w:tc>
          <w:tcPr>
            <w:tcW w:w="2160" w:type="dxa"/>
            <w:tcBorders>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14:paraId="11F78480" w14:textId="77777777" w:rsidR="006C76FC" w:rsidRPr="000C6A4B" w:rsidRDefault="006C76FC" w:rsidP="0032419B">
            <w:pPr>
              <w:ind w:left="252"/>
              <w:rPr>
                <w:sz w:val="20"/>
                <w:szCs w:val="20"/>
              </w:rPr>
            </w:pPr>
          </w:p>
        </w:tc>
        <w:tc>
          <w:tcPr>
            <w:tcW w:w="1260"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A2E5DC" w14:textId="77777777" w:rsidR="006C76FC" w:rsidRPr="000C6A4B" w:rsidRDefault="006C76FC" w:rsidP="0032419B">
            <w:pPr>
              <w:ind w:left="-108" w:right="-76"/>
              <w:jc w:val="center"/>
              <w:rPr>
                <w:sz w:val="20"/>
                <w:szCs w:val="20"/>
              </w:rPr>
            </w:pPr>
            <w:r>
              <w:rPr>
                <w:sz w:val="20"/>
                <w:szCs w:val="20"/>
              </w:rPr>
              <w:t>No evidence</w:t>
            </w:r>
          </w:p>
        </w:tc>
        <w:tc>
          <w:tcPr>
            <w:tcW w:w="5220"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07590E14" w14:textId="7C8853D3" w:rsidR="006C76FC" w:rsidRPr="000C6A4B" w:rsidRDefault="006C76FC" w:rsidP="0032419B">
            <w:pPr>
              <w:numPr>
                <w:ilvl w:val="0"/>
                <w:numId w:val="32"/>
              </w:numPr>
              <w:tabs>
                <w:tab w:val="left" w:pos="126"/>
              </w:tabs>
              <w:ind w:left="129" w:right="-58" w:hanging="187"/>
              <w:rPr>
                <w:sz w:val="20"/>
                <w:szCs w:val="20"/>
                <w:u w:val="single"/>
              </w:rPr>
            </w:pPr>
            <w:r w:rsidRPr="000C6A4B">
              <w:rPr>
                <w:sz w:val="20"/>
                <w:szCs w:val="20"/>
                <w:u w:val="single"/>
              </w:rPr>
              <w:t xml:space="preserve">Risk of subsequent operation due to </w:t>
            </w:r>
            <w:r w:rsidR="00EB0351">
              <w:rPr>
                <w:sz w:val="20"/>
                <w:szCs w:val="20"/>
                <w:u w:val="single"/>
              </w:rPr>
              <w:t>CASP</w:t>
            </w:r>
            <w:r w:rsidRPr="000C6A4B">
              <w:rPr>
                <w:sz w:val="20"/>
                <w:szCs w:val="20"/>
              </w:rPr>
              <w:t>:</w:t>
            </w:r>
            <w:r>
              <w:rPr>
                <w:sz w:val="20"/>
                <w:szCs w:val="20"/>
              </w:rPr>
              <w:t xml:space="preserve"> none reported</w:t>
            </w:r>
          </w:p>
        </w:tc>
        <w:tc>
          <w:tcPr>
            <w:tcW w:w="1080" w:type="dxa"/>
            <w:tcBorders>
              <w:left w:val="single" w:sz="8" w:space="0" w:color="000000"/>
              <w:bottom w:val="single" w:sz="8" w:space="0" w:color="000000"/>
              <w:right w:val="single" w:sz="4" w:space="0" w:color="auto"/>
            </w:tcBorders>
          </w:tcPr>
          <w:p w14:paraId="7E7DD0FB" w14:textId="77777777" w:rsidR="006C76FC" w:rsidRPr="00141C3D" w:rsidRDefault="006C76FC" w:rsidP="005512C0">
            <w:pPr>
              <w:ind w:left="90" w:right="-58"/>
              <w:jc w:val="center"/>
              <w:rPr>
                <w:sz w:val="20"/>
                <w:szCs w:val="20"/>
              </w:rPr>
            </w:pPr>
            <w:r>
              <w:rPr>
                <w:sz w:val="20"/>
                <w:szCs w:val="20"/>
              </w:rPr>
              <w:t>N/A</w:t>
            </w:r>
          </w:p>
        </w:tc>
        <w:tc>
          <w:tcPr>
            <w:tcW w:w="1440" w:type="dxa"/>
            <w:tcBorders>
              <w:left w:val="single" w:sz="8" w:space="0" w:color="000000"/>
              <w:bottom w:val="single" w:sz="8" w:space="0" w:color="000000"/>
              <w:right w:val="single" w:sz="4" w:space="0" w:color="auto"/>
            </w:tcBorders>
          </w:tcPr>
          <w:p w14:paraId="3BC72478" w14:textId="77777777" w:rsidR="006C76FC" w:rsidRPr="00141C3D" w:rsidRDefault="006C76FC" w:rsidP="005512C0">
            <w:pPr>
              <w:ind w:left="90" w:right="-58"/>
              <w:jc w:val="center"/>
              <w:rPr>
                <w:sz w:val="20"/>
                <w:szCs w:val="20"/>
              </w:rPr>
            </w:pPr>
          </w:p>
        </w:tc>
        <w:tc>
          <w:tcPr>
            <w:tcW w:w="1800" w:type="dxa"/>
            <w:tcBorders>
              <w:left w:val="single" w:sz="8" w:space="0" w:color="000000"/>
              <w:bottom w:val="single" w:sz="8" w:space="0" w:color="000000"/>
              <w:right w:val="single" w:sz="4" w:space="0" w:color="auto"/>
            </w:tcBorders>
          </w:tcPr>
          <w:p w14:paraId="61CEF006" w14:textId="77777777" w:rsidR="006C76FC" w:rsidRPr="00141C3D" w:rsidRDefault="006C76FC" w:rsidP="005512C0">
            <w:pPr>
              <w:ind w:left="90" w:right="-58"/>
              <w:jc w:val="center"/>
              <w:rPr>
                <w:sz w:val="20"/>
                <w:szCs w:val="20"/>
              </w:rPr>
            </w:pPr>
          </w:p>
        </w:tc>
      </w:tr>
    </w:tbl>
    <w:p w14:paraId="20A62E68" w14:textId="5626C796" w:rsidR="0002578D" w:rsidRDefault="0002578D" w:rsidP="009F6EF4"/>
    <w:p w14:paraId="71090AE0" w14:textId="77777777" w:rsidR="0002578D" w:rsidRPr="0002578D" w:rsidRDefault="0002578D" w:rsidP="0002578D"/>
    <w:p w14:paraId="474AE3B9" w14:textId="77777777" w:rsidR="0002578D" w:rsidRPr="0002578D" w:rsidRDefault="0002578D" w:rsidP="0002578D"/>
    <w:p w14:paraId="1D7788C1" w14:textId="77777777" w:rsidR="0002578D" w:rsidRPr="0002578D" w:rsidRDefault="0002578D" w:rsidP="0002578D"/>
    <w:p w14:paraId="03CFDE7E" w14:textId="77777777" w:rsidR="0002578D" w:rsidRPr="0002578D" w:rsidRDefault="0002578D" w:rsidP="0002578D"/>
    <w:p w14:paraId="3DF98A37" w14:textId="77777777" w:rsidR="0002578D" w:rsidRPr="0002578D" w:rsidRDefault="0002578D" w:rsidP="0002578D"/>
    <w:p w14:paraId="6AC49957" w14:textId="77777777" w:rsidR="0002578D" w:rsidRPr="0002578D" w:rsidRDefault="0002578D" w:rsidP="0002578D"/>
    <w:p w14:paraId="28C3A33B" w14:textId="133B9B10" w:rsidR="0002578D" w:rsidRDefault="0002578D" w:rsidP="0002578D"/>
    <w:p w14:paraId="5D8000AF" w14:textId="55019204" w:rsidR="0002578D" w:rsidRPr="0002578D" w:rsidRDefault="0002578D" w:rsidP="0002578D">
      <w:pPr>
        <w:pStyle w:val="Normal1"/>
        <w:spacing w:before="240" w:after="0" w:line="240" w:lineRule="auto"/>
        <w:rPr>
          <w:rFonts w:cs="Calibri"/>
        </w:rPr>
      </w:pPr>
      <w:r w:rsidRPr="0002578D">
        <w:rPr>
          <w:b/>
        </w:rPr>
        <w:t>Level of Evidence Summary Table for Included Studies</w:t>
      </w:r>
    </w:p>
    <w:p w14:paraId="12A71511" w14:textId="77777777" w:rsidR="0002578D" w:rsidRPr="0002578D" w:rsidRDefault="0002578D" w:rsidP="0002578D">
      <w:pPr>
        <w:spacing w:before="240"/>
        <w:rPr>
          <w:rFonts w:ascii="Calibri" w:eastAsia="Calibri" w:hAnsi="Calibri"/>
          <w:sz w:val="22"/>
          <w:szCs w:val="22"/>
          <w:lang w:bidi="en-US"/>
        </w:rPr>
      </w:pPr>
      <w:r w:rsidRPr="0002578D">
        <w:rPr>
          <w:rFonts w:eastAsia="Calibri"/>
          <w:i/>
          <w:iCs/>
          <w:szCs w:val="22"/>
          <w:lang w:bidi="en-US"/>
        </w:rPr>
        <w:t>Critical appraisal for article on prognosis</w:t>
      </w:r>
    </w:p>
    <w:tbl>
      <w:tblPr>
        <w:tblW w:w="10290" w:type="dxa"/>
        <w:tblCellSpacing w:w="0"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5610"/>
        <w:gridCol w:w="900"/>
        <w:gridCol w:w="900"/>
        <w:gridCol w:w="1080"/>
        <w:gridCol w:w="900"/>
        <w:gridCol w:w="900"/>
      </w:tblGrid>
      <w:tr w:rsidR="0002578D" w:rsidRPr="0002578D" w14:paraId="0141C14E" w14:textId="77777777" w:rsidTr="0035068F">
        <w:trPr>
          <w:trHeight w:val="371"/>
          <w:tblCellSpacing w:w="0" w:type="dxa"/>
        </w:trPr>
        <w:tc>
          <w:tcPr>
            <w:tcW w:w="5610" w:type="dxa"/>
            <w:tcBorders>
              <w:top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2EDFD856" w14:textId="77777777" w:rsidR="0002578D" w:rsidRPr="0002578D" w:rsidRDefault="0002578D" w:rsidP="0002578D">
            <w:pPr>
              <w:spacing w:line="240" w:lineRule="atLeast"/>
              <w:jc w:val="center"/>
              <w:rPr>
                <w:rFonts w:eastAsia="Calibri"/>
                <w:sz w:val="22"/>
                <w:lang w:bidi="en-US"/>
              </w:rPr>
            </w:pPr>
            <w:bookmarkStart w:id="1" w:name="table01"/>
            <w:bookmarkEnd w:id="1"/>
            <w:r w:rsidRPr="0002578D">
              <w:rPr>
                <w:rFonts w:eastAsia="Calibri"/>
                <w:color w:val="FFFFFF"/>
                <w:sz w:val="22"/>
                <w:lang w:bidi="en-US"/>
              </w:rPr>
              <w:t>Methodological Principle</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5C7B26B2" w14:textId="77777777" w:rsidR="0002578D" w:rsidRPr="0002578D" w:rsidRDefault="0002578D" w:rsidP="0002578D">
            <w:pPr>
              <w:spacing w:line="240" w:lineRule="atLeast"/>
              <w:jc w:val="center"/>
              <w:rPr>
                <w:rFonts w:eastAsia="Calibri"/>
                <w:color w:val="FFFFFF"/>
                <w:sz w:val="22"/>
                <w:lang w:bidi="en-US"/>
              </w:rPr>
            </w:pPr>
            <w:proofErr w:type="spellStart"/>
            <w:r w:rsidRPr="0002578D">
              <w:rPr>
                <w:rFonts w:eastAsia="Calibri"/>
                <w:color w:val="FFFFFF"/>
                <w:sz w:val="18"/>
                <w:lang w:bidi="en-US"/>
              </w:rPr>
              <w:t>Hilibrand</w:t>
            </w:r>
            <w:proofErr w:type="spellEnd"/>
            <w:r w:rsidRPr="0002578D">
              <w:rPr>
                <w:rFonts w:eastAsia="Calibri"/>
                <w:color w:val="FFFFFF"/>
                <w:sz w:val="18"/>
                <w:lang w:bidi="en-US"/>
              </w:rPr>
              <w:t xml:space="preserve"> (1999)</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7B885121" w14:textId="6A6E6899" w:rsidR="0002578D" w:rsidRPr="0002578D" w:rsidRDefault="0002578D" w:rsidP="0035068F">
            <w:pPr>
              <w:spacing w:line="240" w:lineRule="atLeast"/>
              <w:jc w:val="center"/>
              <w:rPr>
                <w:rFonts w:eastAsia="Calibri"/>
                <w:color w:val="FFFFFF"/>
                <w:sz w:val="22"/>
                <w:lang w:bidi="en-US"/>
              </w:rPr>
            </w:pPr>
            <w:r w:rsidRPr="0002578D">
              <w:rPr>
                <w:rFonts w:eastAsia="Calibri"/>
                <w:color w:val="FFFFFF"/>
                <w:sz w:val="18"/>
                <w:lang w:bidi="en-US"/>
              </w:rPr>
              <w:t>Ishihara (</w:t>
            </w:r>
            <w:r w:rsidR="0035068F">
              <w:rPr>
                <w:rFonts w:eastAsia="Calibri"/>
                <w:color w:val="FFFFFF"/>
                <w:sz w:val="18"/>
                <w:lang w:bidi="en-US"/>
              </w:rPr>
              <w:t>200</w:t>
            </w:r>
            <w:r w:rsidRPr="0002578D">
              <w:rPr>
                <w:rFonts w:eastAsia="Calibri"/>
                <w:color w:val="FFFFFF"/>
                <w:sz w:val="18"/>
                <w:lang w:bidi="en-US"/>
              </w:rPr>
              <w:t>4)</w:t>
            </w:r>
          </w:p>
        </w:tc>
        <w:tc>
          <w:tcPr>
            <w:tcW w:w="108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379D505B" w14:textId="77777777" w:rsidR="0002578D" w:rsidRPr="0002578D" w:rsidRDefault="0002578D" w:rsidP="0002578D">
            <w:pPr>
              <w:spacing w:line="240" w:lineRule="atLeast"/>
              <w:jc w:val="center"/>
              <w:rPr>
                <w:rFonts w:eastAsia="Calibri"/>
                <w:color w:val="FFFFFF"/>
                <w:sz w:val="22"/>
                <w:lang w:bidi="en-US"/>
              </w:rPr>
            </w:pPr>
            <w:proofErr w:type="spellStart"/>
            <w:r w:rsidRPr="0002578D">
              <w:rPr>
                <w:rFonts w:eastAsia="Calibri"/>
                <w:color w:val="FFFFFF"/>
                <w:sz w:val="18"/>
                <w:lang w:bidi="en-US"/>
              </w:rPr>
              <w:t>Katsuura</w:t>
            </w:r>
            <w:proofErr w:type="spellEnd"/>
            <w:r w:rsidRPr="0002578D">
              <w:rPr>
                <w:rFonts w:eastAsia="Calibri"/>
                <w:color w:val="FFFFFF"/>
                <w:sz w:val="18"/>
                <w:lang w:bidi="en-US"/>
              </w:rPr>
              <w:t xml:space="preserve"> (2001)</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29208628"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18"/>
                <w:lang w:bidi="en-US"/>
              </w:rPr>
              <w:t>Komura (2012)</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5FC770DD"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18"/>
                <w:lang w:bidi="en-US"/>
              </w:rPr>
              <w:t>Wu   (2012)</w:t>
            </w:r>
          </w:p>
        </w:tc>
      </w:tr>
      <w:tr w:rsidR="0002578D" w:rsidRPr="0002578D" w14:paraId="61E885A6" w14:textId="77777777" w:rsidTr="0035068F">
        <w:trPr>
          <w:trHeight w:val="185"/>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52A179D8" w14:textId="77777777" w:rsidR="0002578D" w:rsidRPr="0002578D" w:rsidRDefault="0002578D" w:rsidP="0002578D">
            <w:pPr>
              <w:spacing w:line="180" w:lineRule="atLeast"/>
              <w:rPr>
                <w:rFonts w:eastAsia="Calibri"/>
                <w:sz w:val="22"/>
                <w:lang w:bidi="en-US"/>
              </w:rPr>
            </w:pPr>
            <w:r w:rsidRPr="0002578D">
              <w:rPr>
                <w:rFonts w:eastAsia="Calibri"/>
                <w:sz w:val="22"/>
                <w:lang w:bidi="en-US"/>
              </w:rPr>
              <w:t>Study design</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CC2944"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57D3D2" w14:textId="77777777" w:rsidR="0002578D" w:rsidRPr="0002578D" w:rsidRDefault="0002578D" w:rsidP="0002578D">
            <w:pPr>
              <w:spacing w:line="180" w:lineRule="atLeast"/>
              <w:jc w:val="center"/>
              <w:rPr>
                <w:rFonts w:eastAsia="Calibri"/>
                <w:sz w:val="22"/>
                <w:lang w:bidi="en-US"/>
              </w:rPr>
            </w:pP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A65E904"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A93478"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4E964C" w14:textId="77777777" w:rsidR="0002578D" w:rsidRPr="0002578D" w:rsidRDefault="0002578D" w:rsidP="0002578D">
            <w:pPr>
              <w:spacing w:line="180" w:lineRule="atLeast"/>
              <w:jc w:val="center"/>
              <w:rPr>
                <w:rFonts w:eastAsia="Calibri"/>
                <w:sz w:val="22"/>
                <w:lang w:bidi="en-US"/>
              </w:rPr>
            </w:pPr>
          </w:p>
        </w:tc>
      </w:tr>
      <w:tr w:rsidR="0002578D" w:rsidRPr="0002578D" w14:paraId="1F1B3A2A" w14:textId="77777777" w:rsidTr="0035068F">
        <w:trPr>
          <w:trHeight w:val="185"/>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305C194F" w14:textId="77777777" w:rsidR="0002578D" w:rsidRPr="0002578D" w:rsidRDefault="0002578D" w:rsidP="0002578D">
            <w:pPr>
              <w:spacing w:line="180" w:lineRule="atLeast"/>
              <w:ind w:left="80"/>
              <w:rPr>
                <w:rFonts w:eastAsia="Calibri"/>
                <w:sz w:val="22"/>
                <w:lang w:bidi="en-US"/>
              </w:rPr>
            </w:pPr>
            <w:r w:rsidRPr="0002578D">
              <w:rPr>
                <w:rFonts w:eastAsia="Calibri"/>
                <w:sz w:val="22"/>
                <w:lang w:bidi="en-US"/>
              </w:rPr>
              <w:t xml:space="preserve">Prospective cohort study </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43B20E"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12B26E" w14:textId="77777777" w:rsidR="0002578D" w:rsidRPr="0002578D" w:rsidRDefault="0002578D" w:rsidP="0002578D">
            <w:pPr>
              <w:spacing w:line="180" w:lineRule="atLeast"/>
              <w:jc w:val="center"/>
              <w:rPr>
                <w:rFonts w:eastAsia="Calibri"/>
                <w:sz w:val="22"/>
                <w:lang w:bidi="en-US"/>
              </w:rPr>
            </w:pP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053FCA7"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107293" w14:textId="77777777" w:rsidR="0002578D" w:rsidRPr="0002578D" w:rsidRDefault="0002578D" w:rsidP="0002578D">
            <w:pPr>
              <w:spacing w:line="18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085E6D" w14:textId="77777777" w:rsidR="0002578D" w:rsidRPr="0002578D" w:rsidRDefault="0002578D" w:rsidP="0002578D">
            <w:pPr>
              <w:spacing w:line="180" w:lineRule="atLeast"/>
              <w:jc w:val="center"/>
              <w:rPr>
                <w:rFonts w:eastAsia="Calibri"/>
                <w:sz w:val="22"/>
                <w:lang w:bidi="en-US"/>
              </w:rPr>
            </w:pPr>
          </w:p>
        </w:tc>
      </w:tr>
      <w:tr w:rsidR="0002578D" w:rsidRPr="0002578D" w14:paraId="4AE596D3" w14:textId="77777777" w:rsidTr="0035068F">
        <w:trPr>
          <w:trHeight w:val="185"/>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72932A6E" w14:textId="77777777" w:rsidR="0002578D" w:rsidRPr="0002578D" w:rsidRDefault="0002578D" w:rsidP="0002578D">
            <w:pPr>
              <w:spacing w:line="180" w:lineRule="atLeast"/>
              <w:ind w:left="80"/>
              <w:rPr>
                <w:rFonts w:eastAsia="Calibri"/>
                <w:sz w:val="22"/>
                <w:lang w:bidi="en-US"/>
              </w:rPr>
            </w:pPr>
            <w:r w:rsidRPr="0002578D">
              <w:rPr>
                <w:rFonts w:eastAsia="Calibri"/>
                <w:sz w:val="22"/>
                <w:lang w:bidi="en-US"/>
              </w:rPr>
              <w:t>Retrospective cohort study</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CFC19D" w14:textId="77777777" w:rsidR="0002578D" w:rsidRPr="0002578D" w:rsidRDefault="0002578D" w:rsidP="0002578D">
            <w:pPr>
              <w:spacing w:line="18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435D0E" w14:textId="77777777" w:rsidR="0002578D" w:rsidRPr="0002578D" w:rsidRDefault="0002578D" w:rsidP="0002578D">
            <w:pPr>
              <w:spacing w:line="180" w:lineRule="atLeast"/>
              <w:jc w:val="center"/>
              <w:rPr>
                <w:rFonts w:eastAsia="Calibri"/>
                <w:sz w:val="22"/>
                <w:lang w:bidi="en-US"/>
              </w:rPr>
            </w:pPr>
            <w:r w:rsidRPr="0002578D">
              <w:rPr>
                <w:rFonts w:eastAsia="Calibri"/>
                <w:sz w:val="22"/>
                <w:lang w:bidi="en-US"/>
              </w:rPr>
              <w:t>√</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55C4B0" w14:textId="77777777" w:rsidR="0002578D" w:rsidRPr="0002578D" w:rsidRDefault="0002578D" w:rsidP="0002578D">
            <w:pPr>
              <w:spacing w:line="18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6795A4" w14:textId="77777777" w:rsidR="0002578D" w:rsidRPr="0002578D" w:rsidRDefault="0002578D" w:rsidP="0002578D">
            <w:pPr>
              <w:spacing w:line="18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FE4783E" w14:textId="77777777" w:rsidR="0002578D" w:rsidRPr="0002578D" w:rsidRDefault="0002578D" w:rsidP="0002578D">
            <w:pPr>
              <w:spacing w:line="180" w:lineRule="atLeast"/>
              <w:jc w:val="center"/>
              <w:rPr>
                <w:rFonts w:eastAsia="Calibri"/>
                <w:sz w:val="22"/>
                <w:lang w:bidi="en-US"/>
              </w:rPr>
            </w:pPr>
            <w:r w:rsidRPr="0002578D">
              <w:rPr>
                <w:rFonts w:eastAsia="Calibri"/>
                <w:sz w:val="22"/>
                <w:lang w:bidi="en-US"/>
              </w:rPr>
              <w:t>√</w:t>
            </w:r>
          </w:p>
        </w:tc>
      </w:tr>
      <w:tr w:rsidR="0002578D" w:rsidRPr="0002578D" w14:paraId="11BBE990" w14:textId="77777777" w:rsidTr="0035068F">
        <w:trPr>
          <w:trHeight w:val="201"/>
          <w:tblCellSpacing w:w="0" w:type="dxa"/>
        </w:trPr>
        <w:tc>
          <w:tcPr>
            <w:tcW w:w="5610" w:type="dxa"/>
            <w:tcBorders>
              <w:top w:val="outset" w:sz="6" w:space="0" w:color="auto"/>
              <w:bottom w:val="single" w:sz="4" w:space="0" w:color="auto"/>
              <w:right w:val="outset" w:sz="6" w:space="0" w:color="auto"/>
            </w:tcBorders>
            <w:tcMar>
              <w:top w:w="15" w:type="dxa"/>
              <w:left w:w="15" w:type="dxa"/>
              <w:bottom w:w="15" w:type="dxa"/>
              <w:right w:w="15" w:type="dxa"/>
            </w:tcMar>
          </w:tcPr>
          <w:p w14:paraId="64D7EE3F" w14:textId="77777777" w:rsidR="0002578D" w:rsidRPr="0002578D" w:rsidRDefault="0002578D" w:rsidP="0002578D">
            <w:pPr>
              <w:spacing w:line="195" w:lineRule="atLeast"/>
              <w:ind w:left="80"/>
              <w:rPr>
                <w:rFonts w:eastAsia="Calibri"/>
                <w:sz w:val="22"/>
                <w:lang w:bidi="en-US"/>
              </w:rPr>
            </w:pPr>
            <w:r w:rsidRPr="0002578D">
              <w:rPr>
                <w:rFonts w:eastAsia="Calibri"/>
                <w:sz w:val="22"/>
                <w:lang w:bidi="en-US"/>
              </w:rPr>
              <w:t>Case-series </w:t>
            </w:r>
          </w:p>
        </w:tc>
        <w:tc>
          <w:tcPr>
            <w:tcW w:w="90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14:paraId="4ADBDFAC" w14:textId="77777777" w:rsidR="0002578D" w:rsidRPr="0002578D" w:rsidRDefault="0002578D" w:rsidP="0002578D">
            <w:pPr>
              <w:spacing w:line="195" w:lineRule="atLeast"/>
              <w:jc w:val="center"/>
              <w:rPr>
                <w:rFonts w:eastAsia="Calibri"/>
                <w:sz w:val="22"/>
                <w:lang w:bidi="en-US"/>
              </w:rPr>
            </w:pPr>
          </w:p>
        </w:tc>
        <w:tc>
          <w:tcPr>
            <w:tcW w:w="90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14:paraId="70209BD4" w14:textId="77777777" w:rsidR="0002578D" w:rsidRPr="0002578D" w:rsidRDefault="0002578D" w:rsidP="0002578D">
            <w:pPr>
              <w:spacing w:line="195" w:lineRule="atLeast"/>
              <w:jc w:val="center"/>
              <w:rPr>
                <w:rFonts w:eastAsia="Calibri"/>
                <w:sz w:val="22"/>
                <w:lang w:bidi="en-US"/>
              </w:rPr>
            </w:pPr>
          </w:p>
        </w:tc>
        <w:tc>
          <w:tcPr>
            <w:tcW w:w="108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14:paraId="2E0705C2" w14:textId="77777777" w:rsidR="0002578D" w:rsidRPr="0002578D" w:rsidRDefault="0002578D" w:rsidP="0002578D">
            <w:pPr>
              <w:spacing w:line="195" w:lineRule="atLeast"/>
              <w:jc w:val="center"/>
              <w:rPr>
                <w:rFonts w:eastAsia="Calibri"/>
                <w:sz w:val="22"/>
                <w:lang w:bidi="en-US"/>
              </w:rPr>
            </w:pPr>
          </w:p>
        </w:tc>
        <w:tc>
          <w:tcPr>
            <w:tcW w:w="90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14:paraId="5E74B2F9" w14:textId="77777777" w:rsidR="0002578D" w:rsidRPr="0002578D" w:rsidRDefault="0002578D" w:rsidP="0002578D">
            <w:pPr>
              <w:spacing w:line="195" w:lineRule="atLeast"/>
              <w:jc w:val="center"/>
              <w:rPr>
                <w:rFonts w:eastAsia="Calibri"/>
                <w:sz w:val="22"/>
                <w:lang w:bidi="en-US"/>
              </w:rPr>
            </w:pPr>
          </w:p>
        </w:tc>
        <w:tc>
          <w:tcPr>
            <w:tcW w:w="900" w:type="dxa"/>
            <w:tcBorders>
              <w:top w:val="outset" w:sz="6"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14:paraId="3E02EFF2" w14:textId="77777777" w:rsidR="0002578D" w:rsidRPr="0002578D" w:rsidRDefault="0002578D" w:rsidP="0002578D">
            <w:pPr>
              <w:spacing w:line="195" w:lineRule="atLeast"/>
              <w:jc w:val="center"/>
              <w:rPr>
                <w:rFonts w:eastAsia="Calibri"/>
                <w:sz w:val="22"/>
                <w:lang w:bidi="en-US"/>
              </w:rPr>
            </w:pPr>
          </w:p>
        </w:tc>
      </w:tr>
      <w:tr w:rsidR="0002578D" w:rsidRPr="0002578D" w14:paraId="77E67AFC" w14:textId="77777777" w:rsidTr="0035068F">
        <w:trPr>
          <w:trHeight w:val="294"/>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70FBFA33" w14:textId="77777777" w:rsidR="0002578D" w:rsidRPr="0002578D" w:rsidRDefault="0002578D" w:rsidP="0002578D">
            <w:pPr>
              <w:spacing w:line="240" w:lineRule="atLeast"/>
              <w:rPr>
                <w:rFonts w:eastAsia="Calibri"/>
                <w:sz w:val="22"/>
                <w:lang w:bidi="en-US"/>
              </w:rPr>
            </w:pPr>
            <w:r w:rsidRPr="0002578D">
              <w:rPr>
                <w:rFonts w:eastAsia="Calibri"/>
                <w:sz w:val="22"/>
                <w:lang w:bidi="en-US"/>
              </w:rPr>
              <w:t>Patients at similar point in the course of their disease or treatment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BA5BE9" w14:textId="77777777" w:rsidR="0002578D" w:rsidRPr="0002578D" w:rsidRDefault="0002578D" w:rsidP="0002578D">
            <w:pPr>
              <w:spacing w:line="240" w:lineRule="atLeast"/>
              <w:jc w:val="center"/>
              <w:rPr>
                <w:rFonts w:eastAsia="Calibri"/>
                <w:sz w:val="22"/>
                <w:highlight w:val="yellow"/>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64A3FB" w14:textId="77777777" w:rsidR="0002578D" w:rsidRPr="0002578D" w:rsidRDefault="0002578D" w:rsidP="0002578D">
            <w:pPr>
              <w:spacing w:line="240" w:lineRule="atLeast"/>
              <w:jc w:val="center"/>
              <w:rPr>
                <w:rFonts w:eastAsia="Calibri"/>
                <w:sz w:val="22"/>
                <w:highlight w:val="yellow"/>
                <w:lang w:bidi="en-US"/>
              </w:rPr>
            </w:pPr>
            <w:r w:rsidRPr="0002578D">
              <w:rPr>
                <w:rFonts w:eastAsia="Calibri"/>
                <w:sz w:val="22"/>
                <w:lang w:bidi="en-US"/>
              </w:rPr>
              <w:t>√</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CF39FB6" w14:textId="77777777" w:rsidR="0002578D" w:rsidRPr="0002578D" w:rsidRDefault="0002578D" w:rsidP="0002578D">
            <w:pPr>
              <w:spacing w:line="240" w:lineRule="atLeast"/>
              <w:jc w:val="center"/>
              <w:rPr>
                <w:rFonts w:eastAsia="Calibri"/>
                <w:sz w:val="22"/>
                <w:highlight w:val="yellow"/>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42E68E" w14:textId="77777777" w:rsidR="0002578D" w:rsidRPr="0002578D" w:rsidRDefault="0002578D" w:rsidP="0002578D">
            <w:pPr>
              <w:spacing w:line="240" w:lineRule="atLeast"/>
              <w:jc w:val="center"/>
              <w:rPr>
                <w:rFonts w:eastAsia="Calibri"/>
                <w:sz w:val="22"/>
                <w:highlight w:val="yellow"/>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39C78" w14:textId="77777777" w:rsidR="0002578D" w:rsidRPr="0002578D" w:rsidRDefault="0002578D" w:rsidP="0002578D">
            <w:pPr>
              <w:spacing w:line="240" w:lineRule="atLeast"/>
              <w:jc w:val="center"/>
              <w:rPr>
                <w:rFonts w:eastAsia="Calibri"/>
                <w:sz w:val="22"/>
                <w:highlight w:val="yellow"/>
                <w:lang w:bidi="en-US"/>
              </w:rPr>
            </w:pPr>
            <w:r w:rsidRPr="0002578D">
              <w:rPr>
                <w:rFonts w:eastAsia="Calibri"/>
                <w:sz w:val="22"/>
                <w:lang w:bidi="en-US"/>
              </w:rPr>
              <w:t>√</w:t>
            </w:r>
          </w:p>
        </w:tc>
      </w:tr>
      <w:tr w:rsidR="0002578D" w:rsidRPr="0002578D" w14:paraId="1905F534" w14:textId="77777777" w:rsidTr="0035068F">
        <w:trPr>
          <w:trHeight w:val="371"/>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60091C1E" w14:textId="77777777" w:rsidR="0002578D" w:rsidRPr="0002578D" w:rsidRDefault="0002578D" w:rsidP="0002578D">
            <w:pPr>
              <w:spacing w:line="240" w:lineRule="atLeast"/>
              <w:rPr>
                <w:rFonts w:eastAsia="Calibri"/>
                <w:sz w:val="22"/>
                <w:lang w:bidi="en-US"/>
              </w:rPr>
            </w:pPr>
            <w:r w:rsidRPr="0002578D">
              <w:rPr>
                <w:rFonts w:eastAsia="Calibri"/>
                <w:sz w:val="22"/>
                <w:lang w:bidi="en-US"/>
              </w:rPr>
              <w:t>Patients followed long enough for outcomes to occur</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888D6E"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A68955"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EF4996"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AE6D2CF"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324ECE"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r>
      <w:tr w:rsidR="0002578D" w:rsidRPr="0002578D" w14:paraId="20A51ABF" w14:textId="77777777" w:rsidTr="0035068F">
        <w:trPr>
          <w:trHeight w:val="294"/>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149C807E" w14:textId="77777777" w:rsidR="0002578D" w:rsidRPr="0002578D" w:rsidRDefault="0002578D" w:rsidP="0002578D">
            <w:pPr>
              <w:spacing w:line="240" w:lineRule="atLeast"/>
              <w:rPr>
                <w:rFonts w:eastAsia="Calibri"/>
                <w:sz w:val="22"/>
                <w:lang w:bidi="en-US"/>
              </w:rPr>
            </w:pPr>
            <w:r w:rsidRPr="0002578D">
              <w:rPr>
                <w:rFonts w:eastAsia="Calibri"/>
                <w:sz w:val="22"/>
                <w:lang w:bidi="en-US"/>
              </w:rPr>
              <w:t xml:space="preserve">Complete follow-up of </w:t>
            </w:r>
            <w:r w:rsidRPr="0002578D">
              <w:rPr>
                <w:rFonts w:eastAsia="Calibri"/>
                <w:sz w:val="22"/>
                <w:u w:val="single"/>
                <w:lang w:bidi="en-US"/>
              </w:rPr>
              <w:t>&gt;</w:t>
            </w:r>
            <w:r w:rsidRPr="0002578D">
              <w:rPr>
                <w:rFonts w:eastAsia="Calibri"/>
                <w:sz w:val="22"/>
                <w:lang w:bidi="en-US"/>
              </w:rPr>
              <w:t>80%</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2FA28E1"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FF2809"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AFDB7B" w14:textId="77777777" w:rsidR="0002578D" w:rsidRPr="0002578D" w:rsidRDefault="0002578D" w:rsidP="0002578D">
            <w:pPr>
              <w:spacing w:line="24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83BAFA" w14:textId="77777777" w:rsidR="0002578D" w:rsidRPr="0002578D" w:rsidRDefault="0002578D" w:rsidP="0002578D">
            <w:pPr>
              <w:spacing w:line="24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A8D2A1"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r>
      <w:tr w:rsidR="0002578D" w:rsidRPr="0002578D" w14:paraId="6A9BAFD8" w14:textId="77777777" w:rsidTr="0035068F">
        <w:trPr>
          <w:trHeight w:val="278"/>
          <w:tblCellSpacing w:w="0" w:type="dxa"/>
        </w:trPr>
        <w:tc>
          <w:tcPr>
            <w:tcW w:w="5610" w:type="dxa"/>
            <w:tcBorders>
              <w:top w:val="outset" w:sz="6" w:space="0" w:color="auto"/>
              <w:bottom w:val="outset" w:sz="6" w:space="0" w:color="auto"/>
              <w:right w:val="outset" w:sz="6" w:space="0" w:color="auto"/>
            </w:tcBorders>
            <w:tcMar>
              <w:top w:w="15" w:type="dxa"/>
              <w:left w:w="15" w:type="dxa"/>
              <w:bottom w:w="15" w:type="dxa"/>
              <w:right w:w="15" w:type="dxa"/>
            </w:tcMar>
          </w:tcPr>
          <w:p w14:paraId="78FFC3F6" w14:textId="211B86F9" w:rsidR="0002578D" w:rsidRPr="0002578D" w:rsidRDefault="0002578D" w:rsidP="0002578D">
            <w:pPr>
              <w:spacing w:line="240" w:lineRule="atLeast"/>
              <w:rPr>
                <w:rFonts w:eastAsia="Calibri"/>
                <w:sz w:val="22"/>
                <w:lang w:bidi="en-US"/>
              </w:rPr>
            </w:pPr>
            <w:r>
              <w:rPr>
                <w:rFonts w:eastAsia="Calibri"/>
                <w:sz w:val="22"/>
                <w:lang w:bidi="en-US"/>
              </w:rPr>
              <w:t>Accounting for other</w:t>
            </w:r>
            <w:r w:rsidRPr="0002578D">
              <w:rPr>
                <w:rFonts w:eastAsia="Calibri"/>
                <w:sz w:val="22"/>
                <w:lang w:bidi="en-US"/>
              </w:rPr>
              <w:t xml:space="preserve"> prognostic factors*</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0DA583" w14:textId="77777777" w:rsidR="0002578D" w:rsidRPr="0002578D" w:rsidRDefault="0002578D" w:rsidP="0002578D">
            <w:pPr>
              <w:spacing w:line="240" w:lineRule="atLeast"/>
              <w:jc w:val="center"/>
              <w:rPr>
                <w:rFonts w:eastAsia="Calibri"/>
                <w:sz w:val="22"/>
                <w:lang w:bidi="en-US"/>
              </w:rPr>
            </w:pP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9350B5" w14:textId="2D33F08C" w:rsidR="0002578D" w:rsidRPr="0002578D" w:rsidRDefault="0002578D" w:rsidP="0002578D">
            <w:pPr>
              <w:spacing w:line="240" w:lineRule="atLeast"/>
              <w:jc w:val="center"/>
              <w:rPr>
                <w:rFonts w:eastAsia="Calibri"/>
                <w:sz w:val="22"/>
                <w:lang w:bidi="en-US"/>
              </w:rPr>
            </w:pPr>
          </w:p>
        </w:tc>
        <w:tc>
          <w:tcPr>
            <w:tcW w:w="10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B8BF97B"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EED9B2"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c>
          <w:tcPr>
            <w:tcW w:w="9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225ECD" w14:textId="77777777" w:rsidR="0002578D" w:rsidRPr="0002578D" w:rsidRDefault="0002578D" w:rsidP="0002578D">
            <w:pPr>
              <w:spacing w:line="240" w:lineRule="atLeast"/>
              <w:jc w:val="center"/>
              <w:rPr>
                <w:rFonts w:eastAsia="Calibri"/>
                <w:sz w:val="22"/>
                <w:lang w:bidi="en-US"/>
              </w:rPr>
            </w:pPr>
            <w:r w:rsidRPr="0002578D">
              <w:rPr>
                <w:rFonts w:eastAsia="Calibri"/>
                <w:sz w:val="22"/>
                <w:lang w:bidi="en-US"/>
              </w:rPr>
              <w:t>√</w:t>
            </w:r>
          </w:p>
        </w:tc>
      </w:tr>
      <w:tr w:rsidR="0002578D" w:rsidRPr="0002578D" w14:paraId="7CABA7A7" w14:textId="77777777" w:rsidTr="0035068F">
        <w:trPr>
          <w:trHeight w:val="247"/>
          <w:tblCellSpacing w:w="0" w:type="dxa"/>
        </w:trPr>
        <w:tc>
          <w:tcPr>
            <w:tcW w:w="5610" w:type="dxa"/>
            <w:tcBorders>
              <w:top w:val="outset" w:sz="6" w:space="0" w:color="auto"/>
              <w:bottom w:val="outset" w:sz="6" w:space="0" w:color="auto"/>
              <w:right w:val="outset" w:sz="6" w:space="0" w:color="auto"/>
            </w:tcBorders>
            <w:shd w:val="clear" w:color="auto" w:fill="737373"/>
            <w:tcMar>
              <w:top w:w="15" w:type="dxa"/>
              <w:left w:w="15" w:type="dxa"/>
              <w:bottom w:w="15" w:type="dxa"/>
              <w:right w:w="15" w:type="dxa"/>
            </w:tcMar>
          </w:tcPr>
          <w:p w14:paraId="71B5D558" w14:textId="77777777" w:rsidR="0002578D" w:rsidRPr="0002578D" w:rsidRDefault="0002578D" w:rsidP="0002578D">
            <w:pPr>
              <w:spacing w:line="240" w:lineRule="atLeast"/>
              <w:rPr>
                <w:rFonts w:eastAsia="Calibri"/>
                <w:sz w:val="22"/>
                <w:lang w:bidi="en-US"/>
              </w:rPr>
            </w:pPr>
            <w:r w:rsidRPr="0002578D">
              <w:rPr>
                <w:rFonts w:eastAsia="Calibri"/>
                <w:color w:val="FFFFFF"/>
                <w:sz w:val="22"/>
                <w:lang w:bidi="en-US"/>
              </w:rPr>
              <w:t>Evidence Level</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vAlign w:val="center"/>
          </w:tcPr>
          <w:p w14:paraId="67C6960A"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22"/>
                <w:lang w:bidi="en-US"/>
              </w:rPr>
              <w:t>III</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vAlign w:val="center"/>
          </w:tcPr>
          <w:p w14:paraId="4876EE40" w14:textId="3C9FE66E"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22"/>
                <w:lang w:bidi="en-US"/>
              </w:rPr>
              <w:t>II</w:t>
            </w:r>
            <w:r w:rsidR="0069259F">
              <w:rPr>
                <w:rFonts w:eastAsia="Calibri"/>
                <w:color w:val="FFFFFF"/>
                <w:sz w:val="22"/>
                <w:lang w:bidi="en-US"/>
              </w:rPr>
              <w:t>I</w:t>
            </w:r>
          </w:p>
        </w:tc>
        <w:tc>
          <w:tcPr>
            <w:tcW w:w="108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vAlign w:val="center"/>
          </w:tcPr>
          <w:p w14:paraId="159EE751"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22"/>
                <w:lang w:bidi="en-US"/>
              </w:rPr>
              <w:t>III</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vAlign w:val="center"/>
          </w:tcPr>
          <w:p w14:paraId="0C1CCEA5"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22"/>
                <w:lang w:bidi="en-US"/>
              </w:rPr>
              <w:t>III</w:t>
            </w:r>
          </w:p>
        </w:tc>
        <w:tc>
          <w:tcPr>
            <w:tcW w:w="900" w:type="dxa"/>
            <w:tcBorders>
              <w:top w:val="outset" w:sz="6" w:space="0" w:color="auto"/>
              <w:left w:val="outset" w:sz="6" w:space="0" w:color="auto"/>
              <w:bottom w:val="outset" w:sz="6" w:space="0" w:color="auto"/>
              <w:right w:val="outset" w:sz="6" w:space="0" w:color="auto"/>
            </w:tcBorders>
            <w:shd w:val="clear" w:color="auto" w:fill="737373"/>
            <w:tcMar>
              <w:top w:w="15" w:type="dxa"/>
              <w:left w:w="15" w:type="dxa"/>
              <w:bottom w:w="15" w:type="dxa"/>
              <w:right w:w="15" w:type="dxa"/>
            </w:tcMar>
            <w:vAlign w:val="center"/>
          </w:tcPr>
          <w:p w14:paraId="4830369B" w14:textId="77777777" w:rsidR="0002578D" w:rsidRPr="0002578D" w:rsidRDefault="0002578D" w:rsidP="0002578D">
            <w:pPr>
              <w:spacing w:line="240" w:lineRule="atLeast"/>
              <w:jc w:val="center"/>
              <w:rPr>
                <w:rFonts w:eastAsia="Calibri"/>
                <w:color w:val="FFFFFF"/>
                <w:sz w:val="22"/>
                <w:lang w:bidi="en-US"/>
              </w:rPr>
            </w:pPr>
            <w:r w:rsidRPr="0002578D">
              <w:rPr>
                <w:rFonts w:eastAsia="Calibri"/>
                <w:color w:val="FFFFFF"/>
                <w:sz w:val="22"/>
                <w:lang w:bidi="en-US"/>
              </w:rPr>
              <w:t>II</w:t>
            </w:r>
          </w:p>
        </w:tc>
      </w:tr>
    </w:tbl>
    <w:p w14:paraId="2D73DBA3" w14:textId="6A46A220" w:rsidR="000925EA" w:rsidRDefault="000925EA" w:rsidP="000925EA">
      <w:pPr>
        <w:rPr>
          <w:b/>
        </w:rPr>
      </w:pPr>
    </w:p>
    <w:sectPr w:rsidR="000925EA" w:rsidSect="00D425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C4D05" w14:textId="77777777" w:rsidR="00EA2246" w:rsidRDefault="00EA2246">
      <w:r>
        <w:separator/>
      </w:r>
    </w:p>
  </w:endnote>
  <w:endnote w:type="continuationSeparator" w:id="0">
    <w:p w14:paraId="4D561721" w14:textId="77777777" w:rsidR="00EA2246" w:rsidRDefault="00EA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 Medium LF">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ACFDB" w14:textId="77777777" w:rsidR="00EA2246" w:rsidRDefault="00EA2246" w:rsidP="00D42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744C8D2" w14:textId="77777777" w:rsidR="00EA2246" w:rsidRDefault="00EA2246" w:rsidP="00D425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5873" w14:textId="77777777" w:rsidR="00EA2246" w:rsidRDefault="00EA2246" w:rsidP="00D42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E0E">
      <w:rPr>
        <w:rStyle w:val="PageNumber"/>
        <w:noProof/>
      </w:rPr>
      <w:t>1</w:t>
    </w:r>
    <w:r>
      <w:rPr>
        <w:rStyle w:val="PageNumber"/>
      </w:rPr>
      <w:fldChar w:fldCharType="end"/>
    </w:r>
  </w:p>
  <w:p w14:paraId="787D0931" w14:textId="77777777" w:rsidR="00EA2246" w:rsidRDefault="00EA2246" w:rsidP="00D425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7F1B" w14:textId="77777777" w:rsidR="00EA2246" w:rsidRDefault="00EA2246">
      <w:r>
        <w:separator/>
      </w:r>
    </w:p>
  </w:footnote>
  <w:footnote w:type="continuationSeparator" w:id="0">
    <w:p w14:paraId="4FF93344" w14:textId="77777777" w:rsidR="00EA2246" w:rsidRDefault="00EA2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8CF1" w14:textId="6AC1D5FB" w:rsidR="00BA7E0E" w:rsidRDefault="00BA7E0E" w:rsidP="00BA7E0E">
    <w:pPr>
      <w:pStyle w:val="Header"/>
      <w:jc w:val="right"/>
    </w:pPr>
    <w:r>
      <w:t>Systematic Review: Cervical Spine ASP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520A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81AFC5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6F70F0"/>
    <w:multiLevelType w:val="hybridMultilevel"/>
    <w:tmpl w:val="0EB6D2EA"/>
    <w:lvl w:ilvl="0" w:tplc="192E7B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57CBB"/>
    <w:multiLevelType w:val="hybridMultilevel"/>
    <w:tmpl w:val="FF18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079C7"/>
    <w:multiLevelType w:val="hybridMultilevel"/>
    <w:tmpl w:val="291A546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A5324BA"/>
    <w:multiLevelType w:val="hybridMultilevel"/>
    <w:tmpl w:val="56B4B084"/>
    <w:lvl w:ilvl="0" w:tplc="6D6A1EA0">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92EA7"/>
    <w:multiLevelType w:val="hybridMultilevel"/>
    <w:tmpl w:val="8CA2BBB0"/>
    <w:lvl w:ilvl="0" w:tplc="6908CE72">
      <w:start w:val="1"/>
      <w:numFmt w:val="bullet"/>
      <w:lvlText w:val="•"/>
      <w:lvlJc w:val="left"/>
      <w:pPr>
        <w:tabs>
          <w:tab w:val="num" w:pos="216"/>
        </w:tabs>
        <w:ind w:left="288" w:hanging="288"/>
      </w:pPr>
      <w:rPr>
        <w:rFonts w:ascii="Times New Roman" w:hAnsi="Times New Roman" w:cs="Times New Roman" w:hint="default"/>
      </w:rPr>
    </w:lvl>
    <w:lvl w:ilvl="1" w:tplc="CB004B2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9F7E1E"/>
    <w:multiLevelType w:val="hybridMultilevel"/>
    <w:tmpl w:val="16A8A33C"/>
    <w:styleLink w:val="Style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74EC9"/>
    <w:multiLevelType w:val="hybridMultilevel"/>
    <w:tmpl w:val="6F6E6F1E"/>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270A0"/>
    <w:multiLevelType w:val="hybridMultilevel"/>
    <w:tmpl w:val="D6E6BA86"/>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75192"/>
    <w:multiLevelType w:val="hybridMultilevel"/>
    <w:tmpl w:val="3AB81EB0"/>
    <w:lvl w:ilvl="0" w:tplc="91BA07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42ADB"/>
    <w:multiLevelType w:val="hybridMultilevel"/>
    <w:tmpl w:val="50A8A8AC"/>
    <w:lvl w:ilvl="0" w:tplc="DF5EBD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F5379"/>
    <w:multiLevelType w:val="hybridMultilevel"/>
    <w:tmpl w:val="31FCD68C"/>
    <w:lvl w:ilvl="0" w:tplc="9BF811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297CA9"/>
    <w:multiLevelType w:val="hybridMultilevel"/>
    <w:tmpl w:val="88F830BE"/>
    <w:lvl w:ilvl="0" w:tplc="02D60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724FD"/>
    <w:multiLevelType w:val="hybridMultilevel"/>
    <w:tmpl w:val="5B262A8C"/>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820EE"/>
    <w:multiLevelType w:val="hybridMultilevel"/>
    <w:tmpl w:val="25048B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17A66"/>
    <w:multiLevelType w:val="hybridMultilevel"/>
    <w:tmpl w:val="C5A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74CB9"/>
    <w:multiLevelType w:val="hybridMultilevel"/>
    <w:tmpl w:val="693EE3B6"/>
    <w:lvl w:ilvl="0" w:tplc="639004A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D09D4"/>
    <w:multiLevelType w:val="hybridMultilevel"/>
    <w:tmpl w:val="869ECC9C"/>
    <w:lvl w:ilvl="0" w:tplc="108C0DE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066F7"/>
    <w:multiLevelType w:val="hybridMultilevel"/>
    <w:tmpl w:val="AB464258"/>
    <w:lvl w:ilvl="0" w:tplc="004EF28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C2236"/>
    <w:multiLevelType w:val="hybridMultilevel"/>
    <w:tmpl w:val="52EA31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nsid w:val="4E7B0718"/>
    <w:multiLevelType w:val="hybridMultilevel"/>
    <w:tmpl w:val="C54EB568"/>
    <w:lvl w:ilvl="0" w:tplc="9BBAB96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44ABB"/>
    <w:multiLevelType w:val="hybridMultilevel"/>
    <w:tmpl w:val="8F260904"/>
    <w:lvl w:ilvl="0" w:tplc="2E9C79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90A67"/>
    <w:multiLevelType w:val="hybridMultilevel"/>
    <w:tmpl w:val="6ECE52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312759D"/>
    <w:multiLevelType w:val="hybridMultilevel"/>
    <w:tmpl w:val="2A1A874E"/>
    <w:lvl w:ilvl="0" w:tplc="68D2C6D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02A53"/>
    <w:multiLevelType w:val="hybridMultilevel"/>
    <w:tmpl w:val="BBB2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CE7258"/>
    <w:multiLevelType w:val="hybridMultilevel"/>
    <w:tmpl w:val="D544223A"/>
    <w:lvl w:ilvl="0" w:tplc="C1C89C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5AD652F"/>
    <w:multiLevelType w:val="hybridMultilevel"/>
    <w:tmpl w:val="02CE19E0"/>
    <w:lvl w:ilvl="0" w:tplc="9BF811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DB4400"/>
    <w:multiLevelType w:val="hybridMultilevel"/>
    <w:tmpl w:val="80B632D6"/>
    <w:lvl w:ilvl="0" w:tplc="9FBA3382">
      <w:start w:val="1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FB0CF1"/>
    <w:multiLevelType w:val="multilevel"/>
    <w:tmpl w:val="DB92F452"/>
    <w:styleLink w:val="Style1"/>
    <w:lvl w:ilvl="0">
      <w:start w:val="1"/>
      <w:numFmt w:val="upperRoman"/>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2160"/>
        </w:tabs>
        <w:ind w:left="2664" w:hanging="144"/>
      </w:pPr>
      <w:rPr>
        <w:rFonts w:ascii="Wingdings" w:hAnsi="Wingdings"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1">
    <w:nsid w:val="6B7F45DB"/>
    <w:multiLevelType w:val="hybridMultilevel"/>
    <w:tmpl w:val="628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D00B3"/>
    <w:multiLevelType w:val="hybridMultilevel"/>
    <w:tmpl w:val="14DE0F5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30A80"/>
    <w:multiLevelType w:val="multilevel"/>
    <w:tmpl w:val="6A548EF6"/>
    <w:styleLink w:val="HTA3"/>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6030"/>
        </w:tabs>
        <w:ind w:left="574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bullet"/>
      <w:lvlText w:val=""/>
      <w:lvlJc w:val="left"/>
      <w:pPr>
        <w:tabs>
          <w:tab w:val="num" w:pos="2880"/>
        </w:tabs>
        <w:ind w:left="2304" w:hanging="144"/>
      </w:pPr>
      <w:rPr>
        <w:rFonts w:ascii="Wingdings" w:hAnsi="Wingdings" w:hint="default"/>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70F5475C"/>
    <w:multiLevelType w:val="hybridMultilevel"/>
    <w:tmpl w:val="D66454C0"/>
    <w:lvl w:ilvl="0" w:tplc="0C4C067A">
      <w:numFmt w:val="bullet"/>
      <w:pStyle w:val="ListNumber"/>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2434C"/>
    <w:multiLevelType w:val="hybridMultilevel"/>
    <w:tmpl w:val="E30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4"/>
  </w:num>
  <w:num w:numId="8">
    <w:abstractNumId w:val="35"/>
  </w:num>
  <w:num w:numId="9">
    <w:abstractNumId w:val="11"/>
  </w:num>
  <w:num w:numId="10">
    <w:abstractNumId w:val="15"/>
  </w:num>
  <w:num w:numId="11">
    <w:abstractNumId w:val="10"/>
  </w:num>
  <w:num w:numId="12">
    <w:abstractNumId w:val="16"/>
  </w:num>
  <w:num w:numId="13">
    <w:abstractNumId w:val="17"/>
  </w:num>
  <w:num w:numId="14">
    <w:abstractNumId w:val="28"/>
  </w:num>
  <w:num w:numId="15">
    <w:abstractNumId w:val="13"/>
  </w:num>
  <w:num w:numId="16">
    <w:abstractNumId w:val="9"/>
  </w:num>
  <w:num w:numId="17">
    <w:abstractNumId w:val="26"/>
  </w:num>
  <w:num w:numId="18">
    <w:abstractNumId w:val="32"/>
  </w:num>
  <w:num w:numId="19">
    <w:abstractNumId w:val="34"/>
  </w:num>
  <w:num w:numId="20">
    <w:abstractNumId w:val="1"/>
  </w:num>
  <w:num w:numId="21">
    <w:abstractNumId w:val="0"/>
  </w:num>
  <w:num w:numId="22">
    <w:abstractNumId w:val="30"/>
  </w:num>
  <w:num w:numId="23">
    <w:abstractNumId w:val="33"/>
  </w:num>
  <w:num w:numId="24">
    <w:abstractNumId w:val="8"/>
  </w:num>
  <w:num w:numId="25">
    <w:abstractNumId w:val="25"/>
  </w:num>
  <w:num w:numId="26">
    <w:abstractNumId w:val="29"/>
  </w:num>
  <w:num w:numId="27">
    <w:abstractNumId w:val="18"/>
  </w:num>
  <w:num w:numId="28">
    <w:abstractNumId w:val="6"/>
  </w:num>
  <w:num w:numId="29">
    <w:abstractNumId w:val="20"/>
  </w:num>
  <w:num w:numId="30">
    <w:abstractNumId w:val="22"/>
  </w:num>
  <w:num w:numId="31">
    <w:abstractNumId w:val="31"/>
  </w:num>
  <w:num w:numId="32">
    <w:abstractNumId w:val="12"/>
  </w:num>
  <w:num w:numId="33">
    <w:abstractNumId w:val="3"/>
  </w:num>
  <w:num w:numId="34">
    <w:abstractNumId w:val="5"/>
  </w:num>
  <w:num w:numId="35">
    <w:abstractNumId w:val="21"/>
  </w:num>
  <w:num w:numId="36">
    <w:abstractNumId w:val="7"/>
  </w:num>
  <w:num w:numId="37">
    <w:abstractNumId w:val="23"/>
  </w:num>
  <w:num w:numId="38">
    <w:abstractNumId w:val="19"/>
  </w:num>
  <w:num w:numId="39">
    <w:abstractNumId w:val="4"/>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rff2dzjz925ae25vqvpst65xa0t5zv2v2a&quot;&gt;Cervical risk factors&lt;record-ids&gt;&lt;item&gt;1&lt;/item&gt;&lt;item&gt;4&lt;/item&gt;&lt;item&gt;6&lt;/item&gt;&lt;item&gt;7&lt;/item&gt;&lt;item&gt;13&lt;/item&gt;&lt;item&gt;15&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280F0B"/>
    <w:rsid w:val="00005342"/>
    <w:rsid w:val="00011209"/>
    <w:rsid w:val="00016292"/>
    <w:rsid w:val="00023607"/>
    <w:rsid w:val="000247BF"/>
    <w:rsid w:val="0002578D"/>
    <w:rsid w:val="000300A0"/>
    <w:rsid w:val="000303D0"/>
    <w:rsid w:val="00031617"/>
    <w:rsid w:val="00073F75"/>
    <w:rsid w:val="000800D0"/>
    <w:rsid w:val="000925EA"/>
    <w:rsid w:val="000A3585"/>
    <w:rsid w:val="000B5363"/>
    <w:rsid w:val="000B5C3F"/>
    <w:rsid w:val="000C6A4B"/>
    <w:rsid w:val="000D1C3C"/>
    <w:rsid w:val="000D6F79"/>
    <w:rsid w:val="000E74EE"/>
    <w:rsid w:val="000F1692"/>
    <w:rsid w:val="000F5D86"/>
    <w:rsid w:val="00101990"/>
    <w:rsid w:val="00106DC7"/>
    <w:rsid w:val="001137D1"/>
    <w:rsid w:val="00135C9D"/>
    <w:rsid w:val="00140F76"/>
    <w:rsid w:val="00141C3D"/>
    <w:rsid w:val="00144F5F"/>
    <w:rsid w:val="00150F86"/>
    <w:rsid w:val="0015225D"/>
    <w:rsid w:val="00152883"/>
    <w:rsid w:val="00174568"/>
    <w:rsid w:val="00193F69"/>
    <w:rsid w:val="00193FC9"/>
    <w:rsid w:val="00196C4B"/>
    <w:rsid w:val="001A3ABF"/>
    <w:rsid w:val="001B13EC"/>
    <w:rsid w:val="001D13D6"/>
    <w:rsid w:val="001D1FB0"/>
    <w:rsid w:val="001D4ADE"/>
    <w:rsid w:val="001F2ACC"/>
    <w:rsid w:val="001F7966"/>
    <w:rsid w:val="00210F5E"/>
    <w:rsid w:val="00215D64"/>
    <w:rsid w:val="00224C43"/>
    <w:rsid w:val="002353C0"/>
    <w:rsid w:val="00240A11"/>
    <w:rsid w:val="00246D64"/>
    <w:rsid w:val="00250C21"/>
    <w:rsid w:val="00267561"/>
    <w:rsid w:val="002744E2"/>
    <w:rsid w:val="00280F0B"/>
    <w:rsid w:val="002967F8"/>
    <w:rsid w:val="0029746A"/>
    <w:rsid w:val="002A137B"/>
    <w:rsid w:val="002A63D3"/>
    <w:rsid w:val="002C621E"/>
    <w:rsid w:val="002C7D38"/>
    <w:rsid w:val="002D2172"/>
    <w:rsid w:val="002E742A"/>
    <w:rsid w:val="00301100"/>
    <w:rsid w:val="00303900"/>
    <w:rsid w:val="003067A7"/>
    <w:rsid w:val="00311261"/>
    <w:rsid w:val="00312255"/>
    <w:rsid w:val="0032419B"/>
    <w:rsid w:val="00324BA7"/>
    <w:rsid w:val="003274A3"/>
    <w:rsid w:val="00332380"/>
    <w:rsid w:val="0033616F"/>
    <w:rsid w:val="003424AB"/>
    <w:rsid w:val="00350196"/>
    <w:rsid w:val="0035068F"/>
    <w:rsid w:val="0035291E"/>
    <w:rsid w:val="00362047"/>
    <w:rsid w:val="0036372B"/>
    <w:rsid w:val="00374CB9"/>
    <w:rsid w:val="00374CCA"/>
    <w:rsid w:val="003829A5"/>
    <w:rsid w:val="00384878"/>
    <w:rsid w:val="003877E0"/>
    <w:rsid w:val="00393369"/>
    <w:rsid w:val="00395F9B"/>
    <w:rsid w:val="003B3746"/>
    <w:rsid w:val="003B3784"/>
    <w:rsid w:val="003B6BCD"/>
    <w:rsid w:val="003C6807"/>
    <w:rsid w:val="003E3C57"/>
    <w:rsid w:val="003E5A55"/>
    <w:rsid w:val="003F5C51"/>
    <w:rsid w:val="00402FAA"/>
    <w:rsid w:val="004120B5"/>
    <w:rsid w:val="00413F51"/>
    <w:rsid w:val="00415AB9"/>
    <w:rsid w:val="00421CC8"/>
    <w:rsid w:val="00423DF8"/>
    <w:rsid w:val="00424600"/>
    <w:rsid w:val="004351BC"/>
    <w:rsid w:val="004550E2"/>
    <w:rsid w:val="0047317C"/>
    <w:rsid w:val="004A7BD3"/>
    <w:rsid w:val="004C2A5D"/>
    <w:rsid w:val="004C6C01"/>
    <w:rsid w:val="004D0A48"/>
    <w:rsid w:val="004E75D9"/>
    <w:rsid w:val="00503C55"/>
    <w:rsid w:val="00505F28"/>
    <w:rsid w:val="00515D69"/>
    <w:rsid w:val="0052470C"/>
    <w:rsid w:val="00535756"/>
    <w:rsid w:val="00537D54"/>
    <w:rsid w:val="00545023"/>
    <w:rsid w:val="00546626"/>
    <w:rsid w:val="00547E44"/>
    <w:rsid w:val="00550C24"/>
    <w:rsid w:val="005512C0"/>
    <w:rsid w:val="00551DDC"/>
    <w:rsid w:val="005532DE"/>
    <w:rsid w:val="00562982"/>
    <w:rsid w:val="0056626A"/>
    <w:rsid w:val="00570B90"/>
    <w:rsid w:val="0057171D"/>
    <w:rsid w:val="00576092"/>
    <w:rsid w:val="005A4D69"/>
    <w:rsid w:val="005A5DBA"/>
    <w:rsid w:val="005A5ECB"/>
    <w:rsid w:val="005B3C1F"/>
    <w:rsid w:val="005C6EB4"/>
    <w:rsid w:val="005E2D7F"/>
    <w:rsid w:val="005E46AD"/>
    <w:rsid w:val="005F198A"/>
    <w:rsid w:val="005F386F"/>
    <w:rsid w:val="005F52FF"/>
    <w:rsid w:val="00604928"/>
    <w:rsid w:val="00610572"/>
    <w:rsid w:val="0061308A"/>
    <w:rsid w:val="0062347B"/>
    <w:rsid w:val="00623D75"/>
    <w:rsid w:val="00634283"/>
    <w:rsid w:val="00635CEA"/>
    <w:rsid w:val="006410BD"/>
    <w:rsid w:val="00674566"/>
    <w:rsid w:val="006810BA"/>
    <w:rsid w:val="00683269"/>
    <w:rsid w:val="00684073"/>
    <w:rsid w:val="006872BC"/>
    <w:rsid w:val="006875A9"/>
    <w:rsid w:val="0069259F"/>
    <w:rsid w:val="00694563"/>
    <w:rsid w:val="00697754"/>
    <w:rsid w:val="006A27A4"/>
    <w:rsid w:val="006A3B2D"/>
    <w:rsid w:val="006B5D5B"/>
    <w:rsid w:val="006C0905"/>
    <w:rsid w:val="006C76FC"/>
    <w:rsid w:val="006D3574"/>
    <w:rsid w:val="006D6F91"/>
    <w:rsid w:val="006E2C6F"/>
    <w:rsid w:val="006E4EC0"/>
    <w:rsid w:val="006F0337"/>
    <w:rsid w:val="007107FC"/>
    <w:rsid w:val="00712553"/>
    <w:rsid w:val="00727E50"/>
    <w:rsid w:val="00736DEE"/>
    <w:rsid w:val="007464AC"/>
    <w:rsid w:val="007468D8"/>
    <w:rsid w:val="00757FF9"/>
    <w:rsid w:val="00774111"/>
    <w:rsid w:val="007754F5"/>
    <w:rsid w:val="00783113"/>
    <w:rsid w:val="00785328"/>
    <w:rsid w:val="0078794C"/>
    <w:rsid w:val="007919C2"/>
    <w:rsid w:val="007C2869"/>
    <w:rsid w:val="007C516A"/>
    <w:rsid w:val="007C6E3A"/>
    <w:rsid w:val="007D0482"/>
    <w:rsid w:val="007D0592"/>
    <w:rsid w:val="007D342B"/>
    <w:rsid w:val="007E20A3"/>
    <w:rsid w:val="007E6FB5"/>
    <w:rsid w:val="00801975"/>
    <w:rsid w:val="00804149"/>
    <w:rsid w:val="008059D1"/>
    <w:rsid w:val="00805D46"/>
    <w:rsid w:val="00813D9C"/>
    <w:rsid w:val="0081637B"/>
    <w:rsid w:val="00827194"/>
    <w:rsid w:val="00852A03"/>
    <w:rsid w:val="0085732F"/>
    <w:rsid w:val="00864464"/>
    <w:rsid w:val="008702C8"/>
    <w:rsid w:val="00872E3A"/>
    <w:rsid w:val="0087384F"/>
    <w:rsid w:val="00876B34"/>
    <w:rsid w:val="00880321"/>
    <w:rsid w:val="00897C41"/>
    <w:rsid w:val="008A0E3D"/>
    <w:rsid w:val="008A2491"/>
    <w:rsid w:val="008C1DAF"/>
    <w:rsid w:val="008C4691"/>
    <w:rsid w:val="008D7D0F"/>
    <w:rsid w:val="008E51F4"/>
    <w:rsid w:val="008E5ACA"/>
    <w:rsid w:val="008F2A98"/>
    <w:rsid w:val="008F6B2A"/>
    <w:rsid w:val="00900632"/>
    <w:rsid w:val="009018A5"/>
    <w:rsid w:val="00910127"/>
    <w:rsid w:val="00916857"/>
    <w:rsid w:val="00921BD4"/>
    <w:rsid w:val="00923D7A"/>
    <w:rsid w:val="0092519F"/>
    <w:rsid w:val="00925F85"/>
    <w:rsid w:val="009570E5"/>
    <w:rsid w:val="00957B3B"/>
    <w:rsid w:val="009662FC"/>
    <w:rsid w:val="00970011"/>
    <w:rsid w:val="0098136D"/>
    <w:rsid w:val="009827D3"/>
    <w:rsid w:val="0098799A"/>
    <w:rsid w:val="00990348"/>
    <w:rsid w:val="00995E47"/>
    <w:rsid w:val="009B70CF"/>
    <w:rsid w:val="009C4574"/>
    <w:rsid w:val="009C6C64"/>
    <w:rsid w:val="009E0D27"/>
    <w:rsid w:val="009E5275"/>
    <w:rsid w:val="009F0750"/>
    <w:rsid w:val="009F3689"/>
    <w:rsid w:val="009F4A11"/>
    <w:rsid w:val="009F5164"/>
    <w:rsid w:val="009F6EF4"/>
    <w:rsid w:val="00A037E9"/>
    <w:rsid w:val="00A039CF"/>
    <w:rsid w:val="00A1022F"/>
    <w:rsid w:val="00A16402"/>
    <w:rsid w:val="00A316DD"/>
    <w:rsid w:val="00A33EE4"/>
    <w:rsid w:val="00A36F0A"/>
    <w:rsid w:val="00A40D2E"/>
    <w:rsid w:val="00A425ED"/>
    <w:rsid w:val="00A42AC2"/>
    <w:rsid w:val="00A45473"/>
    <w:rsid w:val="00A543B4"/>
    <w:rsid w:val="00A54C4F"/>
    <w:rsid w:val="00A77850"/>
    <w:rsid w:val="00A938F8"/>
    <w:rsid w:val="00A93ADC"/>
    <w:rsid w:val="00A95E64"/>
    <w:rsid w:val="00A969CD"/>
    <w:rsid w:val="00A9726D"/>
    <w:rsid w:val="00AA2AF6"/>
    <w:rsid w:val="00AB3CF7"/>
    <w:rsid w:val="00AD5A89"/>
    <w:rsid w:val="00AE240C"/>
    <w:rsid w:val="00AE6270"/>
    <w:rsid w:val="00AF31E3"/>
    <w:rsid w:val="00AF38A7"/>
    <w:rsid w:val="00AF68CC"/>
    <w:rsid w:val="00B02AAA"/>
    <w:rsid w:val="00B03163"/>
    <w:rsid w:val="00B11230"/>
    <w:rsid w:val="00B17DA8"/>
    <w:rsid w:val="00B26BC1"/>
    <w:rsid w:val="00B46349"/>
    <w:rsid w:val="00B47864"/>
    <w:rsid w:val="00B47933"/>
    <w:rsid w:val="00B65A89"/>
    <w:rsid w:val="00B71A44"/>
    <w:rsid w:val="00B80C4B"/>
    <w:rsid w:val="00B94BD7"/>
    <w:rsid w:val="00B95ACE"/>
    <w:rsid w:val="00B9656E"/>
    <w:rsid w:val="00BA09F5"/>
    <w:rsid w:val="00BA4A8B"/>
    <w:rsid w:val="00BA7E0E"/>
    <w:rsid w:val="00BB1ED8"/>
    <w:rsid w:val="00BB35F5"/>
    <w:rsid w:val="00BC35F2"/>
    <w:rsid w:val="00BC3964"/>
    <w:rsid w:val="00BC4D59"/>
    <w:rsid w:val="00BC6DEA"/>
    <w:rsid w:val="00BD5237"/>
    <w:rsid w:val="00BD78A2"/>
    <w:rsid w:val="00BF0DE5"/>
    <w:rsid w:val="00BF3653"/>
    <w:rsid w:val="00BF7574"/>
    <w:rsid w:val="00C047F4"/>
    <w:rsid w:val="00C12087"/>
    <w:rsid w:val="00C15F9A"/>
    <w:rsid w:val="00C17C58"/>
    <w:rsid w:val="00C22849"/>
    <w:rsid w:val="00C3768F"/>
    <w:rsid w:val="00C41649"/>
    <w:rsid w:val="00C41E45"/>
    <w:rsid w:val="00C44A2A"/>
    <w:rsid w:val="00C4502A"/>
    <w:rsid w:val="00C5290C"/>
    <w:rsid w:val="00C55C09"/>
    <w:rsid w:val="00C60C0E"/>
    <w:rsid w:val="00C740AB"/>
    <w:rsid w:val="00C76316"/>
    <w:rsid w:val="00C76845"/>
    <w:rsid w:val="00C927CE"/>
    <w:rsid w:val="00C9568F"/>
    <w:rsid w:val="00CA6635"/>
    <w:rsid w:val="00CA755C"/>
    <w:rsid w:val="00CC3E96"/>
    <w:rsid w:val="00CC49C8"/>
    <w:rsid w:val="00CD00A1"/>
    <w:rsid w:val="00CE13E0"/>
    <w:rsid w:val="00CE688C"/>
    <w:rsid w:val="00CF57C1"/>
    <w:rsid w:val="00D0665D"/>
    <w:rsid w:val="00D12AFD"/>
    <w:rsid w:val="00D17A84"/>
    <w:rsid w:val="00D203F9"/>
    <w:rsid w:val="00D25EC7"/>
    <w:rsid w:val="00D306F2"/>
    <w:rsid w:val="00D35209"/>
    <w:rsid w:val="00D369BB"/>
    <w:rsid w:val="00D425D9"/>
    <w:rsid w:val="00D51A5D"/>
    <w:rsid w:val="00D52805"/>
    <w:rsid w:val="00D55BDB"/>
    <w:rsid w:val="00D80C7F"/>
    <w:rsid w:val="00DA0A44"/>
    <w:rsid w:val="00DA3DE9"/>
    <w:rsid w:val="00DA6A0E"/>
    <w:rsid w:val="00DB45D6"/>
    <w:rsid w:val="00DC4898"/>
    <w:rsid w:val="00DC4CE6"/>
    <w:rsid w:val="00DD000D"/>
    <w:rsid w:val="00DE35DA"/>
    <w:rsid w:val="00DE5E71"/>
    <w:rsid w:val="00E077B7"/>
    <w:rsid w:val="00E10350"/>
    <w:rsid w:val="00E1701B"/>
    <w:rsid w:val="00E24B8E"/>
    <w:rsid w:val="00E26B55"/>
    <w:rsid w:val="00E27EF8"/>
    <w:rsid w:val="00E363AE"/>
    <w:rsid w:val="00E43AC5"/>
    <w:rsid w:val="00E50BAC"/>
    <w:rsid w:val="00E55788"/>
    <w:rsid w:val="00E91CA1"/>
    <w:rsid w:val="00E972B6"/>
    <w:rsid w:val="00E9774F"/>
    <w:rsid w:val="00EA0909"/>
    <w:rsid w:val="00EA2246"/>
    <w:rsid w:val="00EB0351"/>
    <w:rsid w:val="00EB4DEA"/>
    <w:rsid w:val="00EB61FB"/>
    <w:rsid w:val="00EC33D9"/>
    <w:rsid w:val="00EC541A"/>
    <w:rsid w:val="00ED5DC4"/>
    <w:rsid w:val="00ED7C8E"/>
    <w:rsid w:val="00EE5BA6"/>
    <w:rsid w:val="00EF3E28"/>
    <w:rsid w:val="00EF4D78"/>
    <w:rsid w:val="00EF5822"/>
    <w:rsid w:val="00F03367"/>
    <w:rsid w:val="00F074DD"/>
    <w:rsid w:val="00F14EC5"/>
    <w:rsid w:val="00F21099"/>
    <w:rsid w:val="00F27302"/>
    <w:rsid w:val="00F30B79"/>
    <w:rsid w:val="00F33187"/>
    <w:rsid w:val="00F37137"/>
    <w:rsid w:val="00F52729"/>
    <w:rsid w:val="00F56111"/>
    <w:rsid w:val="00F672D4"/>
    <w:rsid w:val="00F70513"/>
    <w:rsid w:val="00F71BFC"/>
    <w:rsid w:val="00F735C3"/>
    <w:rsid w:val="00F81DA8"/>
    <w:rsid w:val="00F82FE0"/>
    <w:rsid w:val="00F8356D"/>
    <w:rsid w:val="00F87C6A"/>
    <w:rsid w:val="00F90405"/>
    <w:rsid w:val="00F9149A"/>
    <w:rsid w:val="00F93AC5"/>
    <w:rsid w:val="00F970DB"/>
    <w:rsid w:val="00FA3E59"/>
    <w:rsid w:val="00FD01CF"/>
    <w:rsid w:val="00FD236B"/>
    <w:rsid w:val="00FD5E58"/>
    <w:rsid w:val="00FD7C98"/>
    <w:rsid w:val="00FE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6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0F0B"/>
    <w:rPr>
      <w:sz w:val="24"/>
      <w:szCs w:val="24"/>
    </w:rPr>
  </w:style>
  <w:style w:type="paragraph" w:styleId="Heading1">
    <w:name w:val="heading 1"/>
    <w:basedOn w:val="Normal"/>
    <w:next w:val="Normal"/>
    <w:link w:val="Heading1Char"/>
    <w:autoRedefine/>
    <w:uiPriority w:val="99"/>
    <w:qFormat/>
    <w:rsid w:val="001D1FB0"/>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link w:val="Heading2Char"/>
    <w:uiPriority w:val="99"/>
    <w:qFormat/>
    <w:rsid w:val="001D1FB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D1FB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D1FB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1D1FB0"/>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1D1FB0"/>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1D1FB0"/>
    <w:pPr>
      <w:spacing w:before="240" w:after="60"/>
      <w:outlineLvl w:val="6"/>
    </w:pPr>
    <w:rPr>
      <w:rFonts w:ascii="Cambria" w:hAnsi="Cambria"/>
    </w:rPr>
  </w:style>
  <w:style w:type="paragraph" w:styleId="Heading8">
    <w:name w:val="heading 8"/>
    <w:basedOn w:val="Normal"/>
    <w:next w:val="Normal"/>
    <w:link w:val="Heading8Char"/>
    <w:uiPriority w:val="99"/>
    <w:qFormat/>
    <w:rsid w:val="001D1FB0"/>
    <w:pPr>
      <w:spacing w:before="240" w:after="60"/>
      <w:outlineLvl w:val="7"/>
    </w:pPr>
    <w:rPr>
      <w:rFonts w:ascii="Cambria" w:hAnsi="Cambria"/>
      <w:i/>
      <w:iCs/>
    </w:rPr>
  </w:style>
  <w:style w:type="paragraph" w:styleId="Heading9">
    <w:name w:val="heading 9"/>
    <w:basedOn w:val="Normal"/>
    <w:next w:val="Normal"/>
    <w:link w:val="Heading9Char"/>
    <w:uiPriority w:val="99"/>
    <w:qFormat/>
    <w:rsid w:val="001D1FB0"/>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FB0"/>
    <w:rPr>
      <w:rFonts w:cs="Times New Roman"/>
      <w:b/>
      <w:sz w:val="24"/>
      <w:szCs w:val="24"/>
    </w:rPr>
  </w:style>
  <w:style w:type="character" w:customStyle="1" w:styleId="Heading2Char">
    <w:name w:val="Heading 2 Char"/>
    <w:basedOn w:val="DefaultParagraphFont"/>
    <w:link w:val="Heading2"/>
    <w:uiPriority w:val="99"/>
    <w:locked/>
    <w:rsid w:val="001D1FB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D1FB0"/>
    <w:rPr>
      <w:rFonts w:ascii="Arial" w:hAnsi="Arial" w:cs="Times New Roman"/>
      <w:b/>
      <w:bCs/>
      <w:sz w:val="26"/>
      <w:szCs w:val="26"/>
    </w:rPr>
  </w:style>
  <w:style w:type="character" w:customStyle="1" w:styleId="Heading4Char">
    <w:name w:val="Heading 4 Char"/>
    <w:basedOn w:val="DefaultParagraphFont"/>
    <w:link w:val="Heading4"/>
    <w:uiPriority w:val="99"/>
    <w:locked/>
    <w:rsid w:val="001D1FB0"/>
    <w:rPr>
      <w:rFonts w:ascii="Cambria" w:hAnsi="Cambria" w:cs="Times New Roman"/>
      <w:b/>
      <w:bCs/>
      <w:sz w:val="28"/>
      <w:szCs w:val="28"/>
    </w:rPr>
  </w:style>
  <w:style w:type="character" w:customStyle="1" w:styleId="Heading5Char">
    <w:name w:val="Heading 5 Char"/>
    <w:basedOn w:val="DefaultParagraphFont"/>
    <w:link w:val="Heading5"/>
    <w:uiPriority w:val="99"/>
    <w:locked/>
    <w:rsid w:val="001D1FB0"/>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1D1FB0"/>
    <w:rPr>
      <w:rFonts w:ascii="Cambria" w:hAnsi="Cambria" w:cs="Times New Roman"/>
      <w:b/>
      <w:bCs/>
      <w:sz w:val="22"/>
      <w:szCs w:val="22"/>
    </w:rPr>
  </w:style>
  <w:style w:type="character" w:customStyle="1" w:styleId="Heading7Char">
    <w:name w:val="Heading 7 Char"/>
    <w:basedOn w:val="DefaultParagraphFont"/>
    <w:link w:val="Heading7"/>
    <w:uiPriority w:val="99"/>
    <w:locked/>
    <w:rsid w:val="001D1FB0"/>
    <w:rPr>
      <w:rFonts w:ascii="Cambria" w:hAnsi="Cambria" w:cs="Times New Roman"/>
      <w:sz w:val="24"/>
      <w:szCs w:val="24"/>
    </w:rPr>
  </w:style>
  <w:style w:type="character" w:customStyle="1" w:styleId="Heading8Char">
    <w:name w:val="Heading 8 Char"/>
    <w:basedOn w:val="DefaultParagraphFont"/>
    <w:link w:val="Heading8"/>
    <w:uiPriority w:val="99"/>
    <w:locked/>
    <w:rsid w:val="001D1FB0"/>
    <w:rPr>
      <w:rFonts w:ascii="Cambria" w:hAnsi="Cambria" w:cs="Times New Roman"/>
      <w:i/>
      <w:iCs/>
      <w:sz w:val="24"/>
      <w:szCs w:val="24"/>
    </w:rPr>
  </w:style>
  <w:style w:type="character" w:customStyle="1" w:styleId="Heading9Char">
    <w:name w:val="Heading 9 Char"/>
    <w:basedOn w:val="DefaultParagraphFont"/>
    <w:link w:val="Heading9"/>
    <w:uiPriority w:val="99"/>
    <w:locked/>
    <w:rsid w:val="001D1FB0"/>
    <w:rPr>
      <w:rFonts w:ascii="Calibri" w:hAnsi="Calibri" w:cs="Times New Roman"/>
      <w:sz w:val="22"/>
      <w:szCs w:val="22"/>
    </w:rPr>
  </w:style>
  <w:style w:type="paragraph" w:styleId="ListParagraph">
    <w:name w:val="List Paragraph"/>
    <w:basedOn w:val="Normal"/>
    <w:uiPriority w:val="34"/>
    <w:qFormat/>
    <w:rsid w:val="007E20A3"/>
    <w:pPr>
      <w:ind w:left="720"/>
      <w:contextualSpacing/>
    </w:pPr>
  </w:style>
  <w:style w:type="character" w:styleId="CommentReference">
    <w:name w:val="annotation reference"/>
    <w:basedOn w:val="DefaultParagraphFont"/>
    <w:uiPriority w:val="99"/>
    <w:rsid w:val="00DA6A0E"/>
    <w:rPr>
      <w:rFonts w:cs="Times New Roman"/>
      <w:sz w:val="16"/>
      <w:szCs w:val="16"/>
    </w:rPr>
  </w:style>
  <w:style w:type="paragraph" w:styleId="CommentText">
    <w:name w:val="annotation text"/>
    <w:basedOn w:val="Normal"/>
    <w:link w:val="CommentTextChar"/>
    <w:rsid w:val="00DA6A0E"/>
    <w:rPr>
      <w:sz w:val="20"/>
      <w:szCs w:val="20"/>
    </w:rPr>
  </w:style>
  <w:style w:type="character" w:customStyle="1" w:styleId="CommentTextChar">
    <w:name w:val="Comment Text Char"/>
    <w:basedOn w:val="DefaultParagraphFont"/>
    <w:link w:val="CommentText"/>
    <w:uiPriority w:val="99"/>
    <w:locked/>
    <w:rsid w:val="00DA6A0E"/>
    <w:rPr>
      <w:rFonts w:cs="Times New Roman"/>
    </w:rPr>
  </w:style>
  <w:style w:type="paragraph" w:styleId="CommentSubject">
    <w:name w:val="annotation subject"/>
    <w:basedOn w:val="CommentText"/>
    <w:next w:val="CommentText"/>
    <w:link w:val="CommentSubjectChar"/>
    <w:uiPriority w:val="99"/>
    <w:rsid w:val="00DA6A0E"/>
    <w:rPr>
      <w:b/>
      <w:bCs/>
    </w:rPr>
  </w:style>
  <w:style w:type="character" w:customStyle="1" w:styleId="CommentSubjectChar">
    <w:name w:val="Comment Subject Char"/>
    <w:basedOn w:val="CommentTextChar"/>
    <w:link w:val="CommentSubject"/>
    <w:uiPriority w:val="99"/>
    <w:locked/>
    <w:rsid w:val="00DA6A0E"/>
    <w:rPr>
      <w:rFonts w:cs="Times New Roman"/>
      <w:b/>
      <w:bCs/>
    </w:rPr>
  </w:style>
  <w:style w:type="paragraph" w:styleId="BalloonText">
    <w:name w:val="Balloon Text"/>
    <w:basedOn w:val="Normal"/>
    <w:link w:val="BalloonTextChar"/>
    <w:uiPriority w:val="99"/>
    <w:rsid w:val="00DA6A0E"/>
    <w:rPr>
      <w:rFonts w:ascii="Tahoma" w:hAnsi="Tahoma" w:cs="Tahoma"/>
      <w:sz w:val="16"/>
      <w:szCs w:val="16"/>
    </w:rPr>
  </w:style>
  <w:style w:type="character" w:customStyle="1" w:styleId="BalloonTextChar">
    <w:name w:val="Balloon Text Char"/>
    <w:basedOn w:val="DefaultParagraphFont"/>
    <w:link w:val="BalloonText"/>
    <w:uiPriority w:val="99"/>
    <w:locked/>
    <w:rsid w:val="00DA6A0E"/>
    <w:rPr>
      <w:rFonts w:ascii="Tahoma" w:hAnsi="Tahoma" w:cs="Tahoma"/>
      <w:sz w:val="16"/>
      <w:szCs w:val="16"/>
    </w:rPr>
  </w:style>
  <w:style w:type="character" w:styleId="Hyperlink">
    <w:name w:val="Hyperlink"/>
    <w:basedOn w:val="DefaultParagraphFont"/>
    <w:uiPriority w:val="99"/>
    <w:rsid w:val="000303D0"/>
    <w:rPr>
      <w:rFonts w:cs="Times New Roman"/>
      <w:color w:val="0000FF"/>
      <w:u w:val="single"/>
    </w:rPr>
  </w:style>
  <w:style w:type="paragraph" w:styleId="Footer">
    <w:name w:val="footer"/>
    <w:basedOn w:val="Normal"/>
    <w:link w:val="FooterChar"/>
    <w:uiPriority w:val="99"/>
    <w:rsid w:val="00DC4898"/>
    <w:pPr>
      <w:tabs>
        <w:tab w:val="center" w:pos="4320"/>
        <w:tab w:val="right" w:pos="8640"/>
      </w:tabs>
    </w:pPr>
  </w:style>
  <w:style w:type="character" w:customStyle="1" w:styleId="FooterChar">
    <w:name w:val="Footer Char"/>
    <w:basedOn w:val="DefaultParagraphFont"/>
    <w:link w:val="Footer"/>
    <w:uiPriority w:val="99"/>
    <w:locked/>
    <w:rsid w:val="00DC4898"/>
    <w:rPr>
      <w:rFonts w:cs="Times New Roman"/>
      <w:sz w:val="24"/>
      <w:szCs w:val="24"/>
    </w:rPr>
  </w:style>
  <w:style w:type="character" w:styleId="PageNumber">
    <w:name w:val="page number"/>
    <w:basedOn w:val="DefaultParagraphFont"/>
    <w:uiPriority w:val="99"/>
    <w:rsid w:val="00DC4898"/>
    <w:rPr>
      <w:rFonts w:cs="Times New Roman"/>
    </w:rPr>
  </w:style>
  <w:style w:type="paragraph" w:styleId="NoSpacing">
    <w:name w:val="No Spacing"/>
    <w:uiPriority w:val="99"/>
    <w:qFormat/>
    <w:rsid w:val="001D1FB0"/>
    <w:rPr>
      <w:sz w:val="24"/>
      <w:szCs w:val="24"/>
    </w:rPr>
  </w:style>
  <w:style w:type="table" w:styleId="TableGrid">
    <w:name w:val="Table Grid"/>
    <w:basedOn w:val="TableNormal"/>
    <w:uiPriority w:val="99"/>
    <w:rsid w:val="001D1FB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1FB0"/>
    <w:rPr>
      <w:rFonts w:cs="Times New Roman"/>
      <w:color w:val="800080"/>
      <w:u w:val="single"/>
    </w:rPr>
  </w:style>
  <w:style w:type="character" w:styleId="HTMLCite">
    <w:name w:val="HTML Cite"/>
    <w:basedOn w:val="DefaultParagraphFont"/>
    <w:uiPriority w:val="99"/>
    <w:rsid w:val="001D1FB0"/>
    <w:rPr>
      <w:rFonts w:cs="Times New Roman"/>
      <w:color w:val="0E774A"/>
    </w:rPr>
  </w:style>
  <w:style w:type="character" w:styleId="Emphasis">
    <w:name w:val="Emphasis"/>
    <w:basedOn w:val="DefaultParagraphFont"/>
    <w:uiPriority w:val="99"/>
    <w:qFormat/>
    <w:rsid w:val="001D1FB0"/>
    <w:rPr>
      <w:rFonts w:cs="Times New Roman"/>
      <w:i/>
    </w:rPr>
  </w:style>
  <w:style w:type="character" w:styleId="Strong">
    <w:name w:val="Strong"/>
    <w:basedOn w:val="DefaultParagraphFont"/>
    <w:uiPriority w:val="99"/>
    <w:qFormat/>
    <w:rsid w:val="001D1FB0"/>
    <w:rPr>
      <w:rFonts w:cs="Times New Roman"/>
      <w:b/>
    </w:rPr>
  </w:style>
  <w:style w:type="paragraph" w:styleId="NormalWeb">
    <w:name w:val="Normal (Web)"/>
    <w:basedOn w:val="Normal"/>
    <w:uiPriority w:val="99"/>
    <w:rsid w:val="001D1FB0"/>
    <w:pPr>
      <w:spacing w:before="100" w:beforeAutospacing="1" w:after="120"/>
    </w:pPr>
    <w:rPr>
      <w:rFonts w:ascii="Verdana" w:hAnsi="Verdana"/>
      <w:color w:val="333333"/>
      <w:sz w:val="14"/>
      <w:szCs w:val="14"/>
    </w:rPr>
  </w:style>
  <w:style w:type="paragraph" w:styleId="Index1">
    <w:name w:val="index 1"/>
    <w:basedOn w:val="Normal"/>
    <w:next w:val="Normal"/>
    <w:autoRedefine/>
    <w:uiPriority w:val="99"/>
    <w:semiHidden/>
    <w:rsid w:val="001D1FB0"/>
    <w:pPr>
      <w:ind w:left="240" w:hanging="240"/>
    </w:pPr>
  </w:style>
  <w:style w:type="paragraph" w:styleId="Index2">
    <w:name w:val="index 2"/>
    <w:basedOn w:val="Normal"/>
    <w:next w:val="Normal"/>
    <w:autoRedefine/>
    <w:uiPriority w:val="99"/>
    <w:semiHidden/>
    <w:rsid w:val="001D1FB0"/>
    <w:pPr>
      <w:ind w:left="480" w:hanging="240"/>
    </w:pPr>
  </w:style>
  <w:style w:type="paragraph" w:styleId="Index3">
    <w:name w:val="index 3"/>
    <w:basedOn w:val="Normal"/>
    <w:next w:val="Normal"/>
    <w:autoRedefine/>
    <w:uiPriority w:val="99"/>
    <w:rsid w:val="001D1FB0"/>
    <w:pPr>
      <w:ind w:left="720" w:hanging="240"/>
    </w:pPr>
  </w:style>
  <w:style w:type="paragraph" w:styleId="Index4">
    <w:name w:val="index 4"/>
    <w:basedOn w:val="Normal"/>
    <w:next w:val="Normal"/>
    <w:autoRedefine/>
    <w:uiPriority w:val="99"/>
    <w:rsid w:val="001D1FB0"/>
    <w:pPr>
      <w:ind w:left="960" w:hanging="240"/>
    </w:pPr>
  </w:style>
  <w:style w:type="paragraph" w:styleId="Index5">
    <w:name w:val="index 5"/>
    <w:basedOn w:val="Normal"/>
    <w:next w:val="Normal"/>
    <w:autoRedefine/>
    <w:uiPriority w:val="99"/>
    <w:rsid w:val="001D1FB0"/>
    <w:pPr>
      <w:ind w:left="1200" w:hanging="240"/>
    </w:pPr>
  </w:style>
  <w:style w:type="paragraph" w:styleId="Index6">
    <w:name w:val="index 6"/>
    <w:basedOn w:val="Normal"/>
    <w:next w:val="Normal"/>
    <w:autoRedefine/>
    <w:uiPriority w:val="99"/>
    <w:rsid w:val="001D1FB0"/>
    <w:pPr>
      <w:ind w:left="1440" w:hanging="240"/>
    </w:pPr>
  </w:style>
  <w:style w:type="paragraph" w:styleId="Index7">
    <w:name w:val="index 7"/>
    <w:basedOn w:val="Normal"/>
    <w:next w:val="Normal"/>
    <w:autoRedefine/>
    <w:uiPriority w:val="99"/>
    <w:rsid w:val="001D1FB0"/>
    <w:pPr>
      <w:ind w:left="1680" w:hanging="240"/>
    </w:pPr>
  </w:style>
  <w:style w:type="paragraph" w:styleId="Index8">
    <w:name w:val="index 8"/>
    <w:basedOn w:val="Normal"/>
    <w:next w:val="Normal"/>
    <w:autoRedefine/>
    <w:uiPriority w:val="99"/>
    <w:rsid w:val="001D1FB0"/>
    <w:pPr>
      <w:ind w:left="1920" w:hanging="240"/>
    </w:pPr>
  </w:style>
  <w:style w:type="paragraph" w:styleId="Index9">
    <w:name w:val="index 9"/>
    <w:basedOn w:val="Normal"/>
    <w:next w:val="Normal"/>
    <w:autoRedefine/>
    <w:uiPriority w:val="99"/>
    <w:semiHidden/>
    <w:rsid w:val="001D1FB0"/>
    <w:pPr>
      <w:ind w:left="2160" w:hanging="240"/>
    </w:pPr>
  </w:style>
  <w:style w:type="paragraph" w:styleId="TOC1">
    <w:name w:val="toc 1"/>
    <w:basedOn w:val="Normal"/>
    <w:next w:val="Normal"/>
    <w:autoRedefine/>
    <w:uiPriority w:val="99"/>
    <w:semiHidden/>
    <w:rsid w:val="001D1FB0"/>
    <w:pPr>
      <w:spacing w:before="120"/>
    </w:pPr>
    <w:rPr>
      <w:rFonts w:ascii="Cambria" w:hAnsi="Cambria"/>
      <w:b/>
    </w:rPr>
  </w:style>
  <w:style w:type="paragraph" w:styleId="TOC2">
    <w:name w:val="toc 2"/>
    <w:basedOn w:val="Normal"/>
    <w:next w:val="Normal"/>
    <w:autoRedefine/>
    <w:uiPriority w:val="99"/>
    <w:semiHidden/>
    <w:rsid w:val="001D1FB0"/>
    <w:pPr>
      <w:ind w:left="240"/>
    </w:pPr>
    <w:rPr>
      <w:rFonts w:ascii="Cambria" w:hAnsi="Cambria"/>
      <w:b/>
      <w:sz w:val="22"/>
      <w:szCs w:val="22"/>
    </w:rPr>
  </w:style>
  <w:style w:type="paragraph" w:styleId="TOC3">
    <w:name w:val="toc 3"/>
    <w:basedOn w:val="Normal"/>
    <w:next w:val="Normal"/>
    <w:autoRedefine/>
    <w:uiPriority w:val="99"/>
    <w:semiHidden/>
    <w:rsid w:val="001D1FB0"/>
    <w:pPr>
      <w:ind w:left="480"/>
    </w:pPr>
    <w:rPr>
      <w:rFonts w:ascii="Cambria" w:hAnsi="Cambria"/>
      <w:sz w:val="22"/>
      <w:szCs w:val="22"/>
    </w:rPr>
  </w:style>
  <w:style w:type="paragraph" w:styleId="TOC4">
    <w:name w:val="toc 4"/>
    <w:basedOn w:val="Normal"/>
    <w:next w:val="Normal"/>
    <w:autoRedefine/>
    <w:uiPriority w:val="99"/>
    <w:semiHidden/>
    <w:rsid w:val="001D1FB0"/>
    <w:pPr>
      <w:ind w:left="720"/>
    </w:pPr>
    <w:rPr>
      <w:rFonts w:ascii="Cambria" w:hAnsi="Cambria"/>
      <w:sz w:val="20"/>
      <w:szCs w:val="20"/>
    </w:rPr>
  </w:style>
  <w:style w:type="paragraph" w:styleId="TOC5">
    <w:name w:val="toc 5"/>
    <w:basedOn w:val="Normal"/>
    <w:next w:val="Normal"/>
    <w:autoRedefine/>
    <w:uiPriority w:val="99"/>
    <w:semiHidden/>
    <w:rsid w:val="001D1FB0"/>
    <w:pPr>
      <w:ind w:left="960"/>
    </w:pPr>
    <w:rPr>
      <w:rFonts w:ascii="Cambria" w:hAnsi="Cambria"/>
      <w:sz w:val="20"/>
      <w:szCs w:val="20"/>
    </w:rPr>
  </w:style>
  <w:style w:type="paragraph" w:styleId="TOC6">
    <w:name w:val="toc 6"/>
    <w:basedOn w:val="Normal"/>
    <w:next w:val="Normal"/>
    <w:autoRedefine/>
    <w:uiPriority w:val="99"/>
    <w:semiHidden/>
    <w:rsid w:val="001D1FB0"/>
    <w:pPr>
      <w:ind w:left="1200"/>
    </w:pPr>
    <w:rPr>
      <w:rFonts w:ascii="Cambria" w:hAnsi="Cambria"/>
      <w:sz w:val="20"/>
      <w:szCs w:val="20"/>
    </w:rPr>
  </w:style>
  <w:style w:type="paragraph" w:styleId="TOC7">
    <w:name w:val="toc 7"/>
    <w:basedOn w:val="Normal"/>
    <w:next w:val="Normal"/>
    <w:autoRedefine/>
    <w:uiPriority w:val="99"/>
    <w:semiHidden/>
    <w:rsid w:val="001D1FB0"/>
    <w:pPr>
      <w:ind w:left="1440"/>
    </w:pPr>
    <w:rPr>
      <w:rFonts w:ascii="Cambria" w:hAnsi="Cambria"/>
      <w:sz w:val="20"/>
      <w:szCs w:val="20"/>
    </w:rPr>
  </w:style>
  <w:style w:type="paragraph" w:styleId="TOC8">
    <w:name w:val="toc 8"/>
    <w:basedOn w:val="Normal"/>
    <w:next w:val="Normal"/>
    <w:autoRedefine/>
    <w:uiPriority w:val="99"/>
    <w:semiHidden/>
    <w:rsid w:val="001D1FB0"/>
    <w:pPr>
      <w:ind w:left="1680"/>
    </w:pPr>
    <w:rPr>
      <w:rFonts w:ascii="Cambria" w:hAnsi="Cambria"/>
      <w:sz w:val="20"/>
      <w:szCs w:val="20"/>
    </w:rPr>
  </w:style>
  <w:style w:type="paragraph" w:styleId="TOC9">
    <w:name w:val="toc 9"/>
    <w:basedOn w:val="Normal"/>
    <w:next w:val="Normal"/>
    <w:autoRedefine/>
    <w:uiPriority w:val="99"/>
    <w:semiHidden/>
    <w:rsid w:val="001D1FB0"/>
    <w:pPr>
      <w:ind w:left="1920"/>
    </w:pPr>
    <w:rPr>
      <w:rFonts w:ascii="Cambria" w:hAnsi="Cambria"/>
      <w:sz w:val="20"/>
      <w:szCs w:val="20"/>
    </w:rPr>
  </w:style>
  <w:style w:type="paragraph" w:styleId="FootnoteText">
    <w:name w:val="footnote text"/>
    <w:basedOn w:val="Normal"/>
    <w:link w:val="FootnoteTextChar"/>
    <w:uiPriority w:val="99"/>
    <w:rsid w:val="001D1FB0"/>
    <w:rPr>
      <w:sz w:val="20"/>
      <w:szCs w:val="20"/>
    </w:rPr>
  </w:style>
  <w:style w:type="character" w:customStyle="1" w:styleId="FootnoteTextChar">
    <w:name w:val="Footnote Text Char"/>
    <w:basedOn w:val="DefaultParagraphFont"/>
    <w:link w:val="FootnoteText"/>
    <w:uiPriority w:val="99"/>
    <w:locked/>
    <w:rsid w:val="001D1FB0"/>
    <w:rPr>
      <w:rFonts w:cs="Times New Roman"/>
    </w:rPr>
  </w:style>
  <w:style w:type="paragraph" w:styleId="Header">
    <w:name w:val="header"/>
    <w:basedOn w:val="Normal"/>
    <w:link w:val="HeaderChar"/>
    <w:uiPriority w:val="99"/>
    <w:rsid w:val="001D1FB0"/>
    <w:pPr>
      <w:tabs>
        <w:tab w:val="center" w:pos="4320"/>
        <w:tab w:val="right" w:pos="8640"/>
      </w:tabs>
    </w:pPr>
  </w:style>
  <w:style w:type="character" w:customStyle="1" w:styleId="HeaderChar">
    <w:name w:val="Header Char"/>
    <w:basedOn w:val="DefaultParagraphFont"/>
    <w:link w:val="Header"/>
    <w:uiPriority w:val="99"/>
    <w:locked/>
    <w:rsid w:val="001D1FB0"/>
    <w:rPr>
      <w:rFonts w:cs="Times New Roman"/>
      <w:sz w:val="24"/>
      <w:szCs w:val="24"/>
    </w:rPr>
  </w:style>
  <w:style w:type="paragraph" w:styleId="IndexHeading">
    <w:name w:val="index heading"/>
    <w:basedOn w:val="Normal"/>
    <w:next w:val="Index1"/>
    <w:uiPriority w:val="99"/>
    <w:rsid w:val="001D1FB0"/>
  </w:style>
  <w:style w:type="paragraph" w:styleId="Caption">
    <w:name w:val="caption"/>
    <w:basedOn w:val="Normal"/>
    <w:next w:val="Normal"/>
    <w:uiPriority w:val="99"/>
    <w:qFormat/>
    <w:rsid w:val="001D1FB0"/>
    <w:rPr>
      <w:b/>
      <w:bCs/>
    </w:rPr>
  </w:style>
  <w:style w:type="paragraph" w:styleId="TableofFigures">
    <w:name w:val="table of figures"/>
    <w:basedOn w:val="Normal"/>
    <w:next w:val="Normal"/>
    <w:uiPriority w:val="99"/>
    <w:semiHidden/>
    <w:rsid w:val="001D1FB0"/>
    <w:pPr>
      <w:spacing w:before="240" w:after="240"/>
    </w:pPr>
  </w:style>
  <w:style w:type="paragraph" w:styleId="EndnoteText">
    <w:name w:val="endnote text"/>
    <w:basedOn w:val="Normal"/>
    <w:link w:val="EndnoteTextChar"/>
    <w:uiPriority w:val="99"/>
    <w:rsid w:val="001D1FB0"/>
  </w:style>
  <w:style w:type="character" w:customStyle="1" w:styleId="EndnoteTextChar">
    <w:name w:val="Endnote Text Char"/>
    <w:basedOn w:val="DefaultParagraphFont"/>
    <w:link w:val="EndnoteText"/>
    <w:uiPriority w:val="99"/>
    <w:locked/>
    <w:rsid w:val="001D1FB0"/>
    <w:rPr>
      <w:rFonts w:cs="Times New Roman"/>
      <w:sz w:val="24"/>
      <w:szCs w:val="24"/>
    </w:rPr>
  </w:style>
  <w:style w:type="paragraph" w:styleId="List">
    <w:name w:val="List"/>
    <w:basedOn w:val="Normal"/>
    <w:uiPriority w:val="99"/>
    <w:rsid w:val="001D1FB0"/>
    <w:pPr>
      <w:ind w:left="360" w:hanging="360"/>
    </w:pPr>
  </w:style>
  <w:style w:type="paragraph" w:styleId="ListBullet">
    <w:name w:val="List Bullet"/>
    <w:basedOn w:val="Normal"/>
    <w:autoRedefine/>
    <w:uiPriority w:val="99"/>
    <w:rsid w:val="001D1FB0"/>
    <w:pPr>
      <w:numPr>
        <w:numId w:val="18"/>
      </w:numPr>
      <w:tabs>
        <w:tab w:val="left" w:pos="360"/>
        <w:tab w:val="left" w:pos="720"/>
        <w:tab w:val="left" w:pos="1080"/>
        <w:tab w:val="left" w:pos="1440"/>
        <w:tab w:val="left" w:pos="1800"/>
        <w:tab w:val="left" w:pos="2160"/>
        <w:tab w:val="left" w:pos="2520"/>
        <w:tab w:val="left" w:pos="2880"/>
        <w:tab w:val="left" w:pos="3240"/>
        <w:tab w:val="left" w:pos="3600"/>
        <w:tab w:val="right" w:pos="9360"/>
      </w:tabs>
      <w:suppressAutoHyphens/>
      <w:spacing w:line="240" w:lineRule="exact"/>
      <w:ind w:left="0" w:firstLine="0"/>
    </w:pPr>
    <w:rPr>
      <w:rFonts w:ascii="Arial" w:hAnsi="Arial" w:cs="Arial"/>
      <w:b/>
      <w:bCs/>
      <w:sz w:val="22"/>
      <w:szCs w:val="22"/>
    </w:rPr>
  </w:style>
  <w:style w:type="paragraph" w:styleId="ListNumber">
    <w:name w:val="List Number"/>
    <w:basedOn w:val="Normal"/>
    <w:uiPriority w:val="99"/>
    <w:rsid w:val="001D1FB0"/>
    <w:pPr>
      <w:numPr>
        <w:numId w:val="19"/>
      </w:numPr>
      <w:tabs>
        <w:tab w:val="num" w:pos="360"/>
      </w:tabs>
      <w:ind w:left="360"/>
    </w:pPr>
  </w:style>
  <w:style w:type="paragraph" w:styleId="BodyText">
    <w:name w:val="Body Text"/>
    <w:basedOn w:val="Normal"/>
    <w:link w:val="BodyTextChar"/>
    <w:uiPriority w:val="99"/>
    <w:rsid w:val="001D1FB0"/>
    <w:pPr>
      <w:suppressAutoHyphens/>
      <w:spacing w:after="120" w:line="264" w:lineRule="auto"/>
      <w:jc w:val="both"/>
    </w:pPr>
    <w:rPr>
      <w:rFonts w:ascii="Tahoma" w:hAnsi="Tahoma"/>
      <w:color w:val="000000"/>
      <w:sz w:val="22"/>
      <w:szCs w:val="20"/>
    </w:rPr>
  </w:style>
  <w:style w:type="character" w:customStyle="1" w:styleId="BodyTextChar">
    <w:name w:val="Body Text Char"/>
    <w:basedOn w:val="DefaultParagraphFont"/>
    <w:link w:val="BodyText"/>
    <w:uiPriority w:val="99"/>
    <w:locked/>
    <w:rsid w:val="001D1FB0"/>
    <w:rPr>
      <w:rFonts w:ascii="Tahoma" w:hAnsi="Tahoma" w:cs="Times New Roman"/>
      <w:color w:val="000000"/>
      <w:sz w:val="22"/>
    </w:rPr>
  </w:style>
  <w:style w:type="paragraph" w:styleId="BodyTextIndent">
    <w:name w:val="Body Text Indent"/>
    <w:basedOn w:val="Normal"/>
    <w:link w:val="BodyTextIndentChar"/>
    <w:uiPriority w:val="99"/>
    <w:rsid w:val="001D1FB0"/>
    <w:pPr>
      <w:spacing w:after="120"/>
      <w:ind w:left="360"/>
    </w:pPr>
  </w:style>
  <w:style w:type="character" w:customStyle="1" w:styleId="BodyTextIndentChar">
    <w:name w:val="Body Text Indent Char"/>
    <w:basedOn w:val="DefaultParagraphFont"/>
    <w:link w:val="BodyTextIndent"/>
    <w:uiPriority w:val="99"/>
    <w:locked/>
    <w:rsid w:val="001D1FB0"/>
    <w:rPr>
      <w:rFonts w:cs="Times New Roman"/>
      <w:sz w:val="24"/>
      <w:szCs w:val="24"/>
    </w:rPr>
  </w:style>
  <w:style w:type="paragraph" w:styleId="TOCHeading">
    <w:name w:val="TOC Heading"/>
    <w:basedOn w:val="Heading1"/>
    <w:next w:val="Normal"/>
    <w:uiPriority w:val="99"/>
    <w:qFormat/>
    <w:rsid w:val="001D1FB0"/>
    <w:pPr>
      <w:keepLines/>
      <w:tabs>
        <w:tab w:val="clear" w:pos="-1080"/>
        <w:tab w:val="clear" w:pos="-720"/>
        <w:tab w:val="clear" w:pos="0"/>
        <w:tab w:val="clear" w:pos="450"/>
        <w:tab w:val="clear" w:pos="81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libri" w:hAnsi="Calibri"/>
      <w:bCs/>
      <w:color w:val="365F91"/>
      <w:sz w:val="28"/>
      <w:szCs w:val="28"/>
    </w:rPr>
  </w:style>
  <w:style w:type="paragraph" w:customStyle="1" w:styleId="HTA">
    <w:name w:val="HTA"/>
    <w:basedOn w:val="Heading1"/>
    <w:uiPriority w:val="99"/>
    <w:rsid w:val="001D1FB0"/>
  </w:style>
  <w:style w:type="paragraph" w:customStyle="1" w:styleId="HTA2">
    <w:name w:val="HTA 2"/>
    <w:basedOn w:val="Normal"/>
    <w:uiPriority w:val="99"/>
    <w:rsid w:val="001D1FB0"/>
    <w:pPr>
      <w:keepLines/>
      <w:tabs>
        <w:tab w:val="left" w:pos="-1080"/>
        <w:tab w:val="left" w:pos="-72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i/>
      <w:sz w:val="28"/>
      <w:szCs w:val="28"/>
    </w:rPr>
  </w:style>
  <w:style w:type="paragraph" w:customStyle="1" w:styleId="HTA1">
    <w:name w:val="HTA 1"/>
    <w:basedOn w:val="Normal"/>
    <w:uiPriority w:val="99"/>
    <w:rsid w:val="001D1FB0"/>
    <w:pPr>
      <w:keepLines/>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32"/>
      <w:szCs w:val="32"/>
    </w:rPr>
  </w:style>
  <w:style w:type="paragraph" w:customStyle="1" w:styleId="Default">
    <w:name w:val="Default"/>
    <w:uiPriority w:val="99"/>
    <w:rsid w:val="001D1FB0"/>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1D1FB0"/>
    <w:pPr>
      <w:ind w:left="720"/>
      <w:contextualSpacing/>
    </w:pPr>
  </w:style>
  <w:style w:type="paragraph" w:customStyle="1" w:styleId="ColorfulShading-Accent11">
    <w:name w:val="Colorful Shading - Accent 11"/>
    <w:uiPriority w:val="99"/>
    <w:rsid w:val="001D1FB0"/>
    <w:rPr>
      <w:sz w:val="24"/>
      <w:szCs w:val="24"/>
    </w:rPr>
  </w:style>
  <w:style w:type="paragraph" w:customStyle="1" w:styleId="CM1">
    <w:name w:val="CM1"/>
    <w:basedOn w:val="Default"/>
    <w:next w:val="Default"/>
    <w:uiPriority w:val="99"/>
    <w:rsid w:val="001D1FB0"/>
    <w:pPr>
      <w:widowControl w:val="0"/>
    </w:pPr>
    <w:rPr>
      <w:color w:val="auto"/>
    </w:rPr>
  </w:style>
  <w:style w:type="paragraph" w:customStyle="1" w:styleId="CM6">
    <w:name w:val="CM6"/>
    <w:basedOn w:val="Default"/>
    <w:next w:val="Default"/>
    <w:uiPriority w:val="99"/>
    <w:rsid w:val="001D1FB0"/>
    <w:pPr>
      <w:widowControl w:val="0"/>
    </w:pPr>
    <w:rPr>
      <w:color w:val="auto"/>
    </w:rPr>
  </w:style>
  <w:style w:type="paragraph" w:customStyle="1" w:styleId="CM2">
    <w:name w:val="CM2"/>
    <w:basedOn w:val="Default"/>
    <w:next w:val="Default"/>
    <w:uiPriority w:val="99"/>
    <w:rsid w:val="001D1FB0"/>
    <w:pPr>
      <w:widowControl w:val="0"/>
      <w:spacing w:line="253" w:lineRule="atLeast"/>
    </w:pPr>
    <w:rPr>
      <w:color w:val="auto"/>
    </w:rPr>
  </w:style>
  <w:style w:type="paragraph" w:customStyle="1" w:styleId="CM5">
    <w:name w:val="CM5"/>
    <w:basedOn w:val="Default"/>
    <w:next w:val="Default"/>
    <w:uiPriority w:val="99"/>
    <w:rsid w:val="001D1FB0"/>
    <w:pPr>
      <w:widowControl w:val="0"/>
      <w:spacing w:line="253" w:lineRule="atLeast"/>
    </w:pPr>
    <w:rPr>
      <w:color w:val="auto"/>
    </w:rPr>
  </w:style>
  <w:style w:type="paragraph" w:customStyle="1" w:styleId="Paragraph">
    <w:name w:val="Paragraph"/>
    <w:basedOn w:val="Normal"/>
    <w:uiPriority w:val="99"/>
    <w:rsid w:val="001D1FB0"/>
    <w:pPr>
      <w:spacing w:after="300" w:line="380" w:lineRule="exact"/>
    </w:pPr>
    <w:rPr>
      <w:rFonts w:ascii="Arial" w:hAnsi="Arial" w:cs="Arial"/>
      <w:sz w:val="22"/>
    </w:rPr>
  </w:style>
  <w:style w:type="paragraph" w:customStyle="1" w:styleId="DefaultPara">
    <w:name w:val="Default Para"/>
    <w:basedOn w:val="Normal"/>
    <w:uiPriority w:val="99"/>
    <w:rsid w:val="001D1FB0"/>
    <w:pPr>
      <w:spacing w:after="120"/>
    </w:pPr>
    <w:rPr>
      <w:color w:val="000000"/>
      <w:sz w:val="22"/>
      <w:szCs w:val="22"/>
    </w:rPr>
  </w:style>
  <w:style w:type="paragraph" w:customStyle="1" w:styleId="Pa11">
    <w:name w:val="Pa11"/>
    <w:basedOn w:val="Normal"/>
    <w:next w:val="Normal"/>
    <w:uiPriority w:val="99"/>
    <w:rsid w:val="001D1FB0"/>
    <w:pPr>
      <w:autoSpaceDE w:val="0"/>
      <w:autoSpaceDN w:val="0"/>
      <w:adjustRightInd w:val="0"/>
      <w:spacing w:line="171" w:lineRule="atLeast"/>
    </w:pPr>
    <w:rPr>
      <w:rFonts w:ascii="Meta Medium LF" w:hAnsi="Meta Medium LF"/>
      <w:color w:val="000000"/>
    </w:rPr>
  </w:style>
  <w:style w:type="paragraph" w:customStyle="1" w:styleId="TableandFigureHeading">
    <w:name w:val="Table and Figure Heading"/>
    <w:basedOn w:val="Normal"/>
    <w:uiPriority w:val="99"/>
    <w:rsid w:val="001D1FB0"/>
    <w:rPr>
      <w:rFonts w:ascii="Arial" w:hAnsi="Arial" w:cs="Arial"/>
      <w:b/>
      <w:sz w:val="20"/>
      <w:szCs w:val="36"/>
    </w:rPr>
  </w:style>
  <w:style w:type="paragraph" w:customStyle="1" w:styleId="Title1">
    <w:name w:val="Title 1"/>
    <w:basedOn w:val="Normal"/>
    <w:uiPriority w:val="99"/>
    <w:rsid w:val="001D1FB0"/>
    <w:pPr>
      <w:autoSpaceDE w:val="0"/>
      <w:autoSpaceDN w:val="0"/>
      <w:adjustRightInd w:val="0"/>
    </w:pPr>
    <w:rPr>
      <w:rFonts w:ascii="Arial" w:hAnsi="Arial" w:cs="Arial"/>
      <w:b/>
      <w:bCs/>
      <w:sz w:val="36"/>
      <w:szCs w:val="36"/>
    </w:rPr>
  </w:style>
  <w:style w:type="paragraph" w:customStyle="1" w:styleId="rprtbody1">
    <w:name w:val="rprtbody1"/>
    <w:basedOn w:val="Normal"/>
    <w:uiPriority w:val="99"/>
    <w:rsid w:val="001D1FB0"/>
    <w:pPr>
      <w:spacing w:before="34" w:after="34"/>
    </w:pPr>
    <w:rPr>
      <w:sz w:val="28"/>
      <w:szCs w:val="28"/>
    </w:rPr>
  </w:style>
  <w:style w:type="paragraph" w:customStyle="1" w:styleId="aux1">
    <w:name w:val="aux1"/>
    <w:basedOn w:val="Normal"/>
    <w:uiPriority w:val="99"/>
    <w:rsid w:val="001D1FB0"/>
    <w:pPr>
      <w:spacing w:line="320" w:lineRule="atLeast"/>
    </w:pPr>
  </w:style>
  <w:style w:type="character" w:styleId="FootnoteReference">
    <w:name w:val="footnote reference"/>
    <w:basedOn w:val="DefaultParagraphFont"/>
    <w:uiPriority w:val="99"/>
    <w:rsid w:val="001D1FB0"/>
    <w:rPr>
      <w:rFonts w:cs="Times New Roman"/>
      <w:vertAlign w:val="superscript"/>
    </w:rPr>
  </w:style>
  <w:style w:type="character" w:styleId="EndnoteReference">
    <w:name w:val="endnote reference"/>
    <w:basedOn w:val="DefaultParagraphFont"/>
    <w:uiPriority w:val="99"/>
    <w:rsid w:val="001D1FB0"/>
    <w:rPr>
      <w:rFonts w:cs="Times New Roman"/>
      <w:vertAlign w:val="superscript"/>
    </w:rPr>
  </w:style>
  <w:style w:type="character" w:customStyle="1" w:styleId="CharChar">
    <w:name w:val="Char Char"/>
    <w:uiPriority w:val="99"/>
    <w:rsid w:val="001D1FB0"/>
    <w:rPr>
      <w:lang w:val="en-US" w:eastAsia="en-US"/>
    </w:rPr>
  </w:style>
  <w:style w:type="character" w:customStyle="1" w:styleId="CharChar2">
    <w:name w:val="Char Char2"/>
    <w:basedOn w:val="DefaultParagraphFont"/>
    <w:uiPriority w:val="99"/>
    <w:rsid w:val="001D1FB0"/>
    <w:rPr>
      <w:rFonts w:cs="Times New Roman"/>
    </w:rPr>
  </w:style>
  <w:style w:type="character" w:customStyle="1" w:styleId="CharChar1">
    <w:name w:val="Char Char1"/>
    <w:uiPriority w:val="99"/>
    <w:rsid w:val="001D1FB0"/>
    <w:rPr>
      <w:lang w:val="en-US" w:eastAsia="en-US"/>
    </w:rPr>
  </w:style>
  <w:style w:type="character" w:customStyle="1" w:styleId="fthighlight">
    <w:name w:val="ft_highlight"/>
    <w:basedOn w:val="DefaultParagraphFont"/>
    <w:uiPriority w:val="99"/>
    <w:rsid w:val="001D1FB0"/>
    <w:rPr>
      <w:rFonts w:cs="Times New Roman"/>
    </w:rPr>
  </w:style>
  <w:style w:type="character" w:customStyle="1" w:styleId="jrnl">
    <w:name w:val="jrnl"/>
    <w:basedOn w:val="DefaultParagraphFont"/>
    <w:uiPriority w:val="99"/>
    <w:rsid w:val="001D1FB0"/>
    <w:rPr>
      <w:rFonts w:cs="Times New Roman"/>
    </w:rPr>
  </w:style>
  <w:style w:type="table" w:styleId="TableGrid1">
    <w:name w:val="Table Grid 1"/>
    <w:basedOn w:val="TableNormal"/>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1D1FB0"/>
    <w:rPr>
      <w:rFonts w:cs="Times New Roman"/>
    </w:rPr>
  </w:style>
  <w:style w:type="table" w:customStyle="1" w:styleId="TableGrid2">
    <w:name w:val="Table Grid2"/>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3">
    <w:name w:val="Table Grid3"/>
    <w:uiPriority w:val="99"/>
    <w:rsid w:val="005A4D6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C934BA"/>
    <w:pPr>
      <w:numPr>
        <w:numId w:val="24"/>
      </w:numPr>
    </w:pPr>
  </w:style>
  <w:style w:type="numbering" w:customStyle="1" w:styleId="Style1">
    <w:name w:val="Style1"/>
    <w:rsid w:val="00C934BA"/>
    <w:pPr>
      <w:numPr>
        <w:numId w:val="22"/>
      </w:numPr>
    </w:pPr>
  </w:style>
  <w:style w:type="numbering" w:customStyle="1" w:styleId="HTA3">
    <w:name w:val="HTA 3"/>
    <w:rsid w:val="00C934BA"/>
    <w:pPr>
      <w:numPr>
        <w:numId w:val="23"/>
      </w:numPr>
    </w:pPr>
  </w:style>
  <w:style w:type="paragraph" w:styleId="Subtitle">
    <w:name w:val="Subtitle"/>
    <w:basedOn w:val="Normal"/>
    <w:next w:val="Normal"/>
    <w:link w:val="SubtitleChar"/>
    <w:qFormat/>
    <w:locked/>
    <w:rsid w:val="009700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0011"/>
    <w:rPr>
      <w:rFonts w:asciiTheme="majorHAnsi" w:eastAsiaTheme="majorEastAsia" w:hAnsiTheme="majorHAnsi" w:cstheme="majorBidi"/>
      <w:i/>
      <w:iCs/>
      <w:color w:val="4F81BD" w:themeColor="accent1"/>
      <w:spacing w:val="15"/>
      <w:sz w:val="24"/>
      <w:szCs w:val="24"/>
    </w:rPr>
  </w:style>
  <w:style w:type="paragraph" w:customStyle="1" w:styleId="Normal1">
    <w:name w:val="Normal1"/>
    <w:basedOn w:val="Normal"/>
    <w:rsid w:val="0002578D"/>
    <w:pPr>
      <w:spacing w:after="200" w:line="260" w:lineRule="atLeast"/>
    </w:pPr>
    <w:rPr>
      <w:rFonts w:ascii="Calibri" w:eastAsia="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0F0B"/>
    <w:rPr>
      <w:sz w:val="24"/>
      <w:szCs w:val="24"/>
    </w:rPr>
  </w:style>
  <w:style w:type="paragraph" w:styleId="Heading1">
    <w:name w:val="heading 1"/>
    <w:basedOn w:val="Normal"/>
    <w:next w:val="Normal"/>
    <w:link w:val="Heading1Char"/>
    <w:autoRedefine/>
    <w:uiPriority w:val="99"/>
    <w:qFormat/>
    <w:rsid w:val="001D1FB0"/>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link w:val="Heading2Char"/>
    <w:uiPriority w:val="99"/>
    <w:qFormat/>
    <w:rsid w:val="001D1FB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D1FB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D1FB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1D1FB0"/>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1D1FB0"/>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1D1FB0"/>
    <w:pPr>
      <w:spacing w:before="240" w:after="60"/>
      <w:outlineLvl w:val="6"/>
    </w:pPr>
    <w:rPr>
      <w:rFonts w:ascii="Cambria" w:hAnsi="Cambria"/>
    </w:rPr>
  </w:style>
  <w:style w:type="paragraph" w:styleId="Heading8">
    <w:name w:val="heading 8"/>
    <w:basedOn w:val="Normal"/>
    <w:next w:val="Normal"/>
    <w:link w:val="Heading8Char"/>
    <w:uiPriority w:val="99"/>
    <w:qFormat/>
    <w:rsid w:val="001D1FB0"/>
    <w:pPr>
      <w:spacing w:before="240" w:after="60"/>
      <w:outlineLvl w:val="7"/>
    </w:pPr>
    <w:rPr>
      <w:rFonts w:ascii="Cambria" w:hAnsi="Cambria"/>
      <w:i/>
      <w:iCs/>
    </w:rPr>
  </w:style>
  <w:style w:type="paragraph" w:styleId="Heading9">
    <w:name w:val="heading 9"/>
    <w:basedOn w:val="Normal"/>
    <w:next w:val="Normal"/>
    <w:link w:val="Heading9Char"/>
    <w:uiPriority w:val="99"/>
    <w:qFormat/>
    <w:rsid w:val="001D1FB0"/>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FB0"/>
    <w:rPr>
      <w:rFonts w:cs="Times New Roman"/>
      <w:b/>
      <w:sz w:val="24"/>
      <w:szCs w:val="24"/>
    </w:rPr>
  </w:style>
  <w:style w:type="character" w:customStyle="1" w:styleId="Heading2Char">
    <w:name w:val="Heading 2 Char"/>
    <w:basedOn w:val="DefaultParagraphFont"/>
    <w:link w:val="Heading2"/>
    <w:uiPriority w:val="99"/>
    <w:locked/>
    <w:rsid w:val="001D1FB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D1FB0"/>
    <w:rPr>
      <w:rFonts w:ascii="Arial" w:hAnsi="Arial" w:cs="Times New Roman"/>
      <w:b/>
      <w:bCs/>
      <w:sz w:val="26"/>
      <w:szCs w:val="26"/>
    </w:rPr>
  </w:style>
  <w:style w:type="character" w:customStyle="1" w:styleId="Heading4Char">
    <w:name w:val="Heading 4 Char"/>
    <w:basedOn w:val="DefaultParagraphFont"/>
    <w:link w:val="Heading4"/>
    <w:uiPriority w:val="99"/>
    <w:locked/>
    <w:rsid w:val="001D1FB0"/>
    <w:rPr>
      <w:rFonts w:ascii="Cambria" w:hAnsi="Cambria" w:cs="Times New Roman"/>
      <w:b/>
      <w:bCs/>
      <w:sz w:val="28"/>
      <w:szCs w:val="28"/>
    </w:rPr>
  </w:style>
  <w:style w:type="character" w:customStyle="1" w:styleId="Heading5Char">
    <w:name w:val="Heading 5 Char"/>
    <w:basedOn w:val="DefaultParagraphFont"/>
    <w:link w:val="Heading5"/>
    <w:uiPriority w:val="99"/>
    <w:locked/>
    <w:rsid w:val="001D1FB0"/>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1D1FB0"/>
    <w:rPr>
      <w:rFonts w:ascii="Cambria" w:hAnsi="Cambria" w:cs="Times New Roman"/>
      <w:b/>
      <w:bCs/>
      <w:sz w:val="22"/>
      <w:szCs w:val="22"/>
    </w:rPr>
  </w:style>
  <w:style w:type="character" w:customStyle="1" w:styleId="Heading7Char">
    <w:name w:val="Heading 7 Char"/>
    <w:basedOn w:val="DefaultParagraphFont"/>
    <w:link w:val="Heading7"/>
    <w:uiPriority w:val="99"/>
    <w:locked/>
    <w:rsid w:val="001D1FB0"/>
    <w:rPr>
      <w:rFonts w:ascii="Cambria" w:hAnsi="Cambria" w:cs="Times New Roman"/>
      <w:sz w:val="24"/>
      <w:szCs w:val="24"/>
    </w:rPr>
  </w:style>
  <w:style w:type="character" w:customStyle="1" w:styleId="Heading8Char">
    <w:name w:val="Heading 8 Char"/>
    <w:basedOn w:val="DefaultParagraphFont"/>
    <w:link w:val="Heading8"/>
    <w:uiPriority w:val="99"/>
    <w:locked/>
    <w:rsid w:val="001D1FB0"/>
    <w:rPr>
      <w:rFonts w:ascii="Cambria" w:hAnsi="Cambria" w:cs="Times New Roman"/>
      <w:i/>
      <w:iCs/>
      <w:sz w:val="24"/>
      <w:szCs w:val="24"/>
    </w:rPr>
  </w:style>
  <w:style w:type="character" w:customStyle="1" w:styleId="Heading9Char">
    <w:name w:val="Heading 9 Char"/>
    <w:basedOn w:val="DefaultParagraphFont"/>
    <w:link w:val="Heading9"/>
    <w:uiPriority w:val="99"/>
    <w:locked/>
    <w:rsid w:val="001D1FB0"/>
    <w:rPr>
      <w:rFonts w:ascii="Calibri" w:hAnsi="Calibri" w:cs="Times New Roman"/>
      <w:sz w:val="22"/>
      <w:szCs w:val="22"/>
    </w:rPr>
  </w:style>
  <w:style w:type="paragraph" w:styleId="ListParagraph">
    <w:name w:val="List Paragraph"/>
    <w:basedOn w:val="Normal"/>
    <w:uiPriority w:val="34"/>
    <w:qFormat/>
    <w:rsid w:val="007E20A3"/>
    <w:pPr>
      <w:ind w:left="720"/>
      <w:contextualSpacing/>
    </w:pPr>
  </w:style>
  <w:style w:type="character" w:styleId="CommentReference">
    <w:name w:val="annotation reference"/>
    <w:basedOn w:val="DefaultParagraphFont"/>
    <w:uiPriority w:val="99"/>
    <w:rsid w:val="00DA6A0E"/>
    <w:rPr>
      <w:rFonts w:cs="Times New Roman"/>
      <w:sz w:val="16"/>
      <w:szCs w:val="16"/>
    </w:rPr>
  </w:style>
  <w:style w:type="paragraph" w:styleId="CommentText">
    <w:name w:val="annotation text"/>
    <w:basedOn w:val="Normal"/>
    <w:link w:val="CommentTextChar"/>
    <w:rsid w:val="00DA6A0E"/>
    <w:rPr>
      <w:sz w:val="20"/>
      <w:szCs w:val="20"/>
    </w:rPr>
  </w:style>
  <w:style w:type="character" w:customStyle="1" w:styleId="CommentTextChar">
    <w:name w:val="Comment Text Char"/>
    <w:basedOn w:val="DefaultParagraphFont"/>
    <w:link w:val="CommentText"/>
    <w:uiPriority w:val="99"/>
    <w:locked/>
    <w:rsid w:val="00DA6A0E"/>
    <w:rPr>
      <w:rFonts w:cs="Times New Roman"/>
    </w:rPr>
  </w:style>
  <w:style w:type="paragraph" w:styleId="CommentSubject">
    <w:name w:val="annotation subject"/>
    <w:basedOn w:val="CommentText"/>
    <w:next w:val="CommentText"/>
    <w:link w:val="CommentSubjectChar"/>
    <w:uiPriority w:val="99"/>
    <w:rsid w:val="00DA6A0E"/>
    <w:rPr>
      <w:b/>
      <w:bCs/>
    </w:rPr>
  </w:style>
  <w:style w:type="character" w:customStyle="1" w:styleId="CommentSubjectChar">
    <w:name w:val="Comment Subject Char"/>
    <w:basedOn w:val="CommentTextChar"/>
    <w:link w:val="CommentSubject"/>
    <w:uiPriority w:val="99"/>
    <w:locked/>
    <w:rsid w:val="00DA6A0E"/>
    <w:rPr>
      <w:rFonts w:cs="Times New Roman"/>
      <w:b/>
      <w:bCs/>
    </w:rPr>
  </w:style>
  <w:style w:type="paragraph" w:styleId="BalloonText">
    <w:name w:val="Balloon Text"/>
    <w:basedOn w:val="Normal"/>
    <w:link w:val="BalloonTextChar"/>
    <w:uiPriority w:val="99"/>
    <w:rsid w:val="00DA6A0E"/>
    <w:rPr>
      <w:rFonts w:ascii="Tahoma" w:hAnsi="Tahoma" w:cs="Tahoma"/>
      <w:sz w:val="16"/>
      <w:szCs w:val="16"/>
    </w:rPr>
  </w:style>
  <w:style w:type="character" w:customStyle="1" w:styleId="BalloonTextChar">
    <w:name w:val="Balloon Text Char"/>
    <w:basedOn w:val="DefaultParagraphFont"/>
    <w:link w:val="BalloonText"/>
    <w:uiPriority w:val="99"/>
    <w:locked/>
    <w:rsid w:val="00DA6A0E"/>
    <w:rPr>
      <w:rFonts w:ascii="Tahoma" w:hAnsi="Tahoma" w:cs="Tahoma"/>
      <w:sz w:val="16"/>
      <w:szCs w:val="16"/>
    </w:rPr>
  </w:style>
  <w:style w:type="character" w:styleId="Hyperlink">
    <w:name w:val="Hyperlink"/>
    <w:basedOn w:val="DefaultParagraphFont"/>
    <w:uiPriority w:val="99"/>
    <w:rsid w:val="000303D0"/>
    <w:rPr>
      <w:rFonts w:cs="Times New Roman"/>
      <w:color w:val="0000FF"/>
      <w:u w:val="single"/>
    </w:rPr>
  </w:style>
  <w:style w:type="paragraph" w:styleId="Footer">
    <w:name w:val="footer"/>
    <w:basedOn w:val="Normal"/>
    <w:link w:val="FooterChar"/>
    <w:uiPriority w:val="99"/>
    <w:rsid w:val="00DC4898"/>
    <w:pPr>
      <w:tabs>
        <w:tab w:val="center" w:pos="4320"/>
        <w:tab w:val="right" w:pos="8640"/>
      </w:tabs>
    </w:pPr>
  </w:style>
  <w:style w:type="character" w:customStyle="1" w:styleId="FooterChar">
    <w:name w:val="Footer Char"/>
    <w:basedOn w:val="DefaultParagraphFont"/>
    <w:link w:val="Footer"/>
    <w:uiPriority w:val="99"/>
    <w:locked/>
    <w:rsid w:val="00DC4898"/>
    <w:rPr>
      <w:rFonts w:cs="Times New Roman"/>
      <w:sz w:val="24"/>
      <w:szCs w:val="24"/>
    </w:rPr>
  </w:style>
  <w:style w:type="character" w:styleId="PageNumber">
    <w:name w:val="page number"/>
    <w:basedOn w:val="DefaultParagraphFont"/>
    <w:uiPriority w:val="99"/>
    <w:rsid w:val="00DC4898"/>
    <w:rPr>
      <w:rFonts w:cs="Times New Roman"/>
    </w:rPr>
  </w:style>
  <w:style w:type="paragraph" w:styleId="NoSpacing">
    <w:name w:val="No Spacing"/>
    <w:uiPriority w:val="99"/>
    <w:qFormat/>
    <w:rsid w:val="001D1FB0"/>
    <w:rPr>
      <w:sz w:val="24"/>
      <w:szCs w:val="24"/>
    </w:rPr>
  </w:style>
  <w:style w:type="table" w:styleId="TableGrid">
    <w:name w:val="Table Grid"/>
    <w:basedOn w:val="TableNormal"/>
    <w:uiPriority w:val="99"/>
    <w:rsid w:val="001D1FB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1FB0"/>
    <w:rPr>
      <w:rFonts w:cs="Times New Roman"/>
      <w:color w:val="800080"/>
      <w:u w:val="single"/>
    </w:rPr>
  </w:style>
  <w:style w:type="character" w:styleId="HTMLCite">
    <w:name w:val="HTML Cite"/>
    <w:basedOn w:val="DefaultParagraphFont"/>
    <w:uiPriority w:val="99"/>
    <w:rsid w:val="001D1FB0"/>
    <w:rPr>
      <w:rFonts w:cs="Times New Roman"/>
      <w:color w:val="0E774A"/>
    </w:rPr>
  </w:style>
  <w:style w:type="character" w:styleId="Emphasis">
    <w:name w:val="Emphasis"/>
    <w:basedOn w:val="DefaultParagraphFont"/>
    <w:uiPriority w:val="99"/>
    <w:qFormat/>
    <w:rsid w:val="001D1FB0"/>
    <w:rPr>
      <w:rFonts w:cs="Times New Roman"/>
      <w:i/>
    </w:rPr>
  </w:style>
  <w:style w:type="character" w:styleId="Strong">
    <w:name w:val="Strong"/>
    <w:basedOn w:val="DefaultParagraphFont"/>
    <w:uiPriority w:val="99"/>
    <w:qFormat/>
    <w:rsid w:val="001D1FB0"/>
    <w:rPr>
      <w:rFonts w:cs="Times New Roman"/>
      <w:b/>
    </w:rPr>
  </w:style>
  <w:style w:type="paragraph" w:styleId="NormalWeb">
    <w:name w:val="Normal (Web)"/>
    <w:basedOn w:val="Normal"/>
    <w:uiPriority w:val="99"/>
    <w:rsid w:val="001D1FB0"/>
    <w:pPr>
      <w:spacing w:before="100" w:beforeAutospacing="1" w:after="120"/>
    </w:pPr>
    <w:rPr>
      <w:rFonts w:ascii="Verdana" w:hAnsi="Verdana"/>
      <w:color w:val="333333"/>
      <w:sz w:val="14"/>
      <w:szCs w:val="14"/>
    </w:rPr>
  </w:style>
  <w:style w:type="paragraph" w:styleId="Index1">
    <w:name w:val="index 1"/>
    <w:basedOn w:val="Normal"/>
    <w:next w:val="Normal"/>
    <w:autoRedefine/>
    <w:uiPriority w:val="99"/>
    <w:semiHidden/>
    <w:rsid w:val="001D1FB0"/>
    <w:pPr>
      <w:ind w:left="240" w:hanging="240"/>
    </w:pPr>
  </w:style>
  <w:style w:type="paragraph" w:styleId="Index2">
    <w:name w:val="index 2"/>
    <w:basedOn w:val="Normal"/>
    <w:next w:val="Normal"/>
    <w:autoRedefine/>
    <w:uiPriority w:val="99"/>
    <w:semiHidden/>
    <w:rsid w:val="001D1FB0"/>
    <w:pPr>
      <w:ind w:left="480" w:hanging="240"/>
    </w:pPr>
  </w:style>
  <w:style w:type="paragraph" w:styleId="Index3">
    <w:name w:val="index 3"/>
    <w:basedOn w:val="Normal"/>
    <w:next w:val="Normal"/>
    <w:autoRedefine/>
    <w:uiPriority w:val="99"/>
    <w:rsid w:val="001D1FB0"/>
    <w:pPr>
      <w:ind w:left="720" w:hanging="240"/>
    </w:pPr>
  </w:style>
  <w:style w:type="paragraph" w:styleId="Index4">
    <w:name w:val="index 4"/>
    <w:basedOn w:val="Normal"/>
    <w:next w:val="Normal"/>
    <w:autoRedefine/>
    <w:uiPriority w:val="99"/>
    <w:rsid w:val="001D1FB0"/>
    <w:pPr>
      <w:ind w:left="960" w:hanging="240"/>
    </w:pPr>
  </w:style>
  <w:style w:type="paragraph" w:styleId="Index5">
    <w:name w:val="index 5"/>
    <w:basedOn w:val="Normal"/>
    <w:next w:val="Normal"/>
    <w:autoRedefine/>
    <w:uiPriority w:val="99"/>
    <w:rsid w:val="001D1FB0"/>
    <w:pPr>
      <w:ind w:left="1200" w:hanging="240"/>
    </w:pPr>
  </w:style>
  <w:style w:type="paragraph" w:styleId="Index6">
    <w:name w:val="index 6"/>
    <w:basedOn w:val="Normal"/>
    <w:next w:val="Normal"/>
    <w:autoRedefine/>
    <w:uiPriority w:val="99"/>
    <w:rsid w:val="001D1FB0"/>
    <w:pPr>
      <w:ind w:left="1440" w:hanging="240"/>
    </w:pPr>
  </w:style>
  <w:style w:type="paragraph" w:styleId="Index7">
    <w:name w:val="index 7"/>
    <w:basedOn w:val="Normal"/>
    <w:next w:val="Normal"/>
    <w:autoRedefine/>
    <w:uiPriority w:val="99"/>
    <w:rsid w:val="001D1FB0"/>
    <w:pPr>
      <w:ind w:left="1680" w:hanging="240"/>
    </w:pPr>
  </w:style>
  <w:style w:type="paragraph" w:styleId="Index8">
    <w:name w:val="index 8"/>
    <w:basedOn w:val="Normal"/>
    <w:next w:val="Normal"/>
    <w:autoRedefine/>
    <w:uiPriority w:val="99"/>
    <w:rsid w:val="001D1FB0"/>
    <w:pPr>
      <w:ind w:left="1920" w:hanging="240"/>
    </w:pPr>
  </w:style>
  <w:style w:type="paragraph" w:styleId="Index9">
    <w:name w:val="index 9"/>
    <w:basedOn w:val="Normal"/>
    <w:next w:val="Normal"/>
    <w:autoRedefine/>
    <w:uiPriority w:val="99"/>
    <w:semiHidden/>
    <w:rsid w:val="001D1FB0"/>
    <w:pPr>
      <w:ind w:left="2160" w:hanging="240"/>
    </w:pPr>
  </w:style>
  <w:style w:type="paragraph" w:styleId="TOC1">
    <w:name w:val="toc 1"/>
    <w:basedOn w:val="Normal"/>
    <w:next w:val="Normal"/>
    <w:autoRedefine/>
    <w:uiPriority w:val="99"/>
    <w:semiHidden/>
    <w:rsid w:val="001D1FB0"/>
    <w:pPr>
      <w:spacing w:before="120"/>
    </w:pPr>
    <w:rPr>
      <w:rFonts w:ascii="Cambria" w:hAnsi="Cambria"/>
      <w:b/>
    </w:rPr>
  </w:style>
  <w:style w:type="paragraph" w:styleId="TOC2">
    <w:name w:val="toc 2"/>
    <w:basedOn w:val="Normal"/>
    <w:next w:val="Normal"/>
    <w:autoRedefine/>
    <w:uiPriority w:val="99"/>
    <w:semiHidden/>
    <w:rsid w:val="001D1FB0"/>
    <w:pPr>
      <w:ind w:left="240"/>
    </w:pPr>
    <w:rPr>
      <w:rFonts w:ascii="Cambria" w:hAnsi="Cambria"/>
      <w:b/>
      <w:sz w:val="22"/>
      <w:szCs w:val="22"/>
    </w:rPr>
  </w:style>
  <w:style w:type="paragraph" w:styleId="TOC3">
    <w:name w:val="toc 3"/>
    <w:basedOn w:val="Normal"/>
    <w:next w:val="Normal"/>
    <w:autoRedefine/>
    <w:uiPriority w:val="99"/>
    <w:semiHidden/>
    <w:rsid w:val="001D1FB0"/>
    <w:pPr>
      <w:ind w:left="480"/>
    </w:pPr>
    <w:rPr>
      <w:rFonts w:ascii="Cambria" w:hAnsi="Cambria"/>
      <w:sz w:val="22"/>
      <w:szCs w:val="22"/>
    </w:rPr>
  </w:style>
  <w:style w:type="paragraph" w:styleId="TOC4">
    <w:name w:val="toc 4"/>
    <w:basedOn w:val="Normal"/>
    <w:next w:val="Normal"/>
    <w:autoRedefine/>
    <w:uiPriority w:val="99"/>
    <w:semiHidden/>
    <w:rsid w:val="001D1FB0"/>
    <w:pPr>
      <w:ind w:left="720"/>
    </w:pPr>
    <w:rPr>
      <w:rFonts w:ascii="Cambria" w:hAnsi="Cambria"/>
      <w:sz w:val="20"/>
      <w:szCs w:val="20"/>
    </w:rPr>
  </w:style>
  <w:style w:type="paragraph" w:styleId="TOC5">
    <w:name w:val="toc 5"/>
    <w:basedOn w:val="Normal"/>
    <w:next w:val="Normal"/>
    <w:autoRedefine/>
    <w:uiPriority w:val="99"/>
    <w:semiHidden/>
    <w:rsid w:val="001D1FB0"/>
    <w:pPr>
      <w:ind w:left="960"/>
    </w:pPr>
    <w:rPr>
      <w:rFonts w:ascii="Cambria" w:hAnsi="Cambria"/>
      <w:sz w:val="20"/>
      <w:szCs w:val="20"/>
    </w:rPr>
  </w:style>
  <w:style w:type="paragraph" w:styleId="TOC6">
    <w:name w:val="toc 6"/>
    <w:basedOn w:val="Normal"/>
    <w:next w:val="Normal"/>
    <w:autoRedefine/>
    <w:uiPriority w:val="99"/>
    <w:semiHidden/>
    <w:rsid w:val="001D1FB0"/>
    <w:pPr>
      <w:ind w:left="1200"/>
    </w:pPr>
    <w:rPr>
      <w:rFonts w:ascii="Cambria" w:hAnsi="Cambria"/>
      <w:sz w:val="20"/>
      <w:szCs w:val="20"/>
    </w:rPr>
  </w:style>
  <w:style w:type="paragraph" w:styleId="TOC7">
    <w:name w:val="toc 7"/>
    <w:basedOn w:val="Normal"/>
    <w:next w:val="Normal"/>
    <w:autoRedefine/>
    <w:uiPriority w:val="99"/>
    <w:semiHidden/>
    <w:rsid w:val="001D1FB0"/>
    <w:pPr>
      <w:ind w:left="1440"/>
    </w:pPr>
    <w:rPr>
      <w:rFonts w:ascii="Cambria" w:hAnsi="Cambria"/>
      <w:sz w:val="20"/>
      <w:szCs w:val="20"/>
    </w:rPr>
  </w:style>
  <w:style w:type="paragraph" w:styleId="TOC8">
    <w:name w:val="toc 8"/>
    <w:basedOn w:val="Normal"/>
    <w:next w:val="Normal"/>
    <w:autoRedefine/>
    <w:uiPriority w:val="99"/>
    <w:semiHidden/>
    <w:rsid w:val="001D1FB0"/>
    <w:pPr>
      <w:ind w:left="1680"/>
    </w:pPr>
    <w:rPr>
      <w:rFonts w:ascii="Cambria" w:hAnsi="Cambria"/>
      <w:sz w:val="20"/>
      <w:szCs w:val="20"/>
    </w:rPr>
  </w:style>
  <w:style w:type="paragraph" w:styleId="TOC9">
    <w:name w:val="toc 9"/>
    <w:basedOn w:val="Normal"/>
    <w:next w:val="Normal"/>
    <w:autoRedefine/>
    <w:uiPriority w:val="99"/>
    <w:semiHidden/>
    <w:rsid w:val="001D1FB0"/>
    <w:pPr>
      <w:ind w:left="1920"/>
    </w:pPr>
    <w:rPr>
      <w:rFonts w:ascii="Cambria" w:hAnsi="Cambria"/>
      <w:sz w:val="20"/>
      <w:szCs w:val="20"/>
    </w:rPr>
  </w:style>
  <w:style w:type="paragraph" w:styleId="FootnoteText">
    <w:name w:val="footnote text"/>
    <w:basedOn w:val="Normal"/>
    <w:link w:val="FootnoteTextChar"/>
    <w:uiPriority w:val="99"/>
    <w:rsid w:val="001D1FB0"/>
    <w:rPr>
      <w:sz w:val="20"/>
      <w:szCs w:val="20"/>
    </w:rPr>
  </w:style>
  <w:style w:type="character" w:customStyle="1" w:styleId="FootnoteTextChar">
    <w:name w:val="Footnote Text Char"/>
    <w:basedOn w:val="DefaultParagraphFont"/>
    <w:link w:val="FootnoteText"/>
    <w:uiPriority w:val="99"/>
    <w:locked/>
    <w:rsid w:val="001D1FB0"/>
    <w:rPr>
      <w:rFonts w:cs="Times New Roman"/>
    </w:rPr>
  </w:style>
  <w:style w:type="paragraph" w:styleId="Header">
    <w:name w:val="header"/>
    <w:basedOn w:val="Normal"/>
    <w:link w:val="HeaderChar"/>
    <w:uiPriority w:val="99"/>
    <w:rsid w:val="001D1FB0"/>
    <w:pPr>
      <w:tabs>
        <w:tab w:val="center" w:pos="4320"/>
        <w:tab w:val="right" w:pos="8640"/>
      </w:tabs>
    </w:pPr>
  </w:style>
  <w:style w:type="character" w:customStyle="1" w:styleId="HeaderChar">
    <w:name w:val="Header Char"/>
    <w:basedOn w:val="DefaultParagraphFont"/>
    <w:link w:val="Header"/>
    <w:uiPriority w:val="99"/>
    <w:locked/>
    <w:rsid w:val="001D1FB0"/>
    <w:rPr>
      <w:rFonts w:cs="Times New Roman"/>
      <w:sz w:val="24"/>
      <w:szCs w:val="24"/>
    </w:rPr>
  </w:style>
  <w:style w:type="paragraph" w:styleId="IndexHeading">
    <w:name w:val="index heading"/>
    <w:basedOn w:val="Normal"/>
    <w:next w:val="Index1"/>
    <w:uiPriority w:val="99"/>
    <w:rsid w:val="001D1FB0"/>
  </w:style>
  <w:style w:type="paragraph" w:styleId="Caption">
    <w:name w:val="caption"/>
    <w:basedOn w:val="Normal"/>
    <w:next w:val="Normal"/>
    <w:uiPriority w:val="99"/>
    <w:qFormat/>
    <w:rsid w:val="001D1FB0"/>
    <w:rPr>
      <w:b/>
      <w:bCs/>
    </w:rPr>
  </w:style>
  <w:style w:type="paragraph" w:styleId="TableofFigures">
    <w:name w:val="table of figures"/>
    <w:basedOn w:val="Normal"/>
    <w:next w:val="Normal"/>
    <w:uiPriority w:val="99"/>
    <w:semiHidden/>
    <w:rsid w:val="001D1FB0"/>
    <w:pPr>
      <w:spacing w:before="240" w:after="240"/>
    </w:pPr>
  </w:style>
  <w:style w:type="paragraph" w:styleId="EndnoteText">
    <w:name w:val="endnote text"/>
    <w:basedOn w:val="Normal"/>
    <w:link w:val="EndnoteTextChar"/>
    <w:uiPriority w:val="99"/>
    <w:rsid w:val="001D1FB0"/>
  </w:style>
  <w:style w:type="character" w:customStyle="1" w:styleId="EndnoteTextChar">
    <w:name w:val="Endnote Text Char"/>
    <w:basedOn w:val="DefaultParagraphFont"/>
    <w:link w:val="EndnoteText"/>
    <w:uiPriority w:val="99"/>
    <w:locked/>
    <w:rsid w:val="001D1FB0"/>
    <w:rPr>
      <w:rFonts w:cs="Times New Roman"/>
      <w:sz w:val="24"/>
      <w:szCs w:val="24"/>
    </w:rPr>
  </w:style>
  <w:style w:type="paragraph" w:styleId="List">
    <w:name w:val="List"/>
    <w:basedOn w:val="Normal"/>
    <w:uiPriority w:val="99"/>
    <w:rsid w:val="001D1FB0"/>
    <w:pPr>
      <w:ind w:left="360" w:hanging="360"/>
    </w:pPr>
  </w:style>
  <w:style w:type="paragraph" w:styleId="ListBullet">
    <w:name w:val="List Bullet"/>
    <w:basedOn w:val="Normal"/>
    <w:autoRedefine/>
    <w:uiPriority w:val="99"/>
    <w:rsid w:val="001D1FB0"/>
    <w:pPr>
      <w:numPr>
        <w:numId w:val="18"/>
      </w:numPr>
      <w:tabs>
        <w:tab w:val="left" w:pos="360"/>
        <w:tab w:val="left" w:pos="720"/>
        <w:tab w:val="left" w:pos="1080"/>
        <w:tab w:val="left" w:pos="1440"/>
        <w:tab w:val="left" w:pos="1800"/>
        <w:tab w:val="left" w:pos="2160"/>
        <w:tab w:val="left" w:pos="2520"/>
        <w:tab w:val="left" w:pos="2880"/>
        <w:tab w:val="left" w:pos="3240"/>
        <w:tab w:val="left" w:pos="3600"/>
        <w:tab w:val="right" w:pos="9360"/>
      </w:tabs>
      <w:suppressAutoHyphens/>
      <w:spacing w:line="240" w:lineRule="exact"/>
      <w:ind w:left="0" w:firstLine="0"/>
    </w:pPr>
    <w:rPr>
      <w:rFonts w:ascii="Arial" w:hAnsi="Arial" w:cs="Arial"/>
      <w:b/>
      <w:bCs/>
      <w:sz w:val="22"/>
      <w:szCs w:val="22"/>
    </w:rPr>
  </w:style>
  <w:style w:type="paragraph" w:styleId="ListNumber">
    <w:name w:val="List Number"/>
    <w:basedOn w:val="Normal"/>
    <w:uiPriority w:val="99"/>
    <w:rsid w:val="001D1FB0"/>
    <w:pPr>
      <w:numPr>
        <w:numId w:val="19"/>
      </w:numPr>
      <w:tabs>
        <w:tab w:val="num" w:pos="360"/>
      </w:tabs>
      <w:ind w:left="360"/>
    </w:pPr>
  </w:style>
  <w:style w:type="paragraph" w:styleId="BodyText">
    <w:name w:val="Body Text"/>
    <w:basedOn w:val="Normal"/>
    <w:link w:val="BodyTextChar"/>
    <w:uiPriority w:val="99"/>
    <w:rsid w:val="001D1FB0"/>
    <w:pPr>
      <w:suppressAutoHyphens/>
      <w:spacing w:after="120" w:line="264" w:lineRule="auto"/>
      <w:jc w:val="both"/>
    </w:pPr>
    <w:rPr>
      <w:rFonts w:ascii="Tahoma" w:hAnsi="Tahoma"/>
      <w:color w:val="000000"/>
      <w:sz w:val="22"/>
      <w:szCs w:val="20"/>
    </w:rPr>
  </w:style>
  <w:style w:type="character" w:customStyle="1" w:styleId="BodyTextChar">
    <w:name w:val="Body Text Char"/>
    <w:basedOn w:val="DefaultParagraphFont"/>
    <w:link w:val="BodyText"/>
    <w:uiPriority w:val="99"/>
    <w:locked/>
    <w:rsid w:val="001D1FB0"/>
    <w:rPr>
      <w:rFonts w:ascii="Tahoma" w:hAnsi="Tahoma" w:cs="Times New Roman"/>
      <w:color w:val="000000"/>
      <w:sz w:val="22"/>
    </w:rPr>
  </w:style>
  <w:style w:type="paragraph" w:styleId="BodyTextIndent">
    <w:name w:val="Body Text Indent"/>
    <w:basedOn w:val="Normal"/>
    <w:link w:val="BodyTextIndentChar"/>
    <w:uiPriority w:val="99"/>
    <w:rsid w:val="001D1FB0"/>
    <w:pPr>
      <w:spacing w:after="120"/>
      <w:ind w:left="360"/>
    </w:pPr>
  </w:style>
  <w:style w:type="character" w:customStyle="1" w:styleId="BodyTextIndentChar">
    <w:name w:val="Body Text Indent Char"/>
    <w:basedOn w:val="DefaultParagraphFont"/>
    <w:link w:val="BodyTextIndent"/>
    <w:uiPriority w:val="99"/>
    <w:locked/>
    <w:rsid w:val="001D1FB0"/>
    <w:rPr>
      <w:rFonts w:cs="Times New Roman"/>
      <w:sz w:val="24"/>
      <w:szCs w:val="24"/>
    </w:rPr>
  </w:style>
  <w:style w:type="paragraph" w:styleId="TOCHeading">
    <w:name w:val="TOC Heading"/>
    <w:basedOn w:val="Heading1"/>
    <w:next w:val="Normal"/>
    <w:uiPriority w:val="99"/>
    <w:qFormat/>
    <w:rsid w:val="001D1FB0"/>
    <w:pPr>
      <w:keepLines/>
      <w:tabs>
        <w:tab w:val="clear" w:pos="-1080"/>
        <w:tab w:val="clear" w:pos="-720"/>
        <w:tab w:val="clear" w:pos="0"/>
        <w:tab w:val="clear" w:pos="450"/>
        <w:tab w:val="clear" w:pos="81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libri" w:hAnsi="Calibri"/>
      <w:bCs/>
      <w:color w:val="365F91"/>
      <w:sz w:val="28"/>
      <w:szCs w:val="28"/>
    </w:rPr>
  </w:style>
  <w:style w:type="paragraph" w:customStyle="1" w:styleId="HTA">
    <w:name w:val="HTA"/>
    <w:basedOn w:val="Heading1"/>
    <w:uiPriority w:val="99"/>
    <w:rsid w:val="001D1FB0"/>
  </w:style>
  <w:style w:type="paragraph" w:customStyle="1" w:styleId="HTA2">
    <w:name w:val="HTA 2"/>
    <w:basedOn w:val="Normal"/>
    <w:uiPriority w:val="99"/>
    <w:rsid w:val="001D1FB0"/>
    <w:pPr>
      <w:keepLines/>
      <w:tabs>
        <w:tab w:val="left" w:pos="-1080"/>
        <w:tab w:val="left" w:pos="-72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i/>
      <w:sz w:val="28"/>
      <w:szCs w:val="28"/>
    </w:rPr>
  </w:style>
  <w:style w:type="paragraph" w:customStyle="1" w:styleId="HTA1">
    <w:name w:val="HTA 1"/>
    <w:basedOn w:val="Normal"/>
    <w:uiPriority w:val="99"/>
    <w:rsid w:val="001D1FB0"/>
    <w:pPr>
      <w:keepLines/>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32"/>
      <w:szCs w:val="32"/>
    </w:rPr>
  </w:style>
  <w:style w:type="paragraph" w:customStyle="1" w:styleId="Default">
    <w:name w:val="Default"/>
    <w:uiPriority w:val="99"/>
    <w:rsid w:val="001D1FB0"/>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1D1FB0"/>
    <w:pPr>
      <w:ind w:left="720"/>
      <w:contextualSpacing/>
    </w:pPr>
  </w:style>
  <w:style w:type="paragraph" w:customStyle="1" w:styleId="ColorfulShading-Accent11">
    <w:name w:val="Colorful Shading - Accent 11"/>
    <w:uiPriority w:val="99"/>
    <w:rsid w:val="001D1FB0"/>
    <w:rPr>
      <w:sz w:val="24"/>
      <w:szCs w:val="24"/>
    </w:rPr>
  </w:style>
  <w:style w:type="paragraph" w:customStyle="1" w:styleId="CM1">
    <w:name w:val="CM1"/>
    <w:basedOn w:val="Default"/>
    <w:next w:val="Default"/>
    <w:uiPriority w:val="99"/>
    <w:rsid w:val="001D1FB0"/>
    <w:pPr>
      <w:widowControl w:val="0"/>
    </w:pPr>
    <w:rPr>
      <w:color w:val="auto"/>
    </w:rPr>
  </w:style>
  <w:style w:type="paragraph" w:customStyle="1" w:styleId="CM6">
    <w:name w:val="CM6"/>
    <w:basedOn w:val="Default"/>
    <w:next w:val="Default"/>
    <w:uiPriority w:val="99"/>
    <w:rsid w:val="001D1FB0"/>
    <w:pPr>
      <w:widowControl w:val="0"/>
    </w:pPr>
    <w:rPr>
      <w:color w:val="auto"/>
    </w:rPr>
  </w:style>
  <w:style w:type="paragraph" w:customStyle="1" w:styleId="CM2">
    <w:name w:val="CM2"/>
    <w:basedOn w:val="Default"/>
    <w:next w:val="Default"/>
    <w:uiPriority w:val="99"/>
    <w:rsid w:val="001D1FB0"/>
    <w:pPr>
      <w:widowControl w:val="0"/>
      <w:spacing w:line="253" w:lineRule="atLeast"/>
    </w:pPr>
    <w:rPr>
      <w:color w:val="auto"/>
    </w:rPr>
  </w:style>
  <w:style w:type="paragraph" w:customStyle="1" w:styleId="CM5">
    <w:name w:val="CM5"/>
    <w:basedOn w:val="Default"/>
    <w:next w:val="Default"/>
    <w:uiPriority w:val="99"/>
    <w:rsid w:val="001D1FB0"/>
    <w:pPr>
      <w:widowControl w:val="0"/>
      <w:spacing w:line="253" w:lineRule="atLeast"/>
    </w:pPr>
    <w:rPr>
      <w:color w:val="auto"/>
    </w:rPr>
  </w:style>
  <w:style w:type="paragraph" w:customStyle="1" w:styleId="Paragraph">
    <w:name w:val="Paragraph"/>
    <w:basedOn w:val="Normal"/>
    <w:uiPriority w:val="99"/>
    <w:rsid w:val="001D1FB0"/>
    <w:pPr>
      <w:spacing w:after="300" w:line="380" w:lineRule="exact"/>
    </w:pPr>
    <w:rPr>
      <w:rFonts w:ascii="Arial" w:hAnsi="Arial" w:cs="Arial"/>
      <w:sz w:val="22"/>
    </w:rPr>
  </w:style>
  <w:style w:type="paragraph" w:customStyle="1" w:styleId="DefaultPara">
    <w:name w:val="Default Para"/>
    <w:basedOn w:val="Normal"/>
    <w:uiPriority w:val="99"/>
    <w:rsid w:val="001D1FB0"/>
    <w:pPr>
      <w:spacing w:after="120"/>
    </w:pPr>
    <w:rPr>
      <w:color w:val="000000"/>
      <w:sz w:val="22"/>
      <w:szCs w:val="22"/>
    </w:rPr>
  </w:style>
  <w:style w:type="paragraph" w:customStyle="1" w:styleId="Pa11">
    <w:name w:val="Pa11"/>
    <w:basedOn w:val="Normal"/>
    <w:next w:val="Normal"/>
    <w:uiPriority w:val="99"/>
    <w:rsid w:val="001D1FB0"/>
    <w:pPr>
      <w:autoSpaceDE w:val="0"/>
      <w:autoSpaceDN w:val="0"/>
      <w:adjustRightInd w:val="0"/>
      <w:spacing w:line="171" w:lineRule="atLeast"/>
    </w:pPr>
    <w:rPr>
      <w:rFonts w:ascii="Meta Medium LF" w:hAnsi="Meta Medium LF"/>
      <w:color w:val="000000"/>
    </w:rPr>
  </w:style>
  <w:style w:type="paragraph" w:customStyle="1" w:styleId="TableandFigureHeading">
    <w:name w:val="Table and Figure Heading"/>
    <w:basedOn w:val="Normal"/>
    <w:uiPriority w:val="99"/>
    <w:rsid w:val="001D1FB0"/>
    <w:rPr>
      <w:rFonts w:ascii="Arial" w:hAnsi="Arial" w:cs="Arial"/>
      <w:b/>
      <w:sz w:val="20"/>
      <w:szCs w:val="36"/>
    </w:rPr>
  </w:style>
  <w:style w:type="paragraph" w:customStyle="1" w:styleId="Title1">
    <w:name w:val="Title 1"/>
    <w:basedOn w:val="Normal"/>
    <w:uiPriority w:val="99"/>
    <w:rsid w:val="001D1FB0"/>
    <w:pPr>
      <w:autoSpaceDE w:val="0"/>
      <w:autoSpaceDN w:val="0"/>
      <w:adjustRightInd w:val="0"/>
    </w:pPr>
    <w:rPr>
      <w:rFonts w:ascii="Arial" w:hAnsi="Arial" w:cs="Arial"/>
      <w:b/>
      <w:bCs/>
      <w:sz w:val="36"/>
      <w:szCs w:val="36"/>
    </w:rPr>
  </w:style>
  <w:style w:type="paragraph" w:customStyle="1" w:styleId="rprtbody1">
    <w:name w:val="rprtbody1"/>
    <w:basedOn w:val="Normal"/>
    <w:uiPriority w:val="99"/>
    <w:rsid w:val="001D1FB0"/>
    <w:pPr>
      <w:spacing w:before="34" w:after="34"/>
    </w:pPr>
    <w:rPr>
      <w:sz w:val="28"/>
      <w:szCs w:val="28"/>
    </w:rPr>
  </w:style>
  <w:style w:type="paragraph" w:customStyle="1" w:styleId="aux1">
    <w:name w:val="aux1"/>
    <w:basedOn w:val="Normal"/>
    <w:uiPriority w:val="99"/>
    <w:rsid w:val="001D1FB0"/>
    <w:pPr>
      <w:spacing w:line="320" w:lineRule="atLeast"/>
    </w:pPr>
  </w:style>
  <w:style w:type="character" w:styleId="FootnoteReference">
    <w:name w:val="footnote reference"/>
    <w:basedOn w:val="DefaultParagraphFont"/>
    <w:uiPriority w:val="99"/>
    <w:rsid w:val="001D1FB0"/>
    <w:rPr>
      <w:rFonts w:cs="Times New Roman"/>
      <w:vertAlign w:val="superscript"/>
    </w:rPr>
  </w:style>
  <w:style w:type="character" w:styleId="EndnoteReference">
    <w:name w:val="endnote reference"/>
    <w:basedOn w:val="DefaultParagraphFont"/>
    <w:uiPriority w:val="99"/>
    <w:rsid w:val="001D1FB0"/>
    <w:rPr>
      <w:rFonts w:cs="Times New Roman"/>
      <w:vertAlign w:val="superscript"/>
    </w:rPr>
  </w:style>
  <w:style w:type="character" w:customStyle="1" w:styleId="CharChar">
    <w:name w:val="Char Char"/>
    <w:uiPriority w:val="99"/>
    <w:rsid w:val="001D1FB0"/>
    <w:rPr>
      <w:lang w:val="en-US" w:eastAsia="en-US"/>
    </w:rPr>
  </w:style>
  <w:style w:type="character" w:customStyle="1" w:styleId="CharChar2">
    <w:name w:val="Char Char2"/>
    <w:basedOn w:val="DefaultParagraphFont"/>
    <w:uiPriority w:val="99"/>
    <w:rsid w:val="001D1FB0"/>
    <w:rPr>
      <w:rFonts w:cs="Times New Roman"/>
    </w:rPr>
  </w:style>
  <w:style w:type="character" w:customStyle="1" w:styleId="CharChar1">
    <w:name w:val="Char Char1"/>
    <w:uiPriority w:val="99"/>
    <w:rsid w:val="001D1FB0"/>
    <w:rPr>
      <w:lang w:val="en-US" w:eastAsia="en-US"/>
    </w:rPr>
  </w:style>
  <w:style w:type="character" w:customStyle="1" w:styleId="fthighlight">
    <w:name w:val="ft_highlight"/>
    <w:basedOn w:val="DefaultParagraphFont"/>
    <w:uiPriority w:val="99"/>
    <w:rsid w:val="001D1FB0"/>
    <w:rPr>
      <w:rFonts w:cs="Times New Roman"/>
    </w:rPr>
  </w:style>
  <w:style w:type="character" w:customStyle="1" w:styleId="jrnl">
    <w:name w:val="jrnl"/>
    <w:basedOn w:val="DefaultParagraphFont"/>
    <w:uiPriority w:val="99"/>
    <w:rsid w:val="001D1FB0"/>
    <w:rPr>
      <w:rFonts w:cs="Times New Roman"/>
    </w:rPr>
  </w:style>
  <w:style w:type="table" w:styleId="TableGrid1">
    <w:name w:val="Table Grid 1"/>
    <w:basedOn w:val="TableNormal"/>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1D1FB0"/>
    <w:rPr>
      <w:rFonts w:cs="Times New Roman"/>
    </w:rPr>
  </w:style>
  <w:style w:type="table" w:customStyle="1" w:styleId="TableGrid2">
    <w:name w:val="Table Grid2"/>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3">
    <w:name w:val="Table Grid3"/>
    <w:uiPriority w:val="99"/>
    <w:rsid w:val="005A4D6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C934BA"/>
    <w:pPr>
      <w:numPr>
        <w:numId w:val="24"/>
      </w:numPr>
    </w:pPr>
  </w:style>
  <w:style w:type="numbering" w:customStyle="1" w:styleId="Style1">
    <w:name w:val="Style1"/>
    <w:rsid w:val="00C934BA"/>
    <w:pPr>
      <w:numPr>
        <w:numId w:val="22"/>
      </w:numPr>
    </w:pPr>
  </w:style>
  <w:style w:type="numbering" w:customStyle="1" w:styleId="HTA3">
    <w:name w:val="HTA 3"/>
    <w:rsid w:val="00C934BA"/>
    <w:pPr>
      <w:numPr>
        <w:numId w:val="23"/>
      </w:numPr>
    </w:pPr>
  </w:style>
  <w:style w:type="paragraph" w:styleId="Subtitle">
    <w:name w:val="Subtitle"/>
    <w:basedOn w:val="Normal"/>
    <w:next w:val="Normal"/>
    <w:link w:val="SubtitleChar"/>
    <w:qFormat/>
    <w:locked/>
    <w:rsid w:val="009700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0011"/>
    <w:rPr>
      <w:rFonts w:asciiTheme="majorHAnsi" w:eastAsiaTheme="majorEastAsia" w:hAnsiTheme="majorHAnsi" w:cstheme="majorBidi"/>
      <w:i/>
      <w:iCs/>
      <w:color w:val="4F81BD" w:themeColor="accent1"/>
      <w:spacing w:val="15"/>
      <w:sz w:val="24"/>
      <w:szCs w:val="24"/>
    </w:rPr>
  </w:style>
  <w:style w:type="paragraph" w:customStyle="1" w:styleId="Normal1">
    <w:name w:val="Normal1"/>
    <w:basedOn w:val="Normal"/>
    <w:rsid w:val="0002578D"/>
    <w:pPr>
      <w:spacing w:after="200" w:line="260" w:lineRule="atLeast"/>
    </w:pPr>
    <w:rPr>
      <w:rFonts w:ascii="Calibri" w:eastAsia="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3090">
      <w:bodyDiv w:val="1"/>
      <w:marLeft w:val="0"/>
      <w:marRight w:val="0"/>
      <w:marTop w:val="0"/>
      <w:marBottom w:val="0"/>
      <w:divBdr>
        <w:top w:val="none" w:sz="0" w:space="0" w:color="auto"/>
        <w:left w:val="none" w:sz="0" w:space="0" w:color="auto"/>
        <w:bottom w:val="none" w:sz="0" w:space="0" w:color="auto"/>
        <w:right w:val="none" w:sz="0" w:space="0" w:color="auto"/>
      </w:divBdr>
    </w:div>
    <w:div w:id="1653680136">
      <w:bodyDiv w:val="1"/>
      <w:marLeft w:val="0"/>
      <w:marRight w:val="0"/>
      <w:marTop w:val="0"/>
      <w:marBottom w:val="0"/>
      <w:divBdr>
        <w:top w:val="none" w:sz="0" w:space="0" w:color="auto"/>
        <w:left w:val="none" w:sz="0" w:space="0" w:color="auto"/>
        <w:bottom w:val="none" w:sz="0" w:space="0" w:color="auto"/>
        <w:right w:val="none" w:sz="0" w:space="0" w:color="auto"/>
      </w:divBdr>
    </w:div>
    <w:div w:id="1977099016">
      <w:marLeft w:val="0"/>
      <w:marRight w:val="0"/>
      <w:marTop w:val="0"/>
      <w:marBottom w:val="0"/>
      <w:divBdr>
        <w:top w:val="none" w:sz="0" w:space="0" w:color="auto"/>
        <w:left w:val="none" w:sz="0" w:space="0" w:color="auto"/>
        <w:bottom w:val="none" w:sz="0" w:space="0" w:color="auto"/>
        <w:right w:val="none" w:sz="0" w:space="0" w:color="auto"/>
      </w:divBdr>
    </w:div>
    <w:div w:id="1977099017">
      <w:marLeft w:val="0"/>
      <w:marRight w:val="0"/>
      <w:marTop w:val="0"/>
      <w:marBottom w:val="0"/>
      <w:divBdr>
        <w:top w:val="none" w:sz="0" w:space="0" w:color="auto"/>
        <w:left w:val="none" w:sz="0" w:space="0" w:color="auto"/>
        <w:bottom w:val="none" w:sz="0" w:space="0" w:color="auto"/>
        <w:right w:val="none" w:sz="0" w:space="0" w:color="auto"/>
      </w:divBdr>
    </w:div>
    <w:div w:id="1977099018">
      <w:marLeft w:val="0"/>
      <w:marRight w:val="0"/>
      <w:marTop w:val="0"/>
      <w:marBottom w:val="0"/>
      <w:divBdr>
        <w:top w:val="none" w:sz="0" w:space="0" w:color="auto"/>
        <w:left w:val="none" w:sz="0" w:space="0" w:color="auto"/>
        <w:bottom w:val="none" w:sz="0" w:space="0" w:color="auto"/>
        <w:right w:val="none" w:sz="0" w:space="0" w:color="auto"/>
      </w:divBdr>
    </w:div>
    <w:div w:id="1977099019">
      <w:marLeft w:val="0"/>
      <w:marRight w:val="0"/>
      <w:marTop w:val="0"/>
      <w:marBottom w:val="0"/>
      <w:divBdr>
        <w:top w:val="none" w:sz="0" w:space="0" w:color="auto"/>
        <w:left w:val="none" w:sz="0" w:space="0" w:color="auto"/>
        <w:bottom w:val="none" w:sz="0" w:space="0" w:color="auto"/>
        <w:right w:val="none" w:sz="0" w:space="0" w:color="auto"/>
      </w:divBdr>
    </w:div>
    <w:div w:id="1977099020">
      <w:marLeft w:val="0"/>
      <w:marRight w:val="0"/>
      <w:marTop w:val="0"/>
      <w:marBottom w:val="0"/>
      <w:divBdr>
        <w:top w:val="none" w:sz="0" w:space="0" w:color="auto"/>
        <w:left w:val="none" w:sz="0" w:space="0" w:color="auto"/>
        <w:bottom w:val="none" w:sz="0" w:space="0" w:color="auto"/>
        <w:right w:val="none" w:sz="0" w:space="0" w:color="auto"/>
      </w:divBdr>
    </w:div>
    <w:div w:id="1977099021">
      <w:marLeft w:val="0"/>
      <w:marRight w:val="0"/>
      <w:marTop w:val="0"/>
      <w:marBottom w:val="0"/>
      <w:divBdr>
        <w:top w:val="none" w:sz="0" w:space="0" w:color="auto"/>
        <w:left w:val="none" w:sz="0" w:space="0" w:color="auto"/>
        <w:bottom w:val="none" w:sz="0" w:space="0" w:color="auto"/>
        <w:right w:val="none" w:sz="0" w:space="0" w:color="auto"/>
      </w:divBdr>
    </w:div>
    <w:div w:id="1977099022">
      <w:marLeft w:val="0"/>
      <w:marRight w:val="0"/>
      <w:marTop w:val="0"/>
      <w:marBottom w:val="0"/>
      <w:divBdr>
        <w:top w:val="none" w:sz="0" w:space="0" w:color="auto"/>
        <w:left w:val="none" w:sz="0" w:space="0" w:color="auto"/>
        <w:bottom w:val="none" w:sz="0" w:space="0" w:color="auto"/>
        <w:right w:val="none" w:sz="0" w:space="0" w:color="auto"/>
      </w:divBdr>
    </w:div>
    <w:div w:id="1977099023">
      <w:marLeft w:val="0"/>
      <w:marRight w:val="0"/>
      <w:marTop w:val="0"/>
      <w:marBottom w:val="0"/>
      <w:divBdr>
        <w:top w:val="none" w:sz="0" w:space="0" w:color="auto"/>
        <w:left w:val="none" w:sz="0" w:space="0" w:color="auto"/>
        <w:bottom w:val="none" w:sz="0" w:space="0" w:color="auto"/>
        <w:right w:val="none" w:sz="0" w:space="0" w:color="auto"/>
      </w:divBdr>
    </w:div>
    <w:div w:id="1977099024">
      <w:marLeft w:val="0"/>
      <w:marRight w:val="0"/>
      <w:marTop w:val="0"/>
      <w:marBottom w:val="0"/>
      <w:divBdr>
        <w:top w:val="none" w:sz="0" w:space="0" w:color="auto"/>
        <w:left w:val="none" w:sz="0" w:space="0" w:color="auto"/>
        <w:bottom w:val="none" w:sz="0" w:space="0" w:color="auto"/>
        <w:right w:val="none" w:sz="0" w:space="0" w:color="auto"/>
      </w:divBdr>
    </w:div>
    <w:div w:id="1977099025">
      <w:marLeft w:val="0"/>
      <w:marRight w:val="0"/>
      <w:marTop w:val="0"/>
      <w:marBottom w:val="0"/>
      <w:divBdr>
        <w:top w:val="none" w:sz="0" w:space="0" w:color="auto"/>
        <w:left w:val="none" w:sz="0" w:space="0" w:color="auto"/>
        <w:bottom w:val="none" w:sz="0" w:space="0" w:color="auto"/>
        <w:right w:val="none" w:sz="0" w:space="0" w:color="auto"/>
      </w:divBdr>
    </w:div>
    <w:div w:id="1977099026">
      <w:marLeft w:val="0"/>
      <w:marRight w:val="0"/>
      <w:marTop w:val="0"/>
      <w:marBottom w:val="0"/>
      <w:divBdr>
        <w:top w:val="none" w:sz="0" w:space="0" w:color="auto"/>
        <w:left w:val="none" w:sz="0" w:space="0" w:color="auto"/>
        <w:bottom w:val="none" w:sz="0" w:space="0" w:color="auto"/>
        <w:right w:val="none" w:sz="0" w:space="0" w:color="auto"/>
      </w:divBdr>
    </w:div>
    <w:div w:id="1977099027">
      <w:marLeft w:val="0"/>
      <w:marRight w:val="0"/>
      <w:marTop w:val="0"/>
      <w:marBottom w:val="0"/>
      <w:divBdr>
        <w:top w:val="none" w:sz="0" w:space="0" w:color="auto"/>
        <w:left w:val="none" w:sz="0" w:space="0" w:color="auto"/>
        <w:bottom w:val="none" w:sz="0" w:space="0" w:color="auto"/>
        <w:right w:val="none" w:sz="0" w:space="0" w:color="auto"/>
      </w:divBdr>
    </w:div>
    <w:div w:id="21155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54E4-29E3-4889-B537-374C56FF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2283</Words>
  <Characters>11867</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Predicting the Risk of Adjacent Segment Disease in the Cervical Spine: A systematic review</vt:lpstr>
    </vt:vector>
  </TitlesOfParts>
  <Company>UUHSC</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the Risk of Adjacent Segment Disease in the Cervical Spine: A systematic review</dc:title>
  <dc:creator>jeff</dc:creator>
  <cp:lastModifiedBy>Ashley Marie Neese</cp:lastModifiedBy>
  <cp:revision>2</cp:revision>
  <cp:lastPrinted>2012-05-16T16:52:00Z</cp:lastPrinted>
  <dcterms:created xsi:type="dcterms:W3CDTF">2012-08-01T22:20:00Z</dcterms:created>
  <dcterms:modified xsi:type="dcterms:W3CDTF">2012-08-01T22:20:00Z</dcterms:modified>
</cp:coreProperties>
</file>