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EE9EB" w14:textId="77777777" w:rsidR="00200FC1" w:rsidRPr="00200FC1" w:rsidRDefault="00200FC1" w:rsidP="00200FC1">
      <w:pPr>
        <w:jc w:val="center"/>
        <w:rPr>
          <w:b/>
        </w:rPr>
      </w:pPr>
      <w:r w:rsidRPr="00200FC1">
        <w:rPr>
          <w:b/>
        </w:rPr>
        <w:t>SUPPLEMENTAL DIGITAL MATERIAL</w:t>
      </w:r>
    </w:p>
    <w:p w14:paraId="5020BBC1" w14:textId="77777777" w:rsidR="00131BFE" w:rsidRDefault="00131BFE" w:rsidP="00BE0033">
      <w:pPr>
        <w:rPr>
          <w:b/>
        </w:rPr>
      </w:pPr>
    </w:p>
    <w:p w14:paraId="12CFBDCC" w14:textId="12E7BAB6" w:rsidR="00131BFE" w:rsidRDefault="00803720" w:rsidP="00131BFE">
      <w:pPr>
        <w:rPr>
          <w:b/>
        </w:rPr>
      </w:pPr>
      <w:proofErr w:type="gramStart"/>
      <w:r>
        <w:rPr>
          <w:b/>
        </w:rPr>
        <w:t>Table 1.</w:t>
      </w:r>
      <w:proofErr w:type="gramEnd"/>
      <w:r>
        <w:rPr>
          <w:b/>
        </w:rPr>
        <w:t xml:space="preserve"> </w:t>
      </w:r>
      <w:r w:rsidR="00131BFE">
        <w:rPr>
          <w:b/>
        </w:rPr>
        <w:t>Demographics</w:t>
      </w:r>
      <w:r w:rsidR="00131BFE" w:rsidRPr="00136BB7">
        <w:rPr>
          <w:b/>
        </w:rPr>
        <w:t xml:space="preserve"> of AS</w:t>
      </w:r>
      <w:r w:rsidR="009E6F01">
        <w:rPr>
          <w:b/>
        </w:rPr>
        <w:t>P</w:t>
      </w:r>
      <w:r w:rsidR="00131BFE" w:rsidRPr="00136BB7">
        <w:rPr>
          <w:b/>
        </w:rPr>
        <w:t xml:space="preserve"> after lumbar fusion surgery or motion sparing technique</w:t>
      </w: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641"/>
        <w:gridCol w:w="2592"/>
        <w:gridCol w:w="2844"/>
        <w:gridCol w:w="2506"/>
        <w:gridCol w:w="1731"/>
        <w:gridCol w:w="2063"/>
      </w:tblGrid>
      <w:tr w:rsidR="00131BFE" w14:paraId="07AFF96D" w14:textId="77777777" w:rsidTr="005C7876">
        <w:trPr>
          <w:trHeight w:val="205"/>
        </w:trPr>
        <w:tc>
          <w:tcPr>
            <w:tcW w:w="1383" w:type="dxa"/>
            <w:vAlign w:val="center"/>
          </w:tcPr>
          <w:p w14:paraId="46B0F70D" w14:textId="77777777" w:rsidR="00131BFE" w:rsidRPr="00A93FE8" w:rsidRDefault="00131BFE" w:rsidP="005C7876">
            <w:pPr>
              <w:jc w:val="center"/>
              <w:rPr>
                <w:sz w:val="20"/>
                <w:szCs w:val="20"/>
              </w:rPr>
            </w:pPr>
            <w:r w:rsidRPr="00A93FE8">
              <w:rPr>
                <w:sz w:val="20"/>
                <w:szCs w:val="20"/>
              </w:rPr>
              <w:t>Author</w:t>
            </w:r>
          </w:p>
          <w:p w14:paraId="0E02938E" w14:textId="77777777" w:rsidR="00131BFE" w:rsidRPr="00A93FE8" w:rsidRDefault="00131BFE" w:rsidP="005C7876">
            <w:pPr>
              <w:jc w:val="center"/>
              <w:rPr>
                <w:sz w:val="20"/>
                <w:szCs w:val="20"/>
              </w:rPr>
            </w:pPr>
            <w:r w:rsidRPr="00A93FE8">
              <w:rPr>
                <w:sz w:val="20"/>
                <w:szCs w:val="20"/>
              </w:rPr>
              <w:t>(Year)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3E35C4C" w14:textId="77777777" w:rsidR="00131BFE" w:rsidRPr="00A93FE8" w:rsidRDefault="00131BFE" w:rsidP="005C7876">
            <w:pPr>
              <w:jc w:val="center"/>
              <w:rPr>
                <w:sz w:val="20"/>
                <w:szCs w:val="20"/>
              </w:rPr>
            </w:pPr>
            <w:r w:rsidRPr="00A93FE8">
              <w:rPr>
                <w:sz w:val="20"/>
                <w:szCs w:val="20"/>
              </w:rPr>
              <w:t>Study design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4587B72" w14:textId="77777777" w:rsidR="00131BFE" w:rsidRPr="00A93FE8" w:rsidRDefault="00131BFE" w:rsidP="005C7876">
            <w:pPr>
              <w:jc w:val="center"/>
              <w:rPr>
                <w:sz w:val="20"/>
                <w:szCs w:val="20"/>
              </w:rPr>
            </w:pPr>
            <w:r w:rsidRPr="00A93FE8">
              <w:rPr>
                <w:sz w:val="20"/>
                <w:szCs w:val="20"/>
              </w:rPr>
              <w:t>Population</w:t>
            </w:r>
          </w:p>
        </w:tc>
        <w:tc>
          <w:tcPr>
            <w:tcW w:w="2844" w:type="dxa"/>
            <w:vAlign w:val="center"/>
          </w:tcPr>
          <w:p w14:paraId="218481DC" w14:textId="77777777" w:rsidR="00131BFE" w:rsidRPr="00A93FE8" w:rsidRDefault="00131BFE" w:rsidP="005C7876">
            <w:pPr>
              <w:jc w:val="center"/>
              <w:rPr>
                <w:sz w:val="20"/>
                <w:szCs w:val="20"/>
              </w:rPr>
            </w:pPr>
            <w:r w:rsidRPr="00A93FE8">
              <w:rPr>
                <w:sz w:val="20"/>
                <w:szCs w:val="20"/>
              </w:rPr>
              <w:t>Purpose</w:t>
            </w:r>
          </w:p>
        </w:tc>
        <w:tc>
          <w:tcPr>
            <w:tcW w:w="2506" w:type="dxa"/>
            <w:vAlign w:val="center"/>
          </w:tcPr>
          <w:p w14:paraId="7376864C" w14:textId="77777777" w:rsidR="00131BFE" w:rsidRPr="00A93FE8" w:rsidRDefault="00131BFE" w:rsidP="005C7876">
            <w:pPr>
              <w:jc w:val="center"/>
              <w:rPr>
                <w:sz w:val="20"/>
                <w:szCs w:val="20"/>
              </w:rPr>
            </w:pPr>
            <w:r w:rsidRPr="00A93FE8">
              <w:rPr>
                <w:sz w:val="20"/>
                <w:szCs w:val="20"/>
              </w:rPr>
              <w:t>Inclusion/Exclusion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50B065A" w14:textId="77777777" w:rsidR="00131BFE" w:rsidRPr="00A93FE8" w:rsidRDefault="00131BFE" w:rsidP="005C7876">
            <w:pPr>
              <w:jc w:val="center"/>
              <w:rPr>
                <w:sz w:val="20"/>
                <w:szCs w:val="20"/>
              </w:rPr>
            </w:pPr>
            <w:r w:rsidRPr="00A93FE8">
              <w:rPr>
                <w:sz w:val="20"/>
                <w:szCs w:val="20"/>
              </w:rPr>
              <w:t>Treatment</w:t>
            </w:r>
          </w:p>
        </w:tc>
        <w:tc>
          <w:tcPr>
            <w:tcW w:w="2063" w:type="dxa"/>
          </w:tcPr>
          <w:p w14:paraId="32FF5E2C" w14:textId="77777777" w:rsidR="00131BFE" w:rsidRPr="00A93FE8" w:rsidRDefault="00131BFE" w:rsidP="005C7876">
            <w:pPr>
              <w:jc w:val="center"/>
              <w:rPr>
                <w:sz w:val="20"/>
                <w:szCs w:val="20"/>
              </w:rPr>
            </w:pPr>
            <w:r w:rsidRPr="00A93FE8">
              <w:rPr>
                <w:sz w:val="20"/>
                <w:szCs w:val="20"/>
              </w:rPr>
              <w:t>How ASD defined/</w:t>
            </w:r>
          </w:p>
          <w:p w14:paraId="09CC8FA9" w14:textId="77777777" w:rsidR="00131BFE" w:rsidRPr="00A93FE8" w:rsidRDefault="00131BFE" w:rsidP="005C7876">
            <w:pPr>
              <w:jc w:val="center"/>
              <w:rPr>
                <w:sz w:val="20"/>
                <w:szCs w:val="20"/>
              </w:rPr>
            </w:pPr>
            <w:r w:rsidRPr="00A93FE8">
              <w:rPr>
                <w:sz w:val="20"/>
                <w:szCs w:val="20"/>
              </w:rPr>
              <w:t>classification</w:t>
            </w:r>
          </w:p>
        </w:tc>
      </w:tr>
      <w:tr w:rsidR="00A80580" w14:paraId="4B8044BA" w14:textId="77777777" w:rsidTr="005C7876">
        <w:trPr>
          <w:trHeight w:val="2384"/>
        </w:trPr>
        <w:tc>
          <w:tcPr>
            <w:tcW w:w="1383" w:type="dxa"/>
          </w:tcPr>
          <w:p w14:paraId="05007277" w14:textId="77777777" w:rsidR="00A80580" w:rsidRPr="00C92F92" w:rsidRDefault="00A80580" w:rsidP="005C7876">
            <w:pPr>
              <w:jc w:val="center"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Lee</w:t>
            </w:r>
          </w:p>
          <w:p w14:paraId="7D33E49E" w14:textId="77777777" w:rsidR="00A80580" w:rsidRPr="00C92F92" w:rsidRDefault="00A80580" w:rsidP="005C7876">
            <w:pPr>
              <w:jc w:val="center"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(2009)</w:t>
            </w:r>
          </w:p>
        </w:tc>
        <w:tc>
          <w:tcPr>
            <w:tcW w:w="1641" w:type="dxa"/>
            <w:shd w:val="clear" w:color="auto" w:fill="auto"/>
          </w:tcPr>
          <w:p w14:paraId="4AD673BD" w14:textId="77777777" w:rsidR="00A80580" w:rsidRPr="00C92F92" w:rsidRDefault="00A80580" w:rsidP="005C7876">
            <w:pPr>
              <w:jc w:val="center"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Case control</w:t>
            </w:r>
          </w:p>
        </w:tc>
        <w:tc>
          <w:tcPr>
            <w:tcW w:w="2592" w:type="dxa"/>
            <w:shd w:val="clear" w:color="auto" w:fill="auto"/>
          </w:tcPr>
          <w:p w14:paraId="2022FAB2" w14:textId="77777777" w:rsidR="00A80580" w:rsidRPr="00C92F92" w:rsidRDefault="00A80580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N = 1069</w:t>
            </w:r>
          </w:p>
          <w:p w14:paraId="78F83AC1" w14:textId="77777777" w:rsidR="00A80580" w:rsidRPr="00C92F92" w:rsidRDefault="00A80580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Male: 35.7%</w:t>
            </w:r>
          </w:p>
          <w:p w14:paraId="65F2F1E0" w14:textId="77777777" w:rsidR="00A80580" w:rsidRPr="00C92F92" w:rsidRDefault="00A80580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Age: 58.4 (range, 46-76) years</w:t>
            </w:r>
          </w:p>
          <w:p w14:paraId="343610A4" w14:textId="77777777" w:rsidR="00A80580" w:rsidRPr="00C92F92" w:rsidRDefault="00A80580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 xml:space="preserve">Follow-up: </w:t>
            </w:r>
            <w:r w:rsidR="00AD59FD">
              <w:rPr>
                <w:sz w:val="20"/>
                <w:szCs w:val="20"/>
              </w:rPr>
              <w:t>4.3 years</w:t>
            </w:r>
          </w:p>
          <w:p w14:paraId="19293D7F" w14:textId="77777777" w:rsidR="00A80580" w:rsidRPr="00C92F92" w:rsidRDefault="00A80580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F/U rate: NR</w:t>
            </w:r>
          </w:p>
          <w:p w14:paraId="5E28E369" w14:textId="77777777" w:rsidR="00A80580" w:rsidRPr="00C92F92" w:rsidRDefault="00A80580" w:rsidP="005C7876">
            <w:pPr>
              <w:rPr>
                <w:sz w:val="20"/>
                <w:szCs w:val="20"/>
              </w:rPr>
            </w:pPr>
          </w:p>
          <w:p w14:paraId="61A92EC6" w14:textId="77777777" w:rsidR="00A80580" w:rsidRPr="00C92F92" w:rsidRDefault="00A80580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ASD: 28/1069 (2.6%)</w:t>
            </w:r>
          </w:p>
          <w:p w14:paraId="327456E5" w14:textId="77777777" w:rsidR="00A80580" w:rsidRDefault="00A80580" w:rsidP="005C7876">
            <w:pPr>
              <w:rPr>
                <w:sz w:val="20"/>
                <w:szCs w:val="20"/>
              </w:rPr>
            </w:pPr>
          </w:p>
          <w:p w14:paraId="3436576C" w14:textId="77777777" w:rsidR="00A80580" w:rsidRDefault="00A80580" w:rsidP="005C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Diagnosis:</w:t>
            </w:r>
          </w:p>
          <w:p w14:paraId="23C4A7F9" w14:textId="77777777" w:rsidR="00A80580" w:rsidRDefault="00A80580" w:rsidP="005C7876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Spinal stenosis</w:t>
            </w:r>
          </w:p>
          <w:p w14:paraId="4A6CB7D9" w14:textId="77777777" w:rsidR="00A80580" w:rsidRDefault="00A80580" w:rsidP="005C7876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Isthmic and degenerative </w:t>
            </w:r>
            <w:proofErr w:type="spellStart"/>
            <w:r>
              <w:rPr>
                <w:sz w:val="20"/>
                <w:szCs w:val="20"/>
              </w:rPr>
              <w:t>spondylolisthesis</w:t>
            </w:r>
            <w:proofErr w:type="spellEnd"/>
          </w:p>
          <w:p w14:paraId="47D5E91B" w14:textId="77777777" w:rsidR="00A80580" w:rsidRDefault="00A80580" w:rsidP="005C7876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Lumbar degenerative kyphosis</w:t>
            </w:r>
          </w:p>
          <w:p w14:paraId="745C9283" w14:textId="77777777" w:rsidR="00A80580" w:rsidRDefault="00A80580" w:rsidP="005C7876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Degenerative disc disease</w:t>
            </w:r>
          </w:p>
          <w:p w14:paraId="1E6DA666" w14:textId="77777777" w:rsidR="00A80580" w:rsidRPr="00A80580" w:rsidRDefault="00A80580" w:rsidP="00A80580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 w:rsidRPr="00A80580">
              <w:rPr>
                <w:sz w:val="20"/>
                <w:szCs w:val="20"/>
              </w:rPr>
              <w:t>Disc herniation</w:t>
            </w:r>
          </w:p>
          <w:p w14:paraId="6F9565CD" w14:textId="77777777" w:rsidR="00A80580" w:rsidRPr="00C92F92" w:rsidRDefault="00A80580" w:rsidP="005C787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14:paraId="516F6601" w14:textId="2C1443A2" w:rsidR="00A80580" w:rsidRPr="00A93FE8" w:rsidRDefault="00A80580" w:rsidP="005C7876">
            <w:pPr>
              <w:rPr>
                <w:sz w:val="20"/>
                <w:szCs w:val="20"/>
              </w:rPr>
            </w:pPr>
            <w:r w:rsidRPr="00A93FE8">
              <w:rPr>
                <w:sz w:val="20"/>
                <w:szCs w:val="20"/>
              </w:rPr>
              <w:t xml:space="preserve">To describe the incidence and clinical features of adjacent segment </w:t>
            </w:r>
            <w:r w:rsidR="009E6F01">
              <w:rPr>
                <w:sz w:val="20"/>
                <w:szCs w:val="20"/>
              </w:rPr>
              <w:t>pathology</w:t>
            </w:r>
            <w:r w:rsidRPr="00A93FE8">
              <w:rPr>
                <w:sz w:val="20"/>
                <w:szCs w:val="20"/>
              </w:rPr>
              <w:t xml:space="preserve"> (AS</w:t>
            </w:r>
            <w:r w:rsidR="009E6F01">
              <w:rPr>
                <w:sz w:val="20"/>
                <w:szCs w:val="20"/>
              </w:rPr>
              <w:t>P</w:t>
            </w:r>
            <w:r w:rsidRPr="00A93FE8">
              <w:rPr>
                <w:sz w:val="20"/>
                <w:szCs w:val="20"/>
              </w:rPr>
              <w:t>) after lumbar fusion and to determine its risk factors.</w:t>
            </w:r>
          </w:p>
        </w:tc>
        <w:tc>
          <w:tcPr>
            <w:tcW w:w="2506" w:type="dxa"/>
          </w:tcPr>
          <w:p w14:paraId="39A90A02" w14:textId="77777777" w:rsidR="00A80580" w:rsidRPr="00A93FE8" w:rsidRDefault="00A80580" w:rsidP="005C7876">
            <w:pPr>
              <w:rPr>
                <w:sz w:val="20"/>
                <w:szCs w:val="20"/>
                <w:u w:val="single"/>
              </w:rPr>
            </w:pPr>
            <w:r w:rsidRPr="00A93FE8">
              <w:rPr>
                <w:sz w:val="20"/>
                <w:szCs w:val="20"/>
                <w:u w:val="single"/>
              </w:rPr>
              <w:t>Inclusion:</w:t>
            </w:r>
          </w:p>
          <w:p w14:paraId="24F1B9CF" w14:textId="77777777" w:rsidR="00A80580" w:rsidRDefault="00A80580" w:rsidP="005C7876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35 years and older</w:t>
            </w:r>
          </w:p>
          <w:p w14:paraId="6871EDD3" w14:textId="77777777" w:rsidR="00A80580" w:rsidRPr="00A93FE8" w:rsidRDefault="00A80580" w:rsidP="005C7876">
            <w:pPr>
              <w:ind w:left="-11"/>
              <w:rPr>
                <w:sz w:val="20"/>
                <w:szCs w:val="20"/>
                <w:u w:val="single"/>
              </w:rPr>
            </w:pPr>
            <w:r w:rsidRPr="00A93FE8">
              <w:rPr>
                <w:sz w:val="20"/>
                <w:szCs w:val="20"/>
                <w:u w:val="single"/>
              </w:rPr>
              <w:t>Exclusion:</w:t>
            </w:r>
          </w:p>
          <w:p w14:paraId="75BD9742" w14:textId="77777777" w:rsidR="00A80580" w:rsidRPr="00A93FE8" w:rsidRDefault="00A80580" w:rsidP="005C7876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 w:rsidRPr="00A93FE8">
              <w:rPr>
                <w:sz w:val="20"/>
                <w:szCs w:val="20"/>
              </w:rPr>
              <w:t>Less than 35 years of age</w:t>
            </w:r>
          </w:p>
          <w:p w14:paraId="0560B67E" w14:textId="77777777" w:rsidR="00A80580" w:rsidRPr="00A93FE8" w:rsidRDefault="00A80580" w:rsidP="005C7876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proofErr w:type="spellStart"/>
            <w:r w:rsidRPr="00A93FE8">
              <w:rPr>
                <w:sz w:val="20"/>
                <w:szCs w:val="20"/>
              </w:rPr>
              <w:t>Uninstrumented</w:t>
            </w:r>
            <w:proofErr w:type="spellEnd"/>
            <w:r w:rsidRPr="00A93FE8">
              <w:rPr>
                <w:sz w:val="20"/>
                <w:szCs w:val="20"/>
              </w:rPr>
              <w:t xml:space="preserve"> fusion</w:t>
            </w:r>
          </w:p>
          <w:p w14:paraId="6A45A875" w14:textId="77777777" w:rsidR="00A80580" w:rsidRDefault="00A80580" w:rsidP="005C7876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 w:rsidRPr="00A93FE8">
              <w:rPr>
                <w:sz w:val="20"/>
                <w:szCs w:val="20"/>
              </w:rPr>
              <w:t>Unsuccessful union</w:t>
            </w:r>
          </w:p>
          <w:p w14:paraId="0D5C828C" w14:textId="77777777" w:rsidR="00A80580" w:rsidRDefault="00A80580" w:rsidP="005C7876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initial MRI data</w:t>
            </w:r>
          </w:p>
          <w:p w14:paraId="3108F9DF" w14:textId="77777777" w:rsidR="00A80580" w:rsidRPr="00A93FE8" w:rsidRDefault="00A80580" w:rsidP="005C7876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40669EA7" w14:textId="77777777" w:rsidR="00A80580" w:rsidRPr="00A93FE8" w:rsidRDefault="00A80580" w:rsidP="005C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Lumbar or lumbosacral f</w:t>
            </w:r>
            <w:r w:rsidRPr="00A93FE8">
              <w:rPr>
                <w:sz w:val="20"/>
                <w:szCs w:val="20"/>
              </w:rPr>
              <w:t>usion (no limitations in the type of fusion)</w:t>
            </w:r>
          </w:p>
        </w:tc>
        <w:tc>
          <w:tcPr>
            <w:tcW w:w="2063" w:type="dxa"/>
          </w:tcPr>
          <w:p w14:paraId="3BE140D0" w14:textId="77777777" w:rsidR="00A80580" w:rsidRPr="00A93FE8" w:rsidRDefault="00A80580" w:rsidP="005C787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 condition in which a patient showed the relief of symptoms for at least 6 months after the index operation, the newly developed symptoms were compatible with the lesions in adjacent segments demonstrated in radiological images, and the patient had revision surgery for that problem.</w:t>
            </w:r>
          </w:p>
        </w:tc>
      </w:tr>
      <w:tr w:rsidR="00131BFE" w14:paraId="1E43454B" w14:textId="77777777" w:rsidTr="005C7876">
        <w:trPr>
          <w:trHeight w:val="2384"/>
        </w:trPr>
        <w:tc>
          <w:tcPr>
            <w:tcW w:w="1383" w:type="dxa"/>
          </w:tcPr>
          <w:p w14:paraId="12D97342" w14:textId="77777777" w:rsidR="00131BFE" w:rsidRPr="00C92F92" w:rsidRDefault="00131BFE" w:rsidP="005C7876">
            <w:pPr>
              <w:jc w:val="center"/>
              <w:rPr>
                <w:sz w:val="20"/>
                <w:szCs w:val="20"/>
              </w:rPr>
            </w:pPr>
            <w:proofErr w:type="spellStart"/>
            <w:r w:rsidRPr="00C92F92">
              <w:rPr>
                <w:sz w:val="20"/>
                <w:szCs w:val="20"/>
              </w:rPr>
              <w:t>Kaito</w:t>
            </w:r>
            <w:proofErr w:type="spellEnd"/>
          </w:p>
          <w:p w14:paraId="3B275CBB" w14:textId="77777777" w:rsidR="00131BFE" w:rsidRPr="00C92F92" w:rsidRDefault="00131BFE" w:rsidP="005C7876">
            <w:pPr>
              <w:jc w:val="center"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(2010)</w:t>
            </w:r>
          </w:p>
        </w:tc>
        <w:tc>
          <w:tcPr>
            <w:tcW w:w="1641" w:type="dxa"/>
            <w:shd w:val="clear" w:color="auto" w:fill="auto"/>
          </w:tcPr>
          <w:p w14:paraId="701D3CC9" w14:textId="77777777" w:rsidR="00131BFE" w:rsidRPr="00C92F92" w:rsidRDefault="00131BFE" w:rsidP="005C7876">
            <w:pPr>
              <w:jc w:val="center"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Retrospective cohort</w:t>
            </w:r>
          </w:p>
        </w:tc>
        <w:tc>
          <w:tcPr>
            <w:tcW w:w="2592" w:type="dxa"/>
            <w:shd w:val="clear" w:color="auto" w:fill="auto"/>
          </w:tcPr>
          <w:p w14:paraId="2CB1D678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N = 85</w:t>
            </w:r>
          </w:p>
          <w:p w14:paraId="3D7D7F5A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Male: 34.1%</w:t>
            </w:r>
          </w:p>
          <w:p w14:paraId="128B7DA9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Age: 64.1 (range, 36-83) years</w:t>
            </w:r>
          </w:p>
          <w:p w14:paraId="0C606755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Follow-up: 38.8 months (range, 24-84) months</w:t>
            </w:r>
          </w:p>
          <w:p w14:paraId="6968DE6D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F/U rate: 85/97 (87.6%)</w:t>
            </w:r>
          </w:p>
          <w:p w14:paraId="7729DE6D" w14:textId="77777777" w:rsidR="00131BFE" w:rsidRPr="00C92F92" w:rsidRDefault="00131BFE" w:rsidP="005C7876">
            <w:pPr>
              <w:ind w:left="162"/>
              <w:rPr>
                <w:sz w:val="20"/>
                <w:szCs w:val="20"/>
              </w:rPr>
            </w:pPr>
          </w:p>
          <w:p w14:paraId="1C46EBD8" w14:textId="722B2978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Radiographic AS</w:t>
            </w:r>
            <w:r w:rsidR="009E6F01">
              <w:rPr>
                <w:sz w:val="20"/>
                <w:szCs w:val="20"/>
              </w:rPr>
              <w:t>P</w:t>
            </w:r>
            <w:r w:rsidRPr="00C92F92">
              <w:rPr>
                <w:sz w:val="20"/>
                <w:szCs w:val="20"/>
              </w:rPr>
              <w:t>: 14/85 (16.5%)</w:t>
            </w:r>
          </w:p>
          <w:p w14:paraId="67D274D7" w14:textId="77777777" w:rsidR="00131BFE" w:rsidRPr="00C92F92" w:rsidRDefault="00131BFE" w:rsidP="005C7876">
            <w:pPr>
              <w:rPr>
                <w:sz w:val="20"/>
                <w:szCs w:val="20"/>
              </w:rPr>
            </w:pPr>
          </w:p>
          <w:p w14:paraId="0FD93EDD" w14:textId="25B1910D" w:rsidR="00131BFE" w:rsidRDefault="009E6F01" w:rsidP="005C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</w:t>
            </w:r>
            <w:r w:rsidR="00131BFE" w:rsidRPr="00C92F92">
              <w:rPr>
                <w:sz w:val="20"/>
                <w:szCs w:val="20"/>
              </w:rPr>
              <w:t xml:space="preserve"> AS</w:t>
            </w:r>
            <w:r>
              <w:rPr>
                <w:sz w:val="20"/>
                <w:szCs w:val="20"/>
              </w:rPr>
              <w:t>P</w:t>
            </w:r>
            <w:r w:rsidR="00131BFE" w:rsidRPr="00C92F92">
              <w:rPr>
                <w:sz w:val="20"/>
                <w:szCs w:val="20"/>
              </w:rPr>
              <w:t>: 13/85 (15.3%)</w:t>
            </w:r>
          </w:p>
          <w:p w14:paraId="1C4D6733" w14:textId="77777777" w:rsidR="00131BFE" w:rsidRDefault="00131BFE" w:rsidP="005C7876">
            <w:pPr>
              <w:rPr>
                <w:sz w:val="20"/>
                <w:szCs w:val="20"/>
              </w:rPr>
            </w:pPr>
          </w:p>
          <w:p w14:paraId="607CCADE" w14:textId="77777777" w:rsidR="00131BFE" w:rsidRDefault="00131BFE" w:rsidP="005C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Diagnosis:</w:t>
            </w:r>
          </w:p>
          <w:p w14:paraId="2E7FA175" w14:textId="77777777" w:rsidR="00131BFE" w:rsidRPr="00C92F92" w:rsidRDefault="00131BFE" w:rsidP="00131BFE">
            <w:pPr>
              <w:numPr>
                <w:ilvl w:val="0"/>
                <w:numId w:val="33"/>
              </w:numPr>
              <w:ind w:left="198" w:hanging="19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L4 </w:t>
            </w:r>
            <w:proofErr w:type="spellStart"/>
            <w:r>
              <w:rPr>
                <w:sz w:val="20"/>
                <w:szCs w:val="20"/>
              </w:rPr>
              <w:t>spondylolisthesis</w:t>
            </w:r>
            <w:proofErr w:type="spellEnd"/>
          </w:p>
        </w:tc>
        <w:tc>
          <w:tcPr>
            <w:tcW w:w="2844" w:type="dxa"/>
          </w:tcPr>
          <w:p w14:paraId="7161D42D" w14:textId="0448A694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To investigate the distracted disc height of the fused segment, caused by cage or bone insertion during surgery, as a novel risk factor for AS</w:t>
            </w:r>
            <w:r w:rsidR="009E6F01">
              <w:rPr>
                <w:sz w:val="20"/>
                <w:szCs w:val="20"/>
              </w:rPr>
              <w:t>P</w:t>
            </w:r>
            <w:r w:rsidRPr="00C92F92">
              <w:rPr>
                <w:sz w:val="20"/>
                <w:szCs w:val="20"/>
              </w:rPr>
              <w:t xml:space="preserve"> after posterior lumbar </w:t>
            </w:r>
            <w:proofErr w:type="spellStart"/>
            <w:r w:rsidRPr="00C92F92">
              <w:rPr>
                <w:sz w:val="20"/>
                <w:szCs w:val="20"/>
              </w:rPr>
              <w:t>interbody</w:t>
            </w:r>
            <w:proofErr w:type="spellEnd"/>
            <w:r w:rsidRPr="00C92F92">
              <w:rPr>
                <w:sz w:val="20"/>
                <w:szCs w:val="20"/>
              </w:rPr>
              <w:t xml:space="preserve"> fusion (PLIF).</w:t>
            </w:r>
          </w:p>
        </w:tc>
        <w:tc>
          <w:tcPr>
            <w:tcW w:w="2506" w:type="dxa"/>
          </w:tcPr>
          <w:p w14:paraId="5115B7E9" w14:textId="77777777" w:rsidR="00131BFE" w:rsidRPr="00C92F92" w:rsidRDefault="00131BFE" w:rsidP="005C7876">
            <w:pPr>
              <w:rPr>
                <w:sz w:val="20"/>
                <w:szCs w:val="20"/>
                <w:u w:val="single"/>
              </w:rPr>
            </w:pPr>
            <w:r w:rsidRPr="00C92F92">
              <w:rPr>
                <w:sz w:val="20"/>
                <w:szCs w:val="20"/>
                <w:u w:val="single"/>
              </w:rPr>
              <w:t>Inclusion:</w:t>
            </w:r>
          </w:p>
          <w:p w14:paraId="493D3F55" w14:textId="77777777" w:rsidR="00131BFE" w:rsidRPr="00C92F92" w:rsidRDefault="00131BFE" w:rsidP="00131BFE">
            <w:pPr>
              <w:numPr>
                <w:ilvl w:val="0"/>
                <w:numId w:val="29"/>
              </w:numPr>
              <w:ind w:left="162" w:hanging="173"/>
              <w:contextualSpacing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 xml:space="preserve">L4 </w:t>
            </w:r>
            <w:proofErr w:type="spellStart"/>
            <w:r w:rsidRPr="00C92F92">
              <w:rPr>
                <w:sz w:val="20"/>
                <w:szCs w:val="20"/>
              </w:rPr>
              <w:t>spondylolisthesis</w:t>
            </w:r>
            <w:proofErr w:type="spellEnd"/>
          </w:p>
          <w:p w14:paraId="4DB389FA" w14:textId="77777777" w:rsidR="00131BFE" w:rsidRPr="00C92F92" w:rsidRDefault="00131BFE" w:rsidP="00131BFE">
            <w:pPr>
              <w:numPr>
                <w:ilvl w:val="0"/>
                <w:numId w:val="29"/>
              </w:numPr>
              <w:ind w:left="162" w:hanging="173"/>
              <w:contextualSpacing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Complete medical records with radiographs</w:t>
            </w:r>
          </w:p>
          <w:p w14:paraId="7BC11D73" w14:textId="77777777" w:rsidR="00131BFE" w:rsidRPr="00C92F92" w:rsidRDefault="00131BFE" w:rsidP="00131BFE">
            <w:pPr>
              <w:numPr>
                <w:ilvl w:val="0"/>
                <w:numId w:val="29"/>
              </w:numPr>
              <w:ind w:left="162" w:hanging="173"/>
              <w:contextualSpacing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Minimum 2 years post-operative follow-up</w:t>
            </w:r>
          </w:p>
          <w:p w14:paraId="3A93B89E" w14:textId="77777777" w:rsidR="00131BFE" w:rsidRPr="00C92F92" w:rsidRDefault="00131BFE" w:rsidP="005C7876">
            <w:pPr>
              <w:rPr>
                <w:sz w:val="20"/>
                <w:szCs w:val="20"/>
                <w:u w:val="single"/>
              </w:rPr>
            </w:pPr>
            <w:r w:rsidRPr="00C92F92">
              <w:rPr>
                <w:sz w:val="20"/>
                <w:szCs w:val="20"/>
                <w:u w:val="single"/>
              </w:rPr>
              <w:t>Exclusion:</w:t>
            </w:r>
          </w:p>
          <w:p w14:paraId="501E5858" w14:textId="77777777" w:rsidR="00131BFE" w:rsidRPr="00C92F92" w:rsidRDefault="00131BFE" w:rsidP="00131BFE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Decompression</w:t>
            </w:r>
          </w:p>
          <w:p w14:paraId="373004BB" w14:textId="77777777" w:rsidR="00131BFE" w:rsidRPr="00C92F92" w:rsidRDefault="00131BFE" w:rsidP="00131BFE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Fusion procedures other than L4-5 PLIF</w:t>
            </w:r>
          </w:p>
        </w:tc>
        <w:tc>
          <w:tcPr>
            <w:tcW w:w="1731" w:type="dxa"/>
            <w:shd w:val="clear" w:color="auto" w:fill="auto"/>
          </w:tcPr>
          <w:p w14:paraId="48324ED4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 xml:space="preserve">L4-5 posterior lumbar </w:t>
            </w:r>
            <w:proofErr w:type="spellStart"/>
            <w:r w:rsidRPr="00C92F92">
              <w:rPr>
                <w:sz w:val="20"/>
                <w:szCs w:val="20"/>
              </w:rPr>
              <w:t>interbody</w:t>
            </w:r>
            <w:proofErr w:type="spellEnd"/>
            <w:r w:rsidRPr="00C92F92">
              <w:rPr>
                <w:sz w:val="20"/>
                <w:szCs w:val="20"/>
              </w:rPr>
              <w:t xml:space="preserve"> fusion</w:t>
            </w:r>
          </w:p>
        </w:tc>
        <w:tc>
          <w:tcPr>
            <w:tcW w:w="2063" w:type="dxa"/>
          </w:tcPr>
          <w:p w14:paraId="4D06ED23" w14:textId="207359CC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Radiographic AS</w:t>
            </w:r>
            <w:r w:rsidR="009E6F01">
              <w:rPr>
                <w:sz w:val="20"/>
                <w:szCs w:val="20"/>
              </w:rPr>
              <w:t>P</w:t>
            </w:r>
            <w:r w:rsidRPr="00C92F92">
              <w:rPr>
                <w:sz w:val="20"/>
                <w:szCs w:val="20"/>
              </w:rPr>
              <w:t>:</w:t>
            </w:r>
          </w:p>
          <w:p w14:paraId="1DC4348E" w14:textId="77777777" w:rsidR="00131BFE" w:rsidRPr="00C92F92" w:rsidRDefault="00131BFE" w:rsidP="00131BFE">
            <w:pPr>
              <w:numPr>
                <w:ilvl w:val="0"/>
                <w:numId w:val="31"/>
              </w:numPr>
              <w:ind w:left="245" w:hanging="180"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 xml:space="preserve">Development of L3 </w:t>
            </w:r>
            <w:proofErr w:type="spellStart"/>
            <w:r w:rsidRPr="00C92F92">
              <w:rPr>
                <w:sz w:val="20"/>
                <w:szCs w:val="20"/>
              </w:rPr>
              <w:t>antero</w:t>
            </w:r>
            <w:proofErr w:type="spellEnd"/>
            <w:r w:rsidRPr="00C92F92">
              <w:rPr>
                <w:sz w:val="20"/>
                <w:szCs w:val="20"/>
              </w:rPr>
              <w:t xml:space="preserve">- or </w:t>
            </w:r>
            <w:proofErr w:type="spellStart"/>
            <w:r w:rsidRPr="00C92F92">
              <w:rPr>
                <w:sz w:val="20"/>
                <w:szCs w:val="20"/>
              </w:rPr>
              <w:t>retrolisthesis</w:t>
            </w:r>
            <w:proofErr w:type="spellEnd"/>
            <w:r w:rsidRPr="00C92F92">
              <w:rPr>
                <w:sz w:val="20"/>
                <w:szCs w:val="20"/>
              </w:rPr>
              <w:t xml:space="preserve"> more than 3 mm</w:t>
            </w:r>
          </w:p>
          <w:p w14:paraId="0B20E117" w14:textId="77777777" w:rsidR="00131BFE" w:rsidRPr="00C92F92" w:rsidRDefault="00131BFE" w:rsidP="00131BFE">
            <w:pPr>
              <w:numPr>
                <w:ilvl w:val="0"/>
                <w:numId w:val="31"/>
              </w:numPr>
              <w:ind w:left="245" w:hanging="180"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Decrease in L3-4 disc height of more than 3 mm</w:t>
            </w:r>
          </w:p>
          <w:p w14:paraId="0767D6FF" w14:textId="77777777" w:rsidR="00131BFE" w:rsidRPr="00C92F92" w:rsidRDefault="00131BFE" w:rsidP="00131BFE">
            <w:pPr>
              <w:numPr>
                <w:ilvl w:val="0"/>
                <w:numId w:val="31"/>
              </w:numPr>
              <w:ind w:left="245" w:hanging="180"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Intervertebral angle at flexion smaller than -5°</w:t>
            </w:r>
          </w:p>
          <w:p w14:paraId="35AFAB7C" w14:textId="28165825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Clinical deterioration of L3-4 AS</w:t>
            </w:r>
            <w:r w:rsidR="009E6F01">
              <w:rPr>
                <w:sz w:val="20"/>
                <w:szCs w:val="20"/>
              </w:rPr>
              <w:t>P</w:t>
            </w:r>
            <w:r w:rsidRPr="00C92F92">
              <w:rPr>
                <w:sz w:val="20"/>
                <w:szCs w:val="20"/>
              </w:rPr>
              <w:t>:</w:t>
            </w:r>
          </w:p>
          <w:p w14:paraId="2F528C64" w14:textId="77777777" w:rsidR="00131BFE" w:rsidRPr="00C92F92" w:rsidRDefault="00131BFE" w:rsidP="00131BFE">
            <w:pPr>
              <w:numPr>
                <w:ilvl w:val="0"/>
                <w:numId w:val="32"/>
              </w:numPr>
              <w:ind w:left="245" w:hanging="180"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Decrease of 4 or more points on the JOA scale</w:t>
            </w:r>
          </w:p>
          <w:p w14:paraId="0CE091BA" w14:textId="77777777" w:rsidR="00131BFE" w:rsidRPr="00C92F92" w:rsidRDefault="00131BFE" w:rsidP="00131BFE">
            <w:pPr>
              <w:numPr>
                <w:ilvl w:val="0"/>
                <w:numId w:val="32"/>
              </w:numPr>
              <w:ind w:left="245" w:hanging="180"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Neurological impairment in accordance with L3-4 canal stenosis based on MRI</w:t>
            </w:r>
            <w:r w:rsidRPr="00C92F92">
              <w:rPr>
                <w:sz w:val="20"/>
                <w:szCs w:val="20"/>
              </w:rPr>
              <w:br/>
            </w:r>
          </w:p>
        </w:tc>
      </w:tr>
      <w:tr w:rsidR="00131BFE" w14:paraId="5E5C6271" w14:textId="77777777" w:rsidTr="005C7876">
        <w:trPr>
          <w:trHeight w:val="20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4FB" w14:textId="77777777" w:rsidR="00131BFE" w:rsidRPr="00C92F92" w:rsidRDefault="00131BFE" w:rsidP="005C7876">
            <w:pPr>
              <w:jc w:val="center"/>
              <w:rPr>
                <w:sz w:val="20"/>
                <w:szCs w:val="20"/>
              </w:rPr>
            </w:pPr>
            <w:proofErr w:type="spellStart"/>
            <w:r w:rsidRPr="00C92F92">
              <w:rPr>
                <w:sz w:val="20"/>
                <w:szCs w:val="20"/>
              </w:rPr>
              <w:t>Ahn</w:t>
            </w:r>
            <w:proofErr w:type="spellEnd"/>
          </w:p>
          <w:p w14:paraId="6B1FA6A4" w14:textId="77777777" w:rsidR="00131BFE" w:rsidRPr="00C92F92" w:rsidRDefault="00131BFE" w:rsidP="005C7876">
            <w:pPr>
              <w:jc w:val="center"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(2010)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CA07" w14:textId="77777777" w:rsidR="00131BFE" w:rsidRPr="00C92F92" w:rsidRDefault="00131BFE" w:rsidP="005C7876">
            <w:pPr>
              <w:jc w:val="center"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Retrospective cohort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5079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 xml:space="preserve">N = </w:t>
            </w:r>
            <w:r w:rsidRPr="00C92F92">
              <w:rPr>
                <w:sz w:val="20"/>
              </w:rPr>
              <w:t>3,188 patients (3193 cases)</w:t>
            </w:r>
          </w:p>
          <w:p w14:paraId="24CB1B4F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Male: 32.7%</w:t>
            </w:r>
          </w:p>
          <w:p w14:paraId="1EE36803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Age: 57 (range, 46-68) years</w:t>
            </w:r>
          </w:p>
          <w:p w14:paraId="151A0B6A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Follow-up: 10 years</w:t>
            </w:r>
          </w:p>
          <w:p w14:paraId="2334B08F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F/U rate: NR</w:t>
            </w:r>
          </w:p>
          <w:p w14:paraId="376629A1" w14:textId="77777777" w:rsidR="00131BFE" w:rsidRPr="00C92F92" w:rsidRDefault="00131BFE" w:rsidP="005C7876">
            <w:pPr>
              <w:rPr>
                <w:sz w:val="20"/>
                <w:szCs w:val="20"/>
              </w:rPr>
            </w:pPr>
          </w:p>
          <w:p w14:paraId="6557CA7F" w14:textId="4AFCD3B3" w:rsidR="00131BFE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AS</w:t>
            </w:r>
            <w:r w:rsidR="009E6F01">
              <w:rPr>
                <w:sz w:val="20"/>
                <w:szCs w:val="20"/>
              </w:rPr>
              <w:t>P</w:t>
            </w:r>
            <w:r w:rsidRPr="00C92F92">
              <w:rPr>
                <w:sz w:val="20"/>
                <w:szCs w:val="20"/>
              </w:rPr>
              <w:t>: 107/3188 (3.5%)</w:t>
            </w:r>
          </w:p>
          <w:p w14:paraId="74004F23" w14:textId="77777777" w:rsidR="00131BFE" w:rsidRDefault="00131BFE" w:rsidP="005C7876">
            <w:pPr>
              <w:rPr>
                <w:sz w:val="20"/>
                <w:szCs w:val="20"/>
              </w:rPr>
            </w:pPr>
          </w:p>
          <w:p w14:paraId="4AE8EC39" w14:textId="77777777" w:rsidR="00131BFE" w:rsidRDefault="00131BFE" w:rsidP="005C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Diagnosis:</w:t>
            </w:r>
          </w:p>
          <w:p w14:paraId="64BB1FF2" w14:textId="77777777" w:rsidR="00131BFE" w:rsidRDefault="00131BFE" w:rsidP="00131BFE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Spinal stenosis</w:t>
            </w:r>
          </w:p>
          <w:p w14:paraId="79C56D90" w14:textId="77777777" w:rsidR="00131BFE" w:rsidRDefault="00131BFE" w:rsidP="00131BFE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Degenerative </w:t>
            </w:r>
            <w:proofErr w:type="spellStart"/>
            <w:r>
              <w:rPr>
                <w:sz w:val="20"/>
                <w:szCs w:val="20"/>
              </w:rPr>
              <w:t>spondylolisthesis</w:t>
            </w:r>
            <w:proofErr w:type="spellEnd"/>
          </w:p>
          <w:p w14:paraId="260927AC" w14:textId="77777777" w:rsidR="00131BFE" w:rsidRDefault="00131BFE" w:rsidP="00131BFE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Spondylosis</w:t>
            </w:r>
            <w:proofErr w:type="spellEnd"/>
          </w:p>
          <w:p w14:paraId="4843BCCA" w14:textId="77777777" w:rsidR="00131BFE" w:rsidRPr="00A93FE8" w:rsidRDefault="00131BFE" w:rsidP="00131BFE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Degenerative scoliosis</w:t>
            </w:r>
          </w:p>
          <w:p w14:paraId="69AE59E9" w14:textId="77777777" w:rsidR="00131BFE" w:rsidRPr="00C92F92" w:rsidRDefault="00131BFE" w:rsidP="005C7876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940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To examine the survival function and prognostic factors of the adjacent segments based on a second operation after thoracolumbar spinal fusion.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44E3" w14:textId="77777777" w:rsidR="00131BFE" w:rsidRPr="00C92F92" w:rsidRDefault="00131BFE" w:rsidP="005C7876">
            <w:pPr>
              <w:rPr>
                <w:sz w:val="20"/>
                <w:szCs w:val="20"/>
                <w:u w:val="single"/>
              </w:rPr>
            </w:pPr>
            <w:r w:rsidRPr="00C92F92">
              <w:rPr>
                <w:sz w:val="20"/>
                <w:szCs w:val="20"/>
                <w:u w:val="single"/>
              </w:rPr>
              <w:t>Inclusion:</w:t>
            </w:r>
          </w:p>
          <w:p w14:paraId="3C787CE0" w14:textId="77777777" w:rsidR="00131BFE" w:rsidRPr="00C92F92" w:rsidRDefault="00131BFE" w:rsidP="00131BFE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Available for follow up</w:t>
            </w:r>
          </w:p>
          <w:p w14:paraId="755B70FE" w14:textId="77777777" w:rsidR="00131BFE" w:rsidRPr="00C92F92" w:rsidRDefault="00131BFE" w:rsidP="00131BFE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 xml:space="preserve">Thoracolumbar spinal fusion </w:t>
            </w:r>
          </w:p>
          <w:p w14:paraId="500AB563" w14:textId="77777777" w:rsidR="00131BFE" w:rsidRPr="00C92F92" w:rsidRDefault="00131BFE" w:rsidP="00131BFE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 w:rsidRPr="00C92F92">
              <w:rPr>
                <w:sz w:val="20"/>
              </w:rPr>
              <w:t>Symptom free period of at least 6 months was requested to exclude incomplete surgery</w:t>
            </w:r>
          </w:p>
          <w:p w14:paraId="45DD6D35" w14:textId="77777777" w:rsidR="00131BFE" w:rsidRPr="00C92F92" w:rsidRDefault="00131BFE" w:rsidP="005C7876">
            <w:pPr>
              <w:rPr>
                <w:sz w:val="20"/>
                <w:szCs w:val="20"/>
                <w:u w:val="single"/>
              </w:rPr>
            </w:pPr>
            <w:r w:rsidRPr="00C92F92">
              <w:rPr>
                <w:sz w:val="20"/>
                <w:szCs w:val="20"/>
                <w:u w:val="single"/>
              </w:rPr>
              <w:t>Exclusion:</w:t>
            </w:r>
          </w:p>
          <w:p w14:paraId="5AB366B7" w14:textId="77777777" w:rsidR="00131BFE" w:rsidRPr="00C92F92" w:rsidRDefault="00131BFE" w:rsidP="00131BFE">
            <w:pPr>
              <w:numPr>
                <w:ilvl w:val="0"/>
                <w:numId w:val="30"/>
              </w:numPr>
              <w:ind w:left="162" w:hanging="173"/>
              <w:contextualSpacing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Incomplete F/U</w:t>
            </w:r>
          </w:p>
          <w:p w14:paraId="2F7859DE" w14:textId="77777777" w:rsidR="00131BFE" w:rsidRPr="00C92F92" w:rsidRDefault="00131BFE" w:rsidP="005C7876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55E4" w14:textId="77777777" w:rsidR="00131BFE" w:rsidRPr="00C92F92" w:rsidRDefault="005C7876" w:rsidP="005C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Posterior </w:t>
            </w:r>
            <w:proofErr w:type="spellStart"/>
            <w:r>
              <w:rPr>
                <w:sz w:val="20"/>
                <w:szCs w:val="20"/>
              </w:rPr>
              <w:t>interbody</w:t>
            </w:r>
            <w:proofErr w:type="spellEnd"/>
            <w:r w:rsidR="00131BFE" w:rsidRPr="00C92F92">
              <w:rPr>
                <w:sz w:val="20"/>
                <w:szCs w:val="20"/>
              </w:rPr>
              <w:t xml:space="preserve"> fusion</w:t>
            </w:r>
            <w:r>
              <w:rPr>
                <w:sz w:val="20"/>
                <w:szCs w:val="20"/>
              </w:rPr>
              <w:t xml:space="preserve"> and other techniques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72A" w14:textId="7C4054A9" w:rsidR="00131BFE" w:rsidRPr="00C92F92" w:rsidRDefault="00131BFE" w:rsidP="005C7876">
            <w:pPr>
              <w:rPr>
                <w:sz w:val="20"/>
              </w:rPr>
            </w:pPr>
            <w:r w:rsidRPr="00C92F92">
              <w:rPr>
                <w:sz w:val="20"/>
              </w:rPr>
              <w:t>AS</w:t>
            </w:r>
            <w:r w:rsidR="009E6F01">
              <w:rPr>
                <w:sz w:val="20"/>
              </w:rPr>
              <w:t>P</w:t>
            </w:r>
            <w:r w:rsidRPr="00C92F92">
              <w:rPr>
                <w:sz w:val="20"/>
              </w:rPr>
              <w:t xml:space="preserve"> evaluated based on the radiographs and if the neurological symptoms recurred.</w:t>
            </w:r>
          </w:p>
          <w:p w14:paraId="110C2036" w14:textId="77777777" w:rsidR="00131BFE" w:rsidRPr="00C92F92" w:rsidRDefault="00131BFE" w:rsidP="005C7876">
            <w:pPr>
              <w:rPr>
                <w:sz w:val="20"/>
              </w:rPr>
            </w:pPr>
          </w:p>
          <w:p w14:paraId="193C64F4" w14:textId="77777777" w:rsidR="00131BFE" w:rsidRPr="00C92F92" w:rsidRDefault="00131BFE" w:rsidP="005C7876">
            <w:pPr>
              <w:rPr>
                <w:sz w:val="20"/>
              </w:rPr>
            </w:pPr>
            <w:r w:rsidRPr="00C92F92">
              <w:rPr>
                <w:sz w:val="20"/>
              </w:rPr>
              <w:t>Second operation of the adjacent segments.</w:t>
            </w:r>
          </w:p>
          <w:p w14:paraId="3CF993FF" w14:textId="77777777" w:rsidR="00131BFE" w:rsidRPr="00C92F92" w:rsidRDefault="00131BFE" w:rsidP="005C7876">
            <w:pPr>
              <w:rPr>
                <w:sz w:val="20"/>
              </w:rPr>
            </w:pPr>
          </w:p>
          <w:p w14:paraId="4DAF6FAF" w14:textId="6052610D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</w:rPr>
              <w:t>AS</w:t>
            </w:r>
            <w:r w:rsidR="009E6F01">
              <w:rPr>
                <w:sz w:val="20"/>
              </w:rPr>
              <w:t>P</w:t>
            </w:r>
            <w:r w:rsidRPr="00C92F92">
              <w:rPr>
                <w:sz w:val="20"/>
              </w:rPr>
              <w:t xml:space="preserve"> classification and definition not defined.</w:t>
            </w:r>
          </w:p>
        </w:tc>
      </w:tr>
      <w:tr w:rsidR="00131BFE" w14:paraId="2842593F" w14:textId="77777777" w:rsidTr="005C7876">
        <w:trPr>
          <w:trHeight w:val="20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909" w14:textId="77777777" w:rsidR="00131BFE" w:rsidRPr="00C92F92" w:rsidRDefault="00131BFE" w:rsidP="005C7876">
            <w:pPr>
              <w:jc w:val="center"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Sears</w:t>
            </w:r>
          </w:p>
          <w:p w14:paraId="4A7F4BE5" w14:textId="77777777" w:rsidR="00131BFE" w:rsidRPr="00C92F92" w:rsidRDefault="00131BFE" w:rsidP="005C7876">
            <w:pPr>
              <w:jc w:val="center"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(2011)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70ED" w14:textId="77777777" w:rsidR="00131BFE" w:rsidRPr="00C92F92" w:rsidRDefault="00131BFE" w:rsidP="005C7876">
            <w:pPr>
              <w:jc w:val="center"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Retrospective cohort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FAAE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 xml:space="preserve">N = 912 patients with 1,000 procedures </w:t>
            </w:r>
          </w:p>
          <w:p w14:paraId="1CFCC319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Male: 45.2%</w:t>
            </w:r>
          </w:p>
          <w:p w14:paraId="27D5606A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Age: 63 (range, 14-92) years</w:t>
            </w:r>
          </w:p>
          <w:p w14:paraId="3FE07D2D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Follow-up: 5 years and 3 months (range, 5 months-16 years)</w:t>
            </w:r>
          </w:p>
          <w:p w14:paraId="222F09CE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F/U rate: 390/1000 (39%) procedures</w:t>
            </w:r>
          </w:p>
          <w:p w14:paraId="0197F13E" w14:textId="77777777" w:rsidR="00131BFE" w:rsidRPr="00C92F92" w:rsidRDefault="00131BFE" w:rsidP="005C7876">
            <w:pPr>
              <w:rPr>
                <w:sz w:val="20"/>
                <w:szCs w:val="20"/>
              </w:rPr>
            </w:pPr>
          </w:p>
          <w:p w14:paraId="3D0E7CFD" w14:textId="77777777" w:rsidR="00131BFE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Surgery for ASD:130/1000 (13%) procedures</w:t>
            </w:r>
          </w:p>
          <w:p w14:paraId="6FDDC8DB" w14:textId="77777777" w:rsidR="00131BFE" w:rsidRDefault="00131BFE" w:rsidP="005C7876">
            <w:pPr>
              <w:rPr>
                <w:sz w:val="20"/>
                <w:szCs w:val="20"/>
              </w:rPr>
            </w:pPr>
          </w:p>
          <w:p w14:paraId="2A6F61C9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Diagnosis:</w:t>
            </w:r>
          </w:p>
          <w:p w14:paraId="0E0728F9" w14:textId="77777777" w:rsidR="00131BFE" w:rsidRDefault="00131BFE" w:rsidP="00131BFE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Foraminal</w:t>
            </w:r>
            <w:proofErr w:type="spellEnd"/>
            <w:r>
              <w:rPr>
                <w:sz w:val="20"/>
                <w:szCs w:val="20"/>
              </w:rPr>
              <w:t xml:space="preserve"> stenosis</w:t>
            </w:r>
          </w:p>
          <w:p w14:paraId="43BBA0D6" w14:textId="77777777" w:rsidR="00131BFE" w:rsidRDefault="00131BFE" w:rsidP="00131BFE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 herniation</w:t>
            </w:r>
          </w:p>
          <w:p w14:paraId="10161D6B" w14:textId="77777777" w:rsidR="00131BFE" w:rsidRDefault="00131BFE" w:rsidP="00131BFE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Instability</w:t>
            </w:r>
          </w:p>
          <w:p w14:paraId="3B734606" w14:textId="77777777" w:rsidR="00131BFE" w:rsidRDefault="00131BFE" w:rsidP="00131BFE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Degenerative </w:t>
            </w:r>
            <w:proofErr w:type="spellStart"/>
            <w:r>
              <w:rPr>
                <w:sz w:val="20"/>
                <w:szCs w:val="20"/>
              </w:rPr>
              <w:t>spondylolisthesis</w:t>
            </w:r>
            <w:proofErr w:type="spellEnd"/>
          </w:p>
          <w:p w14:paraId="505217D7" w14:textId="77777777" w:rsidR="00131BFE" w:rsidRDefault="00131BFE" w:rsidP="00131BFE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Scoliosis</w:t>
            </w:r>
          </w:p>
          <w:p w14:paraId="78696DC4" w14:textId="77777777" w:rsidR="00131BFE" w:rsidRPr="00A93FE8" w:rsidRDefault="00131BFE" w:rsidP="00131BFE">
            <w:pPr>
              <w:numPr>
                <w:ilvl w:val="0"/>
                <w:numId w:val="29"/>
              </w:numPr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Kyphosis</w:t>
            </w:r>
          </w:p>
          <w:p w14:paraId="7FA4F029" w14:textId="77777777" w:rsidR="00131BFE" w:rsidRPr="00C92F92" w:rsidRDefault="00131BFE" w:rsidP="005C7876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DC0" w14:textId="5362268F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 xml:space="preserve">To determine the annual incidence and prevalence of further surgery for adjacent segment </w:t>
            </w:r>
            <w:r w:rsidR="009E6F01">
              <w:rPr>
                <w:sz w:val="20"/>
                <w:szCs w:val="20"/>
              </w:rPr>
              <w:t>pathology</w:t>
            </w:r>
            <w:r w:rsidRPr="00C92F92">
              <w:rPr>
                <w:sz w:val="20"/>
                <w:szCs w:val="20"/>
              </w:rPr>
              <w:t xml:space="preserve"> after posterior lumbar arthrodesis and examine possible risk factors.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E80" w14:textId="77777777" w:rsidR="00131BFE" w:rsidRPr="00C92F92" w:rsidRDefault="00131BFE" w:rsidP="005C7876">
            <w:pPr>
              <w:rPr>
                <w:sz w:val="20"/>
                <w:szCs w:val="20"/>
                <w:u w:val="single"/>
              </w:rPr>
            </w:pPr>
            <w:r w:rsidRPr="00C92F92">
              <w:rPr>
                <w:sz w:val="20"/>
                <w:szCs w:val="20"/>
                <w:u w:val="single"/>
              </w:rPr>
              <w:t>Inclusion:</w:t>
            </w:r>
          </w:p>
          <w:p w14:paraId="57AE292A" w14:textId="77777777" w:rsidR="00131BFE" w:rsidRPr="00C92F92" w:rsidRDefault="00131BFE" w:rsidP="00131BFE">
            <w:pPr>
              <w:numPr>
                <w:ilvl w:val="0"/>
                <w:numId w:val="29"/>
              </w:numPr>
              <w:ind w:left="162" w:hanging="173"/>
              <w:contextualSpacing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Failed conservative management of severe low back pain</w:t>
            </w:r>
          </w:p>
          <w:p w14:paraId="4F6E02FA" w14:textId="77777777" w:rsidR="00131BFE" w:rsidRPr="00C92F92" w:rsidRDefault="00131BFE" w:rsidP="00131BFE">
            <w:pPr>
              <w:numPr>
                <w:ilvl w:val="0"/>
                <w:numId w:val="29"/>
              </w:numPr>
              <w:ind w:left="162" w:hanging="173"/>
              <w:contextualSpacing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Radiculopathy associated with lumbar degenerative pathology</w:t>
            </w:r>
          </w:p>
          <w:p w14:paraId="4A751F0A" w14:textId="77777777" w:rsidR="00131BFE" w:rsidRPr="00C92F92" w:rsidRDefault="00131BFE" w:rsidP="005C7876">
            <w:pPr>
              <w:rPr>
                <w:sz w:val="20"/>
                <w:szCs w:val="20"/>
                <w:u w:val="single"/>
              </w:rPr>
            </w:pPr>
            <w:r w:rsidRPr="00C92F92">
              <w:rPr>
                <w:sz w:val="20"/>
                <w:szCs w:val="20"/>
                <w:u w:val="single"/>
              </w:rPr>
              <w:t>Exclusion:</w:t>
            </w:r>
          </w:p>
          <w:p w14:paraId="0A34A3E5" w14:textId="77777777" w:rsidR="00131BFE" w:rsidRPr="00C92F92" w:rsidRDefault="00131BFE" w:rsidP="00131BFE">
            <w:pPr>
              <w:numPr>
                <w:ilvl w:val="0"/>
                <w:numId w:val="29"/>
              </w:numPr>
              <w:ind w:left="162" w:hanging="173"/>
              <w:contextualSpacing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Acute fracture</w:t>
            </w:r>
          </w:p>
          <w:p w14:paraId="208032D4" w14:textId="77777777" w:rsidR="00131BFE" w:rsidRPr="00C92F92" w:rsidRDefault="00131BFE" w:rsidP="00131BFE">
            <w:pPr>
              <w:numPr>
                <w:ilvl w:val="0"/>
                <w:numId w:val="29"/>
              </w:numPr>
              <w:ind w:left="162" w:hanging="173"/>
              <w:contextualSpacing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Dislocation</w:t>
            </w:r>
          </w:p>
          <w:p w14:paraId="712AB00D" w14:textId="77777777" w:rsidR="00131BFE" w:rsidRPr="00C92F92" w:rsidRDefault="00131BFE" w:rsidP="00131BFE">
            <w:pPr>
              <w:numPr>
                <w:ilvl w:val="0"/>
                <w:numId w:val="29"/>
              </w:numPr>
              <w:ind w:left="162" w:hanging="173"/>
              <w:contextualSpacing/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 xml:space="preserve">Malignancy </w:t>
            </w:r>
          </w:p>
          <w:p w14:paraId="0DB0D60A" w14:textId="77777777" w:rsidR="00131BFE" w:rsidRPr="00C92F92" w:rsidRDefault="00131BFE" w:rsidP="005C7876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0616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 xml:space="preserve">Decompression and posterior lumbar </w:t>
            </w:r>
            <w:proofErr w:type="spellStart"/>
            <w:r w:rsidRPr="00C92F92">
              <w:rPr>
                <w:sz w:val="20"/>
                <w:szCs w:val="20"/>
              </w:rPr>
              <w:t>interbody</w:t>
            </w:r>
            <w:proofErr w:type="spellEnd"/>
            <w:r w:rsidRPr="00C92F92">
              <w:rPr>
                <w:sz w:val="20"/>
                <w:szCs w:val="20"/>
              </w:rPr>
              <w:t xml:space="preserve"> fusion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6CA3" w14:textId="77777777" w:rsidR="00131BFE" w:rsidRPr="00C92F92" w:rsidRDefault="00131BFE" w:rsidP="005C7876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 xml:space="preserve">Adjacent segment disease defined as progressive degeneration of disease to adjacent levels following fusion. </w:t>
            </w:r>
          </w:p>
        </w:tc>
      </w:tr>
      <w:tr w:rsidR="00131BFE" w14:paraId="7C9D352E" w14:textId="77777777" w:rsidTr="005C7876">
        <w:trPr>
          <w:trHeight w:val="20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89ED" w14:textId="77777777" w:rsidR="00131BFE" w:rsidRDefault="00131BFE" w:rsidP="005C78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Ghiselli</w:t>
            </w:r>
            <w:proofErr w:type="spellEnd"/>
          </w:p>
          <w:p w14:paraId="3CC5F9E0" w14:textId="77777777" w:rsidR="00131BFE" w:rsidRPr="00A93FE8" w:rsidRDefault="00131BFE" w:rsidP="005C7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(2004)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E9BC" w14:textId="77777777" w:rsidR="00131BFE" w:rsidRPr="00A93FE8" w:rsidRDefault="00131BFE" w:rsidP="005C7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Retrospective cohort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7F3B" w14:textId="77777777" w:rsidR="00131BFE" w:rsidRPr="00A93FE8" w:rsidRDefault="00131BFE" w:rsidP="005C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215</w:t>
            </w:r>
          </w:p>
          <w:p w14:paraId="4DCBBB2C" w14:textId="77777777" w:rsidR="00131BFE" w:rsidRPr="00A93FE8" w:rsidRDefault="00131BFE" w:rsidP="005C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Male: 41.4%</w:t>
            </w:r>
          </w:p>
          <w:p w14:paraId="1BD85E6E" w14:textId="77777777" w:rsidR="00131BFE" w:rsidRPr="00A93FE8" w:rsidRDefault="00131BFE" w:rsidP="005C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 50 (range, 13-85</w:t>
            </w:r>
            <w:r w:rsidRPr="00A93FE8">
              <w:rPr>
                <w:sz w:val="20"/>
                <w:szCs w:val="20"/>
              </w:rPr>
              <w:t>) years</w:t>
            </w:r>
          </w:p>
          <w:p w14:paraId="56AB5476" w14:textId="77777777" w:rsidR="00131BFE" w:rsidRPr="00A93FE8" w:rsidRDefault="00131BFE" w:rsidP="005C7876">
            <w:pPr>
              <w:rPr>
                <w:sz w:val="20"/>
                <w:szCs w:val="20"/>
              </w:rPr>
            </w:pPr>
            <w:r w:rsidRPr="00A93FE8">
              <w:rPr>
                <w:sz w:val="20"/>
                <w:szCs w:val="20"/>
              </w:rPr>
              <w:t>Follow-up</w:t>
            </w:r>
            <w:r>
              <w:rPr>
                <w:sz w:val="20"/>
                <w:szCs w:val="20"/>
              </w:rPr>
              <w:t>:</w:t>
            </w:r>
            <w:r w:rsidRPr="00A93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6.7 (range, 1-41</w:t>
            </w:r>
            <w:r w:rsidRPr="00A93FE8">
              <w:rPr>
                <w:sz w:val="20"/>
                <w:szCs w:val="20"/>
              </w:rPr>
              <w:t>) years</w:t>
            </w:r>
          </w:p>
          <w:p w14:paraId="05D41D0B" w14:textId="77777777" w:rsidR="00131BFE" w:rsidRDefault="00131BFE" w:rsidP="005C7876">
            <w:pPr>
              <w:rPr>
                <w:sz w:val="20"/>
                <w:szCs w:val="20"/>
              </w:rPr>
            </w:pPr>
            <w:r w:rsidRPr="00716A2A">
              <w:rPr>
                <w:sz w:val="20"/>
                <w:szCs w:val="20"/>
              </w:rPr>
              <w:t xml:space="preserve">F/U rate: </w:t>
            </w:r>
            <w:r>
              <w:rPr>
                <w:sz w:val="20"/>
                <w:szCs w:val="20"/>
              </w:rPr>
              <w:t>NR</w:t>
            </w:r>
          </w:p>
          <w:p w14:paraId="356AF13C" w14:textId="77777777" w:rsidR="00131BFE" w:rsidRDefault="00131BFE" w:rsidP="005C7876">
            <w:pPr>
              <w:rPr>
                <w:sz w:val="20"/>
                <w:szCs w:val="20"/>
              </w:rPr>
            </w:pPr>
          </w:p>
          <w:p w14:paraId="62B55426" w14:textId="77777777" w:rsidR="00131BFE" w:rsidRDefault="00131BFE" w:rsidP="005C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Surgery for ASD: 59/215 (27.4%) </w:t>
            </w:r>
          </w:p>
          <w:p w14:paraId="616A2F56" w14:textId="77777777" w:rsidR="00131BFE" w:rsidRDefault="00131BFE" w:rsidP="005C7876">
            <w:pPr>
              <w:rPr>
                <w:sz w:val="20"/>
                <w:szCs w:val="20"/>
              </w:rPr>
            </w:pPr>
          </w:p>
          <w:p w14:paraId="41A6E7E9" w14:textId="77777777" w:rsidR="00131BFE" w:rsidRDefault="00131BFE" w:rsidP="005C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Diagnosis:</w:t>
            </w:r>
          </w:p>
          <w:p w14:paraId="3B1B9E2D" w14:textId="77777777" w:rsidR="00131BFE" w:rsidRDefault="00131BFE" w:rsidP="00131BFE">
            <w:pPr>
              <w:numPr>
                <w:ilvl w:val="0"/>
                <w:numId w:val="34"/>
              </w:numPr>
              <w:ind w:left="198" w:hanging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Spondylolisthesis</w:t>
            </w:r>
            <w:proofErr w:type="spellEnd"/>
          </w:p>
          <w:p w14:paraId="2D8FF798" w14:textId="77777777" w:rsidR="00131BFE" w:rsidRDefault="00131BFE" w:rsidP="00131BFE">
            <w:pPr>
              <w:numPr>
                <w:ilvl w:val="0"/>
                <w:numId w:val="34"/>
              </w:numPr>
              <w:ind w:left="19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Spinal stenosis</w:t>
            </w:r>
          </w:p>
          <w:p w14:paraId="071A547E" w14:textId="77777777" w:rsidR="00131BFE" w:rsidRDefault="00131BFE" w:rsidP="00131BFE">
            <w:pPr>
              <w:numPr>
                <w:ilvl w:val="0"/>
                <w:numId w:val="34"/>
              </w:numPr>
              <w:ind w:left="19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Scoliosis</w:t>
            </w:r>
          </w:p>
          <w:p w14:paraId="18282A30" w14:textId="77777777" w:rsidR="00131BFE" w:rsidRDefault="00131BFE" w:rsidP="00131BFE">
            <w:pPr>
              <w:numPr>
                <w:ilvl w:val="0"/>
                <w:numId w:val="34"/>
              </w:numPr>
              <w:ind w:left="19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Instability</w:t>
            </w:r>
          </w:p>
          <w:p w14:paraId="57E720B1" w14:textId="77777777" w:rsidR="00131BFE" w:rsidRDefault="00131BFE" w:rsidP="00131BFE">
            <w:pPr>
              <w:numPr>
                <w:ilvl w:val="0"/>
                <w:numId w:val="34"/>
              </w:numPr>
              <w:ind w:left="19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 herniation</w:t>
            </w:r>
          </w:p>
          <w:p w14:paraId="58DE1B6A" w14:textId="77777777" w:rsidR="00131BFE" w:rsidRDefault="00131BFE" w:rsidP="00131BFE">
            <w:pPr>
              <w:numPr>
                <w:ilvl w:val="0"/>
                <w:numId w:val="34"/>
              </w:numPr>
              <w:ind w:left="198" w:hanging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Nonradicular</w:t>
            </w:r>
            <w:proofErr w:type="spellEnd"/>
            <w:r>
              <w:rPr>
                <w:sz w:val="20"/>
                <w:szCs w:val="20"/>
              </w:rPr>
              <w:t xml:space="preserve"> back pain</w:t>
            </w:r>
          </w:p>
          <w:p w14:paraId="5BCE87AD" w14:textId="77777777" w:rsidR="00131BFE" w:rsidRPr="00A93FE8" w:rsidRDefault="00131BFE" w:rsidP="005C7876">
            <w:pPr>
              <w:ind w:left="198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CD58" w14:textId="77777777" w:rsidR="00131BFE" w:rsidRPr="00A93FE8" w:rsidRDefault="00131BFE" w:rsidP="005C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determine the rates of degeneration and survival of the motion segments adjacent to the site of a posterior lumbar fusion.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661D" w14:textId="77777777" w:rsidR="00131BFE" w:rsidRPr="002B736E" w:rsidRDefault="00131BFE" w:rsidP="005C7876">
            <w:pPr>
              <w:rPr>
                <w:sz w:val="20"/>
                <w:szCs w:val="20"/>
                <w:u w:val="single"/>
              </w:rPr>
            </w:pPr>
            <w:r w:rsidRPr="002B736E">
              <w:rPr>
                <w:sz w:val="20"/>
                <w:szCs w:val="20"/>
                <w:u w:val="single"/>
              </w:rPr>
              <w:t>Inclusion:</w:t>
            </w:r>
          </w:p>
          <w:p w14:paraId="62D32267" w14:textId="77777777" w:rsidR="00131BFE" w:rsidRPr="002B736E" w:rsidRDefault="00131BFE" w:rsidP="00131BFE">
            <w:pPr>
              <w:numPr>
                <w:ilvl w:val="0"/>
                <w:numId w:val="29"/>
              </w:numPr>
              <w:ind w:left="162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Radiographic evidence of a healed lumbar fusion after the index arthrodesis.</w:t>
            </w:r>
          </w:p>
          <w:p w14:paraId="58DBA847" w14:textId="77777777" w:rsidR="00131BFE" w:rsidRDefault="00131BFE" w:rsidP="005C7876">
            <w:pPr>
              <w:rPr>
                <w:sz w:val="20"/>
                <w:szCs w:val="20"/>
                <w:u w:val="single"/>
              </w:rPr>
            </w:pPr>
            <w:r w:rsidRPr="002B736E">
              <w:rPr>
                <w:sz w:val="20"/>
                <w:szCs w:val="20"/>
                <w:u w:val="single"/>
              </w:rPr>
              <w:t>Exclusion:</w:t>
            </w:r>
          </w:p>
          <w:p w14:paraId="7DD38F72" w14:textId="77777777" w:rsidR="00131BFE" w:rsidRPr="00A80580" w:rsidRDefault="00131BFE" w:rsidP="00A80580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sz w:val="20"/>
                <w:szCs w:val="20"/>
              </w:rPr>
            </w:pPr>
            <w:r w:rsidRPr="00A80580">
              <w:rPr>
                <w:sz w:val="20"/>
                <w:szCs w:val="20"/>
              </w:rPr>
              <w:t>Unavailable preoperative radiographs.</w:t>
            </w:r>
          </w:p>
          <w:p w14:paraId="3832F895" w14:textId="77777777" w:rsidR="00131BFE" w:rsidRPr="00A93FE8" w:rsidRDefault="00131BFE" w:rsidP="005C787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42D3" w14:textId="77777777" w:rsidR="00131BFE" w:rsidRPr="00A93FE8" w:rsidRDefault="007F7030" w:rsidP="007F7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Posterior lumbar fusion</w:t>
            </w:r>
            <w:r w:rsidR="00131BFE">
              <w:rPr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232" w14:textId="776E18EF" w:rsidR="00131BFE" w:rsidRDefault="00131BFE" w:rsidP="005C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diagnosis of adjacent segment </w:t>
            </w:r>
            <w:r w:rsidR="009E6F01">
              <w:rPr>
                <w:sz w:val="20"/>
                <w:szCs w:val="20"/>
              </w:rPr>
              <w:t>pathology</w:t>
            </w:r>
            <w:r>
              <w:rPr>
                <w:sz w:val="20"/>
                <w:szCs w:val="20"/>
              </w:rPr>
              <w:t xml:space="preserve"> was based on the presence of instability, radiculopathy, or spinal stenosis that was symptomatic enough for the patient to elect revision surgery.</w:t>
            </w:r>
          </w:p>
        </w:tc>
      </w:tr>
    </w:tbl>
    <w:p w14:paraId="23833460" w14:textId="5EF290B0" w:rsidR="00C57861" w:rsidRDefault="00C57861" w:rsidP="00C57861">
      <w:r>
        <w:br w:type="page"/>
      </w:r>
      <w:proofErr w:type="gramStart"/>
      <w:r w:rsidR="00803720">
        <w:t>Table 2.</w:t>
      </w:r>
      <w:proofErr w:type="gramEnd"/>
      <w:r w:rsidR="00803720">
        <w:t xml:space="preserve"> </w:t>
      </w:r>
      <w:r w:rsidR="00BE2C9C">
        <w:rPr>
          <w:b/>
        </w:rPr>
        <w:t xml:space="preserve"> </w:t>
      </w:r>
      <w:proofErr w:type="gramStart"/>
      <w:r w:rsidR="00BE2C9C">
        <w:rPr>
          <w:b/>
        </w:rPr>
        <w:t xml:space="preserve">Risks and </w:t>
      </w:r>
      <w:r>
        <w:rPr>
          <w:b/>
        </w:rPr>
        <w:t>relative risks or odds ratios f</w:t>
      </w:r>
      <w:r w:rsidR="009E6F01">
        <w:rPr>
          <w:b/>
        </w:rPr>
        <w:t>or clinical</w:t>
      </w:r>
      <w:r>
        <w:rPr>
          <w:b/>
        </w:rPr>
        <w:t xml:space="preserve"> adjacent segment </w:t>
      </w:r>
      <w:r w:rsidR="009E6F01">
        <w:rPr>
          <w:b/>
        </w:rPr>
        <w:t>pathology</w:t>
      </w:r>
      <w:r>
        <w:rPr>
          <w:b/>
        </w:rPr>
        <w:t xml:space="preserve"> by risk factor</w:t>
      </w:r>
      <w:r w:rsidRPr="002864E7">
        <w:rPr>
          <w:b/>
        </w:rPr>
        <w:t>.</w:t>
      </w:r>
      <w:proofErr w:type="gramEnd"/>
    </w:p>
    <w:p w14:paraId="7B7D1147" w14:textId="77777777" w:rsidR="00C57861" w:rsidRDefault="00C57861" w:rsidP="00C57861"/>
    <w:tbl>
      <w:tblPr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50"/>
        <w:gridCol w:w="1350"/>
        <w:gridCol w:w="2970"/>
        <w:gridCol w:w="900"/>
        <w:gridCol w:w="1710"/>
        <w:gridCol w:w="1710"/>
        <w:gridCol w:w="3420"/>
      </w:tblGrid>
      <w:tr w:rsidR="00C57861" w:rsidRPr="00210F5E" w14:paraId="5C2F2F42" w14:textId="77777777" w:rsidTr="00C57861">
        <w:trPr>
          <w:trHeight w:val="228"/>
        </w:trPr>
        <w:tc>
          <w:tcPr>
            <w:tcW w:w="1080" w:type="dxa"/>
            <w:vMerge w:val="restart"/>
            <w:vAlign w:val="center"/>
          </w:tcPr>
          <w:p w14:paraId="080CB8CC" w14:textId="77777777" w:rsidR="00C57861" w:rsidRPr="00210F5E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10F5E">
              <w:rPr>
                <w:sz w:val="20"/>
                <w:szCs w:val="20"/>
              </w:rPr>
              <w:t>Author</w:t>
            </w:r>
          </w:p>
          <w:p w14:paraId="6B1A2214" w14:textId="77777777" w:rsidR="00C57861" w:rsidRPr="00210F5E" w:rsidRDefault="00C57861" w:rsidP="00C57861">
            <w:pPr>
              <w:jc w:val="center"/>
              <w:rPr>
                <w:sz w:val="20"/>
                <w:szCs w:val="20"/>
              </w:rPr>
            </w:pPr>
            <w:r w:rsidRPr="00210F5E">
              <w:rPr>
                <w:sz w:val="20"/>
                <w:szCs w:val="20"/>
              </w:rPr>
              <w:t>(Year)</w:t>
            </w:r>
          </w:p>
        </w:tc>
        <w:tc>
          <w:tcPr>
            <w:tcW w:w="2700" w:type="dxa"/>
            <w:gridSpan w:val="2"/>
            <w:vAlign w:val="center"/>
          </w:tcPr>
          <w:p w14:paraId="649A4D67" w14:textId="77777777" w:rsidR="00C57861" w:rsidRPr="00210F5E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</w:t>
            </w:r>
          </w:p>
        </w:tc>
        <w:tc>
          <w:tcPr>
            <w:tcW w:w="2970" w:type="dxa"/>
            <w:vMerge w:val="restart"/>
            <w:vAlign w:val="center"/>
          </w:tcPr>
          <w:p w14:paraId="0E985717" w14:textId="77777777" w:rsidR="00C57861" w:rsidRPr="00210F5E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factors evaluated</w:t>
            </w:r>
          </w:p>
        </w:tc>
        <w:tc>
          <w:tcPr>
            <w:tcW w:w="4320" w:type="dxa"/>
            <w:gridSpan w:val="3"/>
            <w:vAlign w:val="center"/>
          </w:tcPr>
          <w:p w14:paraId="0551CBB3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Multivariate effect estimates</w:t>
            </w:r>
          </w:p>
        </w:tc>
        <w:tc>
          <w:tcPr>
            <w:tcW w:w="3420" w:type="dxa"/>
            <w:vMerge w:val="restart"/>
            <w:vAlign w:val="center"/>
          </w:tcPr>
          <w:p w14:paraId="2E004A4D" w14:textId="77777777" w:rsidR="00C57861" w:rsidRPr="00210F5E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Author’s Conclusions</w:t>
            </w:r>
          </w:p>
        </w:tc>
      </w:tr>
      <w:tr w:rsidR="00C57861" w:rsidRPr="00210F5E" w14:paraId="45278024" w14:textId="77777777" w:rsidTr="00C57861">
        <w:trPr>
          <w:trHeight w:val="228"/>
        </w:trPr>
        <w:tc>
          <w:tcPr>
            <w:tcW w:w="1080" w:type="dxa"/>
            <w:vMerge/>
            <w:vAlign w:val="center"/>
          </w:tcPr>
          <w:p w14:paraId="1934D52A" w14:textId="77777777" w:rsidR="00C57861" w:rsidRPr="00210F5E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AE26C19" w14:textId="7F0C7446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Radiographic AS</w:t>
            </w:r>
            <w:r w:rsidR="009E6F01">
              <w:rPr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center"/>
          </w:tcPr>
          <w:p w14:paraId="7B59CBA0" w14:textId="75209BF8" w:rsidR="00C57861" w:rsidRDefault="009E6F01" w:rsidP="00BE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</w:t>
            </w:r>
            <w:r w:rsidR="00C57861">
              <w:rPr>
                <w:sz w:val="20"/>
                <w:szCs w:val="20"/>
              </w:rPr>
              <w:t xml:space="preserve"> AS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2970" w:type="dxa"/>
            <w:vMerge/>
            <w:vAlign w:val="center"/>
          </w:tcPr>
          <w:p w14:paraId="3EE5C371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87ABBB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value</w:t>
            </w:r>
          </w:p>
        </w:tc>
        <w:tc>
          <w:tcPr>
            <w:tcW w:w="1710" w:type="dxa"/>
            <w:vAlign w:val="center"/>
          </w:tcPr>
          <w:p w14:paraId="62D3EB11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Odds ratio or relative risk</w:t>
            </w:r>
          </w:p>
        </w:tc>
        <w:tc>
          <w:tcPr>
            <w:tcW w:w="1710" w:type="dxa"/>
            <w:vAlign w:val="center"/>
          </w:tcPr>
          <w:p w14:paraId="76EDC59C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Confidence interval</w:t>
            </w:r>
          </w:p>
        </w:tc>
        <w:tc>
          <w:tcPr>
            <w:tcW w:w="3420" w:type="dxa"/>
            <w:vMerge/>
            <w:vAlign w:val="center"/>
          </w:tcPr>
          <w:p w14:paraId="1AC2FB18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</w:tr>
      <w:tr w:rsidR="00C57861" w:rsidRPr="004A4343" w14:paraId="178E27BD" w14:textId="77777777" w:rsidTr="00C57861">
        <w:trPr>
          <w:trHeight w:val="122"/>
        </w:trPr>
        <w:tc>
          <w:tcPr>
            <w:tcW w:w="1080" w:type="dxa"/>
            <w:vMerge w:val="restart"/>
          </w:tcPr>
          <w:p w14:paraId="176BB64E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Kaito</w:t>
            </w:r>
            <w:proofErr w:type="spellEnd"/>
          </w:p>
          <w:p w14:paraId="1A3D7DEB" w14:textId="77777777" w:rsidR="00C57861" w:rsidRPr="00210F5E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(2010)</w:t>
            </w:r>
          </w:p>
        </w:tc>
        <w:tc>
          <w:tcPr>
            <w:tcW w:w="1350" w:type="dxa"/>
            <w:vMerge w:val="restart"/>
          </w:tcPr>
          <w:p w14:paraId="441460F6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14/85 (16.5%)</w:t>
            </w:r>
          </w:p>
        </w:tc>
        <w:tc>
          <w:tcPr>
            <w:tcW w:w="1350" w:type="dxa"/>
            <w:vMerge w:val="restart"/>
          </w:tcPr>
          <w:p w14:paraId="5CD886DF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13/85 (15.3%)</w:t>
            </w:r>
          </w:p>
          <w:p w14:paraId="79BAFA1E" w14:textId="77777777" w:rsidR="00C57861" w:rsidRDefault="00C57861" w:rsidP="00C57861">
            <w:pPr>
              <w:rPr>
                <w:sz w:val="20"/>
                <w:szCs w:val="20"/>
              </w:rPr>
            </w:pPr>
          </w:p>
          <w:p w14:paraId="151A3A53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 (84.6%) of these patients had additional surgery</w:t>
            </w:r>
          </w:p>
        </w:tc>
        <w:tc>
          <w:tcPr>
            <w:tcW w:w="2970" w:type="dxa"/>
          </w:tcPr>
          <w:p w14:paraId="2A3C4B82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L-3 intervertebral angle (flex)</w:t>
            </w:r>
          </w:p>
        </w:tc>
        <w:tc>
          <w:tcPr>
            <w:tcW w:w="900" w:type="dxa"/>
            <w:vAlign w:val="center"/>
          </w:tcPr>
          <w:p w14:paraId="66298D65" w14:textId="77777777" w:rsidR="00C57861" w:rsidRDefault="00C57861" w:rsidP="00C57861">
            <w:pPr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1710" w:type="dxa"/>
            <w:vAlign w:val="center"/>
          </w:tcPr>
          <w:p w14:paraId="63224D5B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0.82</w:t>
            </w:r>
          </w:p>
        </w:tc>
        <w:tc>
          <w:tcPr>
            <w:tcW w:w="1710" w:type="dxa"/>
            <w:vAlign w:val="center"/>
          </w:tcPr>
          <w:p w14:paraId="35FE8AF4" w14:textId="77777777" w:rsidR="00C57861" w:rsidRDefault="00C57861" w:rsidP="00C57861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0.61-1.10</w:t>
            </w:r>
          </w:p>
        </w:tc>
        <w:tc>
          <w:tcPr>
            <w:tcW w:w="3420" w:type="dxa"/>
            <w:vMerge w:val="restart"/>
          </w:tcPr>
          <w:p w14:paraId="012585E4" w14:textId="73329D93" w:rsidR="00C57861" w:rsidRPr="00AB40F5" w:rsidRDefault="00C57861" w:rsidP="00C57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1"/>
              </w:rPr>
            </w:pPr>
            <w:r w:rsidRPr="00AB40F5">
              <w:rPr>
                <w:rFonts w:eastAsia="Calibri"/>
                <w:sz w:val="20"/>
                <w:szCs w:val="21"/>
              </w:rPr>
              <w:t>The dis</w:t>
            </w:r>
            <w:r w:rsidR="00BE2C9C">
              <w:rPr>
                <w:rFonts w:eastAsia="Calibri"/>
                <w:sz w:val="20"/>
                <w:szCs w:val="21"/>
              </w:rPr>
              <w:t>tracted distance between the ASP</w:t>
            </w:r>
            <w:r w:rsidRPr="00AB40F5">
              <w:rPr>
                <w:rFonts w:eastAsia="Calibri"/>
                <w:sz w:val="20"/>
                <w:szCs w:val="21"/>
              </w:rPr>
              <w:t xml:space="preserve"> groups and the control group was </w:t>
            </w:r>
            <w:r w:rsidRPr="00AB40F5">
              <w:rPr>
                <w:rFonts w:ascii="í‘àˇø¨∏b$" w:eastAsia="Calibri" w:hAnsi="í‘àˇø¨∏b$" w:cs="í‘àˇø¨∏b$"/>
                <w:sz w:val="20"/>
                <w:szCs w:val="21"/>
              </w:rPr>
              <w:t>significant (p = 0.04)</w:t>
            </w:r>
            <w:r w:rsidRPr="00AB40F5">
              <w:rPr>
                <w:rFonts w:eastAsia="Calibri"/>
                <w:sz w:val="20"/>
                <w:szCs w:val="21"/>
              </w:rPr>
              <w:t xml:space="preserve">. The excessive distraction of disc space is suggested as a novel risk factor for the development of the </w:t>
            </w:r>
            <w:r w:rsidR="00BE2C9C">
              <w:rPr>
                <w:rFonts w:eastAsia="Calibri"/>
                <w:sz w:val="20"/>
                <w:szCs w:val="21"/>
              </w:rPr>
              <w:t>radiographic and symptomatic ASP</w:t>
            </w:r>
            <w:r w:rsidRPr="00AB40F5">
              <w:rPr>
                <w:rFonts w:eastAsia="Calibri"/>
                <w:sz w:val="20"/>
                <w:szCs w:val="21"/>
              </w:rPr>
              <w:t>.</w:t>
            </w:r>
          </w:p>
        </w:tc>
      </w:tr>
      <w:tr w:rsidR="00C57861" w:rsidRPr="004A4343" w14:paraId="46C75B9D" w14:textId="77777777" w:rsidTr="00C57861">
        <w:trPr>
          <w:trHeight w:val="113"/>
        </w:trPr>
        <w:tc>
          <w:tcPr>
            <w:tcW w:w="1080" w:type="dxa"/>
            <w:vMerge/>
          </w:tcPr>
          <w:p w14:paraId="43974212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1CCE8BAA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AD0AFD5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2F64542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L-3-4 disc height</w:t>
            </w:r>
          </w:p>
        </w:tc>
        <w:tc>
          <w:tcPr>
            <w:tcW w:w="900" w:type="dxa"/>
            <w:vAlign w:val="center"/>
          </w:tcPr>
          <w:p w14:paraId="6CCBEEBC" w14:textId="77777777" w:rsidR="00C57861" w:rsidRDefault="00C57861" w:rsidP="00C57861">
            <w:pPr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  <w:tc>
          <w:tcPr>
            <w:tcW w:w="1710" w:type="dxa"/>
            <w:vAlign w:val="center"/>
          </w:tcPr>
          <w:p w14:paraId="66928294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1.77</w:t>
            </w:r>
          </w:p>
        </w:tc>
        <w:tc>
          <w:tcPr>
            <w:tcW w:w="1710" w:type="dxa"/>
            <w:vAlign w:val="center"/>
          </w:tcPr>
          <w:p w14:paraId="1DA85158" w14:textId="77777777" w:rsidR="00C57861" w:rsidRDefault="00C57861" w:rsidP="00C57861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0.05-65.52</w:t>
            </w:r>
          </w:p>
        </w:tc>
        <w:tc>
          <w:tcPr>
            <w:tcW w:w="3420" w:type="dxa"/>
            <w:vMerge/>
          </w:tcPr>
          <w:p w14:paraId="5D454DD2" w14:textId="77777777" w:rsidR="00C57861" w:rsidRPr="00AB40F5" w:rsidRDefault="00C57861" w:rsidP="00C57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1"/>
              </w:rPr>
            </w:pPr>
          </w:p>
        </w:tc>
      </w:tr>
      <w:tr w:rsidR="00C57861" w:rsidRPr="004A4343" w14:paraId="41FA9AA9" w14:textId="77777777" w:rsidTr="00C57861">
        <w:trPr>
          <w:trHeight w:val="113"/>
        </w:trPr>
        <w:tc>
          <w:tcPr>
            <w:tcW w:w="1080" w:type="dxa"/>
            <w:vMerge/>
          </w:tcPr>
          <w:p w14:paraId="69126635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01E7E6BC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88B67DB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71C00D2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L-4 </w:t>
            </w:r>
            <w:proofErr w:type="spellStart"/>
            <w:r>
              <w:rPr>
                <w:sz w:val="20"/>
                <w:szCs w:val="20"/>
              </w:rPr>
              <w:t>retrolisthesis</w:t>
            </w:r>
            <w:proofErr w:type="spellEnd"/>
          </w:p>
        </w:tc>
        <w:tc>
          <w:tcPr>
            <w:tcW w:w="900" w:type="dxa"/>
            <w:vAlign w:val="center"/>
          </w:tcPr>
          <w:p w14:paraId="685854F9" w14:textId="77777777" w:rsidR="00C57861" w:rsidRDefault="00C57861" w:rsidP="00C57861">
            <w:pPr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1710" w:type="dxa"/>
            <w:vAlign w:val="center"/>
          </w:tcPr>
          <w:p w14:paraId="1FC0C8BF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1.53</w:t>
            </w:r>
          </w:p>
        </w:tc>
        <w:tc>
          <w:tcPr>
            <w:tcW w:w="1710" w:type="dxa"/>
            <w:vAlign w:val="center"/>
          </w:tcPr>
          <w:p w14:paraId="41E21DA1" w14:textId="77777777" w:rsidR="00C57861" w:rsidRDefault="00C57861" w:rsidP="00C57861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0.05-45.01</w:t>
            </w:r>
          </w:p>
        </w:tc>
        <w:tc>
          <w:tcPr>
            <w:tcW w:w="3420" w:type="dxa"/>
            <w:vMerge/>
          </w:tcPr>
          <w:p w14:paraId="1A9785F4" w14:textId="77777777" w:rsidR="00C57861" w:rsidRPr="00AB40F5" w:rsidRDefault="00C57861" w:rsidP="00C57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1"/>
              </w:rPr>
            </w:pPr>
          </w:p>
        </w:tc>
      </w:tr>
      <w:tr w:rsidR="00C57861" w:rsidRPr="004A4343" w14:paraId="78560F80" w14:textId="77777777" w:rsidTr="00C57861">
        <w:trPr>
          <w:trHeight w:val="113"/>
        </w:trPr>
        <w:tc>
          <w:tcPr>
            <w:tcW w:w="1080" w:type="dxa"/>
            <w:vMerge/>
          </w:tcPr>
          <w:p w14:paraId="460C2800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B676356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285AC431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D255F7F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L-4 distance of translation</w:t>
            </w:r>
          </w:p>
        </w:tc>
        <w:tc>
          <w:tcPr>
            <w:tcW w:w="900" w:type="dxa"/>
            <w:vAlign w:val="center"/>
          </w:tcPr>
          <w:p w14:paraId="5DCD60DA" w14:textId="77777777" w:rsidR="00C57861" w:rsidRDefault="00C57861" w:rsidP="00C57861">
            <w:pPr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1710" w:type="dxa"/>
            <w:vAlign w:val="center"/>
          </w:tcPr>
          <w:p w14:paraId="2B09839B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0.07</w:t>
            </w:r>
          </w:p>
        </w:tc>
        <w:tc>
          <w:tcPr>
            <w:tcW w:w="1710" w:type="dxa"/>
            <w:vAlign w:val="center"/>
          </w:tcPr>
          <w:p w14:paraId="270AA72E" w14:textId="77777777" w:rsidR="00C57861" w:rsidRDefault="00C57861" w:rsidP="00C57861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0.00-7.50</w:t>
            </w:r>
          </w:p>
        </w:tc>
        <w:tc>
          <w:tcPr>
            <w:tcW w:w="3420" w:type="dxa"/>
            <w:vMerge/>
          </w:tcPr>
          <w:p w14:paraId="5EBC4954" w14:textId="77777777" w:rsidR="00C57861" w:rsidRPr="00AB40F5" w:rsidRDefault="00C57861" w:rsidP="00C57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1"/>
              </w:rPr>
            </w:pPr>
          </w:p>
        </w:tc>
      </w:tr>
      <w:tr w:rsidR="00C57861" w:rsidRPr="004A4343" w14:paraId="67EA02D7" w14:textId="77777777" w:rsidTr="00C57861">
        <w:trPr>
          <w:trHeight w:val="113"/>
        </w:trPr>
        <w:tc>
          <w:tcPr>
            <w:tcW w:w="1080" w:type="dxa"/>
            <w:vMerge/>
          </w:tcPr>
          <w:p w14:paraId="189DA899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7359BC3D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4975503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CA540A9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L-4 intervertebral angle (</w:t>
            </w:r>
            <w:proofErr w:type="spellStart"/>
            <w:r>
              <w:rPr>
                <w:sz w:val="20"/>
                <w:szCs w:val="20"/>
              </w:rPr>
              <w:t>ext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7AAE74CC" w14:textId="77777777" w:rsidR="00C57861" w:rsidRDefault="00C57861" w:rsidP="00C57861">
            <w:pPr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710" w:type="dxa"/>
            <w:vAlign w:val="center"/>
          </w:tcPr>
          <w:p w14:paraId="11C3BB69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1.06</w:t>
            </w:r>
          </w:p>
        </w:tc>
        <w:tc>
          <w:tcPr>
            <w:tcW w:w="1710" w:type="dxa"/>
            <w:vAlign w:val="center"/>
          </w:tcPr>
          <w:p w14:paraId="1CF96404" w14:textId="77777777" w:rsidR="00C57861" w:rsidRDefault="00C57861" w:rsidP="00C57861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0.83-1.34</w:t>
            </w:r>
          </w:p>
        </w:tc>
        <w:tc>
          <w:tcPr>
            <w:tcW w:w="3420" w:type="dxa"/>
            <w:vMerge/>
          </w:tcPr>
          <w:p w14:paraId="267EC220" w14:textId="77777777" w:rsidR="00C57861" w:rsidRPr="00AB40F5" w:rsidRDefault="00C57861" w:rsidP="00C57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1"/>
              </w:rPr>
            </w:pPr>
          </w:p>
        </w:tc>
      </w:tr>
      <w:tr w:rsidR="00C57861" w:rsidRPr="004A4343" w14:paraId="5E803C2C" w14:textId="77777777" w:rsidTr="00C57861">
        <w:trPr>
          <w:trHeight w:val="113"/>
        </w:trPr>
        <w:tc>
          <w:tcPr>
            <w:tcW w:w="1080" w:type="dxa"/>
            <w:vMerge/>
          </w:tcPr>
          <w:p w14:paraId="177BDB4F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05991A14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D8A2377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77F80E6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L4-5 ROM</w:t>
            </w:r>
          </w:p>
        </w:tc>
        <w:tc>
          <w:tcPr>
            <w:tcW w:w="900" w:type="dxa"/>
            <w:vAlign w:val="center"/>
          </w:tcPr>
          <w:p w14:paraId="1180A3EA" w14:textId="77777777" w:rsidR="00C57861" w:rsidRDefault="00C57861" w:rsidP="00C57861">
            <w:pPr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1710" w:type="dxa"/>
            <w:vAlign w:val="center"/>
          </w:tcPr>
          <w:p w14:paraId="0F1D0FDE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0.85</w:t>
            </w:r>
          </w:p>
        </w:tc>
        <w:tc>
          <w:tcPr>
            <w:tcW w:w="1710" w:type="dxa"/>
            <w:vAlign w:val="center"/>
          </w:tcPr>
          <w:p w14:paraId="68F6728A" w14:textId="77777777" w:rsidR="00C57861" w:rsidRDefault="00C57861" w:rsidP="00C57861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0.69-1.05</w:t>
            </w:r>
          </w:p>
        </w:tc>
        <w:tc>
          <w:tcPr>
            <w:tcW w:w="3420" w:type="dxa"/>
            <w:vMerge/>
          </w:tcPr>
          <w:p w14:paraId="51950F7E" w14:textId="77777777" w:rsidR="00C57861" w:rsidRPr="00AB40F5" w:rsidRDefault="00C57861" w:rsidP="00C57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1"/>
              </w:rPr>
            </w:pPr>
          </w:p>
        </w:tc>
      </w:tr>
      <w:tr w:rsidR="00C57861" w:rsidRPr="004A4343" w14:paraId="034FFBAA" w14:textId="77777777" w:rsidTr="00C57861">
        <w:trPr>
          <w:trHeight w:val="113"/>
        </w:trPr>
        <w:tc>
          <w:tcPr>
            <w:tcW w:w="1080" w:type="dxa"/>
            <w:vMerge/>
          </w:tcPr>
          <w:p w14:paraId="7891574C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7ACEED5A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6F74815D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393CDBC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L4-5 disc height</w:t>
            </w:r>
          </w:p>
        </w:tc>
        <w:tc>
          <w:tcPr>
            <w:tcW w:w="900" w:type="dxa"/>
            <w:vAlign w:val="center"/>
          </w:tcPr>
          <w:p w14:paraId="3848965D" w14:textId="77777777" w:rsidR="00C57861" w:rsidRDefault="00C57861" w:rsidP="00C57861">
            <w:pPr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710" w:type="dxa"/>
            <w:vAlign w:val="center"/>
          </w:tcPr>
          <w:p w14:paraId="53BD4B4B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0.04</w:t>
            </w:r>
          </w:p>
        </w:tc>
        <w:tc>
          <w:tcPr>
            <w:tcW w:w="1710" w:type="dxa"/>
            <w:vAlign w:val="center"/>
          </w:tcPr>
          <w:p w14:paraId="1FFE7076" w14:textId="77777777" w:rsidR="00C57861" w:rsidRDefault="00C57861" w:rsidP="00C57861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0.00-1.80</w:t>
            </w:r>
          </w:p>
        </w:tc>
        <w:tc>
          <w:tcPr>
            <w:tcW w:w="3420" w:type="dxa"/>
            <w:vMerge/>
          </w:tcPr>
          <w:p w14:paraId="7F2D2E23" w14:textId="77777777" w:rsidR="00C57861" w:rsidRPr="00AB40F5" w:rsidRDefault="00C57861" w:rsidP="00C57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1"/>
              </w:rPr>
            </w:pPr>
          </w:p>
        </w:tc>
      </w:tr>
      <w:tr w:rsidR="00C57861" w:rsidRPr="004A4343" w14:paraId="1FE243DB" w14:textId="77777777" w:rsidTr="00C57861">
        <w:trPr>
          <w:trHeight w:val="113"/>
        </w:trPr>
        <w:tc>
          <w:tcPr>
            <w:tcW w:w="1080" w:type="dxa"/>
            <w:vMerge/>
          </w:tcPr>
          <w:p w14:paraId="2E76617B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0E86726C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6E04F55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6504F42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Lumbar </w:t>
            </w:r>
            <w:proofErr w:type="spellStart"/>
            <w:r>
              <w:rPr>
                <w:sz w:val="20"/>
                <w:szCs w:val="20"/>
              </w:rPr>
              <w:t>lordosis</w:t>
            </w:r>
            <w:proofErr w:type="spellEnd"/>
            <w:r>
              <w:rPr>
                <w:sz w:val="20"/>
                <w:szCs w:val="20"/>
              </w:rPr>
              <w:t xml:space="preserve"> at L1-S1</w:t>
            </w:r>
          </w:p>
        </w:tc>
        <w:tc>
          <w:tcPr>
            <w:tcW w:w="900" w:type="dxa"/>
            <w:vAlign w:val="center"/>
          </w:tcPr>
          <w:p w14:paraId="01FD9FF3" w14:textId="77777777" w:rsidR="00C57861" w:rsidRDefault="00C57861" w:rsidP="00C57861">
            <w:pPr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1710" w:type="dxa"/>
            <w:vAlign w:val="center"/>
          </w:tcPr>
          <w:p w14:paraId="79EDE240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1.01</w:t>
            </w:r>
          </w:p>
        </w:tc>
        <w:tc>
          <w:tcPr>
            <w:tcW w:w="1710" w:type="dxa"/>
            <w:vAlign w:val="center"/>
          </w:tcPr>
          <w:p w14:paraId="360D9B34" w14:textId="77777777" w:rsidR="00C57861" w:rsidRDefault="00C57861" w:rsidP="00C57861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0.92-1.12</w:t>
            </w:r>
          </w:p>
        </w:tc>
        <w:tc>
          <w:tcPr>
            <w:tcW w:w="3420" w:type="dxa"/>
            <w:vMerge/>
          </w:tcPr>
          <w:p w14:paraId="4307DE27" w14:textId="77777777" w:rsidR="00C57861" w:rsidRPr="00AB40F5" w:rsidRDefault="00C57861" w:rsidP="00C57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1"/>
              </w:rPr>
            </w:pPr>
          </w:p>
        </w:tc>
      </w:tr>
      <w:tr w:rsidR="00C57861" w:rsidRPr="004A4343" w14:paraId="34D0F1F9" w14:textId="77777777" w:rsidTr="00C57861">
        <w:trPr>
          <w:trHeight w:val="113"/>
        </w:trPr>
        <w:tc>
          <w:tcPr>
            <w:tcW w:w="1080" w:type="dxa"/>
            <w:vMerge/>
          </w:tcPr>
          <w:p w14:paraId="4651D930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4D05DBDB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74D03D18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3C4A811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Facet joint degeneration</w:t>
            </w:r>
          </w:p>
        </w:tc>
        <w:tc>
          <w:tcPr>
            <w:tcW w:w="900" w:type="dxa"/>
            <w:vAlign w:val="center"/>
          </w:tcPr>
          <w:p w14:paraId="5A709906" w14:textId="77777777" w:rsidR="00C57861" w:rsidRDefault="00C57861" w:rsidP="00C57861">
            <w:pPr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1710" w:type="dxa"/>
            <w:vAlign w:val="center"/>
          </w:tcPr>
          <w:p w14:paraId="2CAB56F8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0.84</w:t>
            </w:r>
          </w:p>
        </w:tc>
        <w:tc>
          <w:tcPr>
            <w:tcW w:w="1710" w:type="dxa"/>
            <w:vAlign w:val="center"/>
          </w:tcPr>
          <w:p w14:paraId="44342F20" w14:textId="77777777" w:rsidR="00C57861" w:rsidRDefault="00C57861" w:rsidP="00C57861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0.25-2.83</w:t>
            </w:r>
          </w:p>
        </w:tc>
        <w:tc>
          <w:tcPr>
            <w:tcW w:w="3420" w:type="dxa"/>
            <w:vMerge/>
          </w:tcPr>
          <w:p w14:paraId="2100BFF6" w14:textId="77777777" w:rsidR="00C57861" w:rsidRPr="00AB40F5" w:rsidRDefault="00C57861" w:rsidP="00C57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1"/>
              </w:rPr>
            </w:pPr>
          </w:p>
        </w:tc>
      </w:tr>
      <w:tr w:rsidR="00C57861" w:rsidRPr="004A4343" w14:paraId="4524F02A" w14:textId="77777777" w:rsidTr="00C57861">
        <w:trPr>
          <w:trHeight w:val="113"/>
        </w:trPr>
        <w:tc>
          <w:tcPr>
            <w:tcW w:w="1080" w:type="dxa"/>
            <w:vMerge/>
          </w:tcPr>
          <w:p w14:paraId="4EDF9A60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73322233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6556E9BF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25241E4" w14:textId="77777777" w:rsidR="00C57861" w:rsidRPr="00597BCF" w:rsidRDefault="00C57861" w:rsidP="00C57861">
            <w:pPr>
              <w:rPr>
                <w:b/>
                <w:sz w:val="20"/>
                <w:szCs w:val="20"/>
              </w:rPr>
            </w:pPr>
            <w:r w:rsidRPr="00597BCF">
              <w:rPr>
                <w:b/>
                <w:sz w:val="20"/>
                <w:szCs w:val="20"/>
              </w:rPr>
              <w:t>Change in disc height</w:t>
            </w:r>
          </w:p>
        </w:tc>
        <w:tc>
          <w:tcPr>
            <w:tcW w:w="900" w:type="dxa"/>
            <w:vAlign w:val="center"/>
          </w:tcPr>
          <w:p w14:paraId="38B6AB2F" w14:textId="77777777" w:rsidR="00C57861" w:rsidRPr="00597BCF" w:rsidRDefault="00C57861" w:rsidP="00C57861">
            <w:pPr>
              <w:ind w:left="252"/>
              <w:jc w:val="center"/>
              <w:rPr>
                <w:b/>
                <w:sz w:val="20"/>
                <w:szCs w:val="20"/>
              </w:rPr>
            </w:pPr>
            <w:r w:rsidRPr="00597BCF">
              <w:rPr>
                <w:b/>
                <w:sz w:val="20"/>
                <w:szCs w:val="20"/>
              </w:rPr>
              <w:t>0.04</w:t>
            </w:r>
          </w:p>
        </w:tc>
        <w:tc>
          <w:tcPr>
            <w:tcW w:w="1710" w:type="dxa"/>
            <w:vAlign w:val="center"/>
          </w:tcPr>
          <w:p w14:paraId="52D1FE5E" w14:textId="77777777" w:rsidR="00C57861" w:rsidRPr="00597BCF" w:rsidRDefault="00C57861" w:rsidP="00C5786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597BCF">
              <w:rPr>
                <w:b/>
                <w:sz w:val="20"/>
                <w:szCs w:val="20"/>
              </w:rPr>
              <w:t xml:space="preserve">  OR = 57.26</w:t>
            </w:r>
          </w:p>
        </w:tc>
        <w:tc>
          <w:tcPr>
            <w:tcW w:w="1710" w:type="dxa"/>
            <w:vAlign w:val="center"/>
          </w:tcPr>
          <w:p w14:paraId="5D184340" w14:textId="77777777" w:rsidR="00C57861" w:rsidRPr="00597BCF" w:rsidRDefault="00C57861" w:rsidP="00C57861">
            <w:pPr>
              <w:ind w:left="252"/>
              <w:rPr>
                <w:b/>
                <w:sz w:val="20"/>
                <w:szCs w:val="20"/>
              </w:rPr>
            </w:pPr>
            <w:r w:rsidRPr="00597BCF">
              <w:rPr>
                <w:b/>
                <w:sz w:val="20"/>
                <w:szCs w:val="20"/>
              </w:rPr>
              <w:t>1.11-2966.52</w:t>
            </w:r>
          </w:p>
        </w:tc>
        <w:tc>
          <w:tcPr>
            <w:tcW w:w="3420" w:type="dxa"/>
            <w:vMerge/>
          </w:tcPr>
          <w:p w14:paraId="06D8C5B2" w14:textId="77777777" w:rsidR="00C57861" w:rsidRPr="00AB40F5" w:rsidRDefault="00C57861" w:rsidP="00C57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1"/>
              </w:rPr>
            </w:pPr>
          </w:p>
        </w:tc>
      </w:tr>
      <w:tr w:rsidR="00C57861" w:rsidRPr="004A4343" w14:paraId="49B81113" w14:textId="77777777" w:rsidTr="00C57861">
        <w:trPr>
          <w:trHeight w:val="113"/>
        </w:trPr>
        <w:tc>
          <w:tcPr>
            <w:tcW w:w="1080" w:type="dxa"/>
            <w:vMerge/>
          </w:tcPr>
          <w:p w14:paraId="351E656F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6A26158F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215FEAB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0D7B94B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disc height</w:t>
            </w:r>
          </w:p>
        </w:tc>
        <w:tc>
          <w:tcPr>
            <w:tcW w:w="900" w:type="dxa"/>
            <w:vAlign w:val="center"/>
          </w:tcPr>
          <w:p w14:paraId="5EEC3D8C" w14:textId="77777777" w:rsidR="00C57861" w:rsidRDefault="00C57861" w:rsidP="00C57861">
            <w:pPr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  <w:tc>
          <w:tcPr>
            <w:tcW w:w="1710" w:type="dxa"/>
            <w:vAlign w:val="center"/>
          </w:tcPr>
          <w:p w14:paraId="280212C1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0.39</w:t>
            </w:r>
          </w:p>
        </w:tc>
        <w:tc>
          <w:tcPr>
            <w:tcW w:w="1710" w:type="dxa"/>
            <w:vAlign w:val="center"/>
          </w:tcPr>
          <w:p w14:paraId="7296495B" w14:textId="77777777" w:rsidR="00C57861" w:rsidRDefault="00C57861" w:rsidP="00C57861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0.02-8.27</w:t>
            </w:r>
          </w:p>
        </w:tc>
        <w:tc>
          <w:tcPr>
            <w:tcW w:w="3420" w:type="dxa"/>
            <w:vMerge/>
          </w:tcPr>
          <w:p w14:paraId="0A8920B2" w14:textId="77777777" w:rsidR="00C57861" w:rsidRPr="00AB40F5" w:rsidRDefault="00C57861" w:rsidP="00C57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1"/>
              </w:rPr>
            </w:pPr>
          </w:p>
        </w:tc>
      </w:tr>
      <w:tr w:rsidR="00C57861" w:rsidRPr="004A4343" w14:paraId="35A249B3" w14:textId="77777777" w:rsidTr="00C57861">
        <w:trPr>
          <w:trHeight w:val="113"/>
        </w:trPr>
        <w:tc>
          <w:tcPr>
            <w:tcW w:w="1080" w:type="dxa"/>
            <w:vMerge/>
          </w:tcPr>
          <w:p w14:paraId="3573D986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86CB86E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DEC2A21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819097C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Lumbar </w:t>
            </w:r>
            <w:proofErr w:type="spellStart"/>
            <w:r>
              <w:rPr>
                <w:sz w:val="20"/>
                <w:szCs w:val="20"/>
              </w:rPr>
              <w:t>lordosis</w:t>
            </w:r>
            <w:proofErr w:type="spellEnd"/>
            <w:r>
              <w:rPr>
                <w:sz w:val="20"/>
                <w:szCs w:val="20"/>
              </w:rPr>
              <w:t xml:space="preserve"> at L1-S1</w:t>
            </w:r>
          </w:p>
        </w:tc>
        <w:tc>
          <w:tcPr>
            <w:tcW w:w="900" w:type="dxa"/>
            <w:vAlign w:val="center"/>
          </w:tcPr>
          <w:p w14:paraId="638D9730" w14:textId="77777777" w:rsidR="00C57861" w:rsidRDefault="00C57861" w:rsidP="00C57861">
            <w:pPr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1710" w:type="dxa"/>
            <w:vAlign w:val="center"/>
          </w:tcPr>
          <w:p w14:paraId="49EDEEAB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0.96</w:t>
            </w:r>
          </w:p>
        </w:tc>
        <w:tc>
          <w:tcPr>
            <w:tcW w:w="1710" w:type="dxa"/>
          </w:tcPr>
          <w:p w14:paraId="47E9F4FB" w14:textId="77777777" w:rsidR="00C57861" w:rsidRDefault="00C57861" w:rsidP="00C57861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0.86-1.07</w:t>
            </w:r>
          </w:p>
        </w:tc>
        <w:tc>
          <w:tcPr>
            <w:tcW w:w="3420" w:type="dxa"/>
            <w:vMerge/>
          </w:tcPr>
          <w:p w14:paraId="7568195F" w14:textId="77777777" w:rsidR="00C57861" w:rsidRPr="00AB40F5" w:rsidRDefault="00C57861" w:rsidP="00C57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1"/>
              </w:rPr>
            </w:pPr>
          </w:p>
        </w:tc>
      </w:tr>
      <w:tr w:rsidR="00C57861" w:rsidRPr="004A4343" w14:paraId="62F9503D" w14:textId="77777777" w:rsidTr="00C57861">
        <w:trPr>
          <w:trHeight w:val="113"/>
        </w:trPr>
        <w:tc>
          <w:tcPr>
            <w:tcW w:w="1080" w:type="dxa"/>
            <w:vMerge/>
          </w:tcPr>
          <w:p w14:paraId="2DF218FE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BB58E42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F1F467B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DDFA19E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L4-5 fusion angle</w:t>
            </w:r>
          </w:p>
          <w:p w14:paraId="7748086E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1786298" w14:textId="77777777" w:rsidR="00C57861" w:rsidRDefault="00C57861" w:rsidP="00C57861">
            <w:pPr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1710" w:type="dxa"/>
          </w:tcPr>
          <w:p w14:paraId="226B13A6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1.09</w:t>
            </w:r>
          </w:p>
        </w:tc>
        <w:tc>
          <w:tcPr>
            <w:tcW w:w="1710" w:type="dxa"/>
          </w:tcPr>
          <w:p w14:paraId="00DD8427" w14:textId="77777777" w:rsidR="00C57861" w:rsidRDefault="00C57861" w:rsidP="00C57861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0.93-1.27</w:t>
            </w:r>
          </w:p>
        </w:tc>
        <w:tc>
          <w:tcPr>
            <w:tcW w:w="3420" w:type="dxa"/>
            <w:vMerge/>
          </w:tcPr>
          <w:p w14:paraId="4D236C29" w14:textId="77777777" w:rsidR="00C57861" w:rsidRPr="00AB40F5" w:rsidRDefault="00C57861" w:rsidP="00C57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1"/>
              </w:rPr>
            </w:pPr>
          </w:p>
        </w:tc>
      </w:tr>
      <w:tr w:rsidR="00C57861" w14:paraId="2C2AD373" w14:textId="77777777" w:rsidTr="00C57861">
        <w:trPr>
          <w:trHeight w:val="233"/>
        </w:trPr>
        <w:tc>
          <w:tcPr>
            <w:tcW w:w="1080" w:type="dxa"/>
            <w:vMerge w:val="restart"/>
          </w:tcPr>
          <w:p w14:paraId="11881652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  <w:p w14:paraId="2CCCF951" w14:textId="77777777" w:rsidR="00C57861" w:rsidRPr="00210F5E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(2009)</w:t>
            </w:r>
          </w:p>
        </w:tc>
        <w:tc>
          <w:tcPr>
            <w:tcW w:w="1350" w:type="dxa"/>
            <w:vMerge w:val="restart"/>
          </w:tcPr>
          <w:p w14:paraId="4E8574BD" w14:textId="77777777" w:rsidR="00C57861" w:rsidRPr="00922700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350" w:type="dxa"/>
            <w:vMerge w:val="restart"/>
          </w:tcPr>
          <w:p w14:paraId="70DC481B" w14:textId="77777777" w:rsidR="00C57861" w:rsidRPr="00922700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28/1069 (2.6%)</w:t>
            </w:r>
          </w:p>
        </w:tc>
        <w:tc>
          <w:tcPr>
            <w:tcW w:w="2970" w:type="dxa"/>
          </w:tcPr>
          <w:p w14:paraId="4DC71EA8" w14:textId="77777777" w:rsidR="00C57861" w:rsidRPr="00922700" w:rsidRDefault="00C57861" w:rsidP="00C578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 degeneration</w:t>
            </w:r>
          </w:p>
        </w:tc>
        <w:tc>
          <w:tcPr>
            <w:tcW w:w="900" w:type="dxa"/>
            <w:vAlign w:val="center"/>
          </w:tcPr>
          <w:p w14:paraId="6AEFED9E" w14:textId="77777777" w:rsidR="00C57861" w:rsidRPr="00922700" w:rsidRDefault="00C57861" w:rsidP="00C57861">
            <w:pPr>
              <w:ind w:left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710" w:type="dxa"/>
            <w:vAlign w:val="center"/>
          </w:tcPr>
          <w:p w14:paraId="117BB765" w14:textId="77777777" w:rsidR="00C57861" w:rsidRPr="00922700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0.48</w:t>
            </w:r>
          </w:p>
        </w:tc>
        <w:tc>
          <w:tcPr>
            <w:tcW w:w="1710" w:type="dxa"/>
            <w:vAlign w:val="center"/>
          </w:tcPr>
          <w:p w14:paraId="52374DDF" w14:textId="77777777" w:rsidR="00C57861" w:rsidRPr="00922700" w:rsidRDefault="00C57861" w:rsidP="00C57861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0.17-1.38</w:t>
            </w:r>
          </w:p>
        </w:tc>
        <w:tc>
          <w:tcPr>
            <w:tcW w:w="3420" w:type="dxa"/>
            <w:vMerge w:val="restart"/>
          </w:tcPr>
          <w:p w14:paraId="2EB335FC" w14:textId="1BD592F3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logistic regression analysis preexisting facet degeneration was a significant risk </w:t>
            </w:r>
            <w:r w:rsidRPr="00203A16">
              <w:rPr>
                <w:sz w:val="20"/>
                <w:szCs w:val="20"/>
              </w:rPr>
              <w:t>factor (p &lt; 0.01)</w:t>
            </w:r>
            <w:r>
              <w:rPr>
                <w:sz w:val="20"/>
                <w:szCs w:val="20"/>
              </w:rPr>
              <w:t xml:space="preserve"> for developing AS</w:t>
            </w:r>
            <w:r w:rsidR="009E6F0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</w:tr>
      <w:tr w:rsidR="00C57861" w14:paraId="792CA215" w14:textId="77777777" w:rsidTr="00C57861">
        <w:trPr>
          <w:trHeight w:val="228"/>
        </w:trPr>
        <w:tc>
          <w:tcPr>
            <w:tcW w:w="1080" w:type="dxa"/>
            <w:vMerge/>
          </w:tcPr>
          <w:p w14:paraId="01FEA086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2060DB92" w14:textId="77777777" w:rsidR="00C57861" w:rsidRPr="00A93FE8" w:rsidRDefault="00C57861" w:rsidP="00C57861">
            <w:pPr>
              <w:ind w:left="16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Merge/>
          </w:tcPr>
          <w:p w14:paraId="3ED42DEF" w14:textId="77777777" w:rsidR="00C57861" w:rsidRPr="00A93FE8" w:rsidRDefault="00C57861" w:rsidP="00C57861">
            <w:pPr>
              <w:ind w:left="16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0" w:type="dxa"/>
          </w:tcPr>
          <w:p w14:paraId="6CF2F5A6" w14:textId="77777777" w:rsidR="00C57861" w:rsidRPr="00B924C0" w:rsidRDefault="00C57861" w:rsidP="00C57861">
            <w:pPr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Facet degeneration</w:t>
            </w:r>
          </w:p>
        </w:tc>
        <w:tc>
          <w:tcPr>
            <w:tcW w:w="900" w:type="dxa"/>
            <w:vAlign w:val="center"/>
          </w:tcPr>
          <w:p w14:paraId="3FC6DA9D" w14:textId="77777777" w:rsidR="00C57861" w:rsidRPr="00B924C0" w:rsidRDefault="00C57861" w:rsidP="00C57861">
            <w:pPr>
              <w:ind w:left="162"/>
              <w:jc w:val="center"/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&lt;0.01</w:t>
            </w:r>
          </w:p>
        </w:tc>
        <w:tc>
          <w:tcPr>
            <w:tcW w:w="1710" w:type="dxa"/>
            <w:vAlign w:val="center"/>
          </w:tcPr>
          <w:p w14:paraId="4ABD95DF" w14:textId="77777777" w:rsidR="00C57861" w:rsidRPr="00B924C0" w:rsidRDefault="00C57861" w:rsidP="00C5786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OR = 0.01</w:t>
            </w:r>
          </w:p>
        </w:tc>
        <w:tc>
          <w:tcPr>
            <w:tcW w:w="1710" w:type="dxa"/>
            <w:vAlign w:val="center"/>
          </w:tcPr>
          <w:p w14:paraId="662B67DF" w14:textId="77777777" w:rsidR="00C57861" w:rsidRPr="00B924C0" w:rsidRDefault="00C57861" w:rsidP="00C57861">
            <w:pPr>
              <w:ind w:left="162"/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&lt;0.01-0.12</w:t>
            </w:r>
          </w:p>
        </w:tc>
        <w:tc>
          <w:tcPr>
            <w:tcW w:w="3420" w:type="dxa"/>
            <w:vMerge/>
          </w:tcPr>
          <w:p w14:paraId="2A3CCA61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14:paraId="09F41A5A" w14:textId="77777777" w:rsidTr="00C57861">
        <w:trPr>
          <w:trHeight w:val="228"/>
        </w:trPr>
        <w:tc>
          <w:tcPr>
            <w:tcW w:w="1080" w:type="dxa"/>
            <w:vMerge/>
          </w:tcPr>
          <w:p w14:paraId="4052FE55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4AF3E2B6" w14:textId="77777777" w:rsidR="00C57861" w:rsidRPr="00A93FE8" w:rsidRDefault="00C57861" w:rsidP="00C57861">
            <w:pPr>
              <w:ind w:left="16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Merge/>
          </w:tcPr>
          <w:p w14:paraId="094D462C" w14:textId="77777777" w:rsidR="00C57861" w:rsidRPr="00A93FE8" w:rsidRDefault="00C57861" w:rsidP="00C57861">
            <w:pPr>
              <w:ind w:left="16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0" w:type="dxa"/>
          </w:tcPr>
          <w:p w14:paraId="7489C898" w14:textId="77777777" w:rsidR="00C57861" w:rsidRPr="00922700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Instability</w:t>
            </w:r>
          </w:p>
        </w:tc>
        <w:tc>
          <w:tcPr>
            <w:tcW w:w="900" w:type="dxa"/>
            <w:vAlign w:val="center"/>
          </w:tcPr>
          <w:p w14:paraId="64E15B6A" w14:textId="77777777" w:rsidR="00C57861" w:rsidRDefault="00C57861" w:rsidP="00C57861">
            <w:pPr>
              <w:ind w:left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  <w:tc>
          <w:tcPr>
            <w:tcW w:w="1710" w:type="dxa"/>
            <w:vAlign w:val="center"/>
          </w:tcPr>
          <w:p w14:paraId="347CD670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0.63</w:t>
            </w:r>
          </w:p>
        </w:tc>
        <w:tc>
          <w:tcPr>
            <w:tcW w:w="1710" w:type="dxa"/>
            <w:vAlign w:val="center"/>
          </w:tcPr>
          <w:p w14:paraId="343B53DD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0.06-6.46</w:t>
            </w:r>
          </w:p>
        </w:tc>
        <w:tc>
          <w:tcPr>
            <w:tcW w:w="3420" w:type="dxa"/>
            <w:vMerge/>
          </w:tcPr>
          <w:p w14:paraId="630D2292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14:paraId="5B16BD72" w14:textId="77777777" w:rsidTr="00C57861">
        <w:trPr>
          <w:trHeight w:val="228"/>
        </w:trPr>
        <w:tc>
          <w:tcPr>
            <w:tcW w:w="1080" w:type="dxa"/>
            <w:vMerge/>
          </w:tcPr>
          <w:p w14:paraId="74A3A3F7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44D6408D" w14:textId="77777777" w:rsidR="00C57861" w:rsidRPr="00A93FE8" w:rsidRDefault="00C57861" w:rsidP="00C57861">
            <w:pPr>
              <w:ind w:left="16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Merge/>
          </w:tcPr>
          <w:p w14:paraId="6A774ACB" w14:textId="77777777" w:rsidR="00C57861" w:rsidRPr="00A93FE8" w:rsidRDefault="00C57861" w:rsidP="00C57861">
            <w:pPr>
              <w:ind w:left="16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0" w:type="dxa"/>
          </w:tcPr>
          <w:p w14:paraId="7D7D4B53" w14:textId="77777777" w:rsidR="00C57861" w:rsidRPr="00922700" w:rsidRDefault="00C57861" w:rsidP="00C578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Listhesis</w:t>
            </w:r>
            <w:proofErr w:type="spellEnd"/>
          </w:p>
        </w:tc>
        <w:tc>
          <w:tcPr>
            <w:tcW w:w="900" w:type="dxa"/>
            <w:vAlign w:val="center"/>
          </w:tcPr>
          <w:p w14:paraId="4ABF997A" w14:textId="77777777" w:rsidR="00C57861" w:rsidRDefault="00C57861" w:rsidP="00C57861">
            <w:pPr>
              <w:ind w:left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1710" w:type="dxa"/>
            <w:vAlign w:val="center"/>
          </w:tcPr>
          <w:p w14:paraId="336FAD92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0.38</w:t>
            </w:r>
          </w:p>
        </w:tc>
        <w:tc>
          <w:tcPr>
            <w:tcW w:w="1710" w:type="dxa"/>
            <w:vAlign w:val="center"/>
          </w:tcPr>
          <w:p w14:paraId="5E62821E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0.04-3.75</w:t>
            </w:r>
          </w:p>
        </w:tc>
        <w:tc>
          <w:tcPr>
            <w:tcW w:w="3420" w:type="dxa"/>
            <w:vMerge/>
          </w:tcPr>
          <w:p w14:paraId="0426AF10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14:paraId="4AC84DAD" w14:textId="77777777" w:rsidTr="00C57861">
        <w:trPr>
          <w:trHeight w:val="228"/>
        </w:trPr>
        <w:tc>
          <w:tcPr>
            <w:tcW w:w="1080" w:type="dxa"/>
            <w:vMerge/>
          </w:tcPr>
          <w:p w14:paraId="126EA6F1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A072DF0" w14:textId="77777777" w:rsidR="00C57861" w:rsidRPr="00A93FE8" w:rsidRDefault="00C57861" w:rsidP="00C57861">
            <w:pPr>
              <w:ind w:left="16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Merge/>
          </w:tcPr>
          <w:p w14:paraId="407A277B" w14:textId="77777777" w:rsidR="00C57861" w:rsidRPr="00A93FE8" w:rsidRDefault="00C57861" w:rsidP="00C57861">
            <w:pPr>
              <w:ind w:left="16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0" w:type="dxa"/>
          </w:tcPr>
          <w:p w14:paraId="2949649D" w14:textId="77777777" w:rsidR="00C57861" w:rsidRPr="00922700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Rotational deformity</w:t>
            </w:r>
          </w:p>
        </w:tc>
        <w:tc>
          <w:tcPr>
            <w:tcW w:w="900" w:type="dxa"/>
            <w:vAlign w:val="center"/>
          </w:tcPr>
          <w:p w14:paraId="7FA5A715" w14:textId="77777777" w:rsidR="00C57861" w:rsidRDefault="00C57861" w:rsidP="00C57861">
            <w:pPr>
              <w:ind w:left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  <w:tc>
          <w:tcPr>
            <w:tcW w:w="1710" w:type="dxa"/>
            <w:vAlign w:val="center"/>
          </w:tcPr>
          <w:p w14:paraId="1107DED9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0.74</w:t>
            </w:r>
          </w:p>
        </w:tc>
        <w:tc>
          <w:tcPr>
            <w:tcW w:w="1710" w:type="dxa"/>
            <w:vAlign w:val="center"/>
          </w:tcPr>
          <w:p w14:paraId="75FCD4DD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0.05-11.40</w:t>
            </w:r>
          </w:p>
        </w:tc>
        <w:tc>
          <w:tcPr>
            <w:tcW w:w="3420" w:type="dxa"/>
            <w:vMerge/>
          </w:tcPr>
          <w:p w14:paraId="7F7F1EAA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14:paraId="6997478B" w14:textId="77777777" w:rsidTr="00C57861">
        <w:trPr>
          <w:trHeight w:val="228"/>
        </w:trPr>
        <w:tc>
          <w:tcPr>
            <w:tcW w:w="1080" w:type="dxa"/>
            <w:vMerge/>
          </w:tcPr>
          <w:p w14:paraId="0158D1AC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47707592" w14:textId="77777777" w:rsidR="00C57861" w:rsidRPr="00A93FE8" w:rsidRDefault="00C57861" w:rsidP="00C57861">
            <w:pPr>
              <w:ind w:left="16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Merge/>
          </w:tcPr>
          <w:p w14:paraId="405B43D2" w14:textId="77777777" w:rsidR="00C57861" w:rsidRPr="00A93FE8" w:rsidRDefault="00C57861" w:rsidP="00C57861">
            <w:pPr>
              <w:ind w:left="16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0" w:type="dxa"/>
          </w:tcPr>
          <w:p w14:paraId="0845B62B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 wedging</w:t>
            </w:r>
          </w:p>
          <w:p w14:paraId="756A5228" w14:textId="77777777" w:rsidR="00C57861" w:rsidRPr="00922700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DEADC3" w14:textId="77777777" w:rsidR="00C57861" w:rsidRDefault="00C57861" w:rsidP="00C57861">
            <w:pPr>
              <w:ind w:left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1710" w:type="dxa"/>
          </w:tcPr>
          <w:p w14:paraId="1BBCD49A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1.81</w:t>
            </w:r>
          </w:p>
        </w:tc>
        <w:tc>
          <w:tcPr>
            <w:tcW w:w="1710" w:type="dxa"/>
          </w:tcPr>
          <w:p w14:paraId="3634EBB7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0.16-20.61</w:t>
            </w:r>
          </w:p>
        </w:tc>
        <w:tc>
          <w:tcPr>
            <w:tcW w:w="3420" w:type="dxa"/>
            <w:vMerge/>
          </w:tcPr>
          <w:p w14:paraId="2743A82B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:rsidRPr="00B6713C" w14:paraId="60C7E251" w14:textId="77777777" w:rsidTr="00C57861">
        <w:trPr>
          <w:trHeight w:val="23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09C19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Ahn</w:t>
            </w:r>
            <w:proofErr w:type="spellEnd"/>
          </w:p>
          <w:p w14:paraId="0B916DE9" w14:textId="77777777" w:rsidR="00C57861" w:rsidRPr="00210F5E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(2010)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23CAA" w14:textId="77777777" w:rsidR="00C57861" w:rsidRPr="00922700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E285D" w14:textId="77777777" w:rsidR="00C57861" w:rsidRDefault="00C57861" w:rsidP="00C57861">
            <w:pPr>
              <w:rPr>
                <w:sz w:val="20"/>
                <w:szCs w:val="20"/>
              </w:rPr>
            </w:pPr>
            <w:r w:rsidRPr="00C92F92">
              <w:rPr>
                <w:sz w:val="20"/>
                <w:szCs w:val="20"/>
              </w:rPr>
              <w:t>107/3188 (3.5%)</w:t>
            </w:r>
            <w:r>
              <w:rPr>
                <w:sz w:val="20"/>
                <w:szCs w:val="20"/>
              </w:rPr>
              <w:t xml:space="preserve"> had additional surgery</w:t>
            </w:r>
          </w:p>
          <w:p w14:paraId="786F531F" w14:textId="77777777" w:rsidR="00C57861" w:rsidRDefault="00C57861" w:rsidP="00C57861">
            <w:pPr>
              <w:rPr>
                <w:sz w:val="20"/>
                <w:szCs w:val="20"/>
              </w:rPr>
            </w:pPr>
          </w:p>
          <w:p w14:paraId="61D4B635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 risk at 5 and 10 years was 3% and 6%,</w:t>
            </w:r>
          </w:p>
          <w:p w14:paraId="385F0950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respectively</w:t>
            </w:r>
          </w:p>
          <w:p w14:paraId="30F517C8" w14:textId="77777777" w:rsidR="00C57861" w:rsidRPr="00922700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9E25B4" w14:textId="77777777" w:rsidR="00C57861" w:rsidRPr="00B924C0" w:rsidRDefault="00C57861" w:rsidP="00C57861">
            <w:pPr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Old age (&gt; 61 years)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94042" w14:textId="77777777" w:rsidR="00C57861" w:rsidRPr="00B924C0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303F5" w14:textId="77777777" w:rsidR="00C57861" w:rsidRPr="00B924C0" w:rsidRDefault="00C57861" w:rsidP="00C5786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OR = 3.931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BC1FE" w14:textId="77777777" w:rsidR="00C57861" w:rsidRPr="00B924C0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2.579-5.991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0CE0E02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 of a second operation was high in the following patients:</w:t>
            </w:r>
          </w:p>
          <w:p w14:paraId="3BFC294F" w14:textId="77777777" w:rsidR="00C57861" w:rsidRDefault="00C57861" w:rsidP="00C57861">
            <w:pPr>
              <w:numPr>
                <w:ilvl w:val="0"/>
                <w:numId w:val="35"/>
              </w:numPr>
              <w:ind w:left="252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age</w:t>
            </w:r>
          </w:p>
          <w:p w14:paraId="53C99995" w14:textId="77777777" w:rsidR="00C57861" w:rsidRDefault="00C57861" w:rsidP="00C57861">
            <w:pPr>
              <w:numPr>
                <w:ilvl w:val="0"/>
                <w:numId w:val="35"/>
              </w:numPr>
              <w:ind w:left="252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Degenerative disease</w:t>
            </w:r>
          </w:p>
          <w:p w14:paraId="7815D9D1" w14:textId="77777777" w:rsidR="00C57861" w:rsidRDefault="00C57861" w:rsidP="00C57861">
            <w:pPr>
              <w:numPr>
                <w:ilvl w:val="0"/>
                <w:numId w:val="35"/>
              </w:numPr>
              <w:ind w:left="252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Multiple-level fusion</w:t>
            </w:r>
          </w:p>
          <w:p w14:paraId="79522E51" w14:textId="77777777" w:rsidR="00C57861" w:rsidRPr="00B6713C" w:rsidRDefault="00C57861" w:rsidP="00C57861">
            <w:pPr>
              <w:numPr>
                <w:ilvl w:val="0"/>
                <w:numId w:val="35"/>
              </w:numPr>
              <w:ind w:left="252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sex</w:t>
            </w:r>
          </w:p>
        </w:tc>
      </w:tr>
      <w:tr w:rsidR="00C57861" w:rsidRPr="00B6713C" w14:paraId="5C8BBD3C" w14:textId="77777777" w:rsidTr="00C57861">
        <w:trPr>
          <w:trHeight w:val="2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2383B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42478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80528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DAA926" w14:textId="77777777" w:rsidR="00C57861" w:rsidRPr="00B924C0" w:rsidRDefault="00C57861" w:rsidP="00C57861">
            <w:pPr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Male sex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97D392" w14:textId="77777777" w:rsidR="00C57861" w:rsidRPr="00B924C0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0.004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6A9C6DCA" w14:textId="77777777" w:rsidR="00C57861" w:rsidRPr="00B924C0" w:rsidRDefault="00C57861" w:rsidP="00C5786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OR = 1.758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0E2CD1DA" w14:textId="77777777" w:rsidR="00C57861" w:rsidRPr="00B924C0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1.196-2.586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87B4826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:rsidRPr="00B6713C" w14:paraId="6E1D5173" w14:textId="77777777" w:rsidTr="00C57861">
        <w:trPr>
          <w:trHeight w:val="2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7820E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55C6F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7BFDA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37EA81" w14:textId="77777777" w:rsidR="00C57861" w:rsidRPr="00B924C0" w:rsidRDefault="00C57861" w:rsidP="00C57861">
            <w:pPr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Degenerative disease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2C4EAC" w14:textId="77777777" w:rsidR="00C57861" w:rsidRPr="00B924C0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15D30769" w14:textId="77777777" w:rsidR="00C57861" w:rsidRPr="00B924C0" w:rsidRDefault="00C57861" w:rsidP="00C5786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OR = 2.943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5BD00256" w14:textId="77777777" w:rsidR="00C57861" w:rsidRPr="00B924C0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1.716-5.045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5F68A1D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:rsidRPr="00B6713C" w14:paraId="34EBA275" w14:textId="77777777" w:rsidTr="00C57861">
        <w:trPr>
          <w:trHeight w:val="2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A9D96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C8A96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D8983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014B84" w14:textId="77777777" w:rsidR="00C57861" w:rsidRPr="00B924C0" w:rsidRDefault="00C57861" w:rsidP="00C57861">
            <w:pPr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Multi-segment fusion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BBAFA90" w14:textId="77777777" w:rsidR="00C57861" w:rsidRPr="00B924C0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0.001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4F2B7101" w14:textId="77777777" w:rsidR="00C57861" w:rsidRPr="00B924C0" w:rsidRDefault="00C57861" w:rsidP="00C5786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>OR = 1.932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509B1598" w14:textId="77777777" w:rsidR="00C57861" w:rsidRPr="00B924C0" w:rsidRDefault="00C57861" w:rsidP="00C57861">
            <w:pPr>
              <w:rPr>
                <w:b/>
                <w:sz w:val="20"/>
                <w:szCs w:val="20"/>
              </w:rPr>
            </w:pPr>
            <w:r w:rsidRPr="00B924C0">
              <w:rPr>
                <w:b/>
                <w:sz w:val="20"/>
                <w:szCs w:val="20"/>
              </w:rPr>
              <w:t xml:space="preserve">    1.315-2.84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8984713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:rsidRPr="00B6713C" w14:paraId="7E22EB66" w14:textId="77777777" w:rsidTr="00C57861">
        <w:trPr>
          <w:trHeight w:val="23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3453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3B7A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A3AB" w14:textId="77777777" w:rsidR="00C57861" w:rsidRDefault="00C57861" w:rsidP="00C5786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C9A3A0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Posterior lumbar </w:t>
            </w:r>
            <w:proofErr w:type="spellStart"/>
            <w:r>
              <w:rPr>
                <w:sz w:val="20"/>
                <w:szCs w:val="20"/>
              </w:rPr>
              <w:t>interbody</w:t>
            </w:r>
            <w:proofErr w:type="spellEnd"/>
            <w:r>
              <w:rPr>
                <w:sz w:val="20"/>
                <w:szCs w:val="20"/>
              </w:rPr>
              <w:t xml:space="preserve"> fusion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610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B7B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0.973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1C50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0.629-1.550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1B01DA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14:paraId="348E5DE9" w14:textId="77777777" w:rsidTr="00C57861">
        <w:trPr>
          <w:trHeight w:val="2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D94C7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Sears</w:t>
            </w:r>
          </w:p>
          <w:p w14:paraId="4A315F59" w14:textId="77777777" w:rsidR="00C57861" w:rsidRPr="00210F5E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(2011)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3B6FE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00A0F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130/1000 (13%) of procedures required additional surgery</w:t>
            </w:r>
          </w:p>
          <w:p w14:paraId="09FECED9" w14:textId="77777777" w:rsidR="00C57861" w:rsidRDefault="00C57861" w:rsidP="00C57861">
            <w:pPr>
              <w:rPr>
                <w:sz w:val="20"/>
                <w:szCs w:val="20"/>
              </w:rPr>
            </w:pPr>
          </w:p>
          <w:p w14:paraId="0F5215CE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annual incidence of future surgery was 2.5%</w:t>
            </w:r>
          </w:p>
          <w:p w14:paraId="5B1B3170" w14:textId="77777777" w:rsidR="00C57861" w:rsidRDefault="00C57861" w:rsidP="00C57861">
            <w:pPr>
              <w:rPr>
                <w:sz w:val="20"/>
                <w:szCs w:val="20"/>
              </w:rPr>
            </w:pPr>
          </w:p>
          <w:p w14:paraId="3D4478F8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Predicted 5 and 10 year prevalence of future surgery was 13.6% and 22.2%, respectively</w:t>
            </w:r>
          </w:p>
          <w:p w14:paraId="06E18F6C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47E719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45-60 years*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95AC9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CAD68" w14:textId="77777777" w:rsidR="00C57861" w:rsidRDefault="00C57861" w:rsidP="00C57861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0.55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54733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0.34-0.87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B792FE4" w14:textId="1B4EF5EC" w:rsidR="00C57861" w:rsidRDefault="00BE2C9C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risk of ASP</w:t>
            </w:r>
            <w:r w:rsidR="00C57861">
              <w:rPr>
                <w:sz w:val="20"/>
                <w:szCs w:val="20"/>
              </w:rPr>
              <w:t xml:space="preserve"> in patients younger than 45 years was one quarter the risk of patients older than 60 (p = 0.003)</w:t>
            </w:r>
          </w:p>
          <w:p w14:paraId="532F18CA" w14:textId="77777777" w:rsidR="00C57861" w:rsidRDefault="00C57861" w:rsidP="00C57861">
            <w:pPr>
              <w:rPr>
                <w:sz w:val="20"/>
                <w:szCs w:val="20"/>
              </w:rPr>
            </w:pPr>
          </w:p>
          <w:p w14:paraId="50D6EADA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laminectomy adjacent to the fusion increases the relative risk by 2.4 times (p = 0.03)</w:t>
            </w:r>
          </w:p>
          <w:p w14:paraId="5FFC957E" w14:textId="77777777" w:rsidR="00C57861" w:rsidRDefault="00C57861" w:rsidP="00C57861">
            <w:pPr>
              <w:rPr>
                <w:sz w:val="20"/>
                <w:szCs w:val="20"/>
              </w:rPr>
            </w:pPr>
          </w:p>
          <w:p w14:paraId="77FFFCFA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Stopping a fusion at L5 is associated with 1.7-fold increased risk compared with a fusion to S1 for fusions of the same length (p = 0.007)</w:t>
            </w:r>
          </w:p>
          <w:p w14:paraId="32990CD7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14:paraId="001AC61B" w14:textId="77777777" w:rsidTr="00C57861">
        <w:trPr>
          <w:trHeight w:val="26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58A43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60547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565EF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A4664E" w14:textId="77777777" w:rsidR="00C57861" w:rsidRPr="001F1C53" w:rsidRDefault="00C57861" w:rsidP="00C57861">
            <w:pPr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 xml:space="preserve">Age </w:t>
            </w:r>
            <w:r w:rsidRPr="001F1C53">
              <w:rPr>
                <w:b/>
                <w:sz w:val="20"/>
                <w:szCs w:val="20"/>
                <w:u w:val="single"/>
              </w:rPr>
              <w:t>&lt;</w:t>
            </w:r>
            <w:r w:rsidRPr="001F1C53">
              <w:rPr>
                <w:b/>
                <w:sz w:val="20"/>
                <w:szCs w:val="20"/>
              </w:rPr>
              <w:t xml:space="preserve"> 45 years*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58811" w14:textId="77777777" w:rsidR="00C57861" w:rsidRPr="001F1C53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>0.003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1C3D4" w14:textId="77777777" w:rsidR="00C57861" w:rsidRPr="001F1C53" w:rsidRDefault="00C57861" w:rsidP="00C5786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>RR = 0.25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252B7" w14:textId="77777777" w:rsidR="00C57861" w:rsidRPr="001F1C53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>0.10-0.63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1DC00E2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14:paraId="2C651FCF" w14:textId="77777777" w:rsidTr="00C57861">
        <w:trPr>
          <w:trHeight w:val="26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EB1C8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71370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16005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AD595C" w14:textId="77777777" w:rsidR="00C57861" w:rsidRPr="001F1C53" w:rsidRDefault="00C57861" w:rsidP="00C57861">
            <w:pPr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>3 or 4 levels fused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A19CF" w14:textId="77777777" w:rsidR="00C57861" w:rsidRPr="001F1C53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>&lt;0.0001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D0220" w14:textId="77777777" w:rsidR="00C57861" w:rsidRPr="001F1C53" w:rsidRDefault="00C57861" w:rsidP="00C57861">
            <w:pPr>
              <w:ind w:left="72"/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 xml:space="preserve">       RR = 3.0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75D11" w14:textId="77777777" w:rsidR="00C57861" w:rsidRPr="001F1C53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>1.89-4.86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91A2E0A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14:paraId="1BC5DA66" w14:textId="77777777" w:rsidTr="00C57861">
        <w:trPr>
          <w:trHeight w:val="25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20A70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7340B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45D2A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A705ED" w14:textId="77777777" w:rsidR="00C57861" w:rsidRPr="001F1C53" w:rsidRDefault="00C57861" w:rsidP="00C57861">
            <w:pPr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>2 levels fused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B1DA2" w14:textId="77777777" w:rsidR="00C57861" w:rsidRPr="001F1C53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 xml:space="preserve"> 0.0003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C7CBB" w14:textId="77777777" w:rsidR="00C57861" w:rsidRPr="001F1C53" w:rsidRDefault="00C57861" w:rsidP="00C57861">
            <w:pPr>
              <w:ind w:left="72"/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 xml:space="preserve">       RR = 2.1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A0A92" w14:textId="77777777" w:rsidR="00C57861" w:rsidRPr="001F1C53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>1.42-3.25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5D44772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14:paraId="696DD6A4" w14:textId="77777777" w:rsidTr="00C57861">
        <w:trPr>
          <w:trHeight w:val="119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849CF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43A01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20DDB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6DA6E0F" w14:textId="77777777" w:rsidR="00C57861" w:rsidRPr="001F1C53" w:rsidRDefault="00C57861" w:rsidP="00C57861">
            <w:pPr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 xml:space="preserve">L5 as the lowest level fused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4BD3E0B" w14:textId="77777777" w:rsidR="00C57861" w:rsidRPr="001F1C53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>.007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5B020AEE" w14:textId="77777777" w:rsidR="00C57861" w:rsidRPr="001F1C53" w:rsidRDefault="00C57861" w:rsidP="00C5786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>RR = 1.7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786A2B9E" w14:textId="77777777" w:rsidR="00C57861" w:rsidRPr="001F1C53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>1.15-2.41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C184077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14:paraId="60BF34D9" w14:textId="77777777" w:rsidTr="00C57861">
        <w:trPr>
          <w:trHeight w:val="119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0415F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8B3A7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0D4D9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8B2781A" w14:textId="77777777" w:rsidR="00C57861" w:rsidRPr="001F1C53" w:rsidRDefault="00C57861" w:rsidP="00C57861">
            <w:pPr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>Additional laminectomy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1B64D3F" w14:textId="77777777" w:rsidR="00C57861" w:rsidRPr="001F1C53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>0.03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19BE2E86" w14:textId="77777777" w:rsidR="00C57861" w:rsidRPr="001F1C53" w:rsidRDefault="00C57861" w:rsidP="00C5786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>RR = 2.4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300B8CD8" w14:textId="77777777" w:rsidR="00C57861" w:rsidRPr="001F1C53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1F1C53">
              <w:rPr>
                <w:b/>
                <w:sz w:val="20"/>
                <w:szCs w:val="20"/>
              </w:rPr>
              <w:t>1.09-5.17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626FCDB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14:paraId="5141FA1E" w14:textId="77777777" w:rsidTr="00C57861">
        <w:trPr>
          <w:trHeight w:val="7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B5A20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Ghiselli</w:t>
            </w:r>
            <w:proofErr w:type="spellEnd"/>
          </w:p>
          <w:p w14:paraId="259D49AE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(2004)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059B3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DF86D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59/215 (27.4%)</w:t>
            </w:r>
          </w:p>
          <w:p w14:paraId="4AD0439D" w14:textId="77777777" w:rsidR="00C57861" w:rsidRDefault="00C57861" w:rsidP="00C57861">
            <w:pPr>
              <w:rPr>
                <w:sz w:val="20"/>
                <w:szCs w:val="20"/>
              </w:rPr>
            </w:pPr>
          </w:p>
          <w:p w14:paraId="32BECBF5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 risk at 5 and 10 years was 16.5% and 26.1%,</w:t>
            </w:r>
          </w:p>
          <w:p w14:paraId="5CA33B63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respectively</w:t>
            </w:r>
          </w:p>
          <w:p w14:paraId="7D2A2671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11C951" w14:textId="77777777" w:rsidR="00C57861" w:rsidRPr="002448AC" w:rsidRDefault="00C57861" w:rsidP="00C57861">
            <w:pPr>
              <w:rPr>
                <w:sz w:val="20"/>
                <w:szCs w:val="20"/>
              </w:rPr>
            </w:pPr>
            <w:r w:rsidRPr="002448AC">
              <w:rPr>
                <w:sz w:val="20"/>
                <w:szCs w:val="20"/>
              </w:rPr>
              <w:t>Diagnosis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50377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2BA4F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22683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2BC6A2C" w14:textId="77777777" w:rsidR="00C57861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of symptomatic degeneration at an adjacent segment warranting either decompression or arthrodesis or predicted to be 16.5% at five years 36.1% at 10 years.</w:t>
            </w:r>
          </w:p>
        </w:tc>
      </w:tr>
      <w:tr w:rsidR="00C57861" w14:paraId="1A0EFB17" w14:textId="77777777" w:rsidTr="00C57861">
        <w:trPr>
          <w:trHeight w:val="7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52C75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7835C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727D4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EFCDD3" w14:textId="77777777" w:rsidR="00C57861" w:rsidRPr="002448AC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at time of surgery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80161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9A507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CDFA1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67BE50D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14:paraId="4FD8484D" w14:textId="77777777" w:rsidTr="00C57861">
        <w:trPr>
          <w:trHeight w:val="7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37340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94C8C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A58B8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DA7E16" w14:textId="77777777" w:rsidR="00C57861" w:rsidRPr="002448AC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3D368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20637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51FC1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A801CA8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14:paraId="16470388" w14:textId="77777777" w:rsidTr="00C57861">
        <w:trPr>
          <w:trHeight w:val="7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A81B2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E6DB2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30BF2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5E2B49" w14:textId="77777777" w:rsidR="00C57861" w:rsidRPr="002448AC" w:rsidRDefault="00C57861" w:rsidP="00C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Instrumentation†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F90B3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EDC33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25AB5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83EA4D9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  <w:tr w:rsidR="00C57861" w14:paraId="70B7F9E7" w14:textId="77777777" w:rsidTr="00C57861">
        <w:trPr>
          <w:trHeight w:val="7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450F" w14:textId="77777777" w:rsidR="00C57861" w:rsidRDefault="00C57861" w:rsidP="00C5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2353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D695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C0EB24" w14:textId="77777777" w:rsidR="00C57861" w:rsidRPr="00D92519" w:rsidRDefault="00C57861" w:rsidP="00C57861">
            <w:pPr>
              <w:rPr>
                <w:b/>
                <w:sz w:val="20"/>
                <w:szCs w:val="20"/>
              </w:rPr>
            </w:pPr>
            <w:r w:rsidRPr="00D92519">
              <w:rPr>
                <w:b/>
                <w:sz w:val="20"/>
                <w:szCs w:val="20"/>
              </w:rPr>
              <w:t>Segments adjacent to single level fusion</w:t>
            </w:r>
            <w:r>
              <w:rPr>
                <w:b/>
                <w:sz w:val="20"/>
                <w:szCs w:val="20"/>
              </w:rPr>
              <w:t>‡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C30" w14:textId="77777777" w:rsidR="00C57861" w:rsidRPr="00D92519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D92519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5DDF" w14:textId="77777777" w:rsidR="00C57861" w:rsidRPr="00D92519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D92519">
              <w:rPr>
                <w:b/>
                <w:sz w:val="20"/>
                <w:szCs w:val="20"/>
              </w:rPr>
              <w:t>RR = 3.4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0515" w14:textId="77777777" w:rsidR="00C57861" w:rsidRPr="00D92519" w:rsidRDefault="00C57861" w:rsidP="00C57861">
            <w:pPr>
              <w:jc w:val="center"/>
              <w:rPr>
                <w:b/>
                <w:sz w:val="20"/>
                <w:szCs w:val="20"/>
              </w:rPr>
            </w:pPr>
            <w:r w:rsidRPr="00D92519">
              <w:rPr>
                <w:b/>
                <w:sz w:val="20"/>
                <w:szCs w:val="20"/>
              </w:rPr>
              <w:t>1.83-6.23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22E4FF" w14:textId="77777777" w:rsidR="00C57861" w:rsidRDefault="00C57861" w:rsidP="00C57861">
            <w:pPr>
              <w:rPr>
                <w:sz w:val="20"/>
                <w:szCs w:val="20"/>
              </w:rPr>
            </w:pPr>
          </w:p>
        </w:tc>
      </w:tr>
    </w:tbl>
    <w:p w14:paraId="5CFB0901" w14:textId="77777777" w:rsidR="00C57861" w:rsidRDefault="00C57861" w:rsidP="00C57861">
      <w:r>
        <w:t>*Compared to patients &gt;60 years of age</w:t>
      </w:r>
    </w:p>
    <w:p w14:paraId="25954F65" w14:textId="77777777" w:rsidR="00C57861" w:rsidRDefault="00C57861" w:rsidP="00C57861">
      <w:r>
        <w:t xml:space="preserve">†Patients with instrumentation (51%) were compared to patients without instrumentation (49%).  </w:t>
      </w:r>
      <w:proofErr w:type="gramStart"/>
      <w:r>
        <w:t>The type of instrumentation NR.</w:t>
      </w:r>
      <w:proofErr w:type="gramEnd"/>
    </w:p>
    <w:p w14:paraId="6C139BF9" w14:textId="77777777" w:rsidR="00C57861" w:rsidRDefault="00C57861" w:rsidP="00C57861">
      <w:r>
        <w:t>‡Segments adjacent to single level fusion compared to segments adjacent to multiple level fusion.</w:t>
      </w:r>
    </w:p>
    <w:p w14:paraId="475387D5" w14:textId="77777777" w:rsidR="00C57861" w:rsidRDefault="00C57861" w:rsidP="00C57861"/>
    <w:p w14:paraId="6FF19F8F" w14:textId="77777777" w:rsidR="00C57861" w:rsidRDefault="00C57861"/>
    <w:p w14:paraId="4FD5E372" w14:textId="77777777" w:rsidR="00803720" w:rsidRDefault="00803720" w:rsidP="00042CFC"/>
    <w:p w14:paraId="5B836F3E" w14:textId="77777777" w:rsidR="00803720" w:rsidRDefault="00803720" w:rsidP="00042CFC"/>
    <w:p w14:paraId="5C4F8DC4" w14:textId="77777777" w:rsidR="00803720" w:rsidRDefault="00803720" w:rsidP="00042CFC"/>
    <w:p w14:paraId="72FE75C9" w14:textId="77777777" w:rsidR="00803720" w:rsidRDefault="00803720" w:rsidP="00042CFC"/>
    <w:p w14:paraId="00559113" w14:textId="6121FCF1" w:rsidR="00042CFC" w:rsidRPr="00B071AA" w:rsidRDefault="00BE0033" w:rsidP="00042CFC">
      <w:pPr>
        <w:rPr>
          <w:i/>
        </w:rPr>
      </w:pPr>
      <w:r w:rsidRPr="0087384F">
        <w:t>Level of Evidence Summary Table</w:t>
      </w:r>
      <w:r w:rsidR="00914A14" w:rsidRPr="0087384F">
        <w:t xml:space="preserve"> for </w:t>
      </w:r>
      <w:r w:rsidR="00D4571E">
        <w:t>Included Studies</w:t>
      </w:r>
      <w:r w:rsidR="00042CFC" w:rsidRPr="00042CFC">
        <w:rPr>
          <w:i/>
        </w:rPr>
        <w:t xml:space="preserve"> </w:t>
      </w:r>
      <w:r w:rsidR="00042CFC" w:rsidRPr="00B071AA">
        <w:rPr>
          <w:i/>
        </w:rPr>
        <w:t xml:space="preserve">Critical appraisal for article on </w:t>
      </w:r>
      <w:r w:rsidR="00042CFC">
        <w:rPr>
          <w:i/>
        </w:rPr>
        <w:t>prognosis</w:t>
      </w:r>
    </w:p>
    <w:tbl>
      <w:tblPr>
        <w:tblW w:w="96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1125"/>
        <w:gridCol w:w="1350"/>
        <w:gridCol w:w="1440"/>
        <w:gridCol w:w="900"/>
        <w:gridCol w:w="900"/>
      </w:tblGrid>
      <w:tr w:rsidR="007F37F4" w:rsidRPr="00B071AA" w14:paraId="4BC87343" w14:textId="77777777" w:rsidTr="007F37F4">
        <w:trPr>
          <w:trHeight w:val="480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  <w:vAlign w:val="bottom"/>
          </w:tcPr>
          <w:p w14:paraId="6DAB3B8C" w14:textId="77777777" w:rsidR="007F37F4" w:rsidRPr="00930297" w:rsidRDefault="007F37F4" w:rsidP="00B96C77">
            <w:pPr>
              <w:ind w:left="-93" w:right="-104"/>
              <w:jc w:val="center"/>
              <w:rPr>
                <w:color w:val="FFFFFF"/>
              </w:rPr>
            </w:pPr>
            <w:r w:rsidRPr="00930297">
              <w:rPr>
                <w:color w:val="FFFFFF"/>
              </w:rPr>
              <w:t>Methodological Principle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  <w:vAlign w:val="bottom"/>
          </w:tcPr>
          <w:p w14:paraId="5D186C29" w14:textId="77777777" w:rsidR="007F37F4" w:rsidRPr="00930297" w:rsidRDefault="007F37F4" w:rsidP="00B96C77">
            <w:pPr>
              <w:ind w:left="-128" w:right="-99"/>
              <w:jc w:val="center"/>
              <w:rPr>
                <w:color w:val="FFFFFF"/>
              </w:rPr>
            </w:pPr>
            <w:r w:rsidRPr="00930297">
              <w:rPr>
                <w:color w:val="FFFFFF"/>
              </w:rPr>
              <w:t>Sears</w:t>
            </w:r>
          </w:p>
          <w:p w14:paraId="0CFA4454" w14:textId="77777777" w:rsidR="007F37F4" w:rsidRPr="00930297" w:rsidRDefault="007F37F4" w:rsidP="007F37F4">
            <w:pPr>
              <w:ind w:left="-128" w:right="-99"/>
              <w:jc w:val="center"/>
              <w:rPr>
                <w:color w:val="FFFFFF"/>
              </w:rPr>
            </w:pPr>
            <w:r w:rsidRPr="00930297">
              <w:rPr>
                <w:color w:val="FFFFFF"/>
              </w:rPr>
              <w:t>2010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  <w:vAlign w:val="bottom"/>
          </w:tcPr>
          <w:p w14:paraId="781BFF69" w14:textId="77777777" w:rsidR="007F37F4" w:rsidRPr="00930297" w:rsidRDefault="007F37F4" w:rsidP="00B96C77">
            <w:pPr>
              <w:ind w:left="-128" w:right="-99"/>
              <w:jc w:val="center"/>
              <w:rPr>
                <w:color w:val="FFFFFF"/>
              </w:rPr>
            </w:pPr>
            <w:proofErr w:type="spellStart"/>
            <w:r w:rsidRPr="00930297">
              <w:rPr>
                <w:color w:val="FFFFFF"/>
              </w:rPr>
              <w:t>Ghiselli</w:t>
            </w:r>
            <w:proofErr w:type="spellEnd"/>
          </w:p>
          <w:p w14:paraId="6522687C" w14:textId="77777777" w:rsidR="007F37F4" w:rsidRPr="00930297" w:rsidRDefault="007F37F4" w:rsidP="00B96C77">
            <w:pPr>
              <w:ind w:left="-128" w:right="-99"/>
              <w:jc w:val="center"/>
              <w:rPr>
                <w:color w:val="FFFFFF"/>
              </w:rPr>
            </w:pPr>
            <w:r w:rsidRPr="00930297">
              <w:rPr>
                <w:color w:val="FFFFFF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  <w:vAlign w:val="bottom"/>
          </w:tcPr>
          <w:p w14:paraId="740F5B4C" w14:textId="77777777" w:rsidR="007F37F4" w:rsidRPr="00930297" w:rsidRDefault="007F37F4" w:rsidP="00B96C77">
            <w:pPr>
              <w:ind w:left="-128" w:right="-99"/>
              <w:jc w:val="center"/>
              <w:rPr>
                <w:color w:val="FFFFFF"/>
              </w:rPr>
            </w:pPr>
            <w:r w:rsidRPr="00930297">
              <w:rPr>
                <w:color w:val="FFFFFF"/>
              </w:rPr>
              <w:t>Lee</w:t>
            </w:r>
          </w:p>
          <w:p w14:paraId="0C2E754A" w14:textId="77777777" w:rsidR="007F37F4" w:rsidRPr="00930297" w:rsidRDefault="007F37F4" w:rsidP="00B96C77">
            <w:pPr>
              <w:ind w:left="-128" w:right="-99"/>
              <w:jc w:val="center"/>
              <w:rPr>
                <w:color w:val="FFFFFF"/>
              </w:rPr>
            </w:pPr>
            <w:r w:rsidRPr="00930297">
              <w:rPr>
                <w:color w:val="FFFFFF"/>
              </w:rPr>
              <w:t>2009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  <w:vAlign w:val="bottom"/>
          </w:tcPr>
          <w:p w14:paraId="6D5642F7" w14:textId="77777777" w:rsidR="007F37F4" w:rsidRPr="00930297" w:rsidRDefault="007F37F4" w:rsidP="00B96C77">
            <w:pPr>
              <w:ind w:left="-128" w:right="-99"/>
              <w:jc w:val="center"/>
              <w:rPr>
                <w:color w:val="FFFFFF"/>
              </w:rPr>
            </w:pPr>
            <w:proofErr w:type="spellStart"/>
            <w:r w:rsidRPr="00930297">
              <w:rPr>
                <w:color w:val="FFFFFF"/>
              </w:rPr>
              <w:t>Kaito</w:t>
            </w:r>
            <w:proofErr w:type="spellEnd"/>
          </w:p>
          <w:p w14:paraId="2153E895" w14:textId="77777777" w:rsidR="007F37F4" w:rsidRPr="00930297" w:rsidRDefault="007F37F4" w:rsidP="00B96C77">
            <w:pPr>
              <w:ind w:left="-128" w:right="-99"/>
              <w:jc w:val="center"/>
              <w:rPr>
                <w:color w:val="FFFFFF"/>
              </w:rPr>
            </w:pPr>
            <w:r w:rsidRPr="00930297">
              <w:rPr>
                <w:color w:val="FFFFFF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14:paraId="2B0E5081" w14:textId="77777777" w:rsidR="007F37F4" w:rsidRPr="00930297" w:rsidRDefault="007F37F4" w:rsidP="00B96C77">
            <w:pPr>
              <w:ind w:left="-128" w:right="-99"/>
              <w:jc w:val="center"/>
              <w:rPr>
                <w:color w:val="FFFFFF"/>
              </w:rPr>
            </w:pPr>
            <w:proofErr w:type="spellStart"/>
            <w:r w:rsidRPr="00930297">
              <w:rPr>
                <w:color w:val="FFFFFF"/>
              </w:rPr>
              <w:t>Ahn</w:t>
            </w:r>
            <w:proofErr w:type="spellEnd"/>
          </w:p>
          <w:p w14:paraId="5F333D6D" w14:textId="50EBD14C" w:rsidR="007F37F4" w:rsidRPr="00930297" w:rsidRDefault="007F37F4" w:rsidP="00BA3ABF">
            <w:pPr>
              <w:ind w:left="-128" w:right="-99"/>
              <w:jc w:val="center"/>
              <w:rPr>
                <w:color w:val="FFFFFF"/>
              </w:rPr>
            </w:pPr>
            <w:r w:rsidRPr="00930297">
              <w:rPr>
                <w:color w:val="FFFFFF"/>
              </w:rPr>
              <w:t>2010</w:t>
            </w:r>
          </w:p>
        </w:tc>
      </w:tr>
      <w:tr w:rsidR="008B643D" w:rsidRPr="00B071AA" w14:paraId="1B5CEC31" w14:textId="77777777" w:rsidTr="007F37F4">
        <w:trPr>
          <w:trHeight w:val="240"/>
        </w:trPr>
        <w:tc>
          <w:tcPr>
            <w:tcW w:w="39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FAA40F" w14:textId="77777777" w:rsidR="008B643D" w:rsidRPr="00930297" w:rsidRDefault="008B643D" w:rsidP="00B96C77">
            <w:pPr>
              <w:ind w:left="-3" w:right="-104"/>
              <w:rPr>
                <w:color w:val="000000"/>
              </w:rPr>
            </w:pPr>
            <w:r w:rsidRPr="00930297">
              <w:rPr>
                <w:color w:val="000000"/>
              </w:rPr>
              <w:t>Study design</w:t>
            </w:r>
          </w:p>
          <w:p w14:paraId="2174C1AC" w14:textId="77777777" w:rsidR="008B643D" w:rsidRPr="00930297" w:rsidRDefault="008B643D" w:rsidP="00B96C77">
            <w:pPr>
              <w:ind w:left="87" w:right="-104"/>
              <w:rPr>
                <w:color w:val="000000"/>
              </w:rPr>
            </w:pPr>
            <w:r w:rsidRPr="00930297">
              <w:rPr>
                <w:color w:val="000000"/>
              </w:rPr>
              <w:t xml:space="preserve">Prospective cohort study </w:t>
            </w:r>
          </w:p>
          <w:p w14:paraId="17369E61" w14:textId="77777777" w:rsidR="008B643D" w:rsidRPr="00930297" w:rsidRDefault="008B643D" w:rsidP="00B96C77">
            <w:pPr>
              <w:ind w:left="87" w:right="-104"/>
              <w:rPr>
                <w:color w:val="000000"/>
              </w:rPr>
            </w:pPr>
            <w:r w:rsidRPr="00930297">
              <w:rPr>
                <w:color w:val="000000"/>
              </w:rPr>
              <w:t>Retrospective cohort study</w:t>
            </w:r>
          </w:p>
          <w:p w14:paraId="2566C03D" w14:textId="77777777" w:rsidR="008B643D" w:rsidRPr="00930297" w:rsidRDefault="008B643D" w:rsidP="00B96C77">
            <w:pPr>
              <w:ind w:left="87" w:right="-104"/>
              <w:rPr>
                <w:color w:val="000000"/>
              </w:rPr>
            </w:pPr>
            <w:r w:rsidRPr="00930297">
              <w:rPr>
                <w:color w:val="000000"/>
              </w:rPr>
              <w:t>Case-control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71E9A532" w14:textId="77777777" w:rsidR="008B643D" w:rsidRPr="00930297" w:rsidRDefault="008B643D" w:rsidP="00B96C77">
            <w:pPr>
              <w:ind w:left="-128" w:right="-99"/>
              <w:jc w:val="center"/>
            </w:pPr>
          </w:p>
          <w:p w14:paraId="2B73627B" w14:textId="77777777" w:rsidR="008B643D" w:rsidRPr="00930297" w:rsidRDefault="008B643D" w:rsidP="00B96C77">
            <w:pPr>
              <w:ind w:left="-128" w:right="-99"/>
              <w:jc w:val="center"/>
            </w:pPr>
          </w:p>
          <w:p w14:paraId="0495D125" w14:textId="77777777" w:rsidR="008B643D" w:rsidRPr="00930297" w:rsidRDefault="008B643D" w:rsidP="00B96C77">
            <w:pPr>
              <w:ind w:left="-128" w:right="-99"/>
              <w:jc w:val="center"/>
            </w:pPr>
            <w:r w:rsidRPr="00930297">
              <w:t>√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</w:tcPr>
          <w:p w14:paraId="02851E5C" w14:textId="77777777" w:rsidR="008B643D" w:rsidRDefault="008B643D" w:rsidP="00B96C77">
            <w:pPr>
              <w:ind w:left="-128" w:right="-99"/>
              <w:jc w:val="center"/>
            </w:pPr>
          </w:p>
          <w:p w14:paraId="47EA5F73" w14:textId="77777777" w:rsidR="008B643D" w:rsidRDefault="008B643D" w:rsidP="00B96C77">
            <w:pPr>
              <w:ind w:left="-128" w:right="-99"/>
              <w:jc w:val="center"/>
            </w:pPr>
          </w:p>
          <w:p w14:paraId="055CA92F" w14:textId="77777777" w:rsidR="008B643D" w:rsidRPr="00930297" w:rsidRDefault="008B643D" w:rsidP="00B96C77">
            <w:pPr>
              <w:ind w:left="-128" w:right="-99"/>
              <w:jc w:val="center"/>
            </w:pPr>
            <w:r w:rsidRPr="00930297">
              <w:t>√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14:paraId="4ED3117E" w14:textId="77777777" w:rsidR="008B643D" w:rsidRDefault="008B643D" w:rsidP="005C7876">
            <w:pPr>
              <w:ind w:left="-128" w:right="-99"/>
              <w:jc w:val="center"/>
            </w:pPr>
          </w:p>
          <w:p w14:paraId="1252E911" w14:textId="77777777" w:rsidR="008B643D" w:rsidRDefault="008B643D" w:rsidP="005C7876">
            <w:pPr>
              <w:ind w:left="-128" w:right="-99"/>
              <w:jc w:val="center"/>
            </w:pPr>
          </w:p>
          <w:p w14:paraId="11C3DFEF" w14:textId="77777777" w:rsidR="008B643D" w:rsidRDefault="008B643D" w:rsidP="005C7876">
            <w:pPr>
              <w:ind w:left="-128" w:right="-99"/>
              <w:jc w:val="center"/>
            </w:pPr>
          </w:p>
          <w:p w14:paraId="2272947D" w14:textId="77777777" w:rsidR="008B643D" w:rsidRPr="00930297" w:rsidRDefault="008B643D" w:rsidP="005C7876">
            <w:pPr>
              <w:ind w:left="-128" w:right="-99"/>
              <w:jc w:val="center"/>
            </w:pPr>
            <w:r w:rsidRPr="00930297">
              <w:t>√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20B74FE3" w14:textId="77777777" w:rsidR="008B643D" w:rsidRDefault="008B643D" w:rsidP="00B96C77">
            <w:pPr>
              <w:ind w:left="-128" w:right="-99"/>
              <w:jc w:val="center"/>
            </w:pPr>
          </w:p>
          <w:p w14:paraId="33806E17" w14:textId="77777777" w:rsidR="008B643D" w:rsidRDefault="008B643D" w:rsidP="00B96C77">
            <w:pPr>
              <w:ind w:left="-128" w:right="-99"/>
              <w:jc w:val="center"/>
            </w:pPr>
          </w:p>
          <w:p w14:paraId="610C2BCA" w14:textId="77777777" w:rsidR="008B643D" w:rsidRPr="00930297" w:rsidRDefault="008B643D" w:rsidP="00B96C77">
            <w:pPr>
              <w:ind w:left="-128" w:right="-99"/>
              <w:jc w:val="center"/>
            </w:pPr>
            <w:r w:rsidRPr="00930297">
              <w:t>√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14:paraId="2AF8D082" w14:textId="77777777" w:rsidR="008B643D" w:rsidRDefault="008B643D" w:rsidP="005C7876">
            <w:pPr>
              <w:ind w:left="-128" w:right="-99"/>
              <w:jc w:val="center"/>
            </w:pPr>
          </w:p>
          <w:p w14:paraId="2663C2D3" w14:textId="77777777" w:rsidR="008B643D" w:rsidRDefault="008B643D" w:rsidP="005C7876">
            <w:pPr>
              <w:ind w:left="-128" w:right="-99"/>
              <w:jc w:val="center"/>
            </w:pPr>
          </w:p>
          <w:p w14:paraId="5C35E9F3" w14:textId="77777777" w:rsidR="008B643D" w:rsidRPr="00930297" w:rsidRDefault="008B643D" w:rsidP="005C7876">
            <w:pPr>
              <w:ind w:left="-128" w:right="-99"/>
              <w:jc w:val="center"/>
            </w:pPr>
            <w:r w:rsidRPr="00930297">
              <w:t>√</w:t>
            </w:r>
          </w:p>
        </w:tc>
      </w:tr>
      <w:tr w:rsidR="008B643D" w:rsidRPr="00B071AA" w14:paraId="27052096" w14:textId="77777777" w:rsidTr="005C7876">
        <w:trPr>
          <w:trHeight w:val="387"/>
        </w:trPr>
        <w:tc>
          <w:tcPr>
            <w:tcW w:w="39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DD044" w14:textId="77777777" w:rsidR="008B643D" w:rsidRPr="00930297" w:rsidRDefault="008B643D" w:rsidP="00B96C77">
            <w:pPr>
              <w:ind w:left="-3" w:right="-104"/>
            </w:pPr>
            <w:r w:rsidRPr="00930297">
              <w:t>Patients at similar point in the course of their disease or treatment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8BB0F3" w14:textId="77777777" w:rsidR="008B643D" w:rsidRPr="00930297" w:rsidRDefault="008B643D" w:rsidP="00B96C77">
            <w:pPr>
              <w:ind w:left="-128" w:right="-99"/>
              <w:jc w:val="center"/>
            </w:pPr>
            <w:r w:rsidRPr="00930297">
              <w:t>√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101181" w14:textId="77777777" w:rsidR="008B643D" w:rsidRPr="00930297" w:rsidRDefault="008B643D" w:rsidP="00B96C77">
            <w:pPr>
              <w:ind w:left="-128" w:right="-99"/>
              <w:jc w:val="center"/>
            </w:pPr>
            <w:r w:rsidRPr="00930297">
              <w:t>√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7C3051" w14:textId="77777777" w:rsidR="008B643D" w:rsidRPr="00930297" w:rsidRDefault="008B643D" w:rsidP="005C7876">
            <w:pPr>
              <w:ind w:left="-128" w:right="-99"/>
              <w:jc w:val="center"/>
            </w:pPr>
            <w:r w:rsidRPr="00930297">
              <w:t>√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5684F2" w14:textId="77777777" w:rsidR="008B643D" w:rsidRPr="00930297" w:rsidRDefault="008B643D" w:rsidP="00B96C77">
            <w:pPr>
              <w:ind w:left="-128" w:right="-99"/>
              <w:jc w:val="center"/>
            </w:pPr>
            <w:r w:rsidRPr="00930297">
              <w:t>√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36F296" w14:textId="77777777" w:rsidR="008B643D" w:rsidRPr="00930297" w:rsidRDefault="008B643D" w:rsidP="005C7876">
            <w:pPr>
              <w:ind w:left="-128" w:right="-99"/>
              <w:jc w:val="center"/>
            </w:pPr>
            <w:r w:rsidRPr="00930297">
              <w:t>√</w:t>
            </w:r>
          </w:p>
        </w:tc>
      </w:tr>
      <w:tr w:rsidR="008B643D" w:rsidRPr="00B071AA" w14:paraId="7D5E1500" w14:textId="77777777" w:rsidTr="005C7876">
        <w:trPr>
          <w:trHeight w:val="480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FE7E6" w14:textId="77777777" w:rsidR="008B643D" w:rsidRPr="00930297" w:rsidRDefault="008B643D" w:rsidP="00B96C77">
            <w:pPr>
              <w:ind w:left="-3" w:right="-104"/>
            </w:pPr>
            <w:r w:rsidRPr="00930297">
              <w:t>Patients followed long enough for outcomes to occur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300804" w14:textId="77777777" w:rsidR="008B643D" w:rsidRPr="00930297" w:rsidRDefault="008B643D" w:rsidP="00B96C77">
            <w:pPr>
              <w:ind w:left="-128" w:right="-99"/>
              <w:jc w:val="center"/>
              <w:rPr>
                <w:color w:val="000000"/>
              </w:rPr>
            </w:pPr>
            <w:r w:rsidRPr="00930297">
              <w:t>√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07AC2" w14:textId="77777777" w:rsidR="008B643D" w:rsidRPr="00930297" w:rsidRDefault="008B643D" w:rsidP="00B96C77">
            <w:pPr>
              <w:ind w:left="-128" w:right="-99"/>
              <w:jc w:val="center"/>
              <w:rPr>
                <w:color w:val="000000"/>
              </w:rPr>
            </w:pPr>
            <w:r w:rsidRPr="00930297">
              <w:t>√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267AD" w14:textId="77777777" w:rsidR="008B643D" w:rsidRPr="00930297" w:rsidRDefault="008B643D" w:rsidP="005C7876">
            <w:pPr>
              <w:ind w:left="-128" w:right="-99"/>
              <w:jc w:val="center"/>
              <w:rPr>
                <w:color w:val="000000"/>
              </w:rPr>
            </w:pPr>
            <w:r w:rsidRPr="00930297">
              <w:t>√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3033CA" w14:textId="77777777" w:rsidR="008B643D" w:rsidRPr="00930297" w:rsidRDefault="008B643D" w:rsidP="00B96C77">
            <w:pPr>
              <w:ind w:left="-128" w:right="-99"/>
              <w:jc w:val="center"/>
            </w:pPr>
            <w:r w:rsidRPr="00930297">
              <w:t>√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F7AFC" w14:textId="77777777" w:rsidR="008B643D" w:rsidRPr="00930297" w:rsidRDefault="008B643D" w:rsidP="005C7876">
            <w:pPr>
              <w:ind w:left="-128" w:right="-99"/>
              <w:jc w:val="center"/>
            </w:pPr>
            <w:r w:rsidRPr="00930297">
              <w:t>√</w:t>
            </w:r>
          </w:p>
        </w:tc>
      </w:tr>
      <w:tr w:rsidR="008B643D" w:rsidRPr="00B071AA" w14:paraId="3F0A2740" w14:textId="77777777" w:rsidTr="005C7876">
        <w:trPr>
          <w:trHeight w:val="387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890B8" w14:textId="77777777" w:rsidR="008B643D" w:rsidRPr="00930297" w:rsidRDefault="008B643D" w:rsidP="00B96C77">
            <w:pPr>
              <w:ind w:left="-3" w:right="-104"/>
            </w:pPr>
            <w:r w:rsidRPr="00930297">
              <w:t xml:space="preserve">Complete follow-up of </w:t>
            </w:r>
            <w:r w:rsidRPr="00930297">
              <w:rPr>
                <w:u w:val="single"/>
              </w:rPr>
              <w:t>&gt;</w:t>
            </w:r>
            <w:r w:rsidRPr="00930297">
              <w:t>80%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B4B616" w14:textId="77777777" w:rsidR="008B643D" w:rsidRPr="00930297" w:rsidRDefault="008B643D" w:rsidP="00B96C77">
            <w:pPr>
              <w:ind w:left="-128" w:right="-99"/>
              <w:jc w:val="center"/>
            </w:pPr>
            <w:r w:rsidRPr="00930297">
              <w:t>√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A62A0" w14:textId="77777777" w:rsidR="008B643D" w:rsidRPr="00930297" w:rsidRDefault="008B643D" w:rsidP="00B96C77">
            <w:pPr>
              <w:ind w:left="-128" w:right="-99"/>
              <w:jc w:val="center"/>
            </w:pPr>
            <w:r w:rsidRPr="00930297">
              <w:t>√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67EE7" w14:textId="77777777" w:rsidR="008B643D" w:rsidRPr="00930297" w:rsidRDefault="008B643D" w:rsidP="005C7876">
            <w:pPr>
              <w:ind w:left="-128" w:right="-99"/>
              <w:jc w:val="center"/>
            </w:pPr>
            <w:r w:rsidRPr="00930297">
              <w:t>√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1F112D" w14:textId="77777777" w:rsidR="008B643D" w:rsidRPr="00930297" w:rsidRDefault="008B643D" w:rsidP="00B96C77">
            <w:pPr>
              <w:ind w:left="-128" w:right="-99"/>
              <w:jc w:val="center"/>
            </w:pPr>
            <w:r w:rsidRPr="00930297">
              <w:t>√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2BA19" w14:textId="77777777" w:rsidR="008B643D" w:rsidRPr="00930297" w:rsidRDefault="008B643D" w:rsidP="005C7876">
            <w:pPr>
              <w:ind w:left="-128" w:right="-99"/>
              <w:jc w:val="center"/>
            </w:pPr>
            <w:r w:rsidRPr="00930297">
              <w:t>√</w:t>
            </w:r>
          </w:p>
        </w:tc>
      </w:tr>
      <w:tr w:rsidR="008B643D" w:rsidRPr="00B071AA" w14:paraId="0D046D89" w14:textId="77777777" w:rsidTr="005C7876">
        <w:trPr>
          <w:trHeight w:val="360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097BF" w14:textId="77777777" w:rsidR="008B643D" w:rsidRPr="00930297" w:rsidRDefault="008B643D" w:rsidP="00B96C77">
            <w:pPr>
              <w:ind w:left="-3" w:right="-104"/>
            </w:pPr>
            <w:r w:rsidRPr="00930297">
              <w:t>Controlling for extraneous prognostic factors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1A3787" w14:textId="77777777" w:rsidR="008B643D" w:rsidRPr="00930297" w:rsidRDefault="008B643D" w:rsidP="00B96C77">
            <w:pPr>
              <w:ind w:left="-128" w:right="-99"/>
              <w:jc w:val="center"/>
            </w:pPr>
            <w:r w:rsidRPr="00930297">
              <w:t>√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11846" w14:textId="77777777" w:rsidR="008B643D" w:rsidRPr="00930297" w:rsidRDefault="008B643D" w:rsidP="00B96C77">
            <w:pPr>
              <w:ind w:left="-128" w:right="-99"/>
              <w:jc w:val="center"/>
            </w:pPr>
            <w:r w:rsidRPr="00930297">
              <w:t>√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D144A" w14:textId="77777777" w:rsidR="008B643D" w:rsidRPr="00930297" w:rsidRDefault="008B643D" w:rsidP="005C7876">
            <w:pPr>
              <w:ind w:left="-128" w:right="-99"/>
              <w:jc w:val="center"/>
            </w:pPr>
            <w:r w:rsidRPr="00930297">
              <w:t>√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203312" w14:textId="77777777" w:rsidR="008B643D" w:rsidRPr="00930297" w:rsidRDefault="008B643D" w:rsidP="00B96C77">
            <w:pPr>
              <w:ind w:left="-128" w:right="-99"/>
              <w:jc w:val="center"/>
            </w:pPr>
            <w:r w:rsidRPr="00930297">
              <w:t>√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431B9" w14:textId="77777777" w:rsidR="008B643D" w:rsidRPr="00930297" w:rsidRDefault="008B643D" w:rsidP="005C7876">
            <w:pPr>
              <w:ind w:left="-128" w:right="-99"/>
              <w:jc w:val="center"/>
            </w:pPr>
            <w:r w:rsidRPr="00930297">
              <w:t>√</w:t>
            </w:r>
          </w:p>
        </w:tc>
      </w:tr>
      <w:tr w:rsidR="008B643D" w:rsidRPr="00B071AA" w14:paraId="04962FEC" w14:textId="77777777" w:rsidTr="007F37F4">
        <w:trPr>
          <w:trHeight w:val="323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  <w:vAlign w:val="center"/>
          </w:tcPr>
          <w:p w14:paraId="7DEAE6C0" w14:textId="77777777" w:rsidR="008B643D" w:rsidRPr="00930297" w:rsidRDefault="008B643D" w:rsidP="00B96C77">
            <w:pPr>
              <w:ind w:left="-3" w:right="-104"/>
              <w:rPr>
                <w:color w:val="FFFFFF"/>
              </w:rPr>
            </w:pPr>
            <w:r w:rsidRPr="00930297">
              <w:rPr>
                <w:color w:val="FFFFFF"/>
              </w:rPr>
              <w:t>Evidence Level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  <w:noWrap/>
            <w:vAlign w:val="center"/>
          </w:tcPr>
          <w:p w14:paraId="37A3469E" w14:textId="77777777" w:rsidR="008B643D" w:rsidRPr="00930297" w:rsidRDefault="008B643D" w:rsidP="00B96C77">
            <w:pPr>
              <w:ind w:left="-128" w:right="-99"/>
              <w:jc w:val="center"/>
              <w:rPr>
                <w:color w:val="FFFFFF"/>
              </w:rPr>
            </w:pPr>
            <w:r w:rsidRPr="00930297">
              <w:rPr>
                <w:color w:val="FFFFFF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  <w:vAlign w:val="center"/>
          </w:tcPr>
          <w:p w14:paraId="0DD8E069" w14:textId="77777777" w:rsidR="008B643D" w:rsidRPr="00930297" w:rsidRDefault="008B643D" w:rsidP="00B96C77">
            <w:pPr>
              <w:ind w:left="-128" w:right="-99"/>
              <w:jc w:val="center"/>
              <w:rPr>
                <w:color w:val="FFFFFF"/>
              </w:rPr>
            </w:pPr>
            <w:r w:rsidRPr="00930297">
              <w:rPr>
                <w:color w:val="FFFFFF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  <w:vAlign w:val="center"/>
          </w:tcPr>
          <w:p w14:paraId="5425DAC9" w14:textId="77777777" w:rsidR="008B643D" w:rsidRPr="00930297" w:rsidRDefault="008B643D" w:rsidP="00B96C77">
            <w:pPr>
              <w:ind w:left="-128" w:right="-99"/>
              <w:jc w:val="center"/>
              <w:rPr>
                <w:color w:val="FFFFFF"/>
              </w:rPr>
            </w:pPr>
            <w:r w:rsidRPr="00930297">
              <w:rPr>
                <w:color w:val="FFFFFF"/>
              </w:rPr>
              <w:t>I</w:t>
            </w:r>
            <w:r>
              <w:rPr>
                <w:color w:val="FFFFFF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  <w:noWrap/>
            <w:vAlign w:val="center"/>
          </w:tcPr>
          <w:p w14:paraId="4B47252A" w14:textId="77777777" w:rsidR="008B643D" w:rsidRPr="00930297" w:rsidRDefault="008B643D" w:rsidP="00B96C77">
            <w:pPr>
              <w:ind w:left="-128" w:right="-99"/>
              <w:jc w:val="center"/>
              <w:rPr>
                <w:color w:val="FFFFFF"/>
              </w:rPr>
            </w:pPr>
            <w:r>
              <w:rPr>
                <w:color w:val="FFFFFF"/>
              </w:rPr>
              <w:t>I</w:t>
            </w:r>
            <w:r w:rsidRPr="00930297">
              <w:rPr>
                <w:color w:val="FFFFFF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14:paraId="0369956D" w14:textId="77777777" w:rsidR="008B643D" w:rsidRPr="00930297" w:rsidRDefault="008B643D" w:rsidP="00B96C77">
            <w:pPr>
              <w:ind w:left="-128" w:right="-99"/>
              <w:jc w:val="center"/>
              <w:rPr>
                <w:color w:val="FFFFFF"/>
              </w:rPr>
            </w:pPr>
            <w:r>
              <w:rPr>
                <w:color w:val="FFFFFF"/>
              </w:rPr>
              <w:t>II</w:t>
            </w:r>
          </w:p>
        </w:tc>
      </w:tr>
    </w:tbl>
    <w:p w14:paraId="10B9227D" w14:textId="77777777" w:rsidR="00042CFC" w:rsidRDefault="00042CFC" w:rsidP="00042CFC"/>
    <w:p w14:paraId="296CE044" w14:textId="77777777" w:rsidR="00042CFC" w:rsidRDefault="00042CFC" w:rsidP="00042CFC">
      <w:pPr>
        <w:ind w:right="-630"/>
      </w:pPr>
    </w:p>
    <w:p w14:paraId="50E455C9" w14:textId="77777777" w:rsidR="00042CFC" w:rsidRDefault="00042CFC" w:rsidP="00042CFC">
      <w:pPr>
        <w:ind w:right="-630"/>
      </w:pPr>
    </w:p>
    <w:p w14:paraId="62BBEBFD" w14:textId="77777777" w:rsidR="00042CFC" w:rsidRDefault="00042CFC" w:rsidP="00042CFC">
      <w:pPr>
        <w:ind w:right="-630"/>
      </w:pPr>
    </w:p>
    <w:p w14:paraId="5E593F4C" w14:textId="77777777" w:rsidR="00042CFC" w:rsidRDefault="00042CFC" w:rsidP="00042CFC">
      <w:pPr>
        <w:ind w:right="-630"/>
      </w:pPr>
    </w:p>
    <w:p w14:paraId="20DE2027" w14:textId="77777777" w:rsidR="00042CFC" w:rsidRDefault="00042CFC" w:rsidP="00042CFC">
      <w:pPr>
        <w:ind w:right="-630"/>
      </w:pPr>
    </w:p>
    <w:p w14:paraId="04842DF8" w14:textId="77777777" w:rsidR="00042CFC" w:rsidRDefault="00042CFC" w:rsidP="00042CFC">
      <w:pPr>
        <w:ind w:right="-630"/>
      </w:pPr>
    </w:p>
    <w:p w14:paraId="5DE4469A" w14:textId="77777777" w:rsidR="00042CFC" w:rsidRDefault="00042CFC" w:rsidP="00042CFC">
      <w:pPr>
        <w:ind w:right="-630"/>
      </w:pPr>
    </w:p>
    <w:p w14:paraId="1975750A" w14:textId="77777777" w:rsidR="00042CFC" w:rsidRDefault="00042CFC" w:rsidP="00042CFC">
      <w:pPr>
        <w:ind w:right="-630"/>
      </w:pPr>
    </w:p>
    <w:p w14:paraId="4A17B41C" w14:textId="77777777" w:rsidR="00042CFC" w:rsidRDefault="00042CFC" w:rsidP="00042CFC">
      <w:pPr>
        <w:ind w:right="-630"/>
      </w:pPr>
    </w:p>
    <w:p w14:paraId="0A6567D9" w14:textId="77777777" w:rsidR="00042CFC" w:rsidRDefault="00042CFC" w:rsidP="00042CFC">
      <w:pPr>
        <w:ind w:right="-630"/>
      </w:pPr>
    </w:p>
    <w:p w14:paraId="6F4DA2DB" w14:textId="77777777" w:rsidR="00042CFC" w:rsidRDefault="00042CFC" w:rsidP="00042CFC">
      <w:pPr>
        <w:ind w:right="-630"/>
      </w:pPr>
    </w:p>
    <w:p w14:paraId="106DA026" w14:textId="77777777" w:rsidR="00042CFC" w:rsidRDefault="00042CFC" w:rsidP="00042CFC">
      <w:pPr>
        <w:ind w:right="-630"/>
      </w:pPr>
    </w:p>
    <w:p w14:paraId="58A59D8E" w14:textId="77777777" w:rsidR="00042CFC" w:rsidRDefault="00042CFC" w:rsidP="00042CFC">
      <w:pPr>
        <w:ind w:right="-630"/>
      </w:pPr>
    </w:p>
    <w:p w14:paraId="649A42ED" w14:textId="77777777" w:rsidR="00EE3C1E" w:rsidRDefault="00EE3C1E" w:rsidP="00042CFC">
      <w:pPr>
        <w:ind w:right="-630"/>
      </w:pPr>
    </w:p>
    <w:p w14:paraId="238086F2" w14:textId="77777777" w:rsidR="00803720" w:rsidRPr="000300A0" w:rsidRDefault="00803720" w:rsidP="00164902">
      <w:pPr>
        <w:spacing w:line="480" w:lineRule="auto"/>
      </w:pPr>
      <w:bookmarkStart w:id="0" w:name="_GoBack"/>
      <w:bookmarkEnd w:id="0"/>
    </w:p>
    <w:sectPr w:rsidR="00803720" w:rsidRPr="000300A0" w:rsidSect="00803720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FD12D" w14:textId="77777777" w:rsidR="009F3D61" w:rsidRDefault="009F3D61">
      <w:r>
        <w:separator/>
      </w:r>
    </w:p>
  </w:endnote>
  <w:endnote w:type="continuationSeparator" w:id="0">
    <w:p w14:paraId="35E847A3" w14:textId="77777777" w:rsidR="009F3D61" w:rsidRDefault="009F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í‘àˇø¨∏b$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913D" w14:textId="77777777" w:rsidR="009F3D61" w:rsidRDefault="009F3D61" w:rsidP="00E812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7ABE939E" w14:textId="77777777" w:rsidR="009F3D61" w:rsidRDefault="009F3D61" w:rsidP="00E812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6C223" w14:textId="77777777" w:rsidR="009F3D61" w:rsidRDefault="009F3D61" w:rsidP="00E812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D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829328" w14:textId="77777777" w:rsidR="009F3D61" w:rsidRDefault="009F3D61" w:rsidP="00E812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DAADC" w14:textId="77777777" w:rsidR="009F3D61" w:rsidRDefault="009F3D61">
      <w:r>
        <w:separator/>
      </w:r>
    </w:p>
  </w:footnote>
  <w:footnote w:type="continuationSeparator" w:id="0">
    <w:p w14:paraId="6D50894E" w14:textId="77777777" w:rsidR="009F3D61" w:rsidRDefault="009F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32656" w14:textId="17011E2F" w:rsidR="009F3D61" w:rsidRDefault="009F3D61" w:rsidP="00F011DB">
    <w:pPr>
      <w:pStyle w:val="Header"/>
      <w:jc w:val="right"/>
    </w:pPr>
    <w:r>
      <w:t>Systematic Review: Lumbar Spine ASP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2C5"/>
    <w:multiLevelType w:val="hybridMultilevel"/>
    <w:tmpl w:val="9B72D1DC"/>
    <w:lvl w:ilvl="0" w:tplc="3CBEB0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2D8"/>
    <w:multiLevelType w:val="hybridMultilevel"/>
    <w:tmpl w:val="73B2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91390"/>
    <w:multiLevelType w:val="hybridMultilevel"/>
    <w:tmpl w:val="A35ED71A"/>
    <w:lvl w:ilvl="0" w:tplc="BF825B38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3">
    <w:nsid w:val="059D7D9D"/>
    <w:multiLevelType w:val="hybridMultilevel"/>
    <w:tmpl w:val="6DE6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F70F0"/>
    <w:multiLevelType w:val="hybridMultilevel"/>
    <w:tmpl w:val="349E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3681"/>
    <w:multiLevelType w:val="hybridMultilevel"/>
    <w:tmpl w:val="7F2633CE"/>
    <w:lvl w:ilvl="0" w:tplc="E27ED25E">
      <w:start w:val="1"/>
      <w:numFmt w:val="bullet"/>
      <w:lvlText w:val="o"/>
      <w:lvlJc w:val="left"/>
      <w:pPr>
        <w:tabs>
          <w:tab w:val="num" w:pos="1152"/>
        </w:tabs>
        <w:ind w:left="1152" w:hanging="1152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0DCA1E60"/>
    <w:multiLevelType w:val="hybridMultilevel"/>
    <w:tmpl w:val="0118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57CBB"/>
    <w:multiLevelType w:val="hybridMultilevel"/>
    <w:tmpl w:val="FF18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36FF8"/>
    <w:multiLevelType w:val="hybridMultilevel"/>
    <w:tmpl w:val="8F3A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92C45"/>
    <w:multiLevelType w:val="hybridMultilevel"/>
    <w:tmpl w:val="15A6F7E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>
    <w:nsid w:val="187E541D"/>
    <w:multiLevelType w:val="hybridMultilevel"/>
    <w:tmpl w:val="E784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661D3"/>
    <w:multiLevelType w:val="hybridMultilevel"/>
    <w:tmpl w:val="47A8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D728D"/>
    <w:multiLevelType w:val="hybridMultilevel"/>
    <w:tmpl w:val="AF6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E695A"/>
    <w:multiLevelType w:val="hybridMultilevel"/>
    <w:tmpl w:val="FC96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14C06"/>
    <w:multiLevelType w:val="hybridMultilevel"/>
    <w:tmpl w:val="86D4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42ADB"/>
    <w:multiLevelType w:val="hybridMultilevel"/>
    <w:tmpl w:val="B2C01FDE"/>
    <w:lvl w:ilvl="0" w:tplc="DF5E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95E94"/>
    <w:multiLevelType w:val="hybridMultilevel"/>
    <w:tmpl w:val="D0C6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5067C"/>
    <w:multiLevelType w:val="hybridMultilevel"/>
    <w:tmpl w:val="DE32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C6880"/>
    <w:multiLevelType w:val="hybridMultilevel"/>
    <w:tmpl w:val="8F5C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E435E"/>
    <w:multiLevelType w:val="hybridMultilevel"/>
    <w:tmpl w:val="3B56AC1C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>
    <w:nsid w:val="40FA69B7"/>
    <w:multiLevelType w:val="hybridMultilevel"/>
    <w:tmpl w:val="B9F0A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126792"/>
    <w:multiLevelType w:val="hybridMultilevel"/>
    <w:tmpl w:val="4A4E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701FC"/>
    <w:multiLevelType w:val="hybridMultilevel"/>
    <w:tmpl w:val="8696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7240F"/>
    <w:multiLevelType w:val="hybridMultilevel"/>
    <w:tmpl w:val="1A4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367E2"/>
    <w:multiLevelType w:val="hybridMultilevel"/>
    <w:tmpl w:val="2350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44941"/>
    <w:multiLevelType w:val="hybridMultilevel"/>
    <w:tmpl w:val="1E4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151B6"/>
    <w:multiLevelType w:val="hybridMultilevel"/>
    <w:tmpl w:val="DD7A3F56"/>
    <w:lvl w:ilvl="0" w:tplc="3162C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42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25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EF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82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09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6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8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69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821693D"/>
    <w:multiLevelType w:val="hybridMultilevel"/>
    <w:tmpl w:val="30DE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D6AEE"/>
    <w:multiLevelType w:val="hybridMultilevel"/>
    <w:tmpl w:val="18025E8E"/>
    <w:lvl w:ilvl="0" w:tplc="3CBEB0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66BE8"/>
    <w:multiLevelType w:val="hybridMultilevel"/>
    <w:tmpl w:val="E5A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265BE"/>
    <w:multiLevelType w:val="hybridMultilevel"/>
    <w:tmpl w:val="D806FABA"/>
    <w:lvl w:ilvl="0" w:tplc="037C27D4">
      <w:start w:val="1"/>
      <w:numFmt w:val="bullet"/>
      <w:lvlText w:val="-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>
    <w:nsid w:val="50BA490F"/>
    <w:multiLevelType w:val="multilevel"/>
    <w:tmpl w:val="7F2633CE"/>
    <w:lvl w:ilvl="0">
      <w:start w:val="1"/>
      <w:numFmt w:val="bullet"/>
      <w:lvlText w:val="o"/>
      <w:lvlJc w:val="left"/>
      <w:pPr>
        <w:tabs>
          <w:tab w:val="num" w:pos="1152"/>
        </w:tabs>
        <w:ind w:left="1152" w:hanging="115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2">
    <w:nsid w:val="51127788"/>
    <w:multiLevelType w:val="hybridMultilevel"/>
    <w:tmpl w:val="C41E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A67D6D"/>
    <w:multiLevelType w:val="hybridMultilevel"/>
    <w:tmpl w:val="0E74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C373E"/>
    <w:multiLevelType w:val="hybridMultilevel"/>
    <w:tmpl w:val="272A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C1591"/>
    <w:multiLevelType w:val="hybridMultilevel"/>
    <w:tmpl w:val="01BC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55A11"/>
    <w:multiLevelType w:val="hybridMultilevel"/>
    <w:tmpl w:val="FE74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77D2F"/>
    <w:multiLevelType w:val="hybridMultilevel"/>
    <w:tmpl w:val="880E0C02"/>
    <w:lvl w:ilvl="0" w:tplc="FF702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6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42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E7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68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8E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09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2B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0A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AE949FC"/>
    <w:multiLevelType w:val="hybridMultilevel"/>
    <w:tmpl w:val="1DAA87AC"/>
    <w:lvl w:ilvl="0" w:tplc="7C7AC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AA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0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22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21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88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67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62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02C2264"/>
    <w:multiLevelType w:val="hybridMultilevel"/>
    <w:tmpl w:val="262E399A"/>
    <w:lvl w:ilvl="0" w:tplc="22047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43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F66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70F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20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02D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40B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62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4F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4081591"/>
    <w:multiLevelType w:val="hybridMultilevel"/>
    <w:tmpl w:val="0D62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90BB3"/>
    <w:multiLevelType w:val="hybridMultilevel"/>
    <w:tmpl w:val="00CC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43CA0"/>
    <w:multiLevelType w:val="hybridMultilevel"/>
    <w:tmpl w:val="BEF2E154"/>
    <w:lvl w:ilvl="0" w:tplc="D400A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9D5B36"/>
    <w:multiLevelType w:val="hybridMultilevel"/>
    <w:tmpl w:val="FC12FE7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>
    <w:nsid w:val="7791396E"/>
    <w:multiLevelType w:val="hybridMultilevel"/>
    <w:tmpl w:val="C168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732FE5"/>
    <w:multiLevelType w:val="hybridMultilevel"/>
    <w:tmpl w:val="3144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0C4450"/>
    <w:multiLevelType w:val="hybridMultilevel"/>
    <w:tmpl w:val="06C2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81018B"/>
    <w:multiLevelType w:val="hybridMultilevel"/>
    <w:tmpl w:val="D944869C"/>
    <w:lvl w:ilvl="0" w:tplc="9980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A7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69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2B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C6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6F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E3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2D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2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E51407A"/>
    <w:multiLevelType w:val="hybridMultilevel"/>
    <w:tmpl w:val="A1888A16"/>
    <w:lvl w:ilvl="0" w:tplc="0ECCF76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953DB5"/>
    <w:multiLevelType w:val="hybridMultilevel"/>
    <w:tmpl w:val="25E6698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9"/>
  </w:num>
  <w:num w:numId="4">
    <w:abstractNumId w:val="10"/>
  </w:num>
  <w:num w:numId="5">
    <w:abstractNumId w:val="0"/>
  </w:num>
  <w:num w:numId="6">
    <w:abstractNumId w:val="30"/>
  </w:num>
  <w:num w:numId="7">
    <w:abstractNumId w:val="28"/>
  </w:num>
  <w:num w:numId="8">
    <w:abstractNumId w:val="15"/>
  </w:num>
  <w:num w:numId="9">
    <w:abstractNumId w:val="2"/>
  </w:num>
  <w:num w:numId="10">
    <w:abstractNumId w:val="4"/>
  </w:num>
  <w:num w:numId="11">
    <w:abstractNumId w:val="27"/>
  </w:num>
  <w:num w:numId="12">
    <w:abstractNumId w:val="12"/>
  </w:num>
  <w:num w:numId="13">
    <w:abstractNumId w:val="41"/>
  </w:num>
  <w:num w:numId="14">
    <w:abstractNumId w:val="42"/>
  </w:num>
  <w:num w:numId="15">
    <w:abstractNumId w:val="6"/>
  </w:num>
  <w:num w:numId="16">
    <w:abstractNumId w:val="23"/>
  </w:num>
  <w:num w:numId="17">
    <w:abstractNumId w:val="13"/>
  </w:num>
  <w:num w:numId="18">
    <w:abstractNumId w:val="34"/>
  </w:num>
  <w:num w:numId="19">
    <w:abstractNumId w:val="45"/>
  </w:num>
  <w:num w:numId="20">
    <w:abstractNumId w:val="40"/>
  </w:num>
  <w:num w:numId="21">
    <w:abstractNumId w:val="3"/>
  </w:num>
  <w:num w:numId="22">
    <w:abstractNumId w:val="29"/>
  </w:num>
  <w:num w:numId="23">
    <w:abstractNumId w:val="39"/>
  </w:num>
  <w:num w:numId="24">
    <w:abstractNumId w:val="20"/>
  </w:num>
  <w:num w:numId="25">
    <w:abstractNumId w:val="11"/>
  </w:num>
  <w:num w:numId="26">
    <w:abstractNumId w:val="32"/>
  </w:num>
  <w:num w:numId="27">
    <w:abstractNumId w:val="21"/>
  </w:num>
  <w:num w:numId="28">
    <w:abstractNumId w:val="48"/>
  </w:num>
  <w:num w:numId="29">
    <w:abstractNumId w:val="16"/>
  </w:num>
  <w:num w:numId="30">
    <w:abstractNumId w:val="36"/>
  </w:num>
  <w:num w:numId="31">
    <w:abstractNumId w:val="43"/>
  </w:num>
  <w:num w:numId="32">
    <w:abstractNumId w:val="22"/>
  </w:num>
  <w:num w:numId="33">
    <w:abstractNumId w:val="25"/>
  </w:num>
  <w:num w:numId="34">
    <w:abstractNumId w:val="8"/>
  </w:num>
  <w:num w:numId="35">
    <w:abstractNumId w:val="49"/>
  </w:num>
  <w:num w:numId="36">
    <w:abstractNumId w:val="44"/>
  </w:num>
  <w:num w:numId="37">
    <w:abstractNumId w:val="46"/>
  </w:num>
  <w:num w:numId="38">
    <w:abstractNumId w:val="24"/>
  </w:num>
  <w:num w:numId="39">
    <w:abstractNumId w:val="1"/>
  </w:num>
  <w:num w:numId="40">
    <w:abstractNumId w:val="18"/>
  </w:num>
  <w:num w:numId="41">
    <w:abstractNumId w:val="14"/>
  </w:num>
  <w:num w:numId="42">
    <w:abstractNumId w:val="33"/>
  </w:num>
  <w:num w:numId="43">
    <w:abstractNumId w:val="7"/>
  </w:num>
  <w:num w:numId="44">
    <w:abstractNumId w:val="35"/>
  </w:num>
  <w:num w:numId="45">
    <w:abstractNumId w:val="19"/>
  </w:num>
  <w:num w:numId="46">
    <w:abstractNumId w:val="37"/>
  </w:num>
  <w:num w:numId="47">
    <w:abstractNumId w:val="26"/>
  </w:num>
  <w:num w:numId="48">
    <w:abstractNumId w:val="47"/>
  </w:num>
  <w:num w:numId="49">
    <w:abstractNumId w:val="3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9xtffv2f9wd2re0zar5zxtmr5d9w2zrr202&quot;&gt;ASD Risk factors&lt;record-ids&gt;&lt;item&gt;1&lt;/item&gt;&lt;item&gt;2&lt;/item&gt;&lt;item&gt;3&lt;/item&gt;&lt;item&gt;5&lt;/item&gt;&lt;item&gt;6&lt;/item&gt;&lt;item&gt;7&lt;/item&gt;&lt;item&gt;8&lt;/item&gt;&lt;item&gt;9&lt;/item&gt;&lt;item&gt;10&lt;/item&gt;&lt;item&gt;11&lt;/item&gt;&lt;item&gt;12&lt;/item&gt;&lt;item&gt;14&lt;/item&gt;&lt;item&gt;15&lt;/item&gt;&lt;item&gt;16&lt;/item&gt;&lt;item&gt;17&lt;/item&gt;&lt;item&gt;18&lt;/item&gt;&lt;item&gt;19&lt;/item&gt;&lt;item&gt;20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6&lt;/item&gt;&lt;item&gt;37&lt;/item&gt;&lt;item&gt;38&lt;/item&gt;&lt;item&gt;39&lt;/item&gt;&lt;item&gt;40&lt;/item&gt;&lt;item&gt;41&lt;/item&gt;&lt;/record-ids&gt;&lt;/item&gt;&lt;/Libraries&gt;"/>
  </w:docVars>
  <w:rsids>
    <w:rsidRoot w:val="00BE0033"/>
    <w:rsid w:val="0000386A"/>
    <w:rsid w:val="00003E02"/>
    <w:rsid w:val="000143F0"/>
    <w:rsid w:val="000239F1"/>
    <w:rsid w:val="00025D57"/>
    <w:rsid w:val="00025D6D"/>
    <w:rsid w:val="00026087"/>
    <w:rsid w:val="00031B5D"/>
    <w:rsid w:val="00035589"/>
    <w:rsid w:val="00042CFC"/>
    <w:rsid w:val="00050797"/>
    <w:rsid w:val="00050DF4"/>
    <w:rsid w:val="00060743"/>
    <w:rsid w:val="00065E5E"/>
    <w:rsid w:val="000732F5"/>
    <w:rsid w:val="00077B9D"/>
    <w:rsid w:val="00083065"/>
    <w:rsid w:val="000843E6"/>
    <w:rsid w:val="000859AA"/>
    <w:rsid w:val="00087434"/>
    <w:rsid w:val="00087747"/>
    <w:rsid w:val="00090757"/>
    <w:rsid w:val="000919D2"/>
    <w:rsid w:val="000932D6"/>
    <w:rsid w:val="0009415B"/>
    <w:rsid w:val="00096978"/>
    <w:rsid w:val="0009743C"/>
    <w:rsid w:val="000A5A3C"/>
    <w:rsid w:val="000C0097"/>
    <w:rsid w:val="000C107F"/>
    <w:rsid w:val="000D3AD1"/>
    <w:rsid w:val="000D7DBB"/>
    <w:rsid w:val="000E093F"/>
    <w:rsid w:val="000E39DA"/>
    <w:rsid w:val="000E49D9"/>
    <w:rsid w:val="000E5A4D"/>
    <w:rsid w:val="000E5CBB"/>
    <w:rsid w:val="000E7207"/>
    <w:rsid w:val="000E7A20"/>
    <w:rsid w:val="000E7B57"/>
    <w:rsid w:val="000F6992"/>
    <w:rsid w:val="001052E6"/>
    <w:rsid w:val="00114469"/>
    <w:rsid w:val="00114CE4"/>
    <w:rsid w:val="001160E4"/>
    <w:rsid w:val="001175A8"/>
    <w:rsid w:val="00123854"/>
    <w:rsid w:val="00123EF7"/>
    <w:rsid w:val="001243AB"/>
    <w:rsid w:val="00127126"/>
    <w:rsid w:val="00131BFE"/>
    <w:rsid w:val="00133137"/>
    <w:rsid w:val="00137B7A"/>
    <w:rsid w:val="00142650"/>
    <w:rsid w:val="00143CF5"/>
    <w:rsid w:val="0015225D"/>
    <w:rsid w:val="0016140D"/>
    <w:rsid w:val="00161453"/>
    <w:rsid w:val="00164902"/>
    <w:rsid w:val="00167541"/>
    <w:rsid w:val="00172F87"/>
    <w:rsid w:val="001743E2"/>
    <w:rsid w:val="0017685D"/>
    <w:rsid w:val="00176B36"/>
    <w:rsid w:val="00181536"/>
    <w:rsid w:val="00181840"/>
    <w:rsid w:val="0018190B"/>
    <w:rsid w:val="00184B04"/>
    <w:rsid w:val="001929D7"/>
    <w:rsid w:val="00193FC9"/>
    <w:rsid w:val="001A1055"/>
    <w:rsid w:val="001A5755"/>
    <w:rsid w:val="001A7E17"/>
    <w:rsid w:val="001B09DF"/>
    <w:rsid w:val="001B6C64"/>
    <w:rsid w:val="001B74AC"/>
    <w:rsid w:val="001B7B7E"/>
    <w:rsid w:val="001C583E"/>
    <w:rsid w:val="001D4C0A"/>
    <w:rsid w:val="001D5F08"/>
    <w:rsid w:val="001E052C"/>
    <w:rsid w:val="001E5FD9"/>
    <w:rsid w:val="001F435A"/>
    <w:rsid w:val="001F4FA6"/>
    <w:rsid w:val="001F55AD"/>
    <w:rsid w:val="00200FC1"/>
    <w:rsid w:val="00201752"/>
    <w:rsid w:val="00203679"/>
    <w:rsid w:val="00205301"/>
    <w:rsid w:val="00205FE7"/>
    <w:rsid w:val="0021423C"/>
    <w:rsid w:val="00220AE2"/>
    <w:rsid w:val="002315A9"/>
    <w:rsid w:val="00232DD8"/>
    <w:rsid w:val="00233EA1"/>
    <w:rsid w:val="002368E9"/>
    <w:rsid w:val="00244BEA"/>
    <w:rsid w:val="002462D5"/>
    <w:rsid w:val="00250857"/>
    <w:rsid w:val="00257A6E"/>
    <w:rsid w:val="00257F97"/>
    <w:rsid w:val="0026152B"/>
    <w:rsid w:val="00263E2B"/>
    <w:rsid w:val="0027376D"/>
    <w:rsid w:val="00273C73"/>
    <w:rsid w:val="00275A87"/>
    <w:rsid w:val="00281B33"/>
    <w:rsid w:val="0028515A"/>
    <w:rsid w:val="002864E7"/>
    <w:rsid w:val="00286955"/>
    <w:rsid w:val="0029041A"/>
    <w:rsid w:val="00290DAE"/>
    <w:rsid w:val="002A3376"/>
    <w:rsid w:val="002A6BD4"/>
    <w:rsid w:val="002B69EE"/>
    <w:rsid w:val="002D0F6C"/>
    <w:rsid w:val="002E14D8"/>
    <w:rsid w:val="002E1C4F"/>
    <w:rsid w:val="002E2B5F"/>
    <w:rsid w:val="002E6F91"/>
    <w:rsid w:val="002E78FA"/>
    <w:rsid w:val="002F196A"/>
    <w:rsid w:val="002F6FCB"/>
    <w:rsid w:val="0030217F"/>
    <w:rsid w:val="00302965"/>
    <w:rsid w:val="00302A2C"/>
    <w:rsid w:val="0032090B"/>
    <w:rsid w:val="0032396B"/>
    <w:rsid w:val="003253C8"/>
    <w:rsid w:val="00333DB5"/>
    <w:rsid w:val="00333F5E"/>
    <w:rsid w:val="00334F0B"/>
    <w:rsid w:val="00336EAE"/>
    <w:rsid w:val="00344324"/>
    <w:rsid w:val="00345FC8"/>
    <w:rsid w:val="00350BBF"/>
    <w:rsid w:val="0035195C"/>
    <w:rsid w:val="00354546"/>
    <w:rsid w:val="00360461"/>
    <w:rsid w:val="003606FE"/>
    <w:rsid w:val="00360B55"/>
    <w:rsid w:val="00360E56"/>
    <w:rsid w:val="00361A21"/>
    <w:rsid w:val="00366DB2"/>
    <w:rsid w:val="003704E6"/>
    <w:rsid w:val="00372020"/>
    <w:rsid w:val="00376145"/>
    <w:rsid w:val="003761FE"/>
    <w:rsid w:val="003774CC"/>
    <w:rsid w:val="003779C2"/>
    <w:rsid w:val="00377E1C"/>
    <w:rsid w:val="0038522C"/>
    <w:rsid w:val="00385E1C"/>
    <w:rsid w:val="00393178"/>
    <w:rsid w:val="00394E97"/>
    <w:rsid w:val="003A171C"/>
    <w:rsid w:val="003A2870"/>
    <w:rsid w:val="003A4EDB"/>
    <w:rsid w:val="003A4FB9"/>
    <w:rsid w:val="003A5EF4"/>
    <w:rsid w:val="003A7D7E"/>
    <w:rsid w:val="003B0FE5"/>
    <w:rsid w:val="003B5C42"/>
    <w:rsid w:val="003C0EA3"/>
    <w:rsid w:val="003C494A"/>
    <w:rsid w:val="003D3573"/>
    <w:rsid w:val="003D4DBE"/>
    <w:rsid w:val="003E37CB"/>
    <w:rsid w:val="003E5AEE"/>
    <w:rsid w:val="003F7E6B"/>
    <w:rsid w:val="003F7ED4"/>
    <w:rsid w:val="004029BD"/>
    <w:rsid w:val="00402A23"/>
    <w:rsid w:val="004073D1"/>
    <w:rsid w:val="00410D0A"/>
    <w:rsid w:val="00411474"/>
    <w:rsid w:val="00415233"/>
    <w:rsid w:val="00423CCA"/>
    <w:rsid w:val="00425D35"/>
    <w:rsid w:val="00431803"/>
    <w:rsid w:val="00434586"/>
    <w:rsid w:val="00435564"/>
    <w:rsid w:val="00440F25"/>
    <w:rsid w:val="00447D3A"/>
    <w:rsid w:val="004502DE"/>
    <w:rsid w:val="00450C3F"/>
    <w:rsid w:val="00452D46"/>
    <w:rsid w:val="00452F78"/>
    <w:rsid w:val="00456A99"/>
    <w:rsid w:val="00462309"/>
    <w:rsid w:val="004630B8"/>
    <w:rsid w:val="00471A45"/>
    <w:rsid w:val="0047275D"/>
    <w:rsid w:val="00475FE2"/>
    <w:rsid w:val="0048267A"/>
    <w:rsid w:val="00482736"/>
    <w:rsid w:val="004831CB"/>
    <w:rsid w:val="004831DF"/>
    <w:rsid w:val="00486E28"/>
    <w:rsid w:val="00491F6B"/>
    <w:rsid w:val="004950DB"/>
    <w:rsid w:val="004A3BE1"/>
    <w:rsid w:val="004A4660"/>
    <w:rsid w:val="004A5252"/>
    <w:rsid w:val="004A5273"/>
    <w:rsid w:val="004A5384"/>
    <w:rsid w:val="004A6F2A"/>
    <w:rsid w:val="004A7ACA"/>
    <w:rsid w:val="004B3ECB"/>
    <w:rsid w:val="004B5922"/>
    <w:rsid w:val="004C0E24"/>
    <w:rsid w:val="004C0F18"/>
    <w:rsid w:val="004C372B"/>
    <w:rsid w:val="004C48E5"/>
    <w:rsid w:val="004C7953"/>
    <w:rsid w:val="004D04F4"/>
    <w:rsid w:val="004D392D"/>
    <w:rsid w:val="004D3C7B"/>
    <w:rsid w:val="004D6CF1"/>
    <w:rsid w:val="004E092E"/>
    <w:rsid w:val="004E7906"/>
    <w:rsid w:val="004E7F93"/>
    <w:rsid w:val="004F0B2E"/>
    <w:rsid w:val="004F0E31"/>
    <w:rsid w:val="004F397B"/>
    <w:rsid w:val="004F5A69"/>
    <w:rsid w:val="005100D7"/>
    <w:rsid w:val="005108CC"/>
    <w:rsid w:val="005163E8"/>
    <w:rsid w:val="00516500"/>
    <w:rsid w:val="00521FFE"/>
    <w:rsid w:val="00523351"/>
    <w:rsid w:val="005339DC"/>
    <w:rsid w:val="00535A9C"/>
    <w:rsid w:val="00543E19"/>
    <w:rsid w:val="00545023"/>
    <w:rsid w:val="00546F11"/>
    <w:rsid w:val="00550028"/>
    <w:rsid w:val="0055026E"/>
    <w:rsid w:val="00552D25"/>
    <w:rsid w:val="005533F4"/>
    <w:rsid w:val="0055395C"/>
    <w:rsid w:val="0057173A"/>
    <w:rsid w:val="005762C9"/>
    <w:rsid w:val="00580615"/>
    <w:rsid w:val="00583242"/>
    <w:rsid w:val="005839BC"/>
    <w:rsid w:val="00584ADF"/>
    <w:rsid w:val="00585244"/>
    <w:rsid w:val="00585515"/>
    <w:rsid w:val="00585F5C"/>
    <w:rsid w:val="00592C89"/>
    <w:rsid w:val="0059534C"/>
    <w:rsid w:val="00596282"/>
    <w:rsid w:val="005A058D"/>
    <w:rsid w:val="005A5502"/>
    <w:rsid w:val="005B08F6"/>
    <w:rsid w:val="005B2AC8"/>
    <w:rsid w:val="005C6EB4"/>
    <w:rsid w:val="005C7876"/>
    <w:rsid w:val="005D5969"/>
    <w:rsid w:val="005E4050"/>
    <w:rsid w:val="005F1A01"/>
    <w:rsid w:val="005F512F"/>
    <w:rsid w:val="005F593E"/>
    <w:rsid w:val="00600B5A"/>
    <w:rsid w:val="00604ABA"/>
    <w:rsid w:val="00604D07"/>
    <w:rsid w:val="006068EB"/>
    <w:rsid w:val="00617CCB"/>
    <w:rsid w:val="0062002A"/>
    <w:rsid w:val="00622145"/>
    <w:rsid w:val="00627412"/>
    <w:rsid w:val="00637734"/>
    <w:rsid w:val="00637D00"/>
    <w:rsid w:val="00637D1E"/>
    <w:rsid w:val="00641B94"/>
    <w:rsid w:val="00644777"/>
    <w:rsid w:val="006516DD"/>
    <w:rsid w:val="0065297E"/>
    <w:rsid w:val="006647EF"/>
    <w:rsid w:val="00665211"/>
    <w:rsid w:val="00670144"/>
    <w:rsid w:val="00677175"/>
    <w:rsid w:val="00681FDC"/>
    <w:rsid w:val="00684E5B"/>
    <w:rsid w:val="00684EEA"/>
    <w:rsid w:val="0068782A"/>
    <w:rsid w:val="006908C9"/>
    <w:rsid w:val="006918CB"/>
    <w:rsid w:val="00694FE6"/>
    <w:rsid w:val="006A016C"/>
    <w:rsid w:val="006A68C0"/>
    <w:rsid w:val="006B131A"/>
    <w:rsid w:val="006C367D"/>
    <w:rsid w:val="006C4D1F"/>
    <w:rsid w:val="006D114A"/>
    <w:rsid w:val="006D15F7"/>
    <w:rsid w:val="006D1F01"/>
    <w:rsid w:val="006D436E"/>
    <w:rsid w:val="006F13D6"/>
    <w:rsid w:val="00702608"/>
    <w:rsid w:val="007042DC"/>
    <w:rsid w:val="00712DFE"/>
    <w:rsid w:val="00720BAE"/>
    <w:rsid w:val="007264C8"/>
    <w:rsid w:val="007274F9"/>
    <w:rsid w:val="00731F07"/>
    <w:rsid w:val="007329A5"/>
    <w:rsid w:val="0073358A"/>
    <w:rsid w:val="00733C91"/>
    <w:rsid w:val="00740493"/>
    <w:rsid w:val="00744E53"/>
    <w:rsid w:val="00747CE4"/>
    <w:rsid w:val="00750204"/>
    <w:rsid w:val="007558CB"/>
    <w:rsid w:val="00760219"/>
    <w:rsid w:val="00766144"/>
    <w:rsid w:val="0076699E"/>
    <w:rsid w:val="00772EF8"/>
    <w:rsid w:val="00777CFA"/>
    <w:rsid w:val="007819AE"/>
    <w:rsid w:val="00784320"/>
    <w:rsid w:val="007851F1"/>
    <w:rsid w:val="0078791D"/>
    <w:rsid w:val="007925DE"/>
    <w:rsid w:val="007A0D6A"/>
    <w:rsid w:val="007A7FB6"/>
    <w:rsid w:val="007B22A1"/>
    <w:rsid w:val="007B3692"/>
    <w:rsid w:val="007B6B64"/>
    <w:rsid w:val="007C35D7"/>
    <w:rsid w:val="007C7EF2"/>
    <w:rsid w:val="007D5FEC"/>
    <w:rsid w:val="007D6106"/>
    <w:rsid w:val="007D6972"/>
    <w:rsid w:val="007D7025"/>
    <w:rsid w:val="007D7461"/>
    <w:rsid w:val="007D7ED2"/>
    <w:rsid w:val="007E0CB0"/>
    <w:rsid w:val="007E4F7D"/>
    <w:rsid w:val="007E571F"/>
    <w:rsid w:val="007F09CA"/>
    <w:rsid w:val="007F2C6C"/>
    <w:rsid w:val="007F37F4"/>
    <w:rsid w:val="007F6E06"/>
    <w:rsid w:val="007F7030"/>
    <w:rsid w:val="00800A4A"/>
    <w:rsid w:val="00802BA2"/>
    <w:rsid w:val="00803720"/>
    <w:rsid w:val="008067A2"/>
    <w:rsid w:val="00810402"/>
    <w:rsid w:val="00815484"/>
    <w:rsid w:val="008210F7"/>
    <w:rsid w:val="00826F00"/>
    <w:rsid w:val="00827C5B"/>
    <w:rsid w:val="00830B67"/>
    <w:rsid w:val="00830FF3"/>
    <w:rsid w:val="00833637"/>
    <w:rsid w:val="00836862"/>
    <w:rsid w:val="008440B3"/>
    <w:rsid w:val="00846C87"/>
    <w:rsid w:val="00855B05"/>
    <w:rsid w:val="008563E4"/>
    <w:rsid w:val="008627A0"/>
    <w:rsid w:val="0086563A"/>
    <w:rsid w:val="0087384F"/>
    <w:rsid w:val="00873B47"/>
    <w:rsid w:val="00883D52"/>
    <w:rsid w:val="008841C6"/>
    <w:rsid w:val="0088750F"/>
    <w:rsid w:val="008A3FEA"/>
    <w:rsid w:val="008A41AE"/>
    <w:rsid w:val="008B1390"/>
    <w:rsid w:val="008B4CE6"/>
    <w:rsid w:val="008B643D"/>
    <w:rsid w:val="008B7B1C"/>
    <w:rsid w:val="008C6178"/>
    <w:rsid w:val="008C636E"/>
    <w:rsid w:val="008D0A59"/>
    <w:rsid w:val="008D3C36"/>
    <w:rsid w:val="008D77C6"/>
    <w:rsid w:val="008E06BC"/>
    <w:rsid w:val="008E513C"/>
    <w:rsid w:val="008F3587"/>
    <w:rsid w:val="008F4E82"/>
    <w:rsid w:val="00903AEA"/>
    <w:rsid w:val="009048BE"/>
    <w:rsid w:val="00906944"/>
    <w:rsid w:val="0090787E"/>
    <w:rsid w:val="009109C5"/>
    <w:rsid w:val="009119C6"/>
    <w:rsid w:val="00914A14"/>
    <w:rsid w:val="0091733E"/>
    <w:rsid w:val="00921EFA"/>
    <w:rsid w:val="009243CA"/>
    <w:rsid w:val="009277D8"/>
    <w:rsid w:val="00930297"/>
    <w:rsid w:val="0093044C"/>
    <w:rsid w:val="00932474"/>
    <w:rsid w:val="00941CA6"/>
    <w:rsid w:val="00943BBF"/>
    <w:rsid w:val="009450ED"/>
    <w:rsid w:val="0094766C"/>
    <w:rsid w:val="00950770"/>
    <w:rsid w:val="0095213A"/>
    <w:rsid w:val="00954ECA"/>
    <w:rsid w:val="00955A53"/>
    <w:rsid w:val="00956F6C"/>
    <w:rsid w:val="009601B1"/>
    <w:rsid w:val="00965C89"/>
    <w:rsid w:val="00967D8C"/>
    <w:rsid w:val="009753EB"/>
    <w:rsid w:val="00976E5C"/>
    <w:rsid w:val="00987A91"/>
    <w:rsid w:val="00987AA8"/>
    <w:rsid w:val="009943EB"/>
    <w:rsid w:val="009A04AB"/>
    <w:rsid w:val="009B03E1"/>
    <w:rsid w:val="009B0A00"/>
    <w:rsid w:val="009B33FE"/>
    <w:rsid w:val="009B5B95"/>
    <w:rsid w:val="009C01D9"/>
    <w:rsid w:val="009C3869"/>
    <w:rsid w:val="009C5FA6"/>
    <w:rsid w:val="009D5384"/>
    <w:rsid w:val="009E6F01"/>
    <w:rsid w:val="009E78B6"/>
    <w:rsid w:val="009F2E97"/>
    <w:rsid w:val="009F3D61"/>
    <w:rsid w:val="00A0023B"/>
    <w:rsid w:val="00A016D8"/>
    <w:rsid w:val="00A101FA"/>
    <w:rsid w:val="00A11055"/>
    <w:rsid w:val="00A131DF"/>
    <w:rsid w:val="00A15744"/>
    <w:rsid w:val="00A250A9"/>
    <w:rsid w:val="00A25427"/>
    <w:rsid w:val="00A25DF8"/>
    <w:rsid w:val="00A27439"/>
    <w:rsid w:val="00A30B48"/>
    <w:rsid w:val="00A30ECE"/>
    <w:rsid w:val="00A33839"/>
    <w:rsid w:val="00A33B51"/>
    <w:rsid w:val="00A37651"/>
    <w:rsid w:val="00A4076B"/>
    <w:rsid w:val="00A40D22"/>
    <w:rsid w:val="00A41C6A"/>
    <w:rsid w:val="00A44003"/>
    <w:rsid w:val="00A47B3E"/>
    <w:rsid w:val="00A50C3A"/>
    <w:rsid w:val="00A60995"/>
    <w:rsid w:val="00A67427"/>
    <w:rsid w:val="00A7061B"/>
    <w:rsid w:val="00A71D32"/>
    <w:rsid w:val="00A71FC8"/>
    <w:rsid w:val="00A72E33"/>
    <w:rsid w:val="00A74427"/>
    <w:rsid w:val="00A7733B"/>
    <w:rsid w:val="00A8029F"/>
    <w:rsid w:val="00A80580"/>
    <w:rsid w:val="00A83D0B"/>
    <w:rsid w:val="00A84245"/>
    <w:rsid w:val="00A94722"/>
    <w:rsid w:val="00AA22C2"/>
    <w:rsid w:val="00AA5826"/>
    <w:rsid w:val="00AA6B36"/>
    <w:rsid w:val="00AB104C"/>
    <w:rsid w:val="00AB125A"/>
    <w:rsid w:val="00AB3209"/>
    <w:rsid w:val="00AB3CF7"/>
    <w:rsid w:val="00AD3536"/>
    <w:rsid w:val="00AD59FD"/>
    <w:rsid w:val="00AD6F8F"/>
    <w:rsid w:val="00AE7CAC"/>
    <w:rsid w:val="00AF0EBD"/>
    <w:rsid w:val="00AF10C9"/>
    <w:rsid w:val="00AF18FE"/>
    <w:rsid w:val="00AF4F7B"/>
    <w:rsid w:val="00AF562B"/>
    <w:rsid w:val="00B04622"/>
    <w:rsid w:val="00B04F8E"/>
    <w:rsid w:val="00B06090"/>
    <w:rsid w:val="00B12F73"/>
    <w:rsid w:val="00B134D9"/>
    <w:rsid w:val="00B13FF0"/>
    <w:rsid w:val="00B146F5"/>
    <w:rsid w:val="00B176C2"/>
    <w:rsid w:val="00B22EA6"/>
    <w:rsid w:val="00B239AA"/>
    <w:rsid w:val="00B25F5E"/>
    <w:rsid w:val="00B3123F"/>
    <w:rsid w:val="00B31620"/>
    <w:rsid w:val="00B3230D"/>
    <w:rsid w:val="00B32EAB"/>
    <w:rsid w:val="00B43B43"/>
    <w:rsid w:val="00B46F33"/>
    <w:rsid w:val="00B52B5D"/>
    <w:rsid w:val="00B53D62"/>
    <w:rsid w:val="00B6128F"/>
    <w:rsid w:val="00B637A0"/>
    <w:rsid w:val="00B734ED"/>
    <w:rsid w:val="00B747D0"/>
    <w:rsid w:val="00B757DD"/>
    <w:rsid w:val="00B77D2C"/>
    <w:rsid w:val="00B86C8C"/>
    <w:rsid w:val="00B91E65"/>
    <w:rsid w:val="00B96C77"/>
    <w:rsid w:val="00BA0849"/>
    <w:rsid w:val="00BA3ABF"/>
    <w:rsid w:val="00BA450B"/>
    <w:rsid w:val="00BA6120"/>
    <w:rsid w:val="00BB7047"/>
    <w:rsid w:val="00BC4AA7"/>
    <w:rsid w:val="00BC7351"/>
    <w:rsid w:val="00BD3C0C"/>
    <w:rsid w:val="00BD53EC"/>
    <w:rsid w:val="00BD7D15"/>
    <w:rsid w:val="00BE0033"/>
    <w:rsid w:val="00BE18CA"/>
    <w:rsid w:val="00BE2009"/>
    <w:rsid w:val="00BE2C9C"/>
    <w:rsid w:val="00BE6299"/>
    <w:rsid w:val="00BF278A"/>
    <w:rsid w:val="00BF3F1E"/>
    <w:rsid w:val="00BF41D5"/>
    <w:rsid w:val="00BF7D22"/>
    <w:rsid w:val="00C029C2"/>
    <w:rsid w:val="00C02A6A"/>
    <w:rsid w:val="00C05AF5"/>
    <w:rsid w:val="00C35BDD"/>
    <w:rsid w:val="00C44DA2"/>
    <w:rsid w:val="00C450F9"/>
    <w:rsid w:val="00C478BD"/>
    <w:rsid w:val="00C50415"/>
    <w:rsid w:val="00C52412"/>
    <w:rsid w:val="00C52778"/>
    <w:rsid w:val="00C53543"/>
    <w:rsid w:val="00C536C8"/>
    <w:rsid w:val="00C54BA5"/>
    <w:rsid w:val="00C54CC0"/>
    <w:rsid w:val="00C54D9C"/>
    <w:rsid w:val="00C57861"/>
    <w:rsid w:val="00C655F9"/>
    <w:rsid w:val="00C735BF"/>
    <w:rsid w:val="00C804C7"/>
    <w:rsid w:val="00C80A6E"/>
    <w:rsid w:val="00C82936"/>
    <w:rsid w:val="00C8364B"/>
    <w:rsid w:val="00C90884"/>
    <w:rsid w:val="00C9309D"/>
    <w:rsid w:val="00CA6661"/>
    <w:rsid w:val="00CA7727"/>
    <w:rsid w:val="00CB5A55"/>
    <w:rsid w:val="00CB6DED"/>
    <w:rsid w:val="00CC00FD"/>
    <w:rsid w:val="00CC02A1"/>
    <w:rsid w:val="00CC27C5"/>
    <w:rsid w:val="00CC27FC"/>
    <w:rsid w:val="00CC55B8"/>
    <w:rsid w:val="00CC6620"/>
    <w:rsid w:val="00CC6E49"/>
    <w:rsid w:val="00CD6764"/>
    <w:rsid w:val="00CD742B"/>
    <w:rsid w:val="00CE1441"/>
    <w:rsid w:val="00CE39BD"/>
    <w:rsid w:val="00CE6163"/>
    <w:rsid w:val="00CF2004"/>
    <w:rsid w:val="00CF35D2"/>
    <w:rsid w:val="00CF36FB"/>
    <w:rsid w:val="00CF5FB6"/>
    <w:rsid w:val="00D013B4"/>
    <w:rsid w:val="00D02720"/>
    <w:rsid w:val="00D0319A"/>
    <w:rsid w:val="00D03CF6"/>
    <w:rsid w:val="00D16F54"/>
    <w:rsid w:val="00D17615"/>
    <w:rsid w:val="00D23C27"/>
    <w:rsid w:val="00D271EC"/>
    <w:rsid w:val="00D33197"/>
    <w:rsid w:val="00D34804"/>
    <w:rsid w:val="00D34853"/>
    <w:rsid w:val="00D35835"/>
    <w:rsid w:val="00D4571E"/>
    <w:rsid w:val="00D54B20"/>
    <w:rsid w:val="00D54DF6"/>
    <w:rsid w:val="00D57945"/>
    <w:rsid w:val="00D57E0B"/>
    <w:rsid w:val="00D61481"/>
    <w:rsid w:val="00D61E4C"/>
    <w:rsid w:val="00D6207F"/>
    <w:rsid w:val="00D65994"/>
    <w:rsid w:val="00D67514"/>
    <w:rsid w:val="00D72A65"/>
    <w:rsid w:val="00D74797"/>
    <w:rsid w:val="00D83BBA"/>
    <w:rsid w:val="00D85E3E"/>
    <w:rsid w:val="00D8644A"/>
    <w:rsid w:val="00D913A7"/>
    <w:rsid w:val="00DA1706"/>
    <w:rsid w:val="00DA20AE"/>
    <w:rsid w:val="00DA36E4"/>
    <w:rsid w:val="00DA4D71"/>
    <w:rsid w:val="00DA74F2"/>
    <w:rsid w:val="00DC0B71"/>
    <w:rsid w:val="00DC28CA"/>
    <w:rsid w:val="00DD0A5A"/>
    <w:rsid w:val="00DE5266"/>
    <w:rsid w:val="00DE5572"/>
    <w:rsid w:val="00DE7594"/>
    <w:rsid w:val="00DF21F5"/>
    <w:rsid w:val="00DF6CEF"/>
    <w:rsid w:val="00E053E4"/>
    <w:rsid w:val="00E114CE"/>
    <w:rsid w:val="00E12A34"/>
    <w:rsid w:val="00E23160"/>
    <w:rsid w:val="00E267A7"/>
    <w:rsid w:val="00E31335"/>
    <w:rsid w:val="00E341EE"/>
    <w:rsid w:val="00E37FF1"/>
    <w:rsid w:val="00E437DC"/>
    <w:rsid w:val="00E5177B"/>
    <w:rsid w:val="00E533C0"/>
    <w:rsid w:val="00E55F81"/>
    <w:rsid w:val="00E57ADD"/>
    <w:rsid w:val="00E616EA"/>
    <w:rsid w:val="00E61B9E"/>
    <w:rsid w:val="00E63EA2"/>
    <w:rsid w:val="00E71252"/>
    <w:rsid w:val="00E75DF7"/>
    <w:rsid w:val="00E8129B"/>
    <w:rsid w:val="00E81E09"/>
    <w:rsid w:val="00E87093"/>
    <w:rsid w:val="00E91E36"/>
    <w:rsid w:val="00E95658"/>
    <w:rsid w:val="00E97362"/>
    <w:rsid w:val="00EB0FB6"/>
    <w:rsid w:val="00EB1613"/>
    <w:rsid w:val="00EB7381"/>
    <w:rsid w:val="00EC0159"/>
    <w:rsid w:val="00EC087F"/>
    <w:rsid w:val="00EC2B99"/>
    <w:rsid w:val="00EC626C"/>
    <w:rsid w:val="00EC7349"/>
    <w:rsid w:val="00ED7EB3"/>
    <w:rsid w:val="00EE0070"/>
    <w:rsid w:val="00EE3C1E"/>
    <w:rsid w:val="00EE57D1"/>
    <w:rsid w:val="00EF0EE6"/>
    <w:rsid w:val="00EF15C5"/>
    <w:rsid w:val="00F011DB"/>
    <w:rsid w:val="00F032CC"/>
    <w:rsid w:val="00F03AD7"/>
    <w:rsid w:val="00F03C13"/>
    <w:rsid w:val="00F11FFD"/>
    <w:rsid w:val="00F21607"/>
    <w:rsid w:val="00F27050"/>
    <w:rsid w:val="00F30786"/>
    <w:rsid w:val="00F31711"/>
    <w:rsid w:val="00F33CD5"/>
    <w:rsid w:val="00F36A67"/>
    <w:rsid w:val="00F37977"/>
    <w:rsid w:val="00F448AE"/>
    <w:rsid w:val="00F454BE"/>
    <w:rsid w:val="00F4702E"/>
    <w:rsid w:val="00F51144"/>
    <w:rsid w:val="00F535BA"/>
    <w:rsid w:val="00F53EB1"/>
    <w:rsid w:val="00F540CA"/>
    <w:rsid w:val="00F54DFF"/>
    <w:rsid w:val="00F562F2"/>
    <w:rsid w:val="00F62D37"/>
    <w:rsid w:val="00F67B55"/>
    <w:rsid w:val="00F72093"/>
    <w:rsid w:val="00F73274"/>
    <w:rsid w:val="00F80FAA"/>
    <w:rsid w:val="00F8124A"/>
    <w:rsid w:val="00F91BB1"/>
    <w:rsid w:val="00F925E8"/>
    <w:rsid w:val="00F95AAF"/>
    <w:rsid w:val="00FB0E28"/>
    <w:rsid w:val="00FB2597"/>
    <w:rsid w:val="00FB5970"/>
    <w:rsid w:val="00FB5D83"/>
    <w:rsid w:val="00FB5F80"/>
    <w:rsid w:val="00FB6FCF"/>
    <w:rsid w:val="00FB796A"/>
    <w:rsid w:val="00FC76BD"/>
    <w:rsid w:val="00FC7F97"/>
    <w:rsid w:val="00FD505C"/>
    <w:rsid w:val="00FD761B"/>
    <w:rsid w:val="00FE11A3"/>
    <w:rsid w:val="00FE13DA"/>
    <w:rsid w:val="00FE1433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E5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kern w:val="3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33"/>
    <w:rPr>
      <w:rFonts w:eastAsia="Times New Roman" w:cs="Times New Roman"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033"/>
    <w:rPr>
      <w:rFonts w:eastAsia="Times New Roman" w:cs="Times New Roman"/>
      <w:color w:val="auto"/>
      <w:kern w:val="0"/>
      <w:lang w:bidi="en-US"/>
    </w:rPr>
  </w:style>
  <w:style w:type="table" w:styleId="TableGrid">
    <w:name w:val="Table Grid"/>
    <w:basedOn w:val="TableNormal"/>
    <w:rsid w:val="00BE0033"/>
    <w:rPr>
      <w:rFonts w:eastAsia="Times New Roman" w:cs="Times New Roman"/>
      <w:color w:val="auto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rsid w:val="00BE0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E0033"/>
    <w:rPr>
      <w:rFonts w:eastAsia="Times New Roman" w:cs="Times New Roman"/>
      <w:color w:val="auto"/>
      <w:kern w:val="0"/>
    </w:rPr>
  </w:style>
  <w:style w:type="character" w:styleId="PageNumber">
    <w:name w:val="page number"/>
    <w:basedOn w:val="DefaultParagraphFont"/>
    <w:rsid w:val="00BE0033"/>
  </w:style>
  <w:style w:type="character" w:styleId="CommentReference">
    <w:name w:val="annotation reference"/>
    <w:basedOn w:val="DefaultParagraphFont"/>
    <w:uiPriority w:val="99"/>
    <w:semiHidden/>
    <w:rsid w:val="00BE0033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E00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033"/>
    <w:rPr>
      <w:rFonts w:eastAsia="Times New Roman" w:cs="Times New Roman"/>
      <w:color w:val="auto"/>
      <w:kern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0033"/>
  </w:style>
  <w:style w:type="character" w:customStyle="1" w:styleId="CommentSubjectChar">
    <w:name w:val="Comment Subject Char"/>
    <w:basedOn w:val="CommentTextChar"/>
    <w:link w:val="CommentSubject"/>
    <w:semiHidden/>
    <w:rsid w:val="00BE0033"/>
    <w:rPr>
      <w:rFonts w:eastAsia="Times New Roman" w:cs="Times New Roman"/>
      <w:color w:val="auto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BE00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33"/>
    <w:rPr>
      <w:rFonts w:ascii="Lucida Grande" w:eastAsia="Times New Roman" w:hAnsi="Lucida Grande" w:cs="Times New Roman"/>
      <w:color w:val="auto"/>
      <w:kern w:val="0"/>
      <w:sz w:val="18"/>
      <w:szCs w:val="18"/>
    </w:rPr>
  </w:style>
  <w:style w:type="paragraph" w:styleId="ListParagraph">
    <w:name w:val="List Paragraph"/>
    <w:basedOn w:val="Normal"/>
    <w:qFormat/>
    <w:rsid w:val="00BE0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3E2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4C79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31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03"/>
    <w:rPr>
      <w:rFonts w:eastAsia="Times New Roman" w:cs="Times New Roman"/>
      <w:color w:val="auto"/>
      <w:kern w:val="0"/>
    </w:rPr>
  </w:style>
  <w:style w:type="paragraph" w:styleId="PlainText">
    <w:name w:val="Plain Text"/>
    <w:basedOn w:val="Normal"/>
    <w:link w:val="PlainTextChar"/>
    <w:uiPriority w:val="99"/>
    <w:unhideWhenUsed/>
    <w:rsid w:val="003774CC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3774CC"/>
    <w:rPr>
      <w:rFonts w:ascii="Calibri" w:hAnsi="Calibri" w:cs="Calibri"/>
      <w:color w:val="auto"/>
      <w:kern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3774CC"/>
    <w:pPr>
      <w:spacing w:before="100" w:beforeAutospacing="1" w:after="100" w:afterAutospacing="1"/>
    </w:pPr>
  </w:style>
  <w:style w:type="table" w:customStyle="1" w:styleId="Style2">
    <w:name w:val="Style2"/>
    <w:basedOn w:val="TableSimple1"/>
    <w:uiPriority w:val="99"/>
    <w:rsid w:val="00E61B9E"/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E61B9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kern w:val="3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33"/>
    <w:rPr>
      <w:rFonts w:eastAsia="Times New Roman" w:cs="Times New Roman"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033"/>
    <w:rPr>
      <w:rFonts w:eastAsia="Times New Roman" w:cs="Times New Roman"/>
      <w:color w:val="auto"/>
      <w:kern w:val="0"/>
      <w:lang w:bidi="en-US"/>
    </w:rPr>
  </w:style>
  <w:style w:type="table" w:styleId="TableGrid">
    <w:name w:val="Table Grid"/>
    <w:basedOn w:val="TableNormal"/>
    <w:rsid w:val="00BE0033"/>
    <w:rPr>
      <w:rFonts w:eastAsia="Times New Roman" w:cs="Times New Roman"/>
      <w:color w:val="auto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rsid w:val="00BE0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E0033"/>
    <w:rPr>
      <w:rFonts w:eastAsia="Times New Roman" w:cs="Times New Roman"/>
      <w:color w:val="auto"/>
      <w:kern w:val="0"/>
    </w:rPr>
  </w:style>
  <w:style w:type="character" w:styleId="PageNumber">
    <w:name w:val="page number"/>
    <w:basedOn w:val="DefaultParagraphFont"/>
    <w:rsid w:val="00BE0033"/>
  </w:style>
  <w:style w:type="character" w:styleId="CommentReference">
    <w:name w:val="annotation reference"/>
    <w:basedOn w:val="DefaultParagraphFont"/>
    <w:uiPriority w:val="99"/>
    <w:semiHidden/>
    <w:rsid w:val="00BE0033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E00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033"/>
    <w:rPr>
      <w:rFonts w:eastAsia="Times New Roman" w:cs="Times New Roman"/>
      <w:color w:val="auto"/>
      <w:kern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0033"/>
  </w:style>
  <w:style w:type="character" w:customStyle="1" w:styleId="CommentSubjectChar">
    <w:name w:val="Comment Subject Char"/>
    <w:basedOn w:val="CommentTextChar"/>
    <w:link w:val="CommentSubject"/>
    <w:semiHidden/>
    <w:rsid w:val="00BE0033"/>
    <w:rPr>
      <w:rFonts w:eastAsia="Times New Roman" w:cs="Times New Roman"/>
      <w:color w:val="auto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BE00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33"/>
    <w:rPr>
      <w:rFonts w:ascii="Lucida Grande" w:eastAsia="Times New Roman" w:hAnsi="Lucida Grande" w:cs="Times New Roman"/>
      <w:color w:val="auto"/>
      <w:kern w:val="0"/>
      <w:sz w:val="18"/>
      <w:szCs w:val="18"/>
    </w:rPr>
  </w:style>
  <w:style w:type="paragraph" w:styleId="ListParagraph">
    <w:name w:val="List Paragraph"/>
    <w:basedOn w:val="Normal"/>
    <w:qFormat/>
    <w:rsid w:val="00BE0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3E2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4C79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31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03"/>
    <w:rPr>
      <w:rFonts w:eastAsia="Times New Roman" w:cs="Times New Roman"/>
      <w:color w:val="auto"/>
      <w:kern w:val="0"/>
    </w:rPr>
  </w:style>
  <w:style w:type="paragraph" w:styleId="PlainText">
    <w:name w:val="Plain Text"/>
    <w:basedOn w:val="Normal"/>
    <w:link w:val="PlainTextChar"/>
    <w:uiPriority w:val="99"/>
    <w:unhideWhenUsed/>
    <w:rsid w:val="003774CC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3774CC"/>
    <w:rPr>
      <w:rFonts w:ascii="Calibri" w:hAnsi="Calibri" w:cs="Calibri"/>
      <w:color w:val="auto"/>
      <w:kern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3774CC"/>
    <w:pPr>
      <w:spacing w:before="100" w:beforeAutospacing="1" w:after="100" w:afterAutospacing="1"/>
    </w:pPr>
  </w:style>
  <w:style w:type="table" w:customStyle="1" w:styleId="Style2">
    <w:name w:val="Style2"/>
    <w:basedOn w:val="TableSimple1"/>
    <w:uiPriority w:val="99"/>
    <w:rsid w:val="00E61B9E"/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E61B9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7645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UUHSC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Ashley Marie Neese</cp:lastModifiedBy>
  <cp:revision>2</cp:revision>
  <cp:lastPrinted>2012-04-11T18:40:00Z</cp:lastPrinted>
  <dcterms:created xsi:type="dcterms:W3CDTF">2012-08-01T20:53:00Z</dcterms:created>
  <dcterms:modified xsi:type="dcterms:W3CDTF">2012-08-01T20:53:00Z</dcterms:modified>
</cp:coreProperties>
</file>