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86" w:rsidRPr="00180FF2" w:rsidRDefault="00A10686" w:rsidP="00A10686">
      <w:pPr>
        <w:jc w:val="center"/>
        <w:rPr>
          <w:b/>
        </w:rPr>
      </w:pPr>
      <w:r w:rsidRPr="00180FF2">
        <w:rPr>
          <w:b/>
        </w:rPr>
        <w:t>SUPPLEMENTAL DIGITAL MATERIAL</w:t>
      </w:r>
    </w:p>
    <w:p w:rsidR="00A10686" w:rsidRPr="00180FF2" w:rsidRDefault="00A10686" w:rsidP="00A10686"/>
    <w:p w:rsidR="00A10686" w:rsidRPr="00180FF2" w:rsidRDefault="00A10686" w:rsidP="00A10686">
      <w:r w:rsidRPr="00180FF2">
        <w:t>Demographics table</w:t>
      </w:r>
    </w:p>
    <w:tbl>
      <w:tblPr>
        <w:tblpPr w:leftFromText="180" w:rightFromText="180" w:vertAnchor="text" w:horzAnchor="margin" w:tblpX="-612" w:tblpY="170"/>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02"/>
        <w:gridCol w:w="3060"/>
        <w:gridCol w:w="2520"/>
        <w:gridCol w:w="2898"/>
        <w:gridCol w:w="3132"/>
      </w:tblGrid>
      <w:tr w:rsidR="00A10686" w:rsidRPr="00180FF2" w:rsidTr="0010138D">
        <w:trPr>
          <w:trHeight w:val="562"/>
        </w:trPr>
        <w:tc>
          <w:tcPr>
            <w:tcW w:w="1008" w:type="dxa"/>
            <w:vAlign w:val="center"/>
          </w:tcPr>
          <w:p w:rsidR="00A10686" w:rsidRPr="00180FF2" w:rsidRDefault="00A10686" w:rsidP="0010138D">
            <w:pPr>
              <w:jc w:val="center"/>
              <w:rPr>
                <w:b/>
                <w:sz w:val="20"/>
                <w:szCs w:val="20"/>
              </w:rPr>
            </w:pPr>
            <w:r>
              <w:rPr>
                <w:b/>
                <w:sz w:val="20"/>
                <w:szCs w:val="20"/>
              </w:rPr>
              <w:t>Author</w:t>
            </w:r>
          </w:p>
        </w:tc>
        <w:tc>
          <w:tcPr>
            <w:tcW w:w="1602" w:type="dxa"/>
            <w:vAlign w:val="center"/>
          </w:tcPr>
          <w:p w:rsidR="00A10686" w:rsidRPr="00180FF2" w:rsidRDefault="00A10686" w:rsidP="0010138D">
            <w:pPr>
              <w:jc w:val="center"/>
              <w:rPr>
                <w:b/>
                <w:sz w:val="20"/>
                <w:szCs w:val="20"/>
              </w:rPr>
            </w:pPr>
            <w:r w:rsidRPr="00180FF2">
              <w:rPr>
                <w:b/>
                <w:sz w:val="20"/>
                <w:szCs w:val="20"/>
              </w:rPr>
              <w:t>Study Design</w:t>
            </w:r>
          </w:p>
        </w:tc>
        <w:tc>
          <w:tcPr>
            <w:tcW w:w="3060" w:type="dxa"/>
            <w:vAlign w:val="center"/>
          </w:tcPr>
          <w:p w:rsidR="00A10686" w:rsidRPr="00180FF2" w:rsidRDefault="00A10686" w:rsidP="0010138D">
            <w:pPr>
              <w:jc w:val="center"/>
              <w:rPr>
                <w:b/>
                <w:sz w:val="20"/>
                <w:szCs w:val="20"/>
              </w:rPr>
            </w:pPr>
            <w:r w:rsidRPr="00180FF2">
              <w:rPr>
                <w:b/>
                <w:sz w:val="20"/>
                <w:szCs w:val="20"/>
              </w:rPr>
              <w:t>Population</w:t>
            </w:r>
          </w:p>
        </w:tc>
        <w:tc>
          <w:tcPr>
            <w:tcW w:w="2520" w:type="dxa"/>
            <w:vAlign w:val="center"/>
          </w:tcPr>
          <w:p w:rsidR="00A10686" w:rsidRPr="00180FF2" w:rsidRDefault="00A10686" w:rsidP="0010138D">
            <w:pPr>
              <w:jc w:val="center"/>
              <w:rPr>
                <w:b/>
                <w:sz w:val="20"/>
                <w:szCs w:val="20"/>
              </w:rPr>
            </w:pPr>
            <w:r>
              <w:rPr>
                <w:b/>
                <w:sz w:val="20"/>
                <w:szCs w:val="20"/>
              </w:rPr>
              <w:t xml:space="preserve">Baseline Inclusion Criteria </w:t>
            </w:r>
          </w:p>
        </w:tc>
        <w:tc>
          <w:tcPr>
            <w:tcW w:w="2898" w:type="dxa"/>
            <w:vAlign w:val="center"/>
          </w:tcPr>
          <w:p w:rsidR="00A10686" w:rsidRPr="00180FF2" w:rsidRDefault="00A10686" w:rsidP="0010138D">
            <w:pPr>
              <w:jc w:val="center"/>
              <w:rPr>
                <w:b/>
                <w:sz w:val="20"/>
                <w:szCs w:val="20"/>
              </w:rPr>
            </w:pPr>
            <w:r>
              <w:rPr>
                <w:b/>
                <w:sz w:val="20"/>
                <w:szCs w:val="20"/>
              </w:rPr>
              <w:t>Baseline Population Characteristics</w:t>
            </w:r>
            <w:r w:rsidRPr="00180FF2">
              <w:rPr>
                <w:b/>
                <w:sz w:val="20"/>
                <w:szCs w:val="20"/>
              </w:rPr>
              <w:t xml:space="preserve"> </w:t>
            </w:r>
          </w:p>
        </w:tc>
        <w:tc>
          <w:tcPr>
            <w:tcW w:w="3132" w:type="dxa"/>
            <w:vAlign w:val="center"/>
          </w:tcPr>
          <w:p w:rsidR="00A10686" w:rsidRPr="00180FF2" w:rsidRDefault="00A10686" w:rsidP="0010138D">
            <w:pPr>
              <w:jc w:val="center"/>
              <w:rPr>
                <w:b/>
                <w:sz w:val="20"/>
                <w:szCs w:val="20"/>
              </w:rPr>
            </w:pPr>
            <w:r>
              <w:rPr>
                <w:b/>
                <w:sz w:val="20"/>
                <w:szCs w:val="20"/>
              </w:rPr>
              <w:t>Disease Definition and Disease Course</w:t>
            </w:r>
          </w:p>
        </w:tc>
      </w:tr>
      <w:tr w:rsidR="00A10686" w:rsidRPr="00180FF2" w:rsidTr="0010138D">
        <w:trPr>
          <w:trHeight w:val="178"/>
        </w:trPr>
        <w:tc>
          <w:tcPr>
            <w:tcW w:w="14220" w:type="dxa"/>
            <w:gridSpan w:val="6"/>
            <w:shd w:val="clear" w:color="auto" w:fill="BFBFBF" w:themeFill="background1" w:themeFillShade="BF"/>
          </w:tcPr>
          <w:p w:rsidR="00A10686" w:rsidRPr="00180FF2" w:rsidRDefault="00A10686" w:rsidP="0010138D">
            <w:pPr>
              <w:rPr>
                <w:sz w:val="20"/>
                <w:szCs w:val="20"/>
              </w:rPr>
            </w:pPr>
            <w:r>
              <w:rPr>
                <w:sz w:val="20"/>
                <w:szCs w:val="20"/>
              </w:rPr>
              <w:t>Development of myelopathy</w:t>
            </w:r>
            <w:r w:rsidRPr="00180FF2">
              <w:rPr>
                <w:sz w:val="20"/>
                <w:szCs w:val="20"/>
              </w:rPr>
              <w:t xml:space="preserve"> (A) versus </w:t>
            </w:r>
            <w:r>
              <w:rPr>
                <w:sz w:val="20"/>
                <w:szCs w:val="20"/>
              </w:rPr>
              <w:t>no development of myelopathy</w:t>
            </w:r>
            <w:r w:rsidRPr="00180FF2">
              <w:rPr>
                <w:sz w:val="20"/>
                <w:szCs w:val="20"/>
              </w:rPr>
              <w:t xml:space="preserve"> (B)</w:t>
            </w:r>
          </w:p>
        </w:tc>
      </w:tr>
      <w:tr w:rsidR="00A10686" w:rsidRPr="00180FF2" w:rsidTr="0010138D">
        <w:trPr>
          <w:trHeight w:val="172"/>
        </w:trPr>
        <w:tc>
          <w:tcPr>
            <w:tcW w:w="1008" w:type="dxa"/>
          </w:tcPr>
          <w:p w:rsidR="00A10686" w:rsidRPr="00180FF2" w:rsidRDefault="00A10686" w:rsidP="0010138D">
            <w:pPr>
              <w:jc w:val="center"/>
              <w:rPr>
                <w:sz w:val="18"/>
                <w:szCs w:val="18"/>
              </w:rPr>
            </w:pPr>
            <w:proofErr w:type="spellStart"/>
            <w:r>
              <w:rPr>
                <w:sz w:val="18"/>
                <w:szCs w:val="18"/>
              </w:rPr>
              <w:t>Bednarik</w:t>
            </w:r>
            <w:proofErr w:type="spellEnd"/>
          </w:p>
          <w:p w:rsidR="00A10686" w:rsidRDefault="00A10686" w:rsidP="0010138D">
            <w:pPr>
              <w:jc w:val="center"/>
              <w:rPr>
                <w:sz w:val="18"/>
                <w:szCs w:val="18"/>
              </w:rPr>
            </w:pPr>
            <w:r>
              <w:rPr>
                <w:sz w:val="18"/>
                <w:szCs w:val="18"/>
              </w:rPr>
              <w:t>(2008</w:t>
            </w:r>
            <w:r w:rsidRPr="00180FF2">
              <w:rPr>
                <w:sz w:val="18"/>
                <w:szCs w:val="18"/>
              </w:rPr>
              <w:t>)</w:t>
            </w:r>
            <w:r>
              <w:rPr>
                <w:sz w:val="18"/>
                <w:szCs w:val="18"/>
              </w:rPr>
              <w:t>*</w:t>
            </w:r>
          </w:p>
          <w:p w:rsidR="00A10686" w:rsidRDefault="00A10686" w:rsidP="0010138D">
            <w:pPr>
              <w:jc w:val="center"/>
              <w:rPr>
                <w:sz w:val="18"/>
                <w:szCs w:val="18"/>
              </w:rPr>
            </w:pPr>
          </w:p>
          <w:p w:rsidR="00A10686" w:rsidRPr="00180FF2" w:rsidRDefault="00A10686" w:rsidP="0010138D">
            <w:pPr>
              <w:jc w:val="center"/>
              <w:rPr>
                <w:sz w:val="18"/>
                <w:szCs w:val="18"/>
              </w:rPr>
            </w:pPr>
            <w:proofErr w:type="spellStart"/>
            <w:r>
              <w:rPr>
                <w:sz w:val="18"/>
                <w:szCs w:val="18"/>
              </w:rPr>
              <w:t>Bednarik</w:t>
            </w:r>
            <w:proofErr w:type="spellEnd"/>
            <w:r>
              <w:rPr>
                <w:sz w:val="18"/>
                <w:szCs w:val="18"/>
              </w:rPr>
              <w:t xml:space="preserve"> (2011)*</w:t>
            </w:r>
          </w:p>
        </w:tc>
        <w:tc>
          <w:tcPr>
            <w:tcW w:w="1602" w:type="dxa"/>
          </w:tcPr>
          <w:p w:rsidR="00A10686" w:rsidRPr="00180FF2" w:rsidRDefault="00A10686" w:rsidP="0010138D">
            <w:pPr>
              <w:rPr>
                <w:sz w:val="18"/>
                <w:szCs w:val="18"/>
              </w:rPr>
            </w:pPr>
            <w:r>
              <w:rPr>
                <w:sz w:val="18"/>
                <w:szCs w:val="18"/>
              </w:rPr>
              <w:t>Prospective cohort</w:t>
            </w:r>
          </w:p>
        </w:tc>
        <w:tc>
          <w:tcPr>
            <w:tcW w:w="3060" w:type="dxa"/>
          </w:tcPr>
          <w:p w:rsidR="00A10686" w:rsidRPr="00180FF2" w:rsidRDefault="00A10686" w:rsidP="0010138D">
            <w:pPr>
              <w:jc w:val="both"/>
              <w:rPr>
                <w:sz w:val="18"/>
                <w:szCs w:val="18"/>
              </w:rPr>
            </w:pPr>
            <w:r>
              <w:rPr>
                <w:sz w:val="18"/>
                <w:szCs w:val="18"/>
              </w:rPr>
              <w:t>N = 199</w:t>
            </w:r>
          </w:p>
          <w:p w:rsidR="00A10686" w:rsidRDefault="00A10686" w:rsidP="0010138D">
            <w:pPr>
              <w:rPr>
                <w:sz w:val="18"/>
                <w:szCs w:val="18"/>
              </w:rPr>
            </w:pPr>
            <w:r>
              <w:rPr>
                <w:sz w:val="18"/>
                <w:szCs w:val="18"/>
              </w:rPr>
              <w:t>Sex: 52.8% (105/199</w:t>
            </w:r>
            <w:r w:rsidRPr="00180FF2">
              <w:rPr>
                <w:sz w:val="18"/>
                <w:szCs w:val="18"/>
              </w:rPr>
              <w:t>) male</w:t>
            </w:r>
          </w:p>
          <w:p w:rsidR="00A10686" w:rsidRPr="00180FF2" w:rsidRDefault="00A10686" w:rsidP="0010138D">
            <w:pPr>
              <w:rPr>
                <w:sz w:val="18"/>
                <w:szCs w:val="18"/>
              </w:rPr>
            </w:pPr>
            <w:r>
              <w:rPr>
                <w:sz w:val="18"/>
                <w:szCs w:val="18"/>
              </w:rPr>
              <w:t>Median age: 51 (28-82) years</w:t>
            </w:r>
          </w:p>
          <w:p w:rsidR="00A10686" w:rsidRDefault="00A10686" w:rsidP="0010138D">
            <w:pPr>
              <w:rPr>
                <w:sz w:val="18"/>
                <w:szCs w:val="18"/>
              </w:rPr>
            </w:pPr>
            <w:r>
              <w:rPr>
                <w:sz w:val="18"/>
                <w:szCs w:val="18"/>
              </w:rPr>
              <w:t>Median F/U time: 44</w:t>
            </w:r>
            <w:r w:rsidRPr="00180FF2">
              <w:rPr>
                <w:sz w:val="18"/>
                <w:szCs w:val="18"/>
              </w:rPr>
              <w:t xml:space="preserve"> </w:t>
            </w:r>
            <w:r>
              <w:rPr>
                <w:sz w:val="18"/>
                <w:szCs w:val="18"/>
              </w:rPr>
              <w:t xml:space="preserve">(24-144) </w:t>
            </w:r>
            <w:r w:rsidRPr="00180FF2">
              <w:rPr>
                <w:sz w:val="18"/>
                <w:szCs w:val="18"/>
              </w:rPr>
              <w:t>months</w:t>
            </w:r>
          </w:p>
          <w:p w:rsidR="00A10686" w:rsidRPr="00180FF2" w:rsidRDefault="00A10686" w:rsidP="0010138D">
            <w:pPr>
              <w:rPr>
                <w:sz w:val="18"/>
                <w:szCs w:val="18"/>
              </w:rPr>
            </w:pPr>
            <w:r>
              <w:rPr>
                <w:sz w:val="18"/>
                <w:szCs w:val="18"/>
              </w:rPr>
              <w:t>F/U %: NR</w:t>
            </w:r>
          </w:p>
        </w:tc>
        <w:tc>
          <w:tcPr>
            <w:tcW w:w="2520" w:type="dxa"/>
          </w:tcPr>
          <w:p w:rsidR="00A10686" w:rsidRDefault="00A10686" w:rsidP="00A10686">
            <w:pPr>
              <w:numPr>
                <w:ilvl w:val="0"/>
                <w:numId w:val="2"/>
              </w:numPr>
              <w:ind w:left="162" w:hanging="162"/>
              <w:rPr>
                <w:sz w:val="18"/>
                <w:szCs w:val="18"/>
              </w:rPr>
            </w:pPr>
            <w:r>
              <w:rPr>
                <w:sz w:val="18"/>
                <w:szCs w:val="18"/>
              </w:rPr>
              <w:t xml:space="preserve">MRI signs of </w:t>
            </w:r>
            <w:proofErr w:type="spellStart"/>
            <w:r>
              <w:rPr>
                <w:sz w:val="18"/>
                <w:szCs w:val="18"/>
              </w:rPr>
              <w:t>spondylogenic</w:t>
            </w:r>
            <w:proofErr w:type="spellEnd"/>
            <w:r>
              <w:rPr>
                <w:sz w:val="18"/>
                <w:szCs w:val="18"/>
              </w:rPr>
              <w:t xml:space="preserve"> or </w:t>
            </w:r>
            <w:proofErr w:type="spellStart"/>
            <w:r>
              <w:rPr>
                <w:sz w:val="18"/>
                <w:szCs w:val="18"/>
              </w:rPr>
              <w:t>discogenic</w:t>
            </w:r>
            <w:proofErr w:type="spellEnd"/>
            <w:r>
              <w:rPr>
                <w:sz w:val="18"/>
                <w:szCs w:val="18"/>
              </w:rPr>
              <w:t xml:space="preserve"> compression of the cervical spinal cord with or without concomitant change in signal intensity from the cervical cord on T1/T2 images</w:t>
            </w:r>
          </w:p>
          <w:p w:rsidR="00A10686" w:rsidRDefault="00A10686" w:rsidP="00A10686">
            <w:pPr>
              <w:numPr>
                <w:ilvl w:val="0"/>
                <w:numId w:val="2"/>
              </w:numPr>
              <w:ind w:left="162" w:hanging="162"/>
              <w:rPr>
                <w:sz w:val="18"/>
                <w:szCs w:val="18"/>
              </w:rPr>
            </w:pPr>
            <w:r>
              <w:rPr>
                <w:sz w:val="18"/>
                <w:szCs w:val="18"/>
              </w:rPr>
              <w:t>Axial pain or clinical signs and/or symptoms of radiculopathy that could be controlled by conservative treatment</w:t>
            </w:r>
          </w:p>
          <w:p w:rsidR="00A10686" w:rsidRPr="005956C2" w:rsidRDefault="00A10686" w:rsidP="00A10686">
            <w:pPr>
              <w:numPr>
                <w:ilvl w:val="0"/>
                <w:numId w:val="2"/>
              </w:numPr>
              <w:ind w:left="162" w:hanging="162"/>
              <w:rPr>
                <w:sz w:val="18"/>
                <w:szCs w:val="18"/>
              </w:rPr>
            </w:pPr>
            <w:r>
              <w:rPr>
                <w:sz w:val="18"/>
                <w:szCs w:val="18"/>
              </w:rPr>
              <w:t>Absence of any current clinical signs and symptoms that could be possibly attributed to cervical cord involvement</w:t>
            </w:r>
          </w:p>
        </w:tc>
        <w:tc>
          <w:tcPr>
            <w:tcW w:w="2898" w:type="dxa"/>
            <w:shd w:val="clear" w:color="auto" w:fill="auto"/>
          </w:tcPr>
          <w:p w:rsidR="00A10686" w:rsidRDefault="00A10686" w:rsidP="0010138D">
            <w:pPr>
              <w:rPr>
                <w:i/>
                <w:sz w:val="18"/>
                <w:szCs w:val="18"/>
              </w:rPr>
            </w:pPr>
            <w:r w:rsidRPr="00DA631B">
              <w:rPr>
                <w:i/>
                <w:sz w:val="18"/>
                <w:szCs w:val="18"/>
              </w:rPr>
              <w:t xml:space="preserve">Baseline </w:t>
            </w:r>
            <w:proofErr w:type="spellStart"/>
            <w:r w:rsidRPr="009324F8">
              <w:rPr>
                <w:i/>
                <w:sz w:val="18"/>
                <w:szCs w:val="18"/>
              </w:rPr>
              <w:t>mJOA</w:t>
            </w:r>
            <w:proofErr w:type="spellEnd"/>
          </w:p>
          <w:p w:rsidR="00A10686" w:rsidRDefault="00A10686" w:rsidP="00A10686">
            <w:pPr>
              <w:numPr>
                <w:ilvl w:val="0"/>
                <w:numId w:val="2"/>
              </w:numPr>
              <w:ind w:left="162" w:hanging="162"/>
              <w:rPr>
                <w:sz w:val="18"/>
                <w:szCs w:val="18"/>
              </w:rPr>
            </w:pPr>
            <w:r w:rsidRPr="00DA631B">
              <w:rPr>
                <w:sz w:val="18"/>
                <w:szCs w:val="18"/>
              </w:rPr>
              <w:t xml:space="preserve">18 points: </w:t>
            </w:r>
            <w:r>
              <w:rPr>
                <w:sz w:val="18"/>
                <w:szCs w:val="18"/>
              </w:rPr>
              <w:t>70.9% (141/199</w:t>
            </w:r>
            <w:r w:rsidRPr="00DA631B">
              <w:rPr>
                <w:sz w:val="18"/>
                <w:szCs w:val="18"/>
              </w:rPr>
              <w:t>)</w:t>
            </w:r>
          </w:p>
          <w:p w:rsidR="00A10686" w:rsidRPr="004560A0" w:rsidRDefault="00A10686" w:rsidP="00A10686">
            <w:pPr>
              <w:numPr>
                <w:ilvl w:val="0"/>
                <w:numId w:val="2"/>
              </w:numPr>
              <w:ind w:left="162" w:hanging="162"/>
              <w:rPr>
                <w:sz w:val="18"/>
                <w:szCs w:val="18"/>
              </w:rPr>
            </w:pPr>
            <w:r w:rsidRPr="004560A0">
              <w:rPr>
                <w:sz w:val="18"/>
                <w:szCs w:val="18"/>
              </w:rPr>
              <w:t xml:space="preserve">16-17 points: </w:t>
            </w:r>
            <w:r>
              <w:rPr>
                <w:sz w:val="18"/>
                <w:szCs w:val="18"/>
              </w:rPr>
              <w:t>29.1% (58/199</w:t>
            </w:r>
            <w:r w:rsidRPr="004560A0">
              <w:rPr>
                <w:sz w:val="18"/>
                <w:szCs w:val="18"/>
              </w:rPr>
              <w:t>)</w:t>
            </w:r>
          </w:p>
        </w:tc>
        <w:tc>
          <w:tcPr>
            <w:tcW w:w="3132" w:type="dxa"/>
            <w:shd w:val="clear" w:color="auto" w:fill="auto"/>
          </w:tcPr>
          <w:p w:rsidR="00A10686" w:rsidRDefault="00A10686" w:rsidP="0010138D">
            <w:pPr>
              <w:rPr>
                <w:sz w:val="18"/>
                <w:szCs w:val="18"/>
              </w:rPr>
            </w:pPr>
            <w:r w:rsidRPr="00180FF2">
              <w:rPr>
                <w:i/>
                <w:sz w:val="18"/>
                <w:szCs w:val="18"/>
              </w:rPr>
              <w:t>Disease definition:</w:t>
            </w:r>
            <w:r w:rsidRPr="00180FF2">
              <w:rPr>
                <w:sz w:val="18"/>
                <w:szCs w:val="18"/>
              </w:rPr>
              <w:t xml:space="preserve"> </w:t>
            </w:r>
            <w:r>
              <w:rPr>
                <w:sz w:val="18"/>
                <w:szCs w:val="18"/>
              </w:rPr>
              <w:t xml:space="preserve">Development of clinical signs and symptoms of compressive cervical myelopathy corresponding with a decrease in </w:t>
            </w:r>
            <w:proofErr w:type="spellStart"/>
            <w:r>
              <w:rPr>
                <w:sz w:val="18"/>
                <w:szCs w:val="18"/>
              </w:rPr>
              <w:t>mJOA</w:t>
            </w:r>
            <w:proofErr w:type="spellEnd"/>
            <w:r>
              <w:rPr>
                <w:sz w:val="18"/>
                <w:szCs w:val="18"/>
              </w:rPr>
              <w:t xml:space="preserve"> of ≥ 1</w:t>
            </w:r>
            <w:r w:rsidRPr="00180FF2">
              <w:rPr>
                <w:sz w:val="18"/>
                <w:szCs w:val="18"/>
              </w:rPr>
              <w:t>.</w:t>
            </w:r>
          </w:p>
          <w:p w:rsidR="00A10686" w:rsidRDefault="00A10686" w:rsidP="0010138D">
            <w:pPr>
              <w:rPr>
                <w:sz w:val="18"/>
                <w:szCs w:val="18"/>
              </w:rPr>
            </w:pPr>
          </w:p>
          <w:p w:rsidR="00A10686" w:rsidRDefault="00A10686" w:rsidP="0010138D">
            <w:pPr>
              <w:rPr>
                <w:sz w:val="18"/>
                <w:szCs w:val="18"/>
              </w:rPr>
            </w:pPr>
            <w:r w:rsidRPr="00D7662D">
              <w:rPr>
                <w:i/>
                <w:sz w:val="18"/>
                <w:szCs w:val="18"/>
              </w:rPr>
              <w:t>Disease course:</w:t>
            </w:r>
            <w:r>
              <w:rPr>
                <w:sz w:val="18"/>
                <w:szCs w:val="18"/>
              </w:rPr>
              <w:t xml:space="preserve"> Subjects underwent at least a 2 year follow-up</w:t>
            </w:r>
          </w:p>
          <w:p w:rsidR="00A10686" w:rsidRPr="00180FF2" w:rsidRDefault="00A10686" w:rsidP="0010138D">
            <w:pPr>
              <w:jc w:val="center"/>
              <w:rPr>
                <w:sz w:val="18"/>
                <w:szCs w:val="18"/>
              </w:rPr>
            </w:pPr>
          </w:p>
        </w:tc>
      </w:tr>
      <w:tr w:rsidR="00A10686" w:rsidRPr="00180FF2" w:rsidTr="0010138D">
        <w:trPr>
          <w:trHeight w:val="172"/>
        </w:trPr>
        <w:tc>
          <w:tcPr>
            <w:tcW w:w="14220" w:type="dxa"/>
            <w:gridSpan w:val="6"/>
            <w:shd w:val="clear" w:color="auto" w:fill="BFBFBF" w:themeFill="background1" w:themeFillShade="BF"/>
          </w:tcPr>
          <w:p w:rsidR="00A10686" w:rsidRPr="00180FF2" w:rsidRDefault="00A10686" w:rsidP="0010138D">
            <w:pPr>
              <w:rPr>
                <w:i/>
                <w:sz w:val="18"/>
                <w:szCs w:val="18"/>
              </w:rPr>
            </w:pPr>
            <w:r>
              <w:rPr>
                <w:sz w:val="20"/>
                <w:szCs w:val="20"/>
              </w:rPr>
              <w:t>In subjects diagnosed with OPLL, development of myelopathy (C</w:t>
            </w:r>
            <w:r w:rsidRPr="00180FF2">
              <w:rPr>
                <w:sz w:val="20"/>
                <w:szCs w:val="20"/>
              </w:rPr>
              <w:t xml:space="preserve">) versus </w:t>
            </w:r>
            <w:r>
              <w:rPr>
                <w:sz w:val="20"/>
                <w:szCs w:val="20"/>
              </w:rPr>
              <w:t>no development of myelopathy (D</w:t>
            </w:r>
            <w:r w:rsidRPr="00180FF2">
              <w:rPr>
                <w:sz w:val="20"/>
                <w:szCs w:val="20"/>
              </w:rPr>
              <w:t>)</w:t>
            </w:r>
          </w:p>
        </w:tc>
      </w:tr>
      <w:tr w:rsidR="00A10686" w:rsidRPr="00180FF2" w:rsidTr="0010138D">
        <w:trPr>
          <w:trHeight w:val="172"/>
        </w:trPr>
        <w:tc>
          <w:tcPr>
            <w:tcW w:w="1008" w:type="dxa"/>
          </w:tcPr>
          <w:p w:rsidR="00A10686" w:rsidRDefault="00A10686" w:rsidP="0010138D">
            <w:pPr>
              <w:jc w:val="center"/>
              <w:rPr>
                <w:sz w:val="18"/>
                <w:szCs w:val="18"/>
              </w:rPr>
            </w:pPr>
            <w:proofErr w:type="spellStart"/>
            <w:r>
              <w:rPr>
                <w:sz w:val="18"/>
                <w:szCs w:val="18"/>
              </w:rPr>
              <w:t>Fujiyoshi</w:t>
            </w:r>
            <w:proofErr w:type="spellEnd"/>
            <w:r>
              <w:rPr>
                <w:sz w:val="18"/>
                <w:szCs w:val="18"/>
              </w:rPr>
              <w:t xml:space="preserve"> (2010)</w:t>
            </w:r>
          </w:p>
        </w:tc>
        <w:tc>
          <w:tcPr>
            <w:tcW w:w="1602" w:type="dxa"/>
          </w:tcPr>
          <w:p w:rsidR="00A10686" w:rsidRDefault="00A10686" w:rsidP="0010138D">
            <w:pPr>
              <w:rPr>
                <w:sz w:val="18"/>
                <w:szCs w:val="18"/>
              </w:rPr>
            </w:pPr>
            <w:r>
              <w:rPr>
                <w:sz w:val="18"/>
                <w:szCs w:val="18"/>
              </w:rPr>
              <w:t>Prospective cohort</w:t>
            </w:r>
          </w:p>
        </w:tc>
        <w:tc>
          <w:tcPr>
            <w:tcW w:w="3060" w:type="dxa"/>
          </w:tcPr>
          <w:p w:rsidR="00A10686" w:rsidRDefault="00A10686" w:rsidP="0010138D">
            <w:pPr>
              <w:rPr>
                <w:sz w:val="18"/>
                <w:szCs w:val="18"/>
              </w:rPr>
            </w:pPr>
            <w:r>
              <w:rPr>
                <w:sz w:val="18"/>
                <w:szCs w:val="18"/>
              </w:rPr>
              <w:t>N = 27</w:t>
            </w:r>
          </w:p>
          <w:p w:rsidR="00A10686" w:rsidRDefault="00A10686" w:rsidP="0010138D">
            <w:pPr>
              <w:rPr>
                <w:sz w:val="18"/>
                <w:szCs w:val="18"/>
              </w:rPr>
            </w:pPr>
            <w:r>
              <w:rPr>
                <w:sz w:val="18"/>
                <w:szCs w:val="18"/>
              </w:rPr>
              <w:t>Sex: 40.7% (11/27) male</w:t>
            </w:r>
          </w:p>
          <w:p w:rsidR="00A10686" w:rsidRDefault="00A10686" w:rsidP="0010138D">
            <w:pPr>
              <w:rPr>
                <w:sz w:val="18"/>
                <w:szCs w:val="18"/>
              </w:rPr>
            </w:pPr>
            <w:r>
              <w:rPr>
                <w:sz w:val="18"/>
                <w:szCs w:val="18"/>
              </w:rPr>
              <w:t>Mean age: 63.3 (37-78) years</w:t>
            </w:r>
          </w:p>
          <w:p w:rsidR="00A10686" w:rsidRDefault="00A10686" w:rsidP="0010138D">
            <w:pPr>
              <w:rPr>
                <w:sz w:val="18"/>
                <w:szCs w:val="18"/>
              </w:rPr>
            </w:pPr>
            <w:r>
              <w:rPr>
                <w:sz w:val="18"/>
                <w:szCs w:val="18"/>
              </w:rPr>
              <w:t>Mean F/U time: 59 (12-95) months</w:t>
            </w:r>
          </w:p>
          <w:p w:rsidR="00A10686" w:rsidRDefault="00A10686" w:rsidP="0010138D">
            <w:pPr>
              <w:rPr>
                <w:sz w:val="18"/>
                <w:szCs w:val="18"/>
              </w:rPr>
            </w:pPr>
            <w:r>
              <w:rPr>
                <w:sz w:val="18"/>
                <w:szCs w:val="18"/>
              </w:rPr>
              <w:t>F/U%: NR</w:t>
            </w:r>
          </w:p>
        </w:tc>
        <w:tc>
          <w:tcPr>
            <w:tcW w:w="2520" w:type="dxa"/>
          </w:tcPr>
          <w:p w:rsidR="00A10686" w:rsidRDefault="00A10686" w:rsidP="00A10686">
            <w:pPr>
              <w:numPr>
                <w:ilvl w:val="0"/>
                <w:numId w:val="2"/>
              </w:numPr>
              <w:ind w:left="162" w:hanging="162"/>
              <w:rPr>
                <w:sz w:val="18"/>
                <w:szCs w:val="18"/>
              </w:rPr>
            </w:pPr>
            <w:r>
              <w:rPr>
                <w:sz w:val="18"/>
                <w:szCs w:val="18"/>
              </w:rPr>
              <w:t xml:space="preserve">Cervical OPLL diagnosed on MRI </w:t>
            </w:r>
          </w:p>
          <w:p w:rsidR="00A10686" w:rsidRDefault="00A10686" w:rsidP="00A10686">
            <w:pPr>
              <w:numPr>
                <w:ilvl w:val="0"/>
                <w:numId w:val="2"/>
              </w:numPr>
              <w:ind w:left="162" w:hanging="162"/>
              <w:rPr>
                <w:sz w:val="18"/>
                <w:szCs w:val="18"/>
              </w:rPr>
            </w:pPr>
            <w:r>
              <w:rPr>
                <w:sz w:val="18"/>
                <w:szCs w:val="18"/>
              </w:rPr>
              <w:t>Space available for the spinal cord (SAC) at the cervical spine was ≤ 12 mm</w:t>
            </w:r>
          </w:p>
          <w:p w:rsidR="00A10686" w:rsidRDefault="00A10686" w:rsidP="00A10686">
            <w:pPr>
              <w:numPr>
                <w:ilvl w:val="0"/>
                <w:numId w:val="2"/>
              </w:numPr>
              <w:ind w:left="162" w:hanging="162"/>
              <w:rPr>
                <w:sz w:val="18"/>
                <w:szCs w:val="18"/>
              </w:rPr>
            </w:pPr>
            <w:r>
              <w:rPr>
                <w:sz w:val="18"/>
                <w:szCs w:val="18"/>
              </w:rPr>
              <w:t>No signs or symptoms of myelopathy</w:t>
            </w:r>
          </w:p>
          <w:p w:rsidR="00A10686" w:rsidRDefault="00A10686" w:rsidP="0010138D">
            <w:pPr>
              <w:ind w:left="162"/>
              <w:rPr>
                <w:sz w:val="18"/>
                <w:szCs w:val="18"/>
              </w:rPr>
            </w:pPr>
          </w:p>
        </w:tc>
        <w:tc>
          <w:tcPr>
            <w:tcW w:w="2898" w:type="dxa"/>
            <w:shd w:val="clear" w:color="auto" w:fill="auto"/>
          </w:tcPr>
          <w:p w:rsidR="00A10686" w:rsidRDefault="00A10686" w:rsidP="0010138D">
            <w:pPr>
              <w:rPr>
                <w:i/>
                <w:sz w:val="18"/>
                <w:szCs w:val="18"/>
              </w:rPr>
            </w:pPr>
            <w:r w:rsidRPr="00DA631B">
              <w:rPr>
                <w:i/>
                <w:sz w:val="18"/>
                <w:szCs w:val="18"/>
              </w:rPr>
              <w:t xml:space="preserve">Baseline </w:t>
            </w:r>
            <w:r w:rsidRPr="009324F8">
              <w:rPr>
                <w:i/>
                <w:sz w:val="18"/>
                <w:szCs w:val="18"/>
              </w:rPr>
              <w:t>JOA</w:t>
            </w:r>
          </w:p>
          <w:p w:rsidR="00A10686" w:rsidRDefault="00A10686" w:rsidP="00A10686">
            <w:pPr>
              <w:numPr>
                <w:ilvl w:val="0"/>
                <w:numId w:val="2"/>
              </w:numPr>
              <w:ind w:left="162" w:hanging="162"/>
              <w:rPr>
                <w:sz w:val="18"/>
                <w:szCs w:val="18"/>
              </w:rPr>
            </w:pPr>
            <w:r>
              <w:rPr>
                <w:sz w:val="18"/>
                <w:szCs w:val="18"/>
              </w:rPr>
              <w:t>17</w:t>
            </w:r>
            <w:r w:rsidRPr="00DA631B">
              <w:rPr>
                <w:sz w:val="18"/>
                <w:szCs w:val="18"/>
              </w:rPr>
              <w:t xml:space="preserve"> points: </w:t>
            </w:r>
            <w:r>
              <w:rPr>
                <w:sz w:val="18"/>
                <w:szCs w:val="18"/>
              </w:rPr>
              <w:t>100% (27/27</w:t>
            </w:r>
            <w:r w:rsidRPr="00DA631B">
              <w:rPr>
                <w:sz w:val="18"/>
                <w:szCs w:val="18"/>
              </w:rPr>
              <w:t>)</w:t>
            </w:r>
          </w:p>
          <w:p w:rsidR="00A10686" w:rsidRDefault="00A10686" w:rsidP="0010138D">
            <w:pPr>
              <w:rPr>
                <w:i/>
                <w:sz w:val="18"/>
                <w:szCs w:val="18"/>
              </w:rPr>
            </w:pPr>
          </w:p>
          <w:p w:rsidR="00A10686" w:rsidRDefault="00A10686" w:rsidP="0010138D">
            <w:pPr>
              <w:rPr>
                <w:i/>
                <w:sz w:val="18"/>
                <w:szCs w:val="18"/>
              </w:rPr>
            </w:pPr>
            <w:r>
              <w:rPr>
                <w:i/>
                <w:sz w:val="18"/>
                <w:szCs w:val="18"/>
              </w:rPr>
              <w:t>OPLL Classification</w:t>
            </w:r>
          </w:p>
          <w:p w:rsidR="00A10686" w:rsidRDefault="00A10686" w:rsidP="00A10686">
            <w:pPr>
              <w:numPr>
                <w:ilvl w:val="0"/>
                <w:numId w:val="2"/>
              </w:numPr>
              <w:ind w:left="162" w:hanging="162"/>
              <w:rPr>
                <w:sz w:val="18"/>
                <w:szCs w:val="18"/>
              </w:rPr>
            </w:pPr>
            <w:r>
              <w:rPr>
                <w:sz w:val="18"/>
                <w:szCs w:val="18"/>
              </w:rPr>
              <w:t>Continuous</w:t>
            </w:r>
            <w:r w:rsidRPr="00DA631B">
              <w:rPr>
                <w:sz w:val="18"/>
                <w:szCs w:val="18"/>
              </w:rPr>
              <w:t xml:space="preserve">: </w:t>
            </w:r>
            <w:r>
              <w:rPr>
                <w:sz w:val="18"/>
                <w:szCs w:val="18"/>
              </w:rPr>
              <w:t>63.0% (17/27)</w:t>
            </w:r>
          </w:p>
          <w:p w:rsidR="00A10686" w:rsidRDefault="00A10686" w:rsidP="00A10686">
            <w:pPr>
              <w:numPr>
                <w:ilvl w:val="0"/>
                <w:numId w:val="2"/>
              </w:numPr>
              <w:ind w:left="162" w:hanging="162"/>
              <w:rPr>
                <w:sz w:val="18"/>
                <w:szCs w:val="18"/>
              </w:rPr>
            </w:pPr>
            <w:r>
              <w:rPr>
                <w:sz w:val="18"/>
                <w:szCs w:val="18"/>
              </w:rPr>
              <w:t>Mixed</w:t>
            </w:r>
            <w:r w:rsidRPr="004560A0">
              <w:rPr>
                <w:sz w:val="18"/>
                <w:szCs w:val="18"/>
              </w:rPr>
              <w:t xml:space="preserve">: </w:t>
            </w:r>
            <w:r>
              <w:rPr>
                <w:sz w:val="18"/>
                <w:szCs w:val="18"/>
              </w:rPr>
              <w:t>25.9% (7/27)</w:t>
            </w:r>
          </w:p>
          <w:p w:rsidR="00A10686" w:rsidRDefault="00A10686" w:rsidP="00A10686">
            <w:pPr>
              <w:numPr>
                <w:ilvl w:val="0"/>
                <w:numId w:val="2"/>
              </w:numPr>
              <w:ind w:left="162" w:hanging="162"/>
              <w:rPr>
                <w:sz w:val="18"/>
                <w:szCs w:val="18"/>
              </w:rPr>
            </w:pPr>
            <w:r>
              <w:rPr>
                <w:sz w:val="18"/>
                <w:szCs w:val="18"/>
              </w:rPr>
              <w:t>Segmental: 11.1% (3/27)</w:t>
            </w:r>
          </w:p>
          <w:p w:rsidR="00A10686" w:rsidRDefault="00A10686" w:rsidP="0010138D">
            <w:pPr>
              <w:rPr>
                <w:sz w:val="18"/>
                <w:szCs w:val="18"/>
              </w:rPr>
            </w:pPr>
          </w:p>
          <w:p w:rsidR="00A10686" w:rsidRDefault="00A10686" w:rsidP="0010138D">
            <w:pPr>
              <w:rPr>
                <w:i/>
                <w:sz w:val="18"/>
                <w:szCs w:val="18"/>
              </w:rPr>
            </w:pPr>
            <w:r>
              <w:rPr>
                <w:i/>
                <w:sz w:val="18"/>
                <w:szCs w:val="18"/>
              </w:rPr>
              <w:t>OPLL Occupation Ratio (%</w:t>
            </w:r>
            <w:proofErr w:type="gramStart"/>
            <w:r>
              <w:rPr>
                <w:i/>
                <w:sz w:val="18"/>
                <w:szCs w:val="18"/>
              </w:rPr>
              <w:t>)</w:t>
            </w:r>
            <w:r w:rsidRPr="00474B47">
              <w:rPr>
                <w:sz w:val="18"/>
                <w:szCs w:val="18"/>
              </w:rPr>
              <w:t>†</w:t>
            </w:r>
            <w:proofErr w:type="gramEnd"/>
          </w:p>
          <w:p w:rsidR="00A10686" w:rsidRDefault="00A10686" w:rsidP="00A10686">
            <w:pPr>
              <w:numPr>
                <w:ilvl w:val="0"/>
                <w:numId w:val="2"/>
              </w:numPr>
              <w:ind w:left="162" w:hanging="162"/>
              <w:rPr>
                <w:sz w:val="18"/>
                <w:szCs w:val="18"/>
              </w:rPr>
            </w:pPr>
            <w:r>
              <w:rPr>
                <w:sz w:val="18"/>
                <w:szCs w:val="18"/>
              </w:rPr>
              <w:t>Continuous</w:t>
            </w:r>
            <w:r w:rsidRPr="00DA631B">
              <w:rPr>
                <w:sz w:val="18"/>
                <w:szCs w:val="18"/>
              </w:rPr>
              <w:t xml:space="preserve">: </w:t>
            </w:r>
            <w:r>
              <w:rPr>
                <w:sz w:val="18"/>
                <w:szCs w:val="18"/>
              </w:rPr>
              <w:t>42.5 ± 11.1 (25-64)</w:t>
            </w:r>
          </w:p>
          <w:p w:rsidR="00A10686" w:rsidRDefault="00A10686" w:rsidP="00A10686">
            <w:pPr>
              <w:numPr>
                <w:ilvl w:val="0"/>
                <w:numId w:val="2"/>
              </w:numPr>
              <w:ind w:left="162" w:hanging="162"/>
              <w:rPr>
                <w:sz w:val="18"/>
                <w:szCs w:val="18"/>
              </w:rPr>
            </w:pPr>
            <w:r>
              <w:rPr>
                <w:sz w:val="18"/>
                <w:szCs w:val="18"/>
              </w:rPr>
              <w:t>Mixed</w:t>
            </w:r>
            <w:r w:rsidRPr="004560A0">
              <w:rPr>
                <w:sz w:val="18"/>
                <w:szCs w:val="18"/>
              </w:rPr>
              <w:t xml:space="preserve">: </w:t>
            </w:r>
            <w:r>
              <w:rPr>
                <w:sz w:val="18"/>
                <w:szCs w:val="18"/>
              </w:rPr>
              <w:t>39.4 ± 7.6 (29-50)</w:t>
            </w:r>
          </w:p>
          <w:p w:rsidR="00A10686" w:rsidRDefault="00A10686" w:rsidP="00A10686">
            <w:pPr>
              <w:numPr>
                <w:ilvl w:val="0"/>
                <w:numId w:val="2"/>
              </w:numPr>
              <w:ind w:left="162" w:hanging="162"/>
              <w:rPr>
                <w:sz w:val="18"/>
                <w:szCs w:val="18"/>
              </w:rPr>
            </w:pPr>
            <w:r w:rsidRPr="00ED2F24">
              <w:rPr>
                <w:sz w:val="18"/>
                <w:szCs w:val="18"/>
              </w:rPr>
              <w:t xml:space="preserve">Segmental: </w:t>
            </w:r>
            <w:r>
              <w:rPr>
                <w:sz w:val="18"/>
                <w:szCs w:val="18"/>
              </w:rPr>
              <w:t>27.7 ± 3.3 (25-31)</w:t>
            </w:r>
          </w:p>
          <w:p w:rsidR="00A10686" w:rsidRDefault="00A10686" w:rsidP="0010138D">
            <w:pPr>
              <w:rPr>
                <w:sz w:val="18"/>
                <w:szCs w:val="18"/>
              </w:rPr>
            </w:pPr>
          </w:p>
          <w:p w:rsidR="00A10686" w:rsidRDefault="00A10686" w:rsidP="0010138D">
            <w:pPr>
              <w:rPr>
                <w:i/>
                <w:sz w:val="18"/>
                <w:szCs w:val="18"/>
              </w:rPr>
            </w:pPr>
            <w:r>
              <w:rPr>
                <w:i/>
                <w:sz w:val="18"/>
                <w:szCs w:val="18"/>
              </w:rPr>
              <w:t>Segmental ROM (degrees)</w:t>
            </w:r>
          </w:p>
          <w:p w:rsidR="00A10686" w:rsidRDefault="00A10686" w:rsidP="00A10686">
            <w:pPr>
              <w:numPr>
                <w:ilvl w:val="0"/>
                <w:numId w:val="2"/>
              </w:numPr>
              <w:ind w:left="162" w:hanging="162"/>
              <w:rPr>
                <w:sz w:val="18"/>
                <w:szCs w:val="18"/>
              </w:rPr>
            </w:pPr>
            <w:r>
              <w:rPr>
                <w:sz w:val="18"/>
                <w:szCs w:val="18"/>
              </w:rPr>
              <w:t>Continuous</w:t>
            </w:r>
            <w:r w:rsidRPr="00DA631B">
              <w:rPr>
                <w:sz w:val="18"/>
                <w:szCs w:val="18"/>
              </w:rPr>
              <w:t xml:space="preserve">: </w:t>
            </w:r>
            <w:r>
              <w:rPr>
                <w:sz w:val="18"/>
                <w:szCs w:val="18"/>
              </w:rPr>
              <w:t>2.4 ± 3.0 (0-9)</w:t>
            </w:r>
          </w:p>
          <w:p w:rsidR="00A10686" w:rsidRDefault="00A10686" w:rsidP="00A10686">
            <w:pPr>
              <w:numPr>
                <w:ilvl w:val="0"/>
                <w:numId w:val="2"/>
              </w:numPr>
              <w:ind w:left="162" w:hanging="162"/>
              <w:rPr>
                <w:sz w:val="18"/>
                <w:szCs w:val="18"/>
              </w:rPr>
            </w:pPr>
            <w:r>
              <w:rPr>
                <w:sz w:val="18"/>
                <w:szCs w:val="18"/>
              </w:rPr>
              <w:t>Mixed</w:t>
            </w:r>
            <w:r w:rsidRPr="004560A0">
              <w:rPr>
                <w:sz w:val="18"/>
                <w:szCs w:val="18"/>
              </w:rPr>
              <w:t xml:space="preserve">: </w:t>
            </w:r>
            <w:r>
              <w:rPr>
                <w:sz w:val="18"/>
                <w:szCs w:val="18"/>
              </w:rPr>
              <w:t>4.9 ± 2.9 (1-10)</w:t>
            </w:r>
          </w:p>
          <w:p w:rsidR="00A10686" w:rsidRPr="00ED2F24" w:rsidRDefault="00A10686" w:rsidP="00A10686">
            <w:pPr>
              <w:numPr>
                <w:ilvl w:val="0"/>
                <w:numId w:val="2"/>
              </w:numPr>
              <w:ind w:left="162" w:hanging="162"/>
              <w:rPr>
                <w:sz w:val="18"/>
                <w:szCs w:val="18"/>
              </w:rPr>
            </w:pPr>
            <w:r w:rsidRPr="00ED2F24">
              <w:rPr>
                <w:sz w:val="18"/>
                <w:szCs w:val="18"/>
              </w:rPr>
              <w:t xml:space="preserve">Segmental: </w:t>
            </w:r>
            <w:r>
              <w:rPr>
                <w:sz w:val="18"/>
                <w:szCs w:val="18"/>
              </w:rPr>
              <w:t>9</w:t>
            </w:r>
            <w:r w:rsidRPr="00ED2F24">
              <w:rPr>
                <w:sz w:val="18"/>
                <w:szCs w:val="18"/>
              </w:rPr>
              <w:t>.7 ±</w:t>
            </w:r>
            <w:r>
              <w:rPr>
                <w:sz w:val="18"/>
                <w:szCs w:val="18"/>
              </w:rPr>
              <w:t xml:space="preserve"> 4.5 (5-</w:t>
            </w:r>
            <w:r w:rsidRPr="00ED2F24">
              <w:rPr>
                <w:sz w:val="18"/>
                <w:szCs w:val="18"/>
              </w:rPr>
              <w:t>1</w:t>
            </w:r>
            <w:r>
              <w:rPr>
                <w:sz w:val="18"/>
                <w:szCs w:val="18"/>
              </w:rPr>
              <w:t>4</w:t>
            </w:r>
            <w:r w:rsidRPr="00ED2F24">
              <w:rPr>
                <w:sz w:val="18"/>
                <w:szCs w:val="18"/>
              </w:rPr>
              <w:t>)</w:t>
            </w:r>
          </w:p>
        </w:tc>
        <w:tc>
          <w:tcPr>
            <w:tcW w:w="3132" w:type="dxa"/>
            <w:shd w:val="clear" w:color="auto" w:fill="auto"/>
          </w:tcPr>
          <w:p w:rsidR="00A10686" w:rsidRDefault="00A10686" w:rsidP="0010138D">
            <w:pPr>
              <w:rPr>
                <w:sz w:val="18"/>
                <w:szCs w:val="18"/>
              </w:rPr>
            </w:pPr>
            <w:r>
              <w:rPr>
                <w:i/>
                <w:sz w:val="18"/>
                <w:szCs w:val="18"/>
              </w:rPr>
              <w:t>Disease definition:</w:t>
            </w:r>
            <w:r>
              <w:rPr>
                <w:sz w:val="18"/>
                <w:szCs w:val="18"/>
              </w:rPr>
              <w:t xml:space="preserve"> NR</w:t>
            </w:r>
          </w:p>
          <w:p w:rsidR="00A10686" w:rsidRDefault="00A10686" w:rsidP="0010138D">
            <w:pPr>
              <w:rPr>
                <w:sz w:val="18"/>
                <w:szCs w:val="18"/>
              </w:rPr>
            </w:pPr>
          </w:p>
          <w:p w:rsidR="00A10686" w:rsidRPr="000079E8" w:rsidRDefault="00A10686" w:rsidP="0010138D">
            <w:pPr>
              <w:rPr>
                <w:sz w:val="18"/>
                <w:szCs w:val="18"/>
              </w:rPr>
            </w:pPr>
            <w:r w:rsidRPr="00D7662D">
              <w:rPr>
                <w:i/>
                <w:sz w:val="18"/>
                <w:szCs w:val="18"/>
              </w:rPr>
              <w:t>Disease course:</w:t>
            </w:r>
            <w:r>
              <w:rPr>
                <w:sz w:val="18"/>
                <w:szCs w:val="18"/>
              </w:rPr>
              <w:t xml:space="preserve"> The clinical disease course was assessed using the JOA scoring system for cervical myelopathy.</w:t>
            </w:r>
          </w:p>
        </w:tc>
      </w:tr>
      <w:tr w:rsidR="00A10686" w:rsidRPr="00180FF2" w:rsidTr="0010138D">
        <w:trPr>
          <w:trHeight w:val="172"/>
        </w:trPr>
        <w:tc>
          <w:tcPr>
            <w:tcW w:w="1008" w:type="dxa"/>
          </w:tcPr>
          <w:p w:rsidR="00A10686" w:rsidRDefault="00A10686" w:rsidP="0010138D">
            <w:pPr>
              <w:jc w:val="center"/>
              <w:rPr>
                <w:sz w:val="18"/>
                <w:szCs w:val="18"/>
              </w:rPr>
            </w:pPr>
            <w:proofErr w:type="spellStart"/>
            <w:r>
              <w:rPr>
                <w:sz w:val="18"/>
                <w:szCs w:val="18"/>
              </w:rPr>
              <w:lastRenderedPageBreak/>
              <w:t>Matsunaga</w:t>
            </w:r>
            <w:proofErr w:type="spellEnd"/>
            <w:r>
              <w:rPr>
                <w:sz w:val="18"/>
                <w:szCs w:val="18"/>
              </w:rPr>
              <w:t xml:space="preserve"> (2008)</w:t>
            </w:r>
          </w:p>
        </w:tc>
        <w:tc>
          <w:tcPr>
            <w:tcW w:w="1602" w:type="dxa"/>
          </w:tcPr>
          <w:p w:rsidR="00A10686" w:rsidRDefault="00A10686" w:rsidP="0010138D">
            <w:pPr>
              <w:rPr>
                <w:sz w:val="18"/>
                <w:szCs w:val="18"/>
              </w:rPr>
            </w:pPr>
            <w:r>
              <w:rPr>
                <w:sz w:val="18"/>
                <w:szCs w:val="18"/>
              </w:rPr>
              <w:t>Prospective cohort</w:t>
            </w:r>
          </w:p>
          <w:p w:rsidR="00A10686" w:rsidRDefault="00A10686" w:rsidP="0010138D">
            <w:pPr>
              <w:rPr>
                <w:sz w:val="18"/>
                <w:szCs w:val="18"/>
              </w:rPr>
            </w:pPr>
          </w:p>
          <w:p w:rsidR="00A10686" w:rsidRDefault="00A10686" w:rsidP="0010138D">
            <w:pPr>
              <w:rPr>
                <w:sz w:val="18"/>
                <w:szCs w:val="18"/>
              </w:rPr>
            </w:pPr>
            <w:r>
              <w:rPr>
                <w:sz w:val="18"/>
                <w:szCs w:val="18"/>
              </w:rPr>
              <w:t>16 center study</w:t>
            </w:r>
          </w:p>
        </w:tc>
        <w:tc>
          <w:tcPr>
            <w:tcW w:w="3060" w:type="dxa"/>
          </w:tcPr>
          <w:p w:rsidR="00A10686" w:rsidRDefault="00A10686" w:rsidP="0010138D">
            <w:pPr>
              <w:rPr>
                <w:sz w:val="18"/>
                <w:szCs w:val="18"/>
              </w:rPr>
            </w:pPr>
            <w:r>
              <w:rPr>
                <w:sz w:val="18"/>
                <w:szCs w:val="18"/>
              </w:rPr>
              <w:t>N = 156</w:t>
            </w:r>
          </w:p>
          <w:p w:rsidR="00A10686" w:rsidRDefault="00A10686" w:rsidP="0010138D">
            <w:pPr>
              <w:rPr>
                <w:sz w:val="18"/>
                <w:szCs w:val="18"/>
              </w:rPr>
            </w:pPr>
            <w:r>
              <w:rPr>
                <w:sz w:val="18"/>
                <w:szCs w:val="18"/>
              </w:rPr>
              <w:t>Sex: 66.7% (104/156) male</w:t>
            </w:r>
          </w:p>
          <w:p w:rsidR="00A10686" w:rsidRDefault="00A10686" w:rsidP="0010138D">
            <w:pPr>
              <w:rPr>
                <w:sz w:val="18"/>
                <w:szCs w:val="18"/>
              </w:rPr>
            </w:pPr>
            <w:r>
              <w:rPr>
                <w:sz w:val="18"/>
                <w:szCs w:val="18"/>
              </w:rPr>
              <w:t>Mean age: 65.7 (41-86) years</w:t>
            </w:r>
          </w:p>
          <w:p w:rsidR="00A10686" w:rsidRDefault="00A10686" w:rsidP="0010138D">
            <w:pPr>
              <w:rPr>
                <w:sz w:val="18"/>
                <w:szCs w:val="18"/>
              </w:rPr>
            </w:pPr>
            <w:r>
              <w:rPr>
                <w:sz w:val="18"/>
                <w:szCs w:val="18"/>
              </w:rPr>
              <w:t>Mean F/U time: 123.6 (60-276) months</w:t>
            </w:r>
          </w:p>
          <w:p w:rsidR="00A10686" w:rsidRDefault="00A10686" w:rsidP="0010138D">
            <w:pPr>
              <w:rPr>
                <w:sz w:val="18"/>
                <w:szCs w:val="18"/>
              </w:rPr>
            </w:pPr>
            <w:r>
              <w:rPr>
                <w:sz w:val="18"/>
                <w:szCs w:val="18"/>
              </w:rPr>
              <w:t>F/U%: NR</w:t>
            </w:r>
          </w:p>
        </w:tc>
        <w:tc>
          <w:tcPr>
            <w:tcW w:w="2520" w:type="dxa"/>
          </w:tcPr>
          <w:p w:rsidR="00A10686" w:rsidRDefault="00A10686" w:rsidP="00A10686">
            <w:pPr>
              <w:numPr>
                <w:ilvl w:val="0"/>
                <w:numId w:val="2"/>
              </w:numPr>
              <w:ind w:left="162" w:hanging="162"/>
              <w:rPr>
                <w:sz w:val="18"/>
                <w:szCs w:val="18"/>
              </w:rPr>
            </w:pPr>
            <w:r>
              <w:rPr>
                <w:sz w:val="18"/>
                <w:szCs w:val="18"/>
              </w:rPr>
              <w:t xml:space="preserve">Cervical OPLL diagnosed on CT/MRI </w:t>
            </w:r>
          </w:p>
          <w:p w:rsidR="00A10686" w:rsidRDefault="00A10686" w:rsidP="00A10686">
            <w:pPr>
              <w:numPr>
                <w:ilvl w:val="0"/>
                <w:numId w:val="2"/>
              </w:numPr>
              <w:ind w:left="162" w:hanging="162"/>
              <w:rPr>
                <w:sz w:val="18"/>
                <w:szCs w:val="18"/>
              </w:rPr>
            </w:pPr>
            <w:r>
              <w:rPr>
                <w:sz w:val="18"/>
                <w:szCs w:val="18"/>
              </w:rPr>
              <w:t>No signs or symptoms of myelopathy during neurologic examination</w:t>
            </w:r>
          </w:p>
          <w:p w:rsidR="00A10686" w:rsidRDefault="00A10686" w:rsidP="00A10686">
            <w:pPr>
              <w:numPr>
                <w:ilvl w:val="0"/>
                <w:numId w:val="2"/>
              </w:numPr>
              <w:ind w:left="162" w:hanging="162"/>
              <w:rPr>
                <w:sz w:val="18"/>
                <w:szCs w:val="18"/>
              </w:rPr>
            </w:pPr>
            <w:r>
              <w:rPr>
                <w:sz w:val="18"/>
                <w:szCs w:val="18"/>
              </w:rPr>
              <w:t>Minimum 5 years of follow-up evaluation</w:t>
            </w:r>
          </w:p>
        </w:tc>
        <w:tc>
          <w:tcPr>
            <w:tcW w:w="2898" w:type="dxa"/>
            <w:shd w:val="clear" w:color="auto" w:fill="auto"/>
          </w:tcPr>
          <w:p w:rsidR="00A10686" w:rsidRDefault="00A10686" w:rsidP="0010138D">
            <w:pPr>
              <w:rPr>
                <w:i/>
                <w:sz w:val="18"/>
                <w:szCs w:val="18"/>
              </w:rPr>
            </w:pPr>
            <w:r>
              <w:rPr>
                <w:i/>
                <w:sz w:val="18"/>
                <w:szCs w:val="18"/>
              </w:rPr>
              <w:t>OPLL Classification</w:t>
            </w:r>
          </w:p>
          <w:p w:rsidR="00A10686" w:rsidRDefault="00A10686" w:rsidP="00A10686">
            <w:pPr>
              <w:numPr>
                <w:ilvl w:val="0"/>
                <w:numId w:val="2"/>
              </w:numPr>
              <w:ind w:left="162" w:hanging="162"/>
              <w:rPr>
                <w:sz w:val="18"/>
                <w:szCs w:val="18"/>
              </w:rPr>
            </w:pPr>
            <w:r>
              <w:rPr>
                <w:sz w:val="18"/>
                <w:szCs w:val="18"/>
              </w:rPr>
              <w:t>Continuous</w:t>
            </w:r>
            <w:r w:rsidRPr="00DA631B">
              <w:rPr>
                <w:sz w:val="18"/>
                <w:szCs w:val="18"/>
              </w:rPr>
              <w:t xml:space="preserve">: </w:t>
            </w:r>
            <w:r>
              <w:rPr>
                <w:sz w:val="18"/>
                <w:szCs w:val="18"/>
              </w:rPr>
              <w:t>35.3% (55/156)</w:t>
            </w:r>
          </w:p>
          <w:p w:rsidR="00A10686" w:rsidRDefault="00A10686" w:rsidP="00A10686">
            <w:pPr>
              <w:numPr>
                <w:ilvl w:val="0"/>
                <w:numId w:val="2"/>
              </w:numPr>
              <w:ind w:left="162" w:hanging="162"/>
              <w:rPr>
                <w:sz w:val="18"/>
                <w:szCs w:val="18"/>
              </w:rPr>
            </w:pPr>
            <w:r>
              <w:rPr>
                <w:sz w:val="18"/>
                <w:szCs w:val="18"/>
              </w:rPr>
              <w:t>Mixed</w:t>
            </w:r>
            <w:r w:rsidRPr="004560A0">
              <w:rPr>
                <w:sz w:val="18"/>
                <w:szCs w:val="18"/>
              </w:rPr>
              <w:t xml:space="preserve">: </w:t>
            </w:r>
            <w:r>
              <w:rPr>
                <w:sz w:val="18"/>
                <w:szCs w:val="18"/>
              </w:rPr>
              <w:t>35.9% (56/156)</w:t>
            </w:r>
          </w:p>
          <w:p w:rsidR="00A10686" w:rsidRPr="008F5D74" w:rsidRDefault="00A10686" w:rsidP="00A10686">
            <w:pPr>
              <w:numPr>
                <w:ilvl w:val="0"/>
                <w:numId w:val="2"/>
              </w:numPr>
              <w:ind w:left="162" w:hanging="162"/>
              <w:rPr>
                <w:sz w:val="18"/>
                <w:szCs w:val="18"/>
              </w:rPr>
            </w:pPr>
            <w:r>
              <w:rPr>
                <w:sz w:val="18"/>
                <w:szCs w:val="18"/>
              </w:rPr>
              <w:t>Segmental: 28.8% (45/156)</w:t>
            </w:r>
          </w:p>
        </w:tc>
        <w:tc>
          <w:tcPr>
            <w:tcW w:w="3132" w:type="dxa"/>
            <w:shd w:val="clear" w:color="auto" w:fill="auto"/>
          </w:tcPr>
          <w:p w:rsidR="00A10686" w:rsidRDefault="00A10686" w:rsidP="0010138D">
            <w:pPr>
              <w:rPr>
                <w:sz w:val="18"/>
                <w:szCs w:val="18"/>
              </w:rPr>
            </w:pPr>
            <w:r>
              <w:rPr>
                <w:i/>
                <w:sz w:val="18"/>
                <w:szCs w:val="18"/>
              </w:rPr>
              <w:t>Disease definition:</w:t>
            </w:r>
            <w:r>
              <w:rPr>
                <w:sz w:val="18"/>
                <w:szCs w:val="18"/>
              </w:rPr>
              <w:t xml:space="preserve"> NR</w:t>
            </w:r>
          </w:p>
          <w:p w:rsidR="00A10686" w:rsidRDefault="00A10686" w:rsidP="0010138D">
            <w:pPr>
              <w:rPr>
                <w:sz w:val="18"/>
                <w:szCs w:val="18"/>
              </w:rPr>
            </w:pPr>
          </w:p>
          <w:p w:rsidR="00A10686" w:rsidRPr="00DB58E5" w:rsidRDefault="00A10686" w:rsidP="0010138D">
            <w:pPr>
              <w:rPr>
                <w:sz w:val="18"/>
                <w:szCs w:val="18"/>
              </w:rPr>
            </w:pPr>
            <w:r w:rsidRPr="00D7662D">
              <w:rPr>
                <w:i/>
                <w:sz w:val="18"/>
                <w:szCs w:val="18"/>
              </w:rPr>
              <w:t>Disease course:</w:t>
            </w:r>
            <w:r>
              <w:rPr>
                <w:sz w:val="18"/>
                <w:szCs w:val="18"/>
              </w:rPr>
              <w:t xml:space="preserve"> Subjects underwent plain radiographs, CT and MRI and were examined neurologically for the development of myelopathy.</w:t>
            </w:r>
          </w:p>
        </w:tc>
      </w:tr>
      <w:tr w:rsidR="00A10686" w:rsidRPr="00180FF2" w:rsidTr="0010138D">
        <w:trPr>
          <w:trHeight w:val="172"/>
        </w:trPr>
        <w:tc>
          <w:tcPr>
            <w:tcW w:w="1008" w:type="dxa"/>
          </w:tcPr>
          <w:p w:rsidR="00A10686" w:rsidRDefault="00A10686" w:rsidP="0010138D">
            <w:pPr>
              <w:jc w:val="center"/>
              <w:rPr>
                <w:sz w:val="18"/>
                <w:szCs w:val="18"/>
              </w:rPr>
            </w:pPr>
            <w:proofErr w:type="spellStart"/>
            <w:r>
              <w:rPr>
                <w:sz w:val="18"/>
                <w:szCs w:val="18"/>
              </w:rPr>
              <w:t>Matsunaga</w:t>
            </w:r>
            <w:proofErr w:type="spellEnd"/>
            <w:r>
              <w:rPr>
                <w:sz w:val="18"/>
                <w:szCs w:val="18"/>
              </w:rPr>
              <w:t xml:space="preserve"> (2004)</w:t>
            </w:r>
          </w:p>
        </w:tc>
        <w:tc>
          <w:tcPr>
            <w:tcW w:w="1602" w:type="dxa"/>
          </w:tcPr>
          <w:p w:rsidR="00A10686" w:rsidRDefault="00A10686" w:rsidP="0010138D">
            <w:pPr>
              <w:rPr>
                <w:sz w:val="18"/>
                <w:szCs w:val="18"/>
              </w:rPr>
            </w:pPr>
            <w:r>
              <w:rPr>
                <w:sz w:val="18"/>
                <w:szCs w:val="18"/>
              </w:rPr>
              <w:t>Prospective cohort</w:t>
            </w:r>
          </w:p>
        </w:tc>
        <w:tc>
          <w:tcPr>
            <w:tcW w:w="3060" w:type="dxa"/>
          </w:tcPr>
          <w:p w:rsidR="00A10686" w:rsidRDefault="00A10686" w:rsidP="0010138D">
            <w:pPr>
              <w:rPr>
                <w:sz w:val="18"/>
                <w:szCs w:val="18"/>
              </w:rPr>
            </w:pPr>
            <w:r>
              <w:rPr>
                <w:sz w:val="18"/>
                <w:szCs w:val="18"/>
              </w:rPr>
              <w:t>Total N = 450; N without myelopathy at first examination = 323</w:t>
            </w:r>
          </w:p>
          <w:p w:rsidR="00A10686" w:rsidRDefault="00A10686" w:rsidP="0010138D">
            <w:pPr>
              <w:rPr>
                <w:sz w:val="18"/>
                <w:szCs w:val="18"/>
              </w:rPr>
            </w:pPr>
            <w:r>
              <w:rPr>
                <w:sz w:val="18"/>
                <w:szCs w:val="18"/>
              </w:rPr>
              <w:t>Sex: 70.9% (319/450) male</w:t>
            </w:r>
          </w:p>
          <w:p w:rsidR="00A10686" w:rsidRDefault="00A10686" w:rsidP="0010138D">
            <w:pPr>
              <w:rPr>
                <w:sz w:val="18"/>
                <w:szCs w:val="18"/>
              </w:rPr>
            </w:pPr>
            <w:r>
              <w:rPr>
                <w:sz w:val="18"/>
                <w:szCs w:val="18"/>
              </w:rPr>
              <w:t>Mean age: 59.6 (54-78) years</w:t>
            </w:r>
          </w:p>
          <w:p w:rsidR="00A10686" w:rsidRDefault="00A10686" w:rsidP="0010138D">
            <w:pPr>
              <w:rPr>
                <w:sz w:val="18"/>
                <w:szCs w:val="18"/>
              </w:rPr>
            </w:pPr>
            <w:r>
              <w:rPr>
                <w:sz w:val="18"/>
                <w:szCs w:val="18"/>
              </w:rPr>
              <w:t>Mean F/U time: 211.2 (120-360) months</w:t>
            </w:r>
          </w:p>
          <w:p w:rsidR="00A10686" w:rsidRDefault="00A10686" w:rsidP="0010138D">
            <w:pPr>
              <w:rPr>
                <w:sz w:val="18"/>
                <w:szCs w:val="18"/>
              </w:rPr>
            </w:pPr>
            <w:r>
              <w:rPr>
                <w:sz w:val="18"/>
                <w:szCs w:val="18"/>
              </w:rPr>
              <w:t>F/U%: 92.6% (450/486)</w:t>
            </w:r>
          </w:p>
        </w:tc>
        <w:tc>
          <w:tcPr>
            <w:tcW w:w="2520" w:type="dxa"/>
          </w:tcPr>
          <w:p w:rsidR="00A10686" w:rsidRDefault="00A10686" w:rsidP="00A10686">
            <w:pPr>
              <w:numPr>
                <w:ilvl w:val="0"/>
                <w:numId w:val="2"/>
              </w:numPr>
              <w:ind w:left="162" w:hanging="162"/>
              <w:rPr>
                <w:sz w:val="18"/>
                <w:szCs w:val="18"/>
              </w:rPr>
            </w:pPr>
            <w:r>
              <w:rPr>
                <w:sz w:val="18"/>
                <w:szCs w:val="18"/>
              </w:rPr>
              <w:t>Cervical OPLL on plain radiography</w:t>
            </w:r>
          </w:p>
          <w:p w:rsidR="00A10686" w:rsidRDefault="00A10686" w:rsidP="00A10686">
            <w:pPr>
              <w:numPr>
                <w:ilvl w:val="0"/>
                <w:numId w:val="2"/>
              </w:numPr>
              <w:ind w:left="162" w:hanging="162"/>
              <w:rPr>
                <w:sz w:val="18"/>
                <w:szCs w:val="18"/>
              </w:rPr>
            </w:pPr>
            <w:r>
              <w:rPr>
                <w:sz w:val="18"/>
                <w:szCs w:val="18"/>
              </w:rPr>
              <w:t>No signs or symptoms of myelopathy</w:t>
            </w:r>
          </w:p>
        </w:tc>
        <w:tc>
          <w:tcPr>
            <w:tcW w:w="2898" w:type="dxa"/>
            <w:shd w:val="clear" w:color="auto" w:fill="auto"/>
          </w:tcPr>
          <w:p w:rsidR="00A10686" w:rsidRPr="00DA631B" w:rsidRDefault="00A10686" w:rsidP="0010138D">
            <w:pPr>
              <w:rPr>
                <w:i/>
                <w:sz w:val="18"/>
                <w:szCs w:val="18"/>
              </w:rPr>
            </w:pPr>
          </w:p>
        </w:tc>
        <w:tc>
          <w:tcPr>
            <w:tcW w:w="3132" w:type="dxa"/>
            <w:shd w:val="clear" w:color="auto" w:fill="auto"/>
          </w:tcPr>
          <w:p w:rsidR="00A10686" w:rsidRDefault="00A10686" w:rsidP="0010138D">
            <w:pPr>
              <w:rPr>
                <w:sz w:val="18"/>
                <w:szCs w:val="18"/>
              </w:rPr>
            </w:pPr>
            <w:r>
              <w:rPr>
                <w:i/>
                <w:sz w:val="18"/>
                <w:szCs w:val="18"/>
              </w:rPr>
              <w:t>Disease definition:</w:t>
            </w:r>
            <w:r>
              <w:rPr>
                <w:sz w:val="18"/>
                <w:szCs w:val="18"/>
              </w:rPr>
              <w:t xml:space="preserve"> Development of myelopathy, which was estimated using the </w:t>
            </w:r>
            <w:proofErr w:type="spellStart"/>
            <w:r>
              <w:rPr>
                <w:sz w:val="18"/>
                <w:szCs w:val="18"/>
              </w:rPr>
              <w:t>Nurick</w:t>
            </w:r>
            <w:proofErr w:type="spellEnd"/>
            <w:r>
              <w:rPr>
                <w:sz w:val="18"/>
                <w:szCs w:val="18"/>
              </w:rPr>
              <w:t xml:space="preserve"> classification system and the JOA myelopathy scale.</w:t>
            </w:r>
          </w:p>
          <w:p w:rsidR="00A10686" w:rsidRDefault="00A10686" w:rsidP="0010138D">
            <w:pPr>
              <w:rPr>
                <w:sz w:val="18"/>
                <w:szCs w:val="18"/>
              </w:rPr>
            </w:pPr>
          </w:p>
          <w:p w:rsidR="00A10686" w:rsidRPr="00DB58E5" w:rsidRDefault="00A10686" w:rsidP="0010138D">
            <w:pPr>
              <w:rPr>
                <w:sz w:val="18"/>
                <w:szCs w:val="18"/>
              </w:rPr>
            </w:pPr>
            <w:r w:rsidRPr="00D7662D">
              <w:rPr>
                <w:i/>
                <w:sz w:val="18"/>
                <w:szCs w:val="18"/>
              </w:rPr>
              <w:t>Disease course:</w:t>
            </w:r>
            <w:r>
              <w:rPr>
                <w:sz w:val="18"/>
                <w:szCs w:val="18"/>
              </w:rPr>
              <w:t xml:space="preserve"> Subjects were examined annually for progression of disease on radiography, clinical </w:t>
            </w:r>
            <w:proofErr w:type="spellStart"/>
            <w:r>
              <w:rPr>
                <w:sz w:val="18"/>
                <w:szCs w:val="18"/>
              </w:rPr>
              <w:t>myelopathic</w:t>
            </w:r>
            <w:proofErr w:type="spellEnd"/>
            <w:r>
              <w:rPr>
                <w:sz w:val="18"/>
                <w:szCs w:val="18"/>
              </w:rPr>
              <w:t xml:space="preserve"> features, and concomitant ability to perform activities of daily living.</w:t>
            </w:r>
          </w:p>
        </w:tc>
      </w:tr>
    </w:tbl>
    <w:p w:rsidR="00A10686" w:rsidRPr="00094472" w:rsidRDefault="00A10686" w:rsidP="00A10686">
      <w:pPr>
        <w:ind w:left="-450" w:hanging="90"/>
        <w:rPr>
          <w:sz w:val="18"/>
          <w:szCs w:val="18"/>
        </w:rPr>
      </w:pPr>
      <w:r w:rsidRPr="00094472">
        <w:rPr>
          <w:sz w:val="18"/>
          <w:szCs w:val="18"/>
        </w:rPr>
        <w:t>NR = not reported; MRI = magneti</w:t>
      </w:r>
      <w:r>
        <w:rPr>
          <w:sz w:val="18"/>
          <w:szCs w:val="18"/>
        </w:rPr>
        <w:t>c resonance imaging;</w:t>
      </w:r>
      <w:r w:rsidRPr="00094472">
        <w:rPr>
          <w:sz w:val="18"/>
          <w:szCs w:val="18"/>
        </w:rPr>
        <w:t xml:space="preserve"> </w:t>
      </w:r>
      <w:proofErr w:type="spellStart"/>
      <w:r w:rsidRPr="00094472">
        <w:rPr>
          <w:sz w:val="18"/>
          <w:szCs w:val="18"/>
        </w:rPr>
        <w:t>mJOA</w:t>
      </w:r>
      <w:proofErr w:type="spellEnd"/>
      <w:r w:rsidRPr="00094472">
        <w:rPr>
          <w:sz w:val="18"/>
          <w:szCs w:val="18"/>
        </w:rPr>
        <w:t xml:space="preserve"> = modified Japanese orthopedic assessment</w:t>
      </w:r>
      <w:r>
        <w:rPr>
          <w:sz w:val="18"/>
          <w:szCs w:val="18"/>
        </w:rPr>
        <w:t>;</w:t>
      </w:r>
      <w:r w:rsidRPr="00094472">
        <w:rPr>
          <w:sz w:val="18"/>
          <w:szCs w:val="18"/>
        </w:rPr>
        <w:t xml:space="preserve"> OPLL = Ossification of posterior longitudinal ligament</w:t>
      </w:r>
      <w:r>
        <w:rPr>
          <w:sz w:val="18"/>
          <w:szCs w:val="18"/>
        </w:rPr>
        <w:t>;</w:t>
      </w:r>
      <w:r w:rsidRPr="00094472">
        <w:rPr>
          <w:sz w:val="18"/>
          <w:szCs w:val="18"/>
        </w:rPr>
        <w:t xml:space="preserve"> JOA =</w:t>
      </w:r>
      <w:r>
        <w:rPr>
          <w:sz w:val="18"/>
          <w:szCs w:val="18"/>
        </w:rPr>
        <w:t xml:space="preserve"> Japanese orthopedic assessment; ROM = range of motion;</w:t>
      </w:r>
      <w:r w:rsidRPr="00094472">
        <w:rPr>
          <w:sz w:val="18"/>
          <w:szCs w:val="18"/>
        </w:rPr>
        <w:t xml:space="preserve"> CT = computed tomography</w:t>
      </w:r>
    </w:p>
    <w:p w:rsidR="00A10686" w:rsidRPr="00094472" w:rsidRDefault="00A10686" w:rsidP="00A10686">
      <w:pPr>
        <w:ind w:hanging="540"/>
        <w:rPr>
          <w:sz w:val="18"/>
          <w:szCs w:val="18"/>
        </w:rPr>
      </w:pPr>
      <w:r w:rsidRPr="00094472">
        <w:rPr>
          <w:sz w:val="18"/>
          <w:szCs w:val="18"/>
        </w:rPr>
        <w:t xml:space="preserve">* </w:t>
      </w:r>
      <w:proofErr w:type="spellStart"/>
      <w:r w:rsidRPr="00094472">
        <w:rPr>
          <w:sz w:val="18"/>
          <w:szCs w:val="18"/>
        </w:rPr>
        <w:t>Bednarik</w:t>
      </w:r>
      <w:proofErr w:type="spellEnd"/>
      <w:r w:rsidRPr="00094472">
        <w:rPr>
          <w:sz w:val="18"/>
          <w:szCs w:val="18"/>
        </w:rPr>
        <w:t xml:space="preserve"> 2008 and 2011 reported different outcomes on the same subject population</w:t>
      </w:r>
    </w:p>
    <w:p w:rsidR="00A10686" w:rsidRPr="00094472" w:rsidRDefault="00A10686" w:rsidP="00A10686">
      <w:pPr>
        <w:ind w:hanging="540"/>
        <w:rPr>
          <w:sz w:val="18"/>
          <w:szCs w:val="18"/>
        </w:rPr>
      </w:pPr>
      <w:r w:rsidRPr="00094472">
        <w:rPr>
          <w:sz w:val="18"/>
          <w:szCs w:val="18"/>
        </w:rPr>
        <w:t>† OPLL occupation ratio = (thickness of OPLL/</w:t>
      </w:r>
      <w:proofErr w:type="spellStart"/>
      <w:r w:rsidRPr="00094472">
        <w:rPr>
          <w:sz w:val="18"/>
          <w:szCs w:val="18"/>
        </w:rPr>
        <w:t>anteroposterior</w:t>
      </w:r>
      <w:proofErr w:type="spellEnd"/>
      <w:r w:rsidRPr="00094472">
        <w:rPr>
          <w:sz w:val="18"/>
          <w:szCs w:val="18"/>
        </w:rPr>
        <w:t xml:space="preserve"> diameter of the bony spinal canal) x 100</w:t>
      </w:r>
    </w:p>
    <w:p w:rsidR="00A10686" w:rsidRDefault="00A10686" w:rsidP="00A10686">
      <w:pPr>
        <w:ind w:hanging="540"/>
      </w:pPr>
    </w:p>
    <w:p w:rsidR="00A10686" w:rsidRDefault="00A10686" w:rsidP="00A10686">
      <w:pPr>
        <w:ind w:hanging="540"/>
      </w:pPr>
    </w:p>
    <w:p w:rsidR="00A10686" w:rsidRDefault="00A10686" w:rsidP="00A10686">
      <w:pPr>
        <w:ind w:hanging="540"/>
      </w:pPr>
    </w:p>
    <w:p w:rsidR="00A10686" w:rsidRDefault="00A10686" w:rsidP="00A10686">
      <w:pPr>
        <w:ind w:hanging="540"/>
      </w:pPr>
    </w:p>
    <w:p w:rsidR="00A10686" w:rsidRDefault="00A10686" w:rsidP="00A10686">
      <w:pPr>
        <w:ind w:hanging="540"/>
      </w:pPr>
    </w:p>
    <w:p w:rsidR="00A10686" w:rsidRDefault="00A10686" w:rsidP="00A10686">
      <w:pPr>
        <w:ind w:hanging="540"/>
      </w:pPr>
    </w:p>
    <w:p w:rsidR="00A10686" w:rsidRDefault="00A10686" w:rsidP="00A10686">
      <w:pPr>
        <w:ind w:hanging="540"/>
      </w:pPr>
    </w:p>
    <w:p w:rsidR="00A10686" w:rsidRDefault="00A10686" w:rsidP="00A10686">
      <w:pPr>
        <w:ind w:hanging="540"/>
      </w:pPr>
    </w:p>
    <w:p w:rsidR="00A10686" w:rsidRPr="00180FF2" w:rsidRDefault="00A10686" w:rsidP="00A10686">
      <w:pPr>
        <w:ind w:hanging="540"/>
      </w:pPr>
      <w:r w:rsidRPr="00180FF2">
        <w:t>Outcomes</w:t>
      </w:r>
    </w:p>
    <w:tbl>
      <w:tblPr>
        <w:tblpPr w:leftFromText="180" w:rightFromText="180" w:vertAnchor="text" w:horzAnchor="margin" w:tblpXSpec="center" w:tblpY="157"/>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160"/>
        <w:gridCol w:w="3150"/>
        <w:gridCol w:w="90"/>
        <w:gridCol w:w="3150"/>
        <w:gridCol w:w="3600"/>
      </w:tblGrid>
      <w:tr w:rsidR="00A10686" w:rsidRPr="00594F48" w:rsidTr="0010138D">
        <w:trPr>
          <w:trHeight w:val="532"/>
        </w:trPr>
        <w:tc>
          <w:tcPr>
            <w:tcW w:w="918" w:type="dxa"/>
            <w:vAlign w:val="center"/>
          </w:tcPr>
          <w:p w:rsidR="00A10686" w:rsidRPr="00180FF2" w:rsidRDefault="00A10686" w:rsidP="0010138D">
            <w:pPr>
              <w:jc w:val="center"/>
              <w:rPr>
                <w:b/>
                <w:sz w:val="18"/>
                <w:szCs w:val="20"/>
              </w:rPr>
            </w:pPr>
            <w:r>
              <w:rPr>
                <w:b/>
                <w:sz w:val="18"/>
                <w:szCs w:val="20"/>
              </w:rPr>
              <w:t>Author</w:t>
            </w:r>
          </w:p>
        </w:tc>
        <w:tc>
          <w:tcPr>
            <w:tcW w:w="2160" w:type="dxa"/>
            <w:vAlign w:val="center"/>
          </w:tcPr>
          <w:p w:rsidR="00A10686" w:rsidRPr="00A421A5" w:rsidRDefault="00A10686" w:rsidP="0010138D">
            <w:pPr>
              <w:jc w:val="center"/>
              <w:rPr>
                <w:b/>
                <w:sz w:val="18"/>
                <w:szCs w:val="18"/>
              </w:rPr>
            </w:pPr>
            <w:r>
              <w:rPr>
                <w:b/>
                <w:sz w:val="18"/>
                <w:szCs w:val="18"/>
              </w:rPr>
              <w:t xml:space="preserve">Frequency and Timing of Myelopathy </w:t>
            </w:r>
            <w:r w:rsidRPr="00A421A5">
              <w:rPr>
                <w:b/>
                <w:sz w:val="18"/>
                <w:szCs w:val="18"/>
              </w:rPr>
              <w:t>Development</w:t>
            </w:r>
          </w:p>
        </w:tc>
        <w:tc>
          <w:tcPr>
            <w:tcW w:w="6390" w:type="dxa"/>
            <w:gridSpan w:val="3"/>
            <w:vAlign w:val="center"/>
          </w:tcPr>
          <w:p w:rsidR="00A10686" w:rsidRPr="00180FF2" w:rsidRDefault="00A10686" w:rsidP="0010138D">
            <w:pPr>
              <w:ind w:right="-108"/>
              <w:jc w:val="center"/>
              <w:rPr>
                <w:b/>
                <w:sz w:val="18"/>
                <w:szCs w:val="20"/>
              </w:rPr>
            </w:pPr>
            <w:r>
              <w:rPr>
                <w:b/>
                <w:sz w:val="18"/>
                <w:szCs w:val="20"/>
              </w:rPr>
              <w:t>Potential Prognostic Factors Evaluated*</w:t>
            </w:r>
          </w:p>
        </w:tc>
        <w:tc>
          <w:tcPr>
            <w:tcW w:w="3600" w:type="dxa"/>
            <w:vAlign w:val="center"/>
          </w:tcPr>
          <w:p w:rsidR="00A10686" w:rsidRPr="00180FF2" w:rsidRDefault="00A10686" w:rsidP="0010138D">
            <w:pPr>
              <w:jc w:val="center"/>
              <w:rPr>
                <w:b/>
                <w:sz w:val="18"/>
                <w:szCs w:val="20"/>
              </w:rPr>
            </w:pPr>
            <w:r>
              <w:rPr>
                <w:b/>
                <w:sz w:val="18"/>
                <w:szCs w:val="20"/>
              </w:rPr>
              <w:t>Significant Results</w:t>
            </w:r>
            <w:r w:rsidRPr="00CD0EBE">
              <w:rPr>
                <w:sz w:val="16"/>
                <w:szCs w:val="16"/>
              </w:rPr>
              <w:t>†</w:t>
            </w:r>
          </w:p>
        </w:tc>
      </w:tr>
      <w:tr w:rsidR="00A10686" w:rsidRPr="00594F48" w:rsidTr="0010138D">
        <w:trPr>
          <w:trHeight w:val="261"/>
        </w:trPr>
        <w:tc>
          <w:tcPr>
            <w:tcW w:w="13068" w:type="dxa"/>
            <w:gridSpan w:val="6"/>
            <w:shd w:val="clear" w:color="auto" w:fill="A6A6A6" w:themeFill="background1" w:themeFillShade="A6"/>
          </w:tcPr>
          <w:p w:rsidR="00A10686" w:rsidRDefault="00A10686" w:rsidP="0010138D">
            <w:pPr>
              <w:rPr>
                <w:b/>
                <w:sz w:val="18"/>
                <w:szCs w:val="20"/>
              </w:rPr>
            </w:pPr>
            <w:r>
              <w:rPr>
                <w:sz w:val="20"/>
                <w:szCs w:val="20"/>
              </w:rPr>
              <w:t>Development of myelopathy</w:t>
            </w:r>
            <w:r w:rsidRPr="00180FF2">
              <w:rPr>
                <w:sz w:val="20"/>
                <w:szCs w:val="20"/>
              </w:rPr>
              <w:t xml:space="preserve"> (A) versus </w:t>
            </w:r>
            <w:r>
              <w:rPr>
                <w:sz w:val="20"/>
                <w:szCs w:val="20"/>
              </w:rPr>
              <w:t>no development of myelopathy</w:t>
            </w:r>
            <w:r w:rsidRPr="00180FF2">
              <w:rPr>
                <w:sz w:val="20"/>
                <w:szCs w:val="20"/>
              </w:rPr>
              <w:t xml:space="preserve"> (B)</w:t>
            </w:r>
          </w:p>
        </w:tc>
      </w:tr>
      <w:tr w:rsidR="00A10686" w:rsidRPr="00594F48" w:rsidTr="0010138D">
        <w:trPr>
          <w:trHeight w:val="169"/>
        </w:trPr>
        <w:tc>
          <w:tcPr>
            <w:tcW w:w="918" w:type="dxa"/>
            <w:vMerge w:val="restart"/>
          </w:tcPr>
          <w:p w:rsidR="00A10686" w:rsidRPr="00DD5AB1" w:rsidRDefault="00A10686" w:rsidP="0010138D">
            <w:pPr>
              <w:jc w:val="center"/>
              <w:rPr>
                <w:sz w:val="16"/>
                <w:szCs w:val="16"/>
              </w:rPr>
            </w:pPr>
            <w:proofErr w:type="spellStart"/>
            <w:r w:rsidRPr="00DD5AB1">
              <w:rPr>
                <w:sz w:val="16"/>
                <w:szCs w:val="16"/>
              </w:rPr>
              <w:t>Bednarik</w:t>
            </w:r>
            <w:proofErr w:type="spellEnd"/>
          </w:p>
          <w:p w:rsidR="00A10686" w:rsidRDefault="00A10686" w:rsidP="0010138D">
            <w:pPr>
              <w:jc w:val="center"/>
              <w:rPr>
                <w:sz w:val="16"/>
                <w:szCs w:val="16"/>
              </w:rPr>
            </w:pPr>
            <w:r w:rsidRPr="00DD5AB1">
              <w:rPr>
                <w:sz w:val="16"/>
                <w:szCs w:val="16"/>
              </w:rPr>
              <w:t>(2008)</w:t>
            </w:r>
            <w:r>
              <w:rPr>
                <w:sz w:val="16"/>
                <w:szCs w:val="16"/>
              </w:rPr>
              <w:t>‡</w:t>
            </w:r>
          </w:p>
          <w:p w:rsidR="00A10686" w:rsidRDefault="00A10686" w:rsidP="0010138D">
            <w:pPr>
              <w:jc w:val="center"/>
              <w:rPr>
                <w:sz w:val="16"/>
                <w:szCs w:val="16"/>
              </w:rPr>
            </w:pPr>
          </w:p>
          <w:p w:rsidR="00A10686" w:rsidRPr="00DD5AB1" w:rsidRDefault="00A10686" w:rsidP="0010138D">
            <w:pPr>
              <w:jc w:val="center"/>
              <w:rPr>
                <w:sz w:val="16"/>
                <w:szCs w:val="16"/>
              </w:rPr>
            </w:pPr>
            <w:proofErr w:type="spellStart"/>
            <w:r>
              <w:rPr>
                <w:sz w:val="16"/>
                <w:szCs w:val="16"/>
              </w:rPr>
              <w:t>Bednarik</w:t>
            </w:r>
            <w:proofErr w:type="spellEnd"/>
            <w:r>
              <w:rPr>
                <w:sz w:val="16"/>
                <w:szCs w:val="16"/>
              </w:rPr>
              <w:t xml:space="preserve"> (2011)‡</w:t>
            </w:r>
          </w:p>
        </w:tc>
        <w:tc>
          <w:tcPr>
            <w:tcW w:w="2160" w:type="dxa"/>
            <w:shd w:val="clear" w:color="auto" w:fill="D9D9D9"/>
          </w:tcPr>
          <w:p w:rsidR="00A10686" w:rsidRPr="00DD5AB1" w:rsidRDefault="00A10686" w:rsidP="0010138D">
            <w:pPr>
              <w:jc w:val="center"/>
              <w:rPr>
                <w:sz w:val="16"/>
                <w:szCs w:val="16"/>
              </w:rPr>
            </w:pPr>
          </w:p>
        </w:tc>
        <w:tc>
          <w:tcPr>
            <w:tcW w:w="3150" w:type="dxa"/>
            <w:shd w:val="clear" w:color="auto" w:fill="D9D9D9"/>
          </w:tcPr>
          <w:p w:rsidR="00A10686" w:rsidRPr="00DD5AB1" w:rsidRDefault="00A10686" w:rsidP="0010138D">
            <w:pPr>
              <w:jc w:val="center"/>
              <w:rPr>
                <w:sz w:val="16"/>
                <w:szCs w:val="16"/>
              </w:rPr>
            </w:pPr>
            <w:r w:rsidRPr="00DD5AB1">
              <w:rPr>
                <w:sz w:val="16"/>
                <w:szCs w:val="16"/>
              </w:rPr>
              <w:t>A</w:t>
            </w:r>
          </w:p>
        </w:tc>
        <w:tc>
          <w:tcPr>
            <w:tcW w:w="3240" w:type="dxa"/>
            <w:gridSpan w:val="2"/>
            <w:shd w:val="clear" w:color="auto" w:fill="D9D9D9"/>
          </w:tcPr>
          <w:p w:rsidR="00A10686" w:rsidRPr="00DD5AB1" w:rsidRDefault="00A10686" w:rsidP="0010138D">
            <w:pPr>
              <w:jc w:val="center"/>
              <w:rPr>
                <w:sz w:val="16"/>
                <w:szCs w:val="16"/>
              </w:rPr>
            </w:pPr>
            <w:r w:rsidRPr="00DD5AB1">
              <w:rPr>
                <w:sz w:val="16"/>
                <w:szCs w:val="16"/>
              </w:rPr>
              <w:t>B</w:t>
            </w:r>
          </w:p>
        </w:tc>
        <w:tc>
          <w:tcPr>
            <w:tcW w:w="3600" w:type="dxa"/>
            <w:shd w:val="clear" w:color="auto" w:fill="D9D9D9"/>
          </w:tcPr>
          <w:p w:rsidR="00A10686" w:rsidRPr="00DD5AB1" w:rsidRDefault="00A10686" w:rsidP="0010138D">
            <w:pPr>
              <w:jc w:val="center"/>
              <w:rPr>
                <w:sz w:val="16"/>
                <w:szCs w:val="16"/>
              </w:rPr>
            </w:pPr>
          </w:p>
        </w:tc>
      </w:tr>
      <w:tr w:rsidR="00A10686" w:rsidRPr="00594F48" w:rsidTr="0010138D">
        <w:trPr>
          <w:trHeight w:val="369"/>
        </w:trPr>
        <w:tc>
          <w:tcPr>
            <w:tcW w:w="918" w:type="dxa"/>
            <w:vMerge/>
          </w:tcPr>
          <w:p w:rsidR="00A10686" w:rsidRPr="00DD5AB1" w:rsidRDefault="00A10686" w:rsidP="0010138D">
            <w:pPr>
              <w:jc w:val="center"/>
              <w:rPr>
                <w:sz w:val="16"/>
                <w:szCs w:val="16"/>
              </w:rPr>
            </w:pPr>
          </w:p>
        </w:tc>
        <w:tc>
          <w:tcPr>
            <w:tcW w:w="2160" w:type="dxa"/>
          </w:tcPr>
          <w:p w:rsidR="00A10686" w:rsidRDefault="00A10686" w:rsidP="0010138D">
            <w:pPr>
              <w:rPr>
                <w:sz w:val="16"/>
                <w:szCs w:val="16"/>
              </w:rPr>
            </w:pPr>
            <w:r>
              <w:rPr>
                <w:sz w:val="16"/>
                <w:szCs w:val="16"/>
              </w:rPr>
              <w:t>Myelopathy development</w:t>
            </w:r>
            <w:r w:rsidRPr="0086061D">
              <w:rPr>
                <w:sz w:val="16"/>
                <w:szCs w:val="16"/>
              </w:rPr>
              <w:t>: 22.6% (45/199)</w:t>
            </w:r>
          </w:p>
          <w:p w:rsidR="00A10686" w:rsidRDefault="00A10686" w:rsidP="0010138D">
            <w:pPr>
              <w:rPr>
                <w:sz w:val="16"/>
                <w:szCs w:val="16"/>
              </w:rPr>
            </w:pPr>
          </w:p>
          <w:p w:rsidR="00A10686" w:rsidRPr="0086061D" w:rsidRDefault="00A10686" w:rsidP="0010138D">
            <w:pPr>
              <w:rPr>
                <w:sz w:val="16"/>
                <w:szCs w:val="16"/>
              </w:rPr>
            </w:pPr>
            <w:r>
              <w:rPr>
                <w:sz w:val="16"/>
                <w:szCs w:val="16"/>
              </w:rPr>
              <w:t xml:space="preserve">Time until 25% of subjects developed myelopathy: 48.4 </w:t>
            </w:r>
            <w:r>
              <w:rPr>
                <w:sz w:val="16"/>
                <w:szCs w:val="16"/>
              </w:rPr>
              <w:lastRenderedPageBreak/>
              <w:t>months</w:t>
            </w:r>
          </w:p>
          <w:p w:rsidR="00A10686" w:rsidRPr="0086061D"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Default="00A10686" w:rsidP="0010138D">
            <w:pPr>
              <w:rPr>
                <w:sz w:val="16"/>
                <w:szCs w:val="16"/>
              </w:rPr>
            </w:pPr>
          </w:p>
          <w:p w:rsidR="00A10686" w:rsidRPr="0086061D" w:rsidRDefault="00A10686" w:rsidP="0010138D">
            <w:pPr>
              <w:rPr>
                <w:i/>
                <w:sz w:val="16"/>
                <w:szCs w:val="16"/>
              </w:rPr>
            </w:pPr>
          </w:p>
        </w:tc>
        <w:tc>
          <w:tcPr>
            <w:tcW w:w="3150" w:type="dxa"/>
            <w:shd w:val="clear" w:color="auto" w:fill="auto"/>
          </w:tcPr>
          <w:p w:rsidR="00A10686" w:rsidRPr="00867316" w:rsidRDefault="00A10686" w:rsidP="0010138D">
            <w:pPr>
              <w:rPr>
                <w:b/>
                <w:sz w:val="16"/>
                <w:szCs w:val="16"/>
              </w:rPr>
            </w:pPr>
            <w:r w:rsidRPr="00867316">
              <w:rPr>
                <w:b/>
                <w:sz w:val="16"/>
                <w:szCs w:val="16"/>
              </w:rPr>
              <w:lastRenderedPageBreak/>
              <w:t xml:space="preserve">Development of </w:t>
            </w:r>
            <w:r>
              <w:rPr>
                <w:b/>
                <w:sz w:val="16"/>
                <w:szCs w:val="16"/>
              </w:rPr>
              <w:t>myelopathy</w:t>
            </w:r>
          </w:p>
          <w:p w:rsidR="00A10686" w:rsidRPr="00DD5AB1" w:rsidRDefault="00A10686" w:rsidP="0010138D">
            <w:pPr>
              <w:rPr>
                <w:i/>
                <w:sz w:val="16"/>
                <w:szCs w:val="16"/>
              </w:rPr>
            </w:pPr>
            <w:r w:rsidRPr="00DD5AB1">
              <w:rPr>
                <w:i/>
                <w:sz w:val="16"/>
                <w:szCs w:val="16"/>
              </w:rPr>
              <w:t>Demographic</w:t>
            </w:r>
          </w:p>
          <w:p w:rsidR="00A10686" w:rsidRPr="00DD5AB1" w:rsidRDefault="00A10686" w:rsidP="00A10686">
            <w:pPr>
              <w:numPr>
                <w:ilvl w:val="0"/>
                <w:numId w:val="2"/>
              </w:numPr>
              <w:ind w:left="162" w:hanging="162"/>
              <w:rPr>
                <w:sz w:val="16"/>
                <w:szCs w:val="16"/>
              </w:rPr>
            </w:pPr>
            <w:r w:rsidRPr="00DD5AB1">
              <w:rPr>
                <w:sz w:val="16"/>
                <w:szCs w:val="16"/>
              </w:rPr>
              <w:t>Age &gt; 50 years</w:t>
            </w:r>
            <w:r>
              <w:rPr>
                <w:sz w:val="16"/>
                <w:szCs w:val="16"/>
              </w:rPr>
              <w:t xml:space="preserve">: 53.3% </w:t>
            </w:r>
            <w:r w:rsidRPr="00DD5AB1">
              <w:rPr>
                <w:sz w:val="16"/>
                <w:szCs w:val="16"/>
              </w:rPr>
              <w:t>(24/45)</w:t>
            </w:r>
          </w:p>
          <w:p w:rsidR="00A10686" w:rsidRDefault="00A10686" w:rsidP="00A10686">
            <w:pPr>
              <w:numPr>
                <w:ilvl w:val="0"/>
                <w:numId w:val="2"/>
              </w:numPr>
              <w:ind w:left="162" w:hanging="162"/>
              <w:rPr>
                <w:sz w:val="16"/>
                <w:szCs w:val="16"/>
              </w:rPr>
            </w:pPr>
            <w:r w:rsidRPr="00DD5AB1">
              <w:rPr>
                <w:sz w:val="16"/>
                <w:szCs w:val="16"/>
              </w:rPr>
              <w:t>Male sex: 64.4% (29/45)</w:t>
            </w:r>
          </w:p>
          <w:p w:rsidR="00A10686" w:rsidRPr="00DD5AB1" w:rsidRDefault="00A10686" w:rsidP="0010138D">
            <w:pPr>
              <w:ind w:left="162"/>
              <w:rPr>
                <w:sz w:val="16"/>
                <w:szCs w:val="16"/>
              </w:rPr>
            </w:pPr>
          </w:p>
          <w:p w:rsidR="00A10686" w:rsidRPr="00DD5AB1" w:rsidRDefault="00A10686" w:rsidP="0010138D">
            <w:pPr>
              <w:rPr>
                <w:i/>
                <w:sz w:val="16"/>
                <w:szCs w:val="16"/>
              </w:rPr>
            </w:pPr>
            <w:r w:rsidRPr="00DD5AB1">
              <w:rPr>
                <w:i/>
                <w:sz w:val="16"/>
                <w:szCs w:val="16"/>
              </w:rPr>
              <w:lastRenderedPageBreak/>
              <w:t>Clinical</w:t>
            </w:r>
          </w:p>
          <w:p w:rsidR="00A10686" w:rsidRDefault="00A10686" w:rsidP="00A10686">
            <w:pPr>
              <w:numPr>
                <w:ilvl w:val="0"/>
                <w:numId w:val="2"/>
              </w:numPr>
              <w:ind w:left="162" w:hanging="162"/>
              <w:rPr>
                <w:sz w:val="16"/>
                <w:szCs w:val="16"/>
              </w:rPr>
            </w:pPr>
            <w:r w:rsidRPr="00DD5AB1">
              <w:rPr>
                <w:sz w:val="16"/>
                <w:szCs w:val="16"/>
              </w:rPr>
              <w:t>Presence of symptomatic</w:t>
            </w:r>
            <w:r>
              <w:rPr>
                <w:sz w:val="16"/>
                <w:szCs w:val="16"/>
              </w:rPr>
              <w:t xml:space="preserve"> cervical radiculopathy: 60.0% (27/45)</w:t>
            </w:r>
          </w:p>
          <w:p w:rsidR="00A10686" w:rsidRDefault="00A10686" w:rsidP="00A10686">
            <w:pPr>
              <w:numPr>
                <w:ilvl w:val="0"/>
                <w:numId w:val="2"/>
              </w:numPr>
              <w:ind w:left="162" w:hanging="162"/>
              <w:rPr>
                <w:sz w:val="16"/>
                <w:szCs w:val="16"/>
              </w:rPr>
            </w:pPr>
            <w:r>
              <w:rPr>
                <w:sz w:val="16"/>
                <w:szCs w:val="16"/>
              </w:rPr>
              <w:t>Minor traumatic event during follow-up period: 6.7% (3/45)</w:t>
            </w:r>
          </w:p>
          <w:p w:rsidR="00A10686" w:rsidRPr="00DD5AB1" w:rsidRDefault="00A10686" w:rsidP="0010138D">
            <w:pPr>
              <w:ind w:left="162"/>
              <w:rPr>
                <w:sz w:val="16"/>
                <w:szCs w:val="16"/>
              </w:rPr>
            </w:pPr>
          </w:p>
          <w:p w:rsidR="00A10686" w:rsidRPr="0078710C" w:rsidRDefault="00A10686" w:rsidP="0010138D">
            <w:pPr>
              <w:rPr>
                <w:i/>
                <w:sz w:val="16"/>
                <w:szCs w:val="16"/>
              </w:rPr>
            </w:pPr>
            <w:r>
              <w:rPr>
                <w:i/>
                <w:sz w:val="16"/>
                <w:szCs w:val="16"/>
              </w:rPr>
              <w:t>Electrophysiological</w:t>
            </w:r>
          </w:p>
          <w:p w:rsidR="00A10686" w:rsidRPr="003065AC" w:rsidRDefault="00A10686" w:rsidP="00A10686">
            <w:pPr>
              <w:numPr>
                <w:ilvl w:val="0"/>
                <w:numId w:val="2"/>
              </w:numPr>
              <w:ind w:left="162" w:hanging="162"/>
              <w:rPr>
                <w:sz w:val="16"/>
                <w:szCs w:val="16"/>
              </w:rPr>
            </w:pPr>
            <w:r>
              <w:rPr>
                <w:sz w:val="16"/>
                <w:szCs w:val="16"/>
              </w:rPr>
              <w:t xml:space="preserve">Prolonged median and </w:t>
            </w:r>
            <w:proofErr w:type="spellStart"/>
            <w:r>
              <w:rPr>
                <w:sz w:val="16"/>
                <w:szCs w:val="16"/>
              </w:rPr>
              <w:t>tibial</w:t>
            </w:r>
            <w:proofErr w:type="spellEnd"/>
            <w:r>
              <w:rPr>
                <w:sz w:val="16"/>
                <w:szCs w:val="16"/>
              </w:rPr>
              <w:t xml:space="preserve"> SEPs: 37.8% (17/45)</w:t>
            </w:r>
          </w:p>
          <w:p w:rsidR="00A10686" w:rsidRPr="003065AC" w:rsidRDefault="00A10686" w:rsidP="00A10686">
            <w:pPr>
              <w:numPr>
                <w:ilvl w:val="0"/>
                <w:numId w:val="2"/>
              </w:numPr>
              <w:ind w:left="162" w:hanging="162"/>
              <w:rPr>
                <w:sz w:val="16"/>
                <w:szCs w:val="16"/>
              </w:rPr>
            </w:pPr>
            <w:r w:rsidRPr="00255F2C">
              <w:rPr>
                <w:sz w:val="16"/>
                <w:szCs w:val="16"/>
              </w:rPr>
              <w:t xml:space="preserve">Prolonged </w:t>
            </w:r>
            <w:r w:rsidRPr="00255F2C">
              <w:rPr>
                <w:rFonts w:eastAsia="SimSun"/>
                <w:sz w:val="16"/>
                <w:szCs w:val="16"/>
                <w:lang w:eastAsia="zh-CN"/>
              </w:rPr>
              <w:t xml:space="preserve">abductor </w:t>
            </w:r>
            <w:proofErr w:type="spellStart"/>
            <w:r w:rsidRPr="00255F2C">
              <w:rPr>
                <w:rFonts w:eastAsia="SimSun"/>
                <w:sz w:val="16"/>
                <w:szCs w:val="16"/>
                <w:lang w:eastAsia="zh-CN"/>
              </w:rPr>
              <w:t>digiti</w:t>
            </w:r>
            <w:proofErr w:type="spellEnd"/>
            <w:r w:rsidRPr="00255F2C">
              <w:rPr>
                <w:rFonts w:eastAsia="SimSun"/>
                <w:sz w:val="16"/>
                <w:szCs w:val="16"/>
                <w:lang w:eastAsia="zh-CN"/>
              </w:rPr>
              <w:t xml:space="preserve"> </w:t>
            </w:r>
            <w:proofErr w:type="spellStart"/>
            <w:r w:rsidRPr="00255F2C">
              <w:rPr>
                <w:rFonts w:eastAsia="SimSun"/>
                <w:sz w:val="16"/>
                <w:szCs w:val="16"/>
                <w:lang w:eastAsia="zh-CN"/>
              </w:rPr>
              <w:t>minimi</w:t>
            </w:r>
            <w:proofErr w:type="spellEnd"/>
            <w:r w:rsidRPr="00255F2C">
              <w:rPr>
                <w:rFonts w:eastAsia="SimSun"/>
                <w:sz w:val="16"/>
                <w:szCs w:val="16"/>
                <w:lang w:eastAsia="zh-CN"/>
              </w:rPr>
              <w:t xml:space="preserve"> and abductor </w:t>
            </w:r>
            <w:proofErr w:type="spellStart"/>
            <w:r w:rsidRPr="00255F2C">
              <w:rPr>
                <w:rFonts w:eastAsia="SimSun"/>
                <w:sz w:val="16"/>
                <w:szCs w:val="16"/>
                <w:lang w:eastAsia="zh-CN"/>
              </w:rPr>
              <w:t>hallucis</w:t>
            </w:r>
            <w:proofErr w:type="spellEnd"/>
            <w:r w:rsidRPr="00255F2C">
              <w:rPr>
                <w:rFonts w:eastAsia="SimSun"/>
                <w:sz w:val="16"/>
                <w:szCs w:val="16"/>
                <w:lang w:eastAsia="zh-CN"/>
              </w:rPr>
              <w:t xml:space="preserve"> </w:t>
            </w:r>
            <w:r>
              <w:rPr>
                <w:sz w:val="16"/>
                <w:szCs w:val="16"/>
              </w:rPr>
              <w:t>MEPs: 40.0% (18/45)</w:t>
            </w:r>
          </w:p>
          <w:p w:rsidR="00A10686" w:rsidRDefault="00A10686" w:rsidP="00A10686">
            <w:pPr>
              <w:numPr>
                <w:ilvl w:val="0"/>
                <w:numId w:val="2"/>
              </w:numPr>
              <w:ind w:left="162" w:hanging="162"/>
              <w:rPr>
                <w:sz w:val="16"/>
                <w:szCs w:val="16"/>
              </w:rPr>
            </w:pPr>
            <w:r>
              <w:rPr>
                <w:sz w:val="16"/>
                <w:szCs w:val="16"/>
              </w:rPr>
              <w:t>EMG signs of anterior horn cell lesion: 42.2% (19/45)</w:t>
            </w:r>
          </w:p>
          <w:p w:rsidR="00A10686" w:rsidRPr="00DD5AB1" w:rsidRDefault="00A10686" w:rsidP="0010138D">
            <w:pPr>
              <w:ind w:left="162"/>
              <w:rPr>
                <w:sz w:val="16"/>
                <w:szCs w:val="16"/>
              </w:rPr>
            </w:pPr>
          </w:p>
          <w:p w:rsidR="00A10686" w:rsidRDefault="00A10686" w:rsidP="0010138D">
            <w:pPr>
              <w:rPr>
                <w:i/>
                <w:sz w:val="16"/>
                <w:szCs w:val="16"/>
              </w:rPr>
            </w:pPr>
            <w:r>
              <w:rPr>
                <w:i/>
                <w:sz w:val="16"/>
                <w:szCs w:val="16"/>
              </w:rPr>
              <w:t>Radiographic</w:t>
            </w:r>
          </w:p>
          <w:p w:rsidR="00A10686" w:rsidRPr="00DD5AB1" w:rsidRDefault="00A10686" w:rsidP="0010138D">
            <w:pPr>
              <w:rPr>
                <w:i/>
                <w:sz w:val="16"/>
                <w:szCs w:val="16"/>
              </w:rPr>
            </w:pPr>
            <w:r w:rsidRPr="0078710C">
              <w:rPr>
                <w:sz w:val="16"/>
                <w:szCs w:val="16"/>
                <w:u w:val="single"/>
              </w:rPr>
              <w:t>Type of compression</w:t>
            </w:r>
            <w:r w:rsidRPr="00DD5AB1">
              <w:rPr>
                <w:i/>
                <w:sz w:val="16"/>
                <w:szCs w:val="16"/>
              </w:rPr>
              <w:t xml:space="preserve"> </w:t>
            </w:r>
          </w:p>
          <w:p w:rsidR="00A10686" w:rsidRPr="00DD5AB1" w:rsidRDefault="00A10686" w:rsidP="00A10686">
            <w:pPr>
              <w:numPr>
                <w:ilvl w:val="0"/>
                <w:numId w:val="2"/>
              </w:numPr>
              <w:ind w:left="162" w:hanging="162"/>
              <w:rPr>
                <w:sz w:val="16"/>
                <w:szCs w:val="16"/>
              </w:rPr>
            </w:pPr>
            <w:r w:rsidRPr="00DD5AB1">
              <w:rPr>
                <w:sz w:val="16"/>
                <w:szCs w:val="16"/>
              </w:rPr>
              <w:t>Osteophytes: 35.6% (16/45)</w:t>
            </w:r>
          </w:p>
          <w:p w:rsidR="00A10686" w:rsidRPr="00DD5AB1" w:rsidRDefault="00A10686" w:rsidP="00A10686">
            <w:pPr>
              <w:numPr>
                <w:ilvl w:val="0"/>
                <w:numId w:val="2"/>
              </w:numPr>
              <w:ind w:left="162" w:hanging="162"/>
              <w:rPr>
                <w:sz w:val="16"/>
                <w:szCs w:val="16"/>
              </w:rPr>
            </w:pPr>
            <w:r w:rsidRPr="00DD5AB1">
              <w:rPr>
                <w:sz w:val="16"/>
                <w:szCs w:val="16"/>
              </w:rPr>
              <w:t>Herniation: 15.6% (7/45)</w:t>
            </w:r>
          </w:p>
          <w:p w:rsidR="00A10686" w:rsidRPr="00DD5AB1" w:rsidRDefault="00A10686" w:rsidP="00A10686">
            <w:pPr>
              <w:numPr>
                <w:ilvl w:val="0"/>
                <w:numId w:val="2"/>
              </w:numPr>
              <w:ind w:left="162" w:hanging="162"/>
              <w:rPr>
                <w:sz w:val="16"/>
                <w:szCs w:val="16"/>
              </w:rPr>
            </w:pPr>
            <w:r w:rsidRPr="00DD5AB1">
              <w:rPr>
                <w:sz w:val="16"/>
                <w:szCs w:val="16"/>
              </w:rPr>
              <w:t>Osteophytes + herniation: 48.8% (22/45)</w:t>
            </w:r>
          </w:p>
          <w:p w:rsidR="00A10686" w:rsidRPr="00DD5AB1" w:rsidRDefault="00A10686" w:rsidP="0010138D">
            <w:pPr>
              <w:rPr>
                <w:i/>
                <w:sz w:val="16"/>
                <w:szCs w:val="16"/>
              </w:rPr>
            </w:pPr>
            <w:r w:rsidRPr="0078710C">
              <w:rPr>
                <w:sz w:val="16"/>
                <w:szCs w:val="16"/>
                <w:u w:val="single"/>
              </w:rPr>
              <w:t xml:space="preserve">Number of </w:t>
            </w:r>
            <w:proofErr w:type="spellStart"/>
            <w:r w:rsidRPr="0078710C">
              <w:rPr>
                <w:sz w:val="16"/>
                <w:szCs w:val="16"/>
                <w:u w:val="single"/>
              </w:rPr>
              <w:t>stenotic</w:t>
            </w:r>
            <w:proofErr w:type="spellEnd"/>
            <w:r w:rsidRPr="0078710C">
              <w:rPr>
                <w:sz w:val="16"/>
                <w:szCs w:val="16"/>
                <w:u w:val="single"/>
              </w:rPr>
              <w:t xml:space="preserve"> levels</w:t>
            </w:r>
          </w:p>
          <w:p w:rsidR="00A10686" w:rsidRPr="00DD5AB1" w:rsidRDefault="00A10686" w:rsidP="00A10686">
            <w:pPr>
              <w:numPr>
                <w:ilvl w:val="0"/>
                <w:numId w:val="2"/>
              </w:numPr>
              <w:ind w:left="162" w:hanging="162"/>
              <w:rPr>
                <w:sz w:val="16"/>
                <w:szCs w:val="16"/>
              </w:rPr>
            </w:pPr>
            <w:r w:rsidRPr="00DD5AB1">
              <w:rPr>
                <w:sz w:val="16"/>
                <w:szCs w:val="16"/>
              </w:rPr>
              <w:t>1: 51.1% (23/45)</w:t>
            </w:r>
          </w:p>
          <w:p w:rsidR="00A10686" w:rsidRPr="00DD5AB1" w:rsidRDefault="00A10686" w:rsidP="00A10686">
            <w:pPr>
              <w:numPr>
                <w:ilvl w:val="0"/>
                <w:numId w:val="2"/>
              </w:numPr>
              <w:ind w:left="162" w:hanging="162"/>
              <w:rPr>
                <w:sz w:val="16"/>
                <w:szCs w:val="16"/>
              </w:rPr>
            </w:pPr>
            <w:r w:rsidRPr="00DD5AB1">
              <w:rPr>
                <w:sz w:val="16"/>
                <w:szCs w:val="16"/>
              </w:rPr>
              <w:t>2: 26.7% (12/45)</w:t>
            </w:r>
          </w:p>
          <w:p w:rsidR="00A10686" w:rsidRDefault="00A10686" w:rsidP="00A10686">
            <w:pPr>
              <w:numPr>
                <w:ilvl w:val="0"/>
                <w:numId w:val="2"/>
              </w:numPr>
              <w:ind w:left="162" w:hanging="162"/>
              <w:rPr>
                <w:sz w:val="16"/>
                <w:szCs w:val="16"/>
              </w:rPr>
            </w:pPr>
            <w:r w:rsidRPr="00DD5AB1">
              <w:rPr>
                <w:sz w:val="16"/>
                <w:szCs w:val="16"/>
              </w:rPr>
              <w:t>≥ 3: 22.2% (10/45)</w:t>
            </w:r>
          </w:p>
          <w:p w:rsidR="00A10686" w:rsidRPr="00DD5AB1" w:rsidRDefault="00A10686" w:rsidP="0010138D">
            <w:pPr>
              <w:ind w:left="162"/>
              <w:rPr>
                <w:sz w:val="16"/>
                <w:szCs w:val="16"/>
              </w:rPr>
            </w:pPr>
          </w:p>
          <w:p w:rsidR="00A10686" w:rsidRPr="00DD5AB1" w:rsidRDefault="00A10686" w:rsidP="00A10686">
            <w:pPr>
              <w:numPr>
                <w:ilvl w:val="0"/>
                <w:numId w:val="2"/>
              </w:numPr>
              <w:ind w:left="162" w:hanging="162"/>
              <w:rPr>
                <w:sz w:val="16"/>
                <w:szCs w:val="16"/>
              </w:rPr>
            </w:pPr>
            <w:r w:rsidRPr="00DD5AB1">
              <w:rPr>
                <w:sz w:val="16"/>
                <w:szCs w:val="16"/>
              </w:rPr>
              <w:t xml:space="preserve">Pavlov </w:t>
            </w:r>
            <w:r>
              <w:rPr>
                <w:sz w:val="16"/>
                <w:szCs w:val="16"/>
              </w:rPr>
              <w:t>ratio</w:t>
            </w:r>
            <w:r w:rsidRPr="00DD5AB1">
              <w:rPr>
                <w:sz w:val="16"/>
                <w:szCs w:val="16"/>
              </w:rPr>
              <w:t xml:space="preserve"> &lt; 0.8</w:t>
            </w:r>
            <w:r>
              <w:rPr>
                <w:sz w:val="16"/>
                <w:szCs w:val="16"/>
              </w:rPr>
              <w:t>: 28.9% (13/45)</w:t>
            </w:r>
          </w:p>
          <w:p w:rsidR="00A10686" w:rsidRPr="00DD5AB1" w:rsidRDefault="00A10686" w:rsidP="00A10686">
            <w:pPr>
              <w:numPr>
                <w:ilvl w:val="0"/>
                <w:numId w:val="2"/>
              </w:numPr>
              <w:ind w:left="162" w:hanging="162"/>
              <w:rPr>
                <w:sz w:val="16"/>
                <w:szCs w:val="16"/>
              </w:rPr>
            </w:pPr>
            <w:r w:rsidRPr="00DD5AB1">
              <w:rPr>
                <w:sz w:val="16"/>
                <w:szCs w:val="16"/>
              </w:rPr>
              <w:t xml:space="preserve">Compression ratio </w:t>
            </w:r>
            <w:r>
              <w:rPr>
                <w:sz w:val="16"/>
                <w:szCs w:val="16"/>
              </w:rPr>
              <w:t>≤ 0.4: 33.3% (15/45)</w:t>
            </w:r>
          </w:p>
          <w:p w:rsidR="00A10686" w:rsidRDefault="00A10686" w:rsidP="00A10686">
            <w:pPr>
              <w:numPr>
                <w:ilvl w:val="0"/>
                <w:numId w:val="2"/>
              </w:numPr>
              <w:ind w:left="162" w:hanging="162"/>
              <w:rPr>
                <w:sz w:val="16"/>
                <w:szCs w:val="16"/>
              </w:rPr>
            </w:pPr>
            <w:r w:rsidRPr="00DD5AB1">
              <w:rPr>
                <w:sz w:val="16"/>
                <w:szCs w:val="16"/>
              </w:rPr>
              <w:t>Cross-sectional ce</w:t>
            </w:r>
            <w:r>
              <w:rPr>
                <w:sz w:val="16"/>
                <w:szCs w:val="16"/>
              </w:rPr>
              <w:t>rvical SCA ≤ 70mm</w:t>
            </w:r>
            <w:r>
              <w:rPr>
                <w:sz w:val="16"/>
                <w:szCs w:val="16"/>
                <w:vertAlign w:val="superscript"/>
              </w:rPr>
              <w:t>2</w:t>
            </w:r>
            <w:r>
              <w:rPr>
                <w:sz w:val="16"/>
                <w:szCs w:val="16"/>
              </w:rPr>
              <w:t>: 40.0% (18/45)</w:t>
            </w:r>
          </w:p>
          <w:p w:rsidR="00A10686" w:rsidRPr="00863A6B" w:rsidRDefault="00A10686" w:rsidP="00A10686">
            <w:pPr>
              <w:numPr>
                <w:ilvl w:val="0"/>
                <w:numId w:val="2"/>
              </w:numPr>
              <w:ind w:left="162" w:hanging="162"/>
              <w:rPr>
                <w:sz w:val="16"/>
                <w:szCs w:val="16"/>
              </w:rPr>
            </w:pPr>
            <w:r w:rsidRPr="0086061D">
              <w:rPr>
                <w:sz w:val="16"/>
                <w:szCs w:val="16"/>
              </w:rPr>
              <w:t xml:space="preserve">Cervical cord MRI </w:t>
            </w:r>
            <w:proofErr w:type="spellStart"/>
            <w:r w:rsidRPr="0086061D">
              <w:rPr>
                <w:sz w:val="16"/>
                <w:szCs w:val="16"/>
              </w:rPr>
              <w:t>hyper</w:t>
            </w:r>
            <w:r>
              <w:rPr>
                <w:sz w:val="16"/>
                <w:szCs w:val="16"/>
              </w:rPr>
              <w:t>intensity</w:t>
            </w:r>
            <w:proofErr w:type="spellEnd"/>
            <w:r w:rsidRPr="0086061D">
              <w:rPr>
                <w:sz w:val="16"/>
                <w:szCs w:val="16"/>
              </w:rPr>
              <w:t>: 35.6% (16/45)</w:t>
            </w:r>
          </w:p>
        </w:tc>
        <w:tc>
          <w:tcPr>
            <w:tcW w:w="3240" w:type="dxa"/>
            <w:gridSpan w:val="2"/>
            <w:shd w:val="clear" w:color="auto" w:fill="auto"/>
          </w:tcPr>
          <w:p w:rsidR="00A10686" w:rsidRPr="00867316" w:rsidRDefault="00A10686" w:rsidP="0010138D">
            <w:pPr>
              <w:rPr>
                <w:b/>
                <w:sz w:val="16"/>
                <w:szCs w:val="16"/>
              </w:rPr>
            </w:pPr>
            <w:r>
              <w:rPr>
                <w:b/>
                <w:sz w:val="16"/>
                <w:szCs w:val="16"/>
              </w:rPr>
              <w:lastRenderedPageBreak/>
              <w:t>No d</w:t>
            </w:r>
            <w:r w:rsidRPr="00867316">
              <w:rPr>
                <w:b/>
                <w:sz w:val="16"/>
                <w:szCs w:val="16"/>
              </w:rPr>
              <w:t xml:space="preserve">evelopment of </w:t>
            </w:r>
            <w:r>
              <w:rPr>
                <w:b/>
                <w:sz w:val="16"/>
                <w:szCs w:val="16"/>
              </w:rPr>
              <w:t xml:space="preserve"> myelopathy</w:t>
            </w:r>
          </w:p>
          <w:p w:rsidR="00A10686" w:rsidRPr="00DD5AB1" w:rsidRDefault="00A10686" w:rsidP="0010138D">
            <w:pPr>
              <w:rPr>
                <w:i/>
                <w:sz w:val="16"/>
                <w:szCs w:val="16"/>
              </w:rPr>
            </w:pPr>
            <w:r w:rsidRPr="00DD5AB1">
              <w:rPr>
                <w:i/>
                <w:sz w:val="16"/>
                <w:szCs w:val="16"/>
              </w:rPr>
              <w:t>Demographic</w:t>
            </w:r>
          </w:p>
          <w:p w:rsidR="00A10686" w:rsidRPr="00DD5AB1" w:rsidRDefault="00A10686" w:rsidP="00A10686">
            <w:pPr>
              <w:numPr>
                <w:ilvl w:val="0"/>
                <w:numId w:val="2"/>
              </w:numPr>
              <w:ind w:left="162" w:hanging="162"/>
              <w:rPr>
                <w:sz w:val="16"/>
                <w:szCs w:val="16"/>
              </w:rPr>
            </w:pPr>
            <w:r w:rsidRPr="00DD5AB1">
              <w:rPr>
                <w:sz w:val="16"/>
                <w:szCs w:val="16"/>
              </w:rPr>
              <w:t>Age &gt; 50 years: 49.4% (76/154)</w:t>
            </w:r>
          </w:p>
          <w:p w:rsidR="00A10686" w:rsidRDefault="00A10686" w:rsidP="00A10686">
            <w:pPr>
              <w:numPr>
                <w:ilvl w:val="0"/>
                <w:numId w:val="2"/>
              </w:numPr>
              <w:ind w:left="162" w:hanging="162"/>
              <w:rPr>
                <w:sz w:val="16"/>
                <w:szCs w:val="16"/>
              </w:rPr>
            </w:pPr>
            <w:r w:rsidRPr="00DD5AB1">
              <w:rPr>
                <w:sz w:val="16"/>
                <w:szCs w:val="16"/>
              </w:rPr>
              <w:t>Male sex: 49.4% (76/154)</w:t>
            </w:r>
          </w:p>
          <w:p w:rsidR="00A10686" w:rsidRPr="00DD5AB1" w:rsidRDefault="00A10686" w:rsidP="0010138D">
            <w:pPr>
              <w:ind w:left="162"/>
              <w:rPr>
                <w:sz w:val="16"/>
                <w:szCs w:val="16"/>
              </w:rPr>
            </w:pPr>
          </w:p>
          <w:p w:rsidR="00A10686" w:rsidRPr="00DD5AB1" w:rsidRDefault="00A10686" w:rsidP="0010138D">
            <w:pPr>
              <w:rPr>
                <w:i/>
                <w:sz w:val="16"/>
                <w:szCs w:val="16"/>
              </w:rPr>
            </w:pPr>
            <w:r w:rsidRPr="00DD5AB1">
              <w:rPr>
                <w:i/>
                <w:sz w:val="16"/>
                <w:szCs w:val="16"/>
              </w:rPr>
              <w:lastRenderedPageBreak/>
              <w:t>Clinical</w:t>
            </w:r>
          </w:p>
          <w:p w:rsidR="00A10686" w:rsidRDefault="00A10686" w:rsidP="00A10686">
            <w:pPr>
              <w:numPr>
                <w:ilvl w:val="0"/>
                <w:numId w:val="2"/>
              </w:numPr>
              <w:ind w:left="162" w:hanging="162"/>
              <w:rPr>
                <w:sz w:val="16"/>
                <w:szCs w:val="16"/>
              </w:rPr>
            </w:pPr>
            <w:r w:rsidRPr="00DD5AB1">
              <w:rPr>
                <w:sz w:val="16"/>
                <w:szCs w:val="16"/>
              </w:rPr>
              <w:t>Presence of symptomatic</w:t>
            </w:r>
            <w:r>
              <w:rPr>
                <w:sz w:val="16"/>
                <w:szCs w:val="16"/>
              </w:rPr>
              <w:t xml:space="preserve"> cervical radiculopathy: 20.1% (31/154)</w:t>
            </w:r>
          </w:p>
          <w:p w:rsidR="00A10686" w:rsidRPr="004560A0" w:rsidRDefault="00A10686" w:rsidP="00A10686">
            <w:pPr>
              <w:numPr>
                <w:ilvl w:val="0"/>
                <w:numId w:val="2"/>
              </w:numPr>
              <w:ind w:left="162" w:hanging="162"/>
              <w:rPr>
                <w:sz w:val="16"/>
                <w:szCs w:val="16"/>
              </w:rPr>
            </w:pPr>
            <w:r>
              <w:rPr>
                <w:sz w:val="16"/>
                <w:szCs w:val="16"/>
              </w:rPr>
              <w:t>Minor traumatic event during follow-up period: 7.2% (11/154)</w:t>
            </w:r>
          </w:p>
          <w:p w:rsidR="00A10686" w:rsidRPr="00DD5AB1" w:rsidRDefault="00A10686" w:rsidP="0010138D">
            <w:pPr>
              <w:ind w:left="162"/>
              <w:rPr>
                <w:sz w:val="16"/>
                <w:szCs w:val="16"/>
              </w:rPr>
            </w:pPr>
          </w:p>
          <w:p w:rsidR="00A10686" w:rsidRPr="0078710C" w:rsidRDefault="00A10686" w:rsidP="0010138D">
            <w:pPr>
              <w:rPr>
                <w:i/>
                <w:sz w:val="16"/>
                <w:szCs w:val="16"/>
              </w:rPr>
            </w:pPr>
            <w:r>
              <w:rPr>
                <w:i/>
                <w:sz w:val="16"/>
                <w:szCs w:val="16"/>
              </w:rPr>
              <w:t>Electrophysiological</w:t>
            </w:r>
          </w:p>
          <w:p w:rsidR="00A10686" w:rsidRPr="003065AC" w:rsidRDefault="00A10686" w:rsidP="00A10686">
            <w:pPr>
              <w:numPr>
                <w:ilvl w:val="0"/>
                <w:numId w:val="2"/>
              </w:numPr>
              <w:ind w:left="162" w:hanging="162"/>
              <w:rPr>
                <w:sz w:val="16"/>
                <w:szCs w:val="16"/>
              </w:rPr>
            </w:pPr>
            <w:r>
              <w:rPr>
                <w:sz w:val="16"/>
                <w:szCs w:val="16"/>
              </w:rPr>
              <w:t xml:space="preserve">Prolonged  median and </w:t>
            </w:r>
            <w:proofErr w:type="spellStart"/>
            <w:r>
              <w:rPr>
                <w:sz w:val="16"/>
                <w:szCs w:val="16"/>
              </w:rPr>
              <w:t>tibial</w:t>
            </w:r>
            <w:proofErr w:type="spellEnd"/>
            <w:r>
              <w:rPr>
                <w:sz w:val="16"/>
                <w:szCs w:val="16"/>
              </w:rPr>
              <w:t xml:space="preserve"> SEPs: 12.9% (20/154)</w:t>
            </w:r>
          </w:p>
          <w:p w:rsidR="00A10686" w:rsidRDefault="00A10686" w:rsidP="00A10686">
            <w:pPr>
              <w:numPr>
                <w:ilvl w:val="0"/>
                <w:numId w:val="2"/>
              </w:numPr>
              <w:ind w:left="162" w:hanging="162"/>
              <w:rPr>
                <w:sz w:val="16"/>
                <w:szCs w:val="16"/>
              </w:rPr>
            </w:pPr>
            <w:r>
              <w:rPr>
                <w:sz w:val="16"/>
                <w:szCs w:val="16"/>
              </w:rPr>
              <w:t xml:space="preserve">Prolonged </w:t>
            </w:r>
            <w:r w:rsidRPr="00255F2C">
              <w:rPr>
                <w:rFonts w:eastAsia="SimSun"/>
                <w:sz w:val="16"/>
                <w:szCs w:val="16"/>
                <w:lang w:eastAsia="zh-CN"/>
              </w:rPr>
              <w:t xml:space="preserve"> abductor </w:t>
            </w:r>
            <w:proofErr w:type="spellStart"/>
            <w:r w:rsidRPr="00255F2C">
              <w:rPr>
                <w:rFonts w:eastAsia="SimSun"/>
                <w:sz w:val="16"/>
                <w:szCs w:val="16"/>
                <w:lang w:eastAsia="zh-CN"/>
              </w:rPr>
              <w:t>digiti</w:t>
            </w:r>
            <w:proofErr w:type="spellEnd"/>
            <w:r w:rsidRPr="00255F2C">
              <w:rPr>
                <w:rFonts w:eastAsia="SimSun"/>
                <w:sz w:val="16"/>
                <w:szCs w:val="16"/>
                <w:lang w:eastAsia="zh-CN"/>
              </w:rPr>
              <w:t xml:space="preserve"> </w:t>
            </w:r>
            <w:proofErr w:type="spellStart"/>
            <w:r w:rsidRPr="00255F2C">
              <w:rPr>
                <w:rFonts w:eastAsia="SimSun"/>
                <w:sz w:val="16"/>
                <w:szCs w:val="16"/>
                <w:lang w:eastAsia="zh-CN"/>
              </w:rPr>
              <w:t>minimi</w:t>
            </w:r>
            <w:proofErr w:type="spellEnd"/>
            <w:r w:rsidRPr="00255F2C">
              <w:rPr>
                <w:rFonts w:eastAsia="SimSun"/>
                <w:sz w:val="16"/>
                <w:szCs w:val="16"/>
                <w:lang w:eastAsia="zh-CN"/>
              </w:rPr>
              <w:t xml:space="preserve"> and abductor </w:t>
            </w:r>
            <w:proofErr w:type="spellStart"/>
            <w:r w:rsidRPr="00255F2C">
              <w:rPr>
                <w:rFonts w:eastAsia="SimSun"/>
                <w:sz w:val="16"/>
                <w:szCs w:val="16"/>
                <w:lang w:eastAsia="zh-CN"/>
              </w:rPr>
              <w:t>hallucis</w:t>
            </w:r>
            <w:proofErr w:type="spellEnd"/>
            <w:r w:rsidRPr="00255F2C">
              <w:rPr>
                <w:rFonts w:eastAsia="SimSun"/>
                <w:sz w:val="16"/>
                <w:szCs w:val="16"/>
                <w:lang w:eastAsia="zh-CN"/>
              </w:rPr>
              <w:t xml:space="preserve"> </w:t>
            </w:r>
            <w:r>
              <w:rPr>
                <w:sz w:val="16"/>
                <w:szCs w:val="16"/>
              </w:rPr>
              <w:t>MEPs: 12.4% (19/154)</w:t>
            </w:r>
          </w:p>
          <w:p w:rsidR="00A10686" w:rsidRDefault="00A10686" w:rsidP="00A10686">
            <w:pPr>
              <w:numPr>
                <w:ilvl w:val="0"/>
                <w:numId w:val="2"/>
              </w:numPr>
              <w:ind w:left="162" w:hanging="162"/>
              <w:rPr>
                <w:sz w:val="16"/>
                <w:szCs w:val="16"/>
              </w:rPr>
            </w:pPr>
            <w:r w:rsidRPr="0078710C">
              <w:rPr>
                <w:sz w:val="16"/>
                <w:szCs w:val="16"/>
              </w:rPr>
              <w:t>EMG sign</w:t>
            </w:r>
            <w:r>
              <w:rPr>
                <w:sz w:val="16"/>
                <w:szCs w:val="16"/>
              </w:rPr>
              <w:t>s of anterior horn cell lesion</w:t>
            </w:r>
            <w:r w:rsidRPr="0078710C">
              <w:rPr>
                <w:sz w:val="16"/>
                <w:szCs w:val="16"/>
              </w:rPr>
              <w:t>: 17.5% (27/154)</w:t>
            </w:r>
          </w:p>
          <w:p w:rsidR="00A10686" w:rsidRDefault="00A10686" w:rsidP="0010138D">
            <w:pPr>
              <w:rPr>
                <w:sz w:val="16"/>
                <w:szCs w:val="16"/>
              </w:rPr>
            </w:pPr>
          </w:p>
          <w:p w:rsidR="00A10686" w:rsidRDefault="00A10686" w:rsidP="0010138D">
            <w:pPr>
              <w:rPr>
                <w:i/>
                <w:sz w:val="16"/>
                <w:szCs w:val="16"/>
              </w:rPr>
            </w:pPr>
            <w:r>
              <w:rPr>
                <w:i/>
                <w:sz w:val="16"/>
                <w:szCs w:val="16"/>
              </w:rPr>
              <w:t>Radiographic</w:t>
            </w:r>
          </w:p>
          <w:p w:rsidR="00A10686" w:rsidRPr="00DD5AB1" w:rsidRDefault="00A10686" w:rsidP="0010138D">
            <w:pPr>
              <w:rPr>
                <w:i/>
                <w:sz w:val="16"/>
                <w:szCs w:val="16"/>
              </w:rPr>
            </w:pPr>
            <w:r w:rsidRPr="0078710C">
              <w:rPr>
                <w:sz w:val="16"/>
                <w:szCs w:val="16"/>
                <w:u w:val="single"/>
              </w:rPr>
              <w:t>Type of compression</w:t>
            </w:r>
            <w:r w:rsidRPr="00DD5AB1">
              <w:rPr>
                <w:i/>
                <w:sz w:val="16"/>
                <w:szCs w:val="16"/>
              </w:rPr>
              <w:t xml:space="preserve"> </w:t>
            </w:r>
          </w:p>
          <w:p w:rsidR="00A10686" w:rsidRPr="00DD5AB1" w:rsidRDefault="00A10686" w:rsidP="00A10686">
            <w:pPr>
              <w:numPr>
                <w:ilvl w:val="0"/>
                <w:numId w:val="2"/>
              </w:numPr>
              <w:ind w:left="162" w:hanging="162"/>
              <w:rPr>
                <w:sz w:val="16"/>
                <w:szCs w:val="16"/>
              </w:rPr>
            </w:pPr>
            <w:r w:rsidRPr="00DD5AB1">
              <w:rPr>
                <w:sz w:val="16"/>
                <w:szCs w:val="16"/>
              </w:rPr>
              <w:t>Osteophytes</w:t>
            </w:r>
            <w:r>
              <w:rPr>
                <w:sz w:val="16"/>
                <w:szCs w:val="16"/>
              </w:rPr>
              <w:t>: 33.1% (51/154</w:t>
            </w:r>
            <w:r w:rsidRPr="00DD5AB1">
              <w:rPr>
                <w:sz w:val="16"/>
                <w:szCs w:val="16"/>
              </w:rPr>
              <w:t>)</w:t>
            </w:r>
          </w:p>
          <w:p w:rsidR="00A10686" w:rsidRPr="00DD5AB1" w:rsidRDefault="00A10686" w:rsidP="00A10686">
            <w:pPr>
              <w:numPr>
                <w:ilvl w:val="0"/>
                <w:numId w:val="2"/>
              </w:numPr>
              <w:ind w:left="162" w:hanging="162"/>
              <w:rPr>
                <w:sz w:val="16"/>
                <w:szCs w:val="16"/>
              </w:rPr>
            </w:pPr>
            <w:r w:rsidRPr="00DD5AB1">
              <w:rPr>
                <w:sz w:val="16"/>
                <w:szCs w:val="16"/>
              </w:rPr>
              <w:t>Herniation</w:t>
            </w:r>
            <w:r>
              <w:rPr>
                <w:sz w:val="16"/>
                <w:szCs w:val="16"/>
              </w:rPr>
              <w:t>: 27.9% (43/154</w:t>
            </w:r>
            <w:r w:rsidRPr="00DD5AB1">
              <w:rPr>
                <w:sz w:val="16"/>
                <w:szCs w:val="16"/>
              </w:rPr>
              <w:t>)</w:t>
            </w:r>
          </w:p>
          <w:p w:rsidR="00A10686" w:rsidRPr="00DD5AB1" w:rsidRDefault="00A10686" w:rsidP="00A10686">
            <w:pPr>
              <w:numPr>
                <w:ilvl w:val="0"/>
                <w:numId w:val="2"/>
              </w:numPr>
              <w:ind w:left="162" w:hanging="162"/>
              <w:rPr>
                <w:sz w:val="16"/>
                <w:szCs w:val="16"/>
              </w:rPr>
            </w:pPr>
            <w:r w:rsidRPr="00DD5AB1">
              <w:rPr>
                <w:sz w:val="16"/>
                <w:szCs w:val="16"/>
              </w:rPr>
              <w:t>Osteophytes + herniation</w:t>
            </w:r>
            <w:r>
              <w:rPr>
                <w:sz w:val="16"/>
                <w:szCs w:val="16"/>
              </w:rPr>
              <w:t>: 39.0% (60/154</w:t>
            </w:r>
            <w:r w:rsidRPr="00DD5AB1">
              <w:rPr>
                <w:sz w:val="16"/>
                <w:szCs w:val="16"/>
              </w:rPr>
              <w:t>)</w:t>
            </w:r>
          </w:p>
          <w:p w:rsidR="00A10686" w:rsidRPr="00DD5AB1" w:rsidRDefault="00A10686" w:rsidP="0010138D">
            <w:pPr>
              <w:rPr>
                <w:i/>
                <w:sz w:val="16"/>
                <w:szCs w:val="16"/>
              </w:rPr>
            </w:pPr>
            <w:r w:rsidRPr="0078710C">
              <w:rPr>
                <w:sz w:val="16"/>
                <w:szCs w:val="16"/>
                <w:u w:val="single"/>
              </w:rPr>
              <w:t xml:space="preserve">Number of </w:t>
            </w:r>
            <w:proofErr w:type="spellStart"/>
            <w:r w:rsidRPr="0078710C">
              <w:rPr>
                <w:sz w:val="16"/>
                <w:szCs w:val="16"/>
                <w:u w:val="single"/>
              </w:rPr>
              <w:t>stenotic</w:t>
            </w:r>
            <w:proofErr w:type="spellEnd"/>
            <w:r w:rsidRPr="0078710C">
              <w:rPr>
                <w:sz w:val="16"/>
                <w:szCs w:val="16"/>
                <w:u w:val="single"/>
              </w:rPr>
              <w:t xml:space="preserve"> levels</w:t>
            </w:r>
          </w:p>
          <w:p w:rsidR="00A10686" w:rsidRPr="00DD5AB1" w:rsidRDefault="00A10686" w:rsidP="00A10686">
            <w:pPr>
              <w:numPr>
                <w:ilvl w:val="0"/>
                <w:numId w:val="2"/>
              </w:numPr>
              <w:ind w:left="162" w:hanging="162"/>
              <w:rPr>
                <w:sz w:val="16"/>
                <w:szCs w:val="16"/>
              </w:rPr>
            </w:pPr>
            <w:r w:rsidRPr="00DD5AB1">
              <w:rPr>
                <w:sz w:val="16"/>
                <w:szCs w:val="16"/>
              </w:rPr>
              <w:t>1</w:t>
            </w:r>
            <w:r>
              <w:rPr>
                <w:sz w:val="16"/>
                <w:szCs w:val="16"/>
              </w:rPr>
              <w:t>: 53.3% (82/154</w:t>
            </w:r>
            <w:r w:rsidRPr="00DD5AB1">
              <w:rPr>
                <w:sz w:val="16"/>
                <w:szCs w:val="16"/>
              </w:rPr>
              <w:t>)</w:t>
            </w:r>
          </w:p>
          <w:p w:rsidR="00A10686" w:rsidRPr="00DD5AB1" w:rsidRDefault="00A10686" w:rsidP="00A10686">
            <w:pPr>
              <w:numPr>
                <w:ilvl w:val="0"/>
                <w:numId w:val="2"/>
              </w:numPr>
              <w:ind w:left="162" w:hanging="162"/>
              <w:rPr>
                <w:sz w:val="16"/>
                <w:szCs w:val="16"/>
              </w:rPr>
            </w:pPr>
            <w:r w:rsidRPr="00DD5AB1">
              <w:rPr>
                <w:sz w:val="16"/>
                <w:szCs w:val="16"/>
              </w:rPr>
              <w:t xml:space="preserve">2: </w:t>
            </w:r>
            <w:r>
              <w:rPr>
                <w:sz w:val="16"/>
                <w:szCs w:val="16"/>
              </w:rPr>
              <w:t>33.8% (52/154</w:t>
            </w:r>
            <w:r w:rsidRPr="00DD5AB1">
              <w:rPr>
                <w:sz w:val="16"/>
                <w:szCs w:val="16"/>
              </w:rPr>
              <w:t>)</w:t>
            </w:r>
          </w:p>
          <w:p w:rsidR="00A10686" w:rsidRDefault="00A10686" w:rsidP="00A10686">
            <w:pPr>
              <w:numPr>
                <w:ilvl w:val="0"/>
                <w:numId w:val="2"/>
              </w:numPr>
              <w:ind w:left="162" w:hanging="162"/>
              <w:rPr>
                <w:sz w:val="16"/>
                <w:szCs w:val="16"/>
              </w:rPr>
            </w:pPr>
            <w:r w:rsidRPr="00DD5AB1">
              <w:rPr>
                <w:sz w:val="16"/>
                <w:szCs w:val="16"/>
              </w:rPr>
              <w:t>≥ 3</w:t>
            </w:r>
            <w:r>
              <w:rPr>
                <w:sz w:val="16"/>
                <w:szCs w:val="16"/>
              </w:rPr>
              <w:t>: 12.9% (20/154</w:t>
            </w:r>
            <w:r w:rsidRPr="00DD5AB1">
              <w:rPr>
                <w:sz w:val="16"/>
                <w:szCs w:val="16"/>
              </w:rPr>
              <w:t>)</w:t>
            </w:r>
          </w:p>
          <w:p w:rsidR="00A10686" w:rsidRPr="00DD5AB1" w:rsidRDefault="00A10686" w:rsidP="0010138D">
            <w:pPr>
              <w:ind w:left="162"/>
              <w:rPr>
                <w:sz w:val="16"/>
                <w:szCs w:val="16"/>
              </w:rPr>
            </w:pPr>
          </w:p>
          <w:p w:rsidR="00A10686" w:rsidRPr="00DD5AB1" w:rsidRDefault="00A10686" w:rsidP="00A10686">
            <w:pPr>
              <w:numPr>
                <w:ilvl w:val="0"/>
                <w:numId w:val="2"/>
              </w:numPr>
              <w:ind w:left="162" w:hanging="162"/>
              <w:rPr>
                <w:sz w:val="16"/>
                <w:szCs w:val="16"/>
              </w:rPr>
            </w:pPr>
            <w:r w:rsidRPr="00DD5AB1">
              <w:rPr>
                <w:sz w:val="16"/>
                <w:szCs w:val="16"/>
              </w:rPr>
              <w:t xml:space="preserve">Pavlov </w:t>
            </w:r>
            <w:r>
              <w:rPr>
                <w:sz w:val="16"/>
                <w:szCs w:val="16"/>
              </w:rPr>
              <w:t>ratio</w:t>
            </w:r>
            <w:r w:rsidRPr="00DD5AB1">
              <w:rPr>
                <w:sz w:val="16"/>
                <w:szCs w:val="16"/>
              </w:rPr>
              <w:t xml:space="preserve"> &lt; 0.8</w:t>
            </w:r>
            <w:r>
              <w:rPr>
                <w:sz w:val="16"/>
                <w:szCs w:val="16"/>
              </w:rPr>
              <w:t>: 34.4% (53/154)</w:t>
            </w:r>
          </w:p>
          <w:p w:rsidR="00A10686" w:rsidRPr="00DD5AB1" w:rsidRDefault="00A10686" w:rsidP="00A10686">
            <w:pPr>
              <w:numPr>
                <w:ilvl w:val="0"/>
                <w:numId w:val="2"/>
              </w:numPr>
              <w:ind w:left="162" w:hanging="162"/>
              <w:rPr>
                <w:sz w:val="16"/>
                <w:szCs w:val="16"/>
              </w:rPr>
            </w:pPr>
            <w:r w:rsidRPr="00DD5AB1">
              <w:rPr>
                <w:sz w:val="16"/>
                <w:szCs w:val="16"/>
              </w:rPr>
              <w:t xml:space="preserve">Compression ratio </w:t>
            </w:r>
            <w:r>
              <w:rPr>
                <w:sz w:val="16"/>
                <w:szCs w:val="16"/>
              </w:rPr>
              <w:t>≤ 0.4: 22.3% (34/154)</w:t>
            </w:r>
          </w:p>
          <w:p w:rsidR="00A10686" w:rsidRDefault="00A10686" w:rsidP="00A10686">
            <w:pPr>
              <w:numPr>
                <w:ilvl w:val="0"/>
                <w:numId w:val="2"/>
              </w:numPr>
              <w:ind w:left="162" w:hanging="162"/>
              <w:rPr>
                <w:sz w:val="16"/>
                <w:szCs w:val="16"/>
              </w:rPr>
            </w:pPr>
            <w:r w:rsidRPr="00DD5AB1">
              <w:rPr>
                <w:sz w:val="16"/>
                <w:szCs w:val="16"/>
              </w:rPr>
              <w:t>Cross-sectional ce</w:t>
            </w:r>
            <w:r>
              <w:rPr>
                <w:sz w:val="16"/>
                <w:szCs w:val="16"/>
              </w:rPr>
              <w:t>rvical SCA ≤ 70mm</w:t>
            </w:r>
            <w:r>
              <w:rPr>
                <w:sz w:val="16"/>
                <w:szCs w:val="16"/>
                <w:vertAlign w:val="superscript"/>
              </w:rPr>
              <w:t>2</w:t>
            </w:r>
            <w:r>
              <w:rPr>
                <w:sz w:val="16"/>
                <w:szCs w:val="16"/>
              </w:rPr>
              <w:t>: 39.6% (61/154)</w:t>
            </w:r>
          </w:p>
          <w:p w:rsidR="00A10686" w:rsidRPr="00863A6B" w:rsidRDefault="00A10686" w:rsidP="00A10686">
            <w:pPr>
              <w:numPr>
                <w:ilvl w:val="0"/>
                <w:numId w:val="2"/>
              </w:numPr>
              <w:ind w:left="162" w:hanging="162"/>
              <w:rPr>
                <w:sz w:val="16"/>
                <w:szCs w:val="16"/>
              </w:rPr>
            </w:pPr>
            <w:r w:rsidRPr="0086061D">
              <w:rPr>
                <w:sz w:val="16"/>
                <w:szCs w:val="16"/>
              </w:rPr>
              <w:t xml:space="preserve">Cervical cord MRI </w:t>
            </w:r>
            <w:proofErr w:type="spellStart"/>
            <w:r w:rsidRPr="0086061D">
              <w:rPr>
                <w:sz w:val="16"/>
                <w:szCs w:val="16"/>
              </w:rPr>
              <w:t>hyper</w:t>
            </w:r>
            <w:r>
              <w:rPr>
                <w:sz w:val="16"/>
                <w:szCs w:val="16"/>
              </w:rPr>
              <w:t>intensity</w:t>
            </w:r>
            <w:proofErr w:type="spellEnd"/>
            <w:r w:rsidRPr="0086061D">
              <w:rPr>
                <w:sz w:val="16"/>
                <w:szCs w:val="16"/>
              </w:rPr>
              <w:t>: 21.4% (33/154)</w:t>
            </w:r>
          </w:p>
        </w:tc>
        <w:tc>
          <w:tcPr>
            <w:tcW w:w="3600" w:type="dxa"/>
            <w:shd w:val="clear" w:color="auto" w:fill="auto"/>
          </w:tcPr>
          <w:p w:rsidR="00A10686" w:rsidRPr="00645BFA" w:rsidRDefault="00A10686" w:rsidP="0010138D">
            <w:pPr>
              <w:ind w:left="77"/>
              <w:rPr>
                <w:sz w:val="16"/>
                <w:szCs w:val="16"/>
              </w:rPr>
            </w:pPr>
            <w:r w:rsidRPr="00645BFA">
              <w:rPr>
                <w:rFonts w:eastAsia="SimSun"/>
                <w:bCs/>
                <w:sz w:val="16"/>
                <w:szCs w:val="16"/>
                <w:u w:val="single"/>
                <w:lang w:eastAsia="zh-CN"/>
              </w:rPr>
              <w:lastRenderedPageBreak/>
              <w:t xml:space="preserve">Associations with </w:t>
            </w:r>
            <w:r>
              <w:rPr>
                <w:rFonts w:eastAsia="SimSun"/>
                <w:bCs/>
                <w:sz w:val="16"/>
                <w:szCs w:val="16"/>
                <w:u w:val="single"/>
                <w:lang w:eastAsia="zh-CN"/>
              </w:rPr>
              <w:t>myelopathy development (compared to those who did not develop myelopathy)</w:t>
            </w:r>
            <w:r w:rsidRPr="00645BFA">
              <w:rPr>
                <w:rFonts w:eastAsia="SimSun"/>
                <w:bCs/>
                <w:sz w:val="16"/>
                <w:szCs w:val="16"/>
                <w:u w:val="single"/>
                <w:lang w:eastAsia="zh-CN"/>
              </w:rPr>
              <w:t>:</w:t>
            </w:r>
            <w:r w:rsidRPr="00AB4BCB">
              <w:rPr>
                <w:sz w:val="18"/>
                <w:szCs w:val="18"/>
              </w:rPr>
              <w:t>§</w:t>
            </w:r>
            <w:r w:rsidRPr="00645BFA">
              <w:rPr>
                <w:rFonts w:eastAsia="SimSun"/>
                <w:bCs/>
                <w:sz w:val="16"/>
                <w:szCs w:val="16"/>
                <w:u w:val="single"/>
                <w:lang w:eastAsia="zh-CN"/>
              </w:rPr>
              <w:t xml:space="preserve"> </w:t>
            </w:r>
          </w:p>
          <w:p w:rsidR="00A10686" w:rsidRDefault="00A10686" w:rsidP="00A10686">
            <w:pPr>
              <w:numPr>
                <w:ilvl w:val="0"/>
                <w:numId w:val="4"/>
              </w:numPr>
              <w:tabs>
                <w:tab w:val="clear" w:pos="720"/>
              </w:tabs>
              <w:ind w:left="252" w:hanging="175"/>
              <w:rPr>
                <w:sz w:val="16"/>
                <w:szCs w:val="16"/>
              </w:rPr>
            </w:pPr>
            <w:r>
              <w:rPr>
                <w:rFonts w:eastAsia="SimSun"/>
                <w:sz w:val="16"/>
                <w:szCs w:val="16"/>
                <w:lang w:eastAsia="zh-CN"/>
              </w:rPr>
              <w:t>Symptomatic radiculopathy</w:t>
            </w:r>
            <w:r>
              <w:rPr>
                <w:sz w:val="16"/>
                <w:szCs w:val="16"/>
              </w:rPr>
              <w:t xml:space="preserve"> </w:t>
            </w:r>
            <w:r w:rsidRPr="005176B5">
              <w:rPr>
                <w:i/>
                <w:sz w:val="16"/>
                <w:szCs w:val="16"/>
              </w:rPr>
              <w:t>(P &lt; .001</w:t>
            </w:r>
            <w:r w:rsidRPr="00C336DB">
              <w:rPr>
                <w:sz w:val="16"/>
                <w:szCs w:val="16"/>
              </w:rPr>
              <w:t>)</w:t>
            </w:r>
          </w:p>
          <w:p w:rsidR="00A10686" w:rsidRDefault="00A10686" w:rsidP="00A10686">
            <w:pPr>
              <w:numPr>
                <w:ilvl w:val="0"/>
                <w:numId w:val="4"/>
              </w:numPr>
              <w:tabs>
                <w:tab w:val="clear" w:pos="720"/>
              </w:tabs>
              <w:ind w:left="252" w:hanging="175"/>
              <w:rPr>
                <w:sz w:val="16"/>
                <w:szCs w:val="16"/>
              </w:rPr>
            </w:pPr>
            <w:r>
              <w:rPr>
                <w:sz w:val="16"/>
                <w:szCs w:val="16"/>
              </w:rPr>
              <w:t>EMG signs of anterior horn cell lesion (</w:t>
            </w:r>
            <w:r>
              <w:rPr>
                <w:i/>
                <w:sz w:val="16"/>
                <w:szCs w:val="16"/>
              </w:rPr>
              <w:t>P</w:t>
            </w:r>
            <w:r w:rsidRPr="005176B5">
              <w:rPr>
                <w:i/>
                <w:sz w:val="16"/>
                <w:szCs w:val="16"/>
              </w:rPr>
              <w:t xml:space="preserve"> &lt;</w:t>
            </w:r>
            <w:r>
              <w:rPr>
                <w:i/>
                <w:sz w:val="16"/>
                <w:szCs w:val="16"/>
              </w:rPr>
              <w:t xml:space="preserve"> </w:t>
            </w:r>
            <w:r w:rsidRPr="005176B5">
              <w:rPr>
                <w:i/>
                <w:sz w:val="16"/>
                <w:szCs w:val="16"/>
              </w:rPr>
              <w:lastRenderedPageBreak/>
              <w:t>.001</w:t>
            </w:r>
            <w:r>
              <w:rPr>
                <w:sz w:val="16"/>
                <w:szCs w:val="16"/>
              </w:rPr>
              <w:t>)</w:t>
            </w:r>
          </w:p>
          <w:p w:rsidR="00A10686" w:rsidRDefault="00A10686" w:rsidP="00A10686">
            <w:pPr>
              <w:numPr>
                <w:ilvl w:val="0"/>
                <w:numId w:val="4"/>
              </w:numPr>
              <w:tabs>
                <w:tab w:val="clear" w:pos="720"/>
              </w:tabs>
              <w:ind w:left="252" w:hanging="175"/>
              <w:rPr>
                <w:sz w:val="16"/>
                <w:szCs w:val="16"/>
              </w:rPr>
            </w:pPr>
            <w:r>
              <w:rPr>
                <w:sz w:val="16"/>
                <w:szCs w:val="16"/>
              </w:rPr>
              <w:t>Prolonged SEPs (</w:t>
            </w:r>
            <w:r w:rsidRPr="005176B5">
              <w:rPr>
                <w:i/>
                <w:sz w:val="16"/>
                <w:szCs w:val="16"/>
              </w:rPr>
              <w:t>P &lt; .001</w:t>
            </w:r>
            <w:r>
              <w:rPr>
                <w:sz w:val="16"/>
                <w:szCs w:val="16"/>
              </w:rPr>
              <w:t>)</w:t>
            </w:r>
          </w:p>
          <w:p w:rsidR="00A10686" w:rsidRDefault="00A10686" w:rsidP="00A10686">
            <w:pPr>
              <w:numPr>
                <w:ilvl w:val="0"/>
                <w:numId w:val="4"/>
              </w:numPr>
              <w:tabs>
                <w:tab w:val="clear" w:pos="720"/>
              </w:tabs>
              <w:ind w:left="252" w:hanging="175"/>
              <w:rPr>
                <w:sz w:val="16"/>
                <w:szCs w:val="16"/>
              </w:rPr>
            </w:pPr>
            <w:r>
              <w:rPr>
                <w:sz w:val="16"/>
                <w:szCs w:val="16"/>
              </w:rPr>
              <w:t>Prolonged MEPs (</w:t>
            </w:r>
            <w:r w:rsidRPr="005176B5">
              <w:rPr>
                <w:i/>
                <w:sz w:val="16"/>
                <w:szCs w:val="16"/>
              </w:rPr>
              <w:t>P &lt; .001</w:t>
            </w:r>
            <w:r>
              <w:rPr>
                <w:sz w:val="16"/>
                <w:szCs w:val="16"/>
              </w:rPr>
              <w:t>)</w:t>
            </w:r>
          </w:p>
          <w:p w:rsidR="00A10686" w:rsidRDefault="00A10686" w:rsidP="00A10686">
            <w:pPr>
              <w:numPr>
                <w:ilvl w:val="0"/>
                <w:numId w:val="4"/>
              </w:numPr>
              <w:tabs>
                <w:tab w:val="clear" w:pos="720"/>
              </w:tabs>
              <w:ind w:left="252" w:hanging="175"/>
              <w:rPr>
                <w:sz w:val="16"/>
                <w:szCs w:val="16"/>
              </w:rPr>
            </w:pPr>
            <w:r>
              <w:rPr>
                <w:sz w:val="16"/>
                <w:szCs w:val="16"/>
              </w:rPr>
              <w:t xml:space="preserve">MRI cervical cord </w:t>
            </w:r>
            <w:proofErr w:type="spellStart"/>
            <w:r>
              <w:rPr>
                <w:sz w:val="16"/>
                <w:szCs w:val="16"/>
              </w:rPr>
              <w:t>hyperintensity</w:t>
            </w:r>
            <w:proofErr w:type="spellEnd"/>
            <w:r>
              <w:rPr>
                <w:sz w:val="16"/>
                <w:szCs w:val="16"/>
              </w:rPr>
              <w:t xml:space="preserve"> (</w:t>
            </w:r>
            <w:r w:rsidRPr="005176B5">
              <w:rPr>
                <w:i/>
                <w:sz w:val="16"/>
                <w:szCs w:val="16"/>
              </w:rPr>
              <w:t>P &lt; .05</w:t>
            </w:r>
            <w:r>
              <w:rPr>
                <w:sz w:val="16"/>
                <w:szCs w:val="16"/>
              </w:rPr>
              <w:t>)</w:t>
            </w:r>
          </w:p>
          <w:p w:rsidR="00A10686" w:rsidRDefault="00A10686" w:rsidP="0010138D">
            <w:pPr>
              <w:rPr>
                <w:sz w:val="16"/>
                <w:szCs w:val="16"/>
              </w:rPr>
            </w:pPr>
          </w:p>
          <w:p w:rsidR="00A10686" w:rsidRPr="00645BFA" w:rsidRDefault="00A10686" w:rsidP="0010138D">
            <w:pPr>
              <w:ind w:left="77"/>
              <w:rPr>
                <w:sz w:val="16"/>
                <w:szCs w:val="16"/>
              </w:rPr>
            </w:pPr>
            <w:r>
              <w:rPr>
                <w:rFonts w:eastAsia="SimSun"/>
                <w:bCs/>
                <w:sz w:val="16"/>
                <w:szCs w:val="16"/>
                <w:u w:val="single"/>
                <w:lang w:eastAsia="zh-CN"/>
              </w:rPr>
              <w:t>Not associated</w:t>
            </w:r>
            <w:r w:rsidRPr="00645BFA">
              <w:rPr>
                <w:rFonts w:eastAsia="SimSun"/>
                <w:bCs/>
                <w:sz w:val="16"/>
                <w:szCs w:val="16"/>
                <w:u w:val="single"/>
                <w:lang w:eastAsia="zh-CN"/>
              </w:rPr>
              <w:t xml:space="preserve"> with</w:t>
            </w:r>
            <w:r>
              <w:rPr>
                <w:rFonts w:eastAsia="SimSun"/>
                <w:bCs/>
                <w:sz w:val="16"/>
                <w:szCs w:val="16"/>
                <w:u w:val="single"/>
                <w:lang w:eastAsia="zh-CN"/>
              </w:rPr>
              <w:t xml:space="preserve"> myelopathy development:</w:t>
            </w:r>
            <w:r w:rsidRPr="00AB4BCB">
              <w:rPr>
                <w:sz w:val="18"/>
                <w:szCs w:val="18"/>
              </w:rPr>
              <w:t>§</w:t>
            </w:r>
            <w:r w:rsidRPr="00645BFA">
              <w:rPr>
                <w:rFonts w:eastAsia="SimSun"/>
                <w:bCs/>
                <w:sz w:val="16"/>
                <w:szCs w:val="16"/>
                <w:u w:val="single"/>
                <w:lang w:eastAsia="zh-CN"/>
              </w:rPr>
              <w:t xml:space="preserve"> </w:t>
            </w:r>
          </w:p>
          <w:p w:rsidR="00A10686" w:rsidRDefault="00A10686" w:rsidP="00A10686">
            <w:pPr>
              <w:numPr>
                <w:ilvl w:val="0"/>
                <w:numId w:val="4"/>
              </w:numPr>
              <w:tabs>
                <w:tab w:val="clear" w:pos="720"/>
              </w:tabs>
              <w:ind w:left="252" w:hanging="175"/>
              <w:rPr>
                <w:sz w:val="16"/>
                <w:szCs w:val="16"/>
              </w:rPr>
            </w:pPr>
            <w:r>
              <w:rPr>
                <w:rFonts w:eastAsia="SimSun"/>
                <w:sz w:val="16"/>
                <w:szCs w:val="16"/>
                <w:lang w:eastAsia="zh-CN"/>
              </w:rPr>
              <w:t>Age &gt; 50 years</w:t>
            </w:r>
            <w:r>
              <w:rPr>
                <w:sz w:val="16"/>
                <w:szCs w:val="16"/>
              </w:rPr>
              <w:t xml:space="preserve"> </w:t>
            </w:r>
            <w:r>
              <w:rPr>
                <w:i/>
                <w:sz w:val="16"/>
                <w:szCs w:val="16"/>
              </w:rPr>
              <w:t>(P = .808</w:t>
            </w:r>
            <w:r w:rsidRPr="00C336DB">
              <w:rPr>
                <w:sz w:val="16"/>
                <w:szCs w:val="16"/>
              </w:rPr>
              <w:t>)</w:t>
            </w:r>
          </w:p>
          <w:p w:rsidR="00A10686" w:rsidRDefault="00A10686" w:rsidP="00A10686">
            <w:pPr>
              <w:numPr>
                <w:ilvl w:val="0"/>
                <w:numId w:val="4"/>
              </w:numPr>
              <w:tabs>
                <w:tab w:val="clear" w:pos="720"/>
              </w:tabs>
              <w:ind w:left="252" w:hanging="175"/>
              <w:rPr>
                <w:sz w:val="16"/>
                <w:szCs w:val="16"/>
              </w:rPr>
            </w:pPr>
            <w:r>
              <w:rPr>
                <w:sz w:val="16"/>
                <w:szCs w:val="16"/>
              </w:rPr>
              <w:t>Male sex (</w:t>
            </w:r>
            <w:r w:rsidRPr="005176B5">
              <w:rPr>
                <w:i/>
                <w:sz w:val="16"/>
                <w:szCs w:val="16"/>
              </w:rPr>
              <w:t>P</w:t>
            </w:r>
            <w:r>
              <w:rPr>
                <w:i/>
                <w:sz w:val="16"/>
                <w:szCs w:val="16"/>
              </w:rPr>
              <w:t xml:space="preserve"> = .072</w:t>
            </w:r>
            <w:r>
              <w:rPr>
                <w:sz w:val="16"/>
                <w:szCs w:val="16"/>
              </w:rPr>
              <w:t>)</w:t>
            </w:r>
          </w:p>
          <w:p w:rsidR="00A10686" w:rsidRDefault="00A10686" w:rsidP="00A10686">
            <w:pPr>
              <w:numPr>
                <w:ilvl w:val="0"/>
                <w:numId w:val="4"/>
              </w:numPr>
              <w:tabs>
                <w:tab w:val="clear" w:pos="720"/>
              </w:tabs>
              <w:ind w:left="252" w:hanging="175"/>
              <w:rPr>
                <w:sz w:val="16"/>
                <w:szCs w:val="16"/>
              </w:rPr>
            </w:pPr>
            <w:r>
              <w:rPr>
                <w:sz w:val="16"/>
                <w:szCs w:val="16"/>
              </w:rPr>
              <w:t>Type of compression (</w:t>
            </w:r>
            <w:r>
              <w:rPr>
                <w:i/>
                <w:sz w:val="16"/>
                <w:szCs w:val="16"/>
              </w:rPr>
              <w:t>P = .199</w:t>
            </w:r>
            <w:r>
              <w:rPr>
                <w:sz w:val="16"/>
                <w:szCs w:val="16"/>
              </w:rPr>
              <w:t>)</w:t>
            </w:r>
          </w:p>
          <w:p w:rsidR="00A10686" w:rsidRDefault="00A10686" w:rsidP="00A10686">
            <w:pPr>
              <w:numPr>
                <w:ilvl w:val="0"/>
                <w:numId w:val="4"/>
              </w:numPr>
              <w:tabs>
                <w:tab w:val="clear" w:pos="720"/>
              </w:tabs>
              <w:ind w:left="252" w:hanging="175"/>
              <w:rPr>
                <w:sz w:val="16"/>
                <w:szCs w:val="16"/>
              </w:rPr>
            </w:pPr>
            <w:r>
              <w:rPr>
                <w:sz w:val="16"/>
                <w:szCs w:val="16"/>
              </w:rPr>
              <w:t xml:space="preserve">Number of </w:t>
            </w:r>
            <w:proofErr w:type="spellStart"/>
            <w:r>
              <w:rPr>
                <w:sz w:val="16"/>
                <w:szCs w:val="16"/>
              </w:rPr>
              <w:t>stenotic</w:t>
            </w:r>
            <w:proofErr w:type="spellEnd"/>
            <w:r>
              <w:rPr>
                <w:sz w:val="16"/>
                <w:szCs w:val="16"/>
              </w:rPr>
              <w:t xml:space="preserve"> levels (</w:t>
            </w:r>
            <w:r>
              <w:rPr>
                <w:i/>
                <w:sz w:val="16"/>
                <w:szCs w:val="16"/>
              </w:rPr>
              <w:t>P = .302</w:t>
            </w:r>
            <w:r>
              <w:rPr>
                <w:sz w:val="16"/>
                <w:szCs w:val="16"/>
              </w:rPr>
              <w:t>)</w:t>
            </w:r>
          </w:p>
          <w:p w:rsidR="00A10686" w:rsidRDefault="00A10686" w:rsidP="00A10686">
            <w:pPr>
              <w:numPr>
                <w:ilvl w:val="0"/>
                <w:numId w:val="4"/>
              </w:numPr>
              <w:tabs>
                <w:tab w:val="clear" w:pos="720"/>
              </w:tabs>
              <w:ind w:left="252" w:hanging="175"/>
              <w:rPr>
                <w:sz w:val="16"/>
                <w:szCs w:val="16"/>
              </w:rPr>
            </w:pPr>
            <w:r>
              <w:rPr>
                <w:sz w:val="16"/>
                <w:szCs w:val="16"/>
              </w:rPr>
              <w:t>Pavlov ratio &lt; 0.8 (</w:t>
            </w:r>
            <w:r>
              <w:rPr>
                <w:i/>
                <w:sz w:val="16"/>
                <w:szCs w:val="16"/>
              </w:rPr>
              <w:t>P = .485</w:t>
            </w:r>
            <w:r>
              <w:rPr>
                <w:sz w:val="16"/>
                <w:szCs w:val="16"/>
              </w:rPr>
              <w:t>)</w:t>
            </w:r>
          </w:p>
          <w:p w:rsidR="00A10686" w:rsidRDefault="00A10686" w:rsidP="00A10686">
            <w:pPr>
              <w:numPr>
                <w:ilvl w:val="0"/>
                <w:numId w:val="4"/>
              </w:numPr>
              <w:tabs>
                <w:tab w:val="clear" w:pos="720"/>
              </w:tabs>
              <w:ind w:left="252" w:hanging="175"/>
              <w:rPr>
                <w:sz w:val="16"/>
                <w:szCs w:val="16"/>
              </w:rPr>
            </w:pPr>
            <w:r>
              <w:rPr>
                <w:sz w:val="16"/>
                <w:szCs w:val="16"/>
              </w:rPr>
              <w:t>Compression ratio ≤ 0.4 (</w:t>
            </w:r>
            <w:r w:rsidRPr="00DB6C3A">
              <w:rPr>
                <w:i/>
                <w:sz w:val="16"/>
                <w:szCs w:val="16"/>
              </w:rPr>
              <w:t>P = .153</w:t>
            </w:r>
            <w:r>
              <w:rPr>
                <w:sz w:val="16"/>
                <w:szCs w:val="16"/>
              </w:rPr>
              <w:t>)</w:t>
            </w:r>
          </w:p>
          <w:p w:rsidR="00A10686" w:rsidRDefault="00A10686" w:rsidP="00A10686">
            <w:pPr>
              <w:numPr>
                <w:ilvl w:val="0"/>
                <w:numId w:val="4"/>
              </w:numPr>
              <w:tabs>
                <w:tab w:val="clear" w:pos="720"/>
              </w:tabs>
              <w:ind w:left="252" w:hanging="175"/>
              <w:rPr>
                <w:sz w:val="16"/>
                <w:szCs w:val="16"/>
              </w:rPr>
            </w:pPr>
            <w:r w:rsidRPr="00DD5AB1">
              <w:rPr>
                <w:sz w:val="16"/>
                <w:szCs w:val="16"/>
              </w:rPr>
              <w:t xml:space="preserve">Cross-sectional </w:t>
            </w:r>
            <w:r>
              <w:rPr>
                <w:sz w:val="16"/>
                <w:szCs w:val="16"/>
              </w:rPr>
              <w:t>SCA ≤ 70mm</w:t>
            </w:r>
            <w:r>
              <w:rPr>
                <w:sz w:val="16"/>
                <w:szCs w:val="16"/>
                <w:vertAlign w:val="superscript"/>
              </w:rPr>
              <w:t>2</w:t>
            </w:r>
            <w:r>
              <w:rPr>
                <w:sz w:val="16"/>
                <w:szCs w:val="16"/>
              </w:rPr>
              <w:t xml:space="preserve"> (</w:t>
            </w:r>
            <w:r w:rsidRPr="00DB6C3A">
              <w:rPr>
                <w:i/>
                <w:sz w:val="16"/>
                <w:szCs w:val="16"/>
              </w:rPr>
              <w:t>P = .962</w:t>
            </w:r>
            <w:r>
              <w:rPr>
                <w:sz w:val="16"/>
                <w:szCs w:val="16"/>
              </w:rPr>
              <w:t>)</w:t>
            </w:r>
          </w:p>
          <w:p w:rsidR="00A10686" w:rsidRDefault="00A10686" w:rsidP="00A10686">
            <w:pPr>
              <w:numPr>
                <w:ilvl w:val="0"/>
                <w:numId w:val="4"/>
              </w:numPr>
              <w:tabs>
                <w:tab w:val="clear" w:pos="720"/>
              </w:tabs>
              <w:ind w:left="252" w:hanging="175"/>
              <w:rPr>
                <w:sz w:val="16"/>
                <w:szCs w:val="16"/>
              </w:rPr>
            </w:pPr>
            <w:r>
              <w:rPr>
                <w:sz w:val="16"/>
                <w:szCs w:val="16"/>
              </w:rPr>
              <w:t>Minor traumatic event during follow-up (</w:t>
            </w:r>
            <w:r w:rsidRPr="004560A0">
              <w:rPr>
                <w:i/>
                <w:sz w:val="16"/>
                <w:szCs w:val="16"/>
              </w:rPr>
              <w:t>P = .921</w:t>
            </w:r>
            <w:r>
              <w:rPr>
                <w:sz w:val="16"/>
                <w:szCs w:val="16"/>
              </w:rPr>
              <w:t>)</w:t>
            </w:r>
          </w:p>
          <w:p w:rsidR="00A10686" w:rsidRDefault="00A10686" w:rsidP="0010138D">
            <w:pPr>
              <w:rPr>
                <w:sz w:val="16"/>
                <w:szCs w:val="16"/>
              </w:rPr>
            </w:pPr>
          </w:p>
          <w:p w:rsidR="00A10686" w:rsidRDefault="00A10686" w:rsidP="0010138D">
            <w:pPr>
              <w:ind w:left="77"/>
              <w:rPr>
                <w:rFonts w:eastAsia="SimSun"/>
                <w:bCs/>
                <w:sz w:val="16"/>
                <w:szCs w:val="16"/>
                <w:u w:val="single"/>
                <w:lang w:eastAsia="zh-CN"/>
              </w:rPr>
            </w:pPr>
          </w:p>
          <w:p w:rsidR="00A10686" w:rsidRDefault="00A10686" w:rsidP="0010138D">
            <w:pPr>
              <w:ind w:left="77"/>
              <w:rPr>
                <w:rFonts w:eastAsia="SimSun"/>
                <w:bCs/>
                <w:sz w:val="16"/>
                <w:szCs w:val="16"/>
                <w:u w:val="single"/>
                <w:lang w:eastAsia="zh-CN"/>
              </w:rPr>
            </w:pPr>
          </w:p>
          <w:p w:rsidR="00A10686" w:rsidRDefault="00A10686" w:rsidP="0010138D">
            <w:pPr>
              <w:ind w:left="77"/>
              <w:rPr>
                <w:rFonts w:eastAsia="SimSun"/>
                <w:bCs/>
                <w:sz w:val="16"/>
                <w:szCs w:val="16"/>
                <w:u w:val="single"/>
                <w:lang w:eastAsia="zh-CN"/>
              </w:rPr>
            </w:pPr>
          </w:p>
          <w:p w:rsidR="00A10686" w:rsidRDefault="00A10686" w:rsidP="0010138D">
            <w:pPr>
              <w:ind w:left="77"/>
              <w:rPr>
                <w:rFonts w:eastAsia="SimSun"/>
                <w:bCs/>
                <w:sz w:val="16"/>
                <w:szCs w:val="16"/>
                <w:u w:val="single"/>
                <w:lang w:eastAsia="zh-CN"/>
              </w:rPr>
            </w:pPr>
          </w:p>
          <w:p w:rsidR="00A10686" w:rsidRDefault="00A10686" w:rsidP="0010138D">
            <w:pPr>
              <w:ind w:left="77"/>
              <w:rPr>
                <w:rFonts w:eastAsia="SimSun"/>
                <w:bCs/>
                <w:sz w:val="16"/>
                <w:szCs w:val="16"/>
                <w:u w:val="single"/>
                <w:lang w:eastAsia="zh-CN"/>
              </w:rPr>
            </w:pPr>
          </w:p>
          <w:p w:rsidR="00A10686" w:rsidRDefault="00A10686" w:rsidP="0010138D">
            <w:pPr>
              <w:ind w:left="77"/>
              <w:rPr>
                <w:rFonts w:eastAsia="SimSun"/>
                <w:bCs/>
                <w:sz w:val="16"/>
                <w:szCs w:val="16"/>
                <w:u w:val="single"/>
                <w:lang w:eastAsia="zh-CN"/>
              </w:rPr>
            </w:pPr>
          </w:p>
          <w:p w:rsidR="00A10686" w:rsidRDefault="00A10686" w:rsidP="0010138D">
            <w:pPr>
              <w:ind w:left="77"/>
              <w:rPr>
                <w:rFonts w:eastAsia="SimSun"/>
                <w:bCs/>
                <w:sz w:val="16"/>
                <w:szCs w:val="16"/>
                <w:u w:val="single"/>
                <w:lang w:eastAsia="zh-CN"/>
              </w:rPr>
            </w:pPr>
          </w:p>
          <w:p w:rsidR="00A10686" w:rsidRDefault="00A10686" w:rsidP="0010138D">
            <w:pPr>
              <w:ind w:left="77"/>
              <w:rPr>
                <w:rFonts w:eastAsia="SimSun"/>
                <w:bCs/>
                <w:sz w:val="16"/>
                <w:szCs w:val="16"/>
                <w:u w:val="single"/>
                <w:lang w:eastAsia="zh-CN"/>
              </w:rPr>
            </w:pPr>
          </w:p>
          <w:p w:rsidR="00A10686" w:rsidRDefault="00A10686" w:rsidP="0010138D">
            <w:pPr>
              <w:ind w:left="77"/>
              <w:rPr>
                <w:rFonts w:eastAsia="SimSun"/>
                <w:bCs/>
                <w:sz w:val="16"/>
                <w:szCs w:val="16"/>
                <w:u w:val="single"/>
                <w:lang w:eastAsia="zh-CN"/>
              </w:rPr>
            </w:pPr>
          </w:p>
          <w:p w:rsidR="00A10686" w:rsidRDefault="00A10686" w:rsidP="0010138D">
            <w:pPr>
              <w:ind w:left="77"/>
              <w:rPr>
                <w:rFonts w:eastAsia="SimSun"/>
                <w:bCs/>
                <w:sz w:val="16"/>
                <w:szCs w:val="16"/>
                <w:u w:val="single"/>
                <w:lang w:eastAsia="zh-CN"/>
              </w:rPr>
            </w:pPr>
          </w:p>
          <w:p w:rsidR="00A10686" w:rsidRDefault="00A10686" w:rsidP="0010138D">
            <w:pPr>
              <w:ind w:left="77"/>
              <w:rPr>
                <w:rFonts w:eastAsia="SimSun"/>
                <w:bCs/>
                <w:sz w:val="16"/>
                <w:szCs w:val="16"/>
                <w:u w:val="single"/>
                <w:lang w:eastAsia="zh-CN"/>
              </w:rPr>
            </w:pPr>
          </w:p>
          <w:p w:rsidR="00A10686" w:rsidRDefault="00A10686" w:rsidP="0010138D">
            <w:pPr>
              <w:ind w:left="77"/>
              <w:rPr>
                <w:rFonts w:eastAsia="SimSun"/>
                <w:bCs/>
                <w:sz w:val="16"/>
                <w:szCs w:val="16"/>
                <w:u w:val="single"/>
                <w:lang w:eastAsia="zh-CN"/>
              </w:rPr>
            </w:pPr>
          </w:p>
          <w:p w:rsidR="00A10686" w:rsidRDefault="00A10686" w:rsidP="0010138D">
            <w:pPr>
              <w:ind w:left="77"/>
              <w:rPr>
                <w:rFonts w:eastAsia="SimSun"/>
                <w:bCs/>
                <w:sz w:val="16"/>
                <w:szCs w:val="16"/>
                <w:u w:val="single"/>
                <w:lang w:eastAsia="zh-CN"/>
              </w:rPr>
            </w:pPr>
          </w:p>
          <w:p w:rsidR="00A10686" w:rsidRDefault="00A10686" w:rsidP="0010138D">
            <w:pPr>
              <w:ind w:left="77"/>
              <w:rPr>
                <w:rFonts w:eastAsia="SimSun"/>
                <w:bCs/>
                <w:sz w:val="16"/>
                <w:szCs w:val="16"/>
                <w:u w:val="single"/>
                <w:lang w:eastAsia="zh-CN"/>
              </w:rPr>
            </w:pPr>
          </w:p>
          <w:p w:rsidR="00A10686" w:rsidRPr="0086061D" w:rsidRDefault="00A10686" w:rsidP="0010138D">
            <w:pPr>
              <w:rPr>
                <w:sz w:val="16"/>
                <w:szCs w:val="16"/>
              </w:rPr>
            </w:pPr>
          </w:p>
        </w:tc>
      </w:tr>
      <w:tr w:rsidR="00A10686" w:rsidRPr="00594F48" w:rsidTr="0010138D">
        <w:trPr>
          <w:trHeight w:val="369"/>
        </w:trPr>
        <w:tc>
          <w:tcPr>
            <w:tcW w:w="918" w:type="dxa"/>
            <w:vMerge/>
          </w:tcPr>
          <w:p w:rsidR="00A10686" w:rsidRPr="00DD5AB1" w:rsidRDefault="00A10686" w:rsidP="0010138D">
            <w:pPr>
              <w:jc w:val="center"/>
              <w:rPr>
                <w:sz w:val="16"/>
                <w:szCs w:val="16"/>
              </w:rPr>
            </w:pPr>
          </w:p>
        </w:tc>
        <w:tc>
          <w:tcPr>
            <w:tcW w:w="2160" w:type="dxa"/>
          </w:tcPr>
          <w:p w:rsidR="00A10686" w:rsidRPr="0086061D" w:rsidRDefault="00A10686" w:rsidP="0010138D">
            <w:pPr>
              <w:rPr>
                <w:sz w:val="16"/>
                <w:szCs w:val="16"/>
              </w:rPr>
            </w:pPr>
            <w:r>
              <w:rPr>
                <w:sz w:val="16"/>
                <w:szCs w:val="16"/>
              </w:rPr>
              <w:t>Myelopathy development</w:t>
            </w:r>
            <w:r w:rsidRPr="0086061D">
              <w:rPr>
                <w:sz w:val="16"/>
                <w:szCs w:val="16"/>
              </w:rPr>
              <w:t xml:space="preserve"> within 12 months: </w:t>
            </w:r>
            <w:r>
              <w:rPr>
                <w:sz w:val="16"/>
                <w:szCs w:val="16"/>
              </w:rPr>
              <w:t xml:space="preserve">8.0% </w:t>
            </w:r>
            <w:r w:rsidRPr="0086061D">
              <w:rPr>
                <w:sz w:val="16"/>
                <w:szCs w:val="16"/>
              </w:rPr>
              <w:t>(16/199)</w:t>
            </w:r>
          </w:p>
        </w:tc>
        <w:tc>
          <w:tcPr>
            <w:tcW w:w="3150" w:type="dxa"/>
            <w:shd w:val="clear" w:color="auto" w:fill="auto"/>
          </w:tcPr>
          <w:p w:rsidR="00A10686" w:rsidRPr="00867316" w:rsidRDefault="00A10686" w:rsidP="0010138D">
            <w:pPr>
              <w:rPr>
                <w:b/>
                <w:sz w:val="16"/>
                <w:szCs w:val="16"/>
              </w:rPr>
            </w:pPr>
            <w:r w:rsidRPr="00867316">
              <w:rPr>
                <w:b/>
                <w:sz w:val="16"/>
                <w:szCs w:val="16"/>
              </w:rPr>
              <w:t xml:space="preserve">Development of </w:t>
            </w:r>
            <w:r>
              <w:rPr>
                <w:b/>
                <w:sz w:val="16"/>
                <w:szCs w:val="16"/>
              </w:rPr>
              <w:t xml:space="preserve"> myelopathy within 12 months</w:t>
            </w:r>
          </w:p>
          <w:p w:rsidR="00A10686" w:rsidRPr="00DD5AB1" w:rsidRDefault="00A10686" w:rsidP="0010138D">
            <w:pPr>
              <w:rPr>
                <w:i/>
                <w:sz w:val="16"/>
                <w:szCs w:val="16"/>
              </w:rPr>
            </w:pPr>
            <w:r w:rsidRPr="00DD5AB1">
              <w:rPr>
                <w:i/>
                <w:sz w:val="16"/>
                <w:szCs w:val="16"/>
              </w:rPr>
              <w:t>Demographic</w:t>
            </w:r>
          </w:p>
          <w:p w:rsidR="00A10686" w:rsidRPr="00DD5AB1" w:rsidRDefault="00A10686" w:rsidP="00A10686">
            <w:pPr>
              <w:numPr>
                <w:ilvl w:val="0"/>
                <w:numId w:val="2"/>
              </w:numPr>
              <w:ind w:left="162" w:hanging="162"/>
              <w:rPr>
                <w:sz w:val="16"/>
                <w:szCs w:val="16"/>
              </w:rPr>
            </w:pPr>
            <w:r w:rsidRPr="00DD5AB1">
              <w:rPr>
                <w:sz w:val="16"/>
                <w:szCs w:val="16"/>
              </w:rPr>
              <w:t>Age &gt; 50 years</w:t>
            </w:r>
            <w:r>
              <w:rPr>
                <w:sz w:val="16"/>
                <w:szCs w:val="16"/>
              </w:rPr>
              <w:t>: 62.5% (10/16</w:t>
            </w:r>
            <w:r w:rsidRPr="00DD5AB1">
              <w:rPr>
                <w:sz w:val="16"/>
                <w:szCs w:val="16"/>
              </w:rPr>
              <w:t>)</w:t>
            </w:r>
          </w:p>
          <w:p w:rsidR="00A10686" w:rsidRDefault="00A10686" w:rsidP="00A10686">
            <w:pPr>
              <w:numPr>
                <w:ilvl w:val="0"/>
                <w:numId w:val="2"/>
              </w:numPr>
              <w:ind w:left="162" w:hanging="162"/>
              <w:rPr>
                <w:sz w:val="16"/>
                <w:szCs w:val="16"/>
              </w:rPr>
            </w:pPr>
            <w:r>
              <w:rPr>
                <w:sz w:val="16"/>
                <w:szCs w:val="16"/>
              </w:rPr>
              <w:t>Male sex: 43.8% (7/16</w:t>
            </w:r>
            <w:r w:rsidRPr="00DD5AB1">
              <w:rPr>
                <w:sz w:val="16"/>
                <w:szCs w:val="16"/>
              </w:rPr>
              <w:t>)</w:t>
            </w:r>
          </w:p>
          <w:p w:rsidR="00A10686" w:rsidRPr="00DD5AB1" w:rsidRDefault="00A10686" w:rsidP="0010138D">
            <w:pPr>
              <w:ind w:left="162"/>
              <w:rPr>
                <w:sz w:val="16"/>
                <w:szCs w:val="16"/>
              </w:rPr>
            </w:pPr>
          </w:p>
          <w:p w:rsidR="00A10686" w:rsidRPr="00DD5AB1" w:rsidRDefault="00A10686" w:rsidP="0010138D">
            <w:pPr>
              <w:rPr>
                <w:i/>
                <w:sz w:val="16"/>
                <w:szCs w:val="16"/>
              </w:rPr>
            </w:pPr>
            <w:r w:rsidRPr="00DD5AB1">
              <w:rPr>
                <w:i/>
                <w:sz w:val="16"/>
                <w:szCs w:val="16"/>
              </w:rPr>
              <w:t>Clinical</w:t>
            </w:r>
          </w:p>
          <w:p w:rsidR="00A10686" w:rsidRDefault="00A10686" w:rsidP="00A10686">
            <w:pPr>
              <w:numPr>
                <w:ilvl w:val="0"/>
                <w:numId w:val="2"/>
              </w:numPr>
              <w:ind w:left="162" w:hanging="162"/>
              <w:rPr>
                <w:sz w:val="16"/>
                <w:szCs w:val="16"/>
              </w:rPr>
            </w:pPr>
            <w:r w:rsidRPr="00DD5AB1">
              <w:rPr>
                <w:sz w:val="16"/>
                <w:szCs w:val="16"/>
              </w:rPr>
              <w:t>Presence of symptomatic</w:t>
            </w:r>
            <w:r>
              <w:rPr>
                <w:sz w:val="16"/>
                <w:szCs w:val="16"/>
              </w:rPr>
              <w:t xml:space="preserve"> cervical radiculopathy: 62.5% (10/16</w:t>
            </w:r>
            <w:r w:rsidRPr="00DD5AB1">
              <w:rPr>
                <w:sz w:val="16"/>
                <w:szCs w:val="16"/>
              </w:rPr>
              <w:t>)</w:t>
            </w:r>
          </w:p>
          <w:p w:rsidR="00A10686" w:rsidRPr="00DD5AB1" w:rsidRDefault="00A10686" w:rsidP="0010138D">
            <w:pPr>
              <w:ind w:left="162"/>
              <w:rPr>
                <w:sz w:val="16"/>
                <w:szCs w:val="16"/>
              </w:rPr>
            </w:pPr>
          </w:p>
          <w:p w:rsidR="00A10686" w:rsidRPr="0078710C" w:rsidRDefault="00A10686" w:rsidP="0010138D">
            <w:pPr>
              <w:rPr>
                <w:i/>
                <w:sz w:val="16"/>
                <w:szCs w:val="16"/>
              </w:rPr>
            </w:pPr>
            <w:r>
              <w:rPr>
                <w:i/>
                <w:sz w:val="16"/>
                <w:szCs w:val="16"/>
              </w:rPr>
              <w:t>Electrophysiological</w:t>
            </w:r>
          </w:p>
          <w:p w:rsidR="00A10686" w:rsidRPr="003065AC" w:rsidRDefault="00A10686" w:rsidP="00A10686">
            <w:pPr>
              <w:numPr>
                <w:ilvl w:val="0"/>
                <w:numId w:val="2"/>
              </w:numPr>
              <w:ind w:left="162" w:hanging="162"/>
              <w:rPr>
                <w:sz w:val="16"/>
                <w:szCs w:val="16"/>
              </w:rPr>
            </w:pPr>
            <w:r>
              <w:rPr>
                <w:sz w:val="16"/>
                <w:szCs w:val="16"/>
              </w:rPr>
              <w:t xml:space="preserve">Prolonged median and </w:t>
            </w:r>
            <w:proofErr w:type="spellStart"/>
            <w:r>
              <w:rPr>
                <w:sz w:val="16"/>
                <w:szCs w:val="16"/>
              </w:rPr>
              <w:t>tibial</w:t>
            </w:r>
            <w:proofErr w:type="spellEnd"/>
            <w:r>
              <w:rPr>
                <w:sz w:val="16"/>
                <w:szCs w:val="16"/>
              </w:rPr>
              <w:t xml:space="preserve"> somatosensory-evoked potentials: 43.8% (7/16)</w:t>
            </w:r>
          </w:p>
          <w:p w:rsidR="00A10686" w:rsidRPr="003065AC" w:rsidRDefault="00A10686" w:rsidP="00A10686">
            <w:pPr>
              <w:numPr>
                <w:ilvl w:val="0"/>
                <w:numId w:val="2"/>
              </w:numPr>
              <w:ind w:left="162" w:hanging="162"/>
              <w:rPr>
                <w:sz w:val="16"/>
                <w:szCs w:val="16"/>
              </w:rPr>
            </w:pPr>
            <w:r w:rsidRPr="00255F2C">
              <w:rPr>
                <w:sz w:val="16"/>
                <w:szCs w:val="16"/>
              </w:rPr>
              <w:t xml:space="preserve">Prolonged </w:t>
            </w:r>
            <w:r w:rsidRPr="00255F2C">
              <w:rPr>
                <w:rFonts w:eastAsia="SimSun"/>
                <w:sz w:val="16"/>
                <w:szCs w:val="16"/>
                <w:lang w:eastAsia="zh-CN"/>
              </w:rPr>
              <w:t xml:space="preserve">abductor </w:t>
            </w:r>
            <w:proofErr w:type="spellStart"/>
            <w:r w:rsidRPr="00255F2C">
              <w:rPr>
                <w:rFonts w:eastAsia="SimSun"/>
                <w:sz w:val="16"/>
                <w:szCs w:val="16"/>
                <w:lang w:eastAsia="zh-CN"/>
              </w:rPr>
              <w:t>digiti</w:t>
            </w:r>
            <w:proofErr w:type="spellEnd"/>
            <w:r w:rsidRPr="00255F2C">
              <w:rPr>
                <w:rFonts w:eastAsia="SimSun"/>
                <w:sz w:val="16"/>
                <w:szCs w:val="16"/>
                <w:lang w:eastAsia="zh-CN"/>
              </w:rPr>
              <w:t xml:space="preserve"> </w:t>
            </w:r>
            <w:proofErr w:type="spellStart"/>
            <w:r w:rsidRPr="00255F2C">
              <w:rPr>
                <w:rFonts w:eastAsia="SimSun"/>
                <w:sz w:val="16"/>
                <w:szCs w:val="16"/>
                <w:lang w:eastAsia="zh-CN"/>
              </w:rPr>
              <w:t>minimi</w:t>
            </w:r>
            <w:proofErr w:type="spellEnd"/>
            <w:r w:rsidRPr="00255F2C">
              <w:rPr>
                <w:rFonts w:eastAsia="SimSun"/>
                <w:sz w:val="16"/>
                <w:szCs w:val="16"/>
                <w:lang w:eastAsia="zh-CN"/>
              </w:rPr>
              <w:t xml:space="preserve"> and abductor </w:t>
            </w:r>
            <w:proofErr w:type="spellStart"/>
            <w:r w:rsidRPr="00255F2C">
              <w:rPr>
                <w:rFonts w:eastAsia="SimSun"/>
                <w:sz w:val="16"/>
                <w:szCs w:val="16"/>
                <w:lang w:eastAsia="zh-CN"/>
              </w:rPr>
              <w:t>hallucis</w:t>
            </w:r>
            <w:proofErr w:type="spellEnd"/>
            <w:r w:rsidRPr="00255F2C">
              <w:rPr>
                <w:rFonts w:eastAsia="SimSun"/>
                <w:sz w:val="16"/>
                <w:szCs w:val="16"/>
                <w:lang w:eastAsia="zh-CN"/>
              </w:rPr>
              <w:t xml:space="preserve"> </w:t>
            </w:r>
            <w:r>
              <w:rPr>
                <w:sz w:val="16"/>
                <w:szCs w:val="16"/>
              </w:rPr>
              <w:t>motor-evoked potentials: 37.5% (6/16)</w:t>
            </w:r>
          </w:p>
          <w:p w:rsidR="00A10686" w:rsidRDefault="00A10686" w:rsidP="00A10686">
            <w:pPr>
              <w:numPr>
                <w:ilvl w:val="0"/>
                <w:numId w:val="2"/>
              </w:numPr>
              <w:ind w:left="162" w:hanging="162"/>
              <w:rPr>
                <w:sz w:val="16"/>
                <w:szCs w:val="16"/>
              </w:rPr>
            </w:pPr>
            <w:r>
              <w:rPr>
                <w:sz w:val="16"/>
                <w:szCs w:val="16"/>
              </w:rPr>
              <w:t xml:space="preserve">EMG signs of anterior horn cell lesion: </w:t>
            </w:r>
            <w:r>
              <w:rPr>
                <w:sz w:val="16"/>
                <w:szCs w:val="16"/>
              </w:rPr>
              <w:lastRenderedPageBreak/>
              <w:t>43.8% (7/16)</w:t>
            </w:r>
          </w:p>
          <w:p w:rsidR="00A10686" w:rsidRPr="00DD5AB1" w:rsidRDefault="00A10686" w:rsidP="0010138D">
            <w:pPr>
              <w:ind w:left="162"/>
              <w:rPr>
                <w:sz w:val="16"/>
                <w:szCs w:val="16"/>
              </w:rPr>
            </w:pPr>
          </w:p>
          <w:p w:rsidR="00A10686" w:rsidRDefault="00A10686" w:rsidP="0010138D">
            <w:pPr>
              <w:rPr>
                <w:i/>
                <w:sz w:val="16"/>
                <w:szCs w:val="16"/>
              </w:rPr>
            </w:pPr>
            <w:r>
              <w:rPr>
                <w:i/>
                <w:sz w:val="16"/>
                <w:szCs w:val="16"/>
              </w:rPr>
              <w:t>Radiographic</w:t>
            </w:r>
          </w:p>
          <w:p w:rsidR="00A10686" w:rsidRPr="00DD5AB1" w:rsidRDefault="00A10686" w:rsidP="0010138D">
            <w:pPr>
              <w:rPr>
                <w:i/>
                <w:sz w:val="16"/>
                <w:szCs w:val="16"/>
              </w:rPr>
            </w:pPr>
            <w:r w:rsidRPr="0078710C">
              <w:rPr>
                <w:sz w:val="16"/>
                <w:szCs w:val="16"/>
                <w:u w:val="single"/>
              </w:rPr>
              <w:t>Type of compression</w:t>
            </w:r>
            <w:r w:rsidRPr="00DD5AB1">
              <w:rPr>
                <w:i/>
                <w:sz w:val="16"/>
                <w:szCs w:val="16"/>
              </w:rPr>
              <w:t xml:space="preserve"> </w:t>
            </w:r>
          </w:p>
          <w:p w:rsidR="00A10686" w:rsidRPr="00DD5AB1" w:rsidRDefault="00A10686" w:rsidP="00A10686">
            <w:pPr>
              <w:numPr>
                <w:ilvl w:val="0"/>
                <w:numId w:val="2"/>
              </w:numPr>
              <w:ind w:left="162" w:hanging="162"/>
              <w:rPr>
                <w:sz w:val="16"/>
                <w:szCs w:val="16"/>
              </w:rPr>
            </w:pPr>
            <w:r>
              <w:rPr>
                <w:sz w:val="16"/>
                <w:szCs w:val="16"/>
              </w:rPr>
              <w:t>Osteophytes: 87.5% (14/16</w:t>
            </w:r>
            <w:r w:rsidRPr="00DD5AB1">
              <w:rPr>
                <w:sz w:val="16"/>
                <w:szCs w:val="16"/>
              </w:rPr>
              <w:t>)</w:t>
            </w:r>
          </w:p>
          <w:p w:rsidR="00A10686" w:rsidRPr="00DD5AB1" w:rsidRDefault="00A10686" w:rsidP="00A10686">
            <w:pPr>
              <w:numPr>
                <w:ilvl w:val="0"/>
                <w:numId w:val="2"/>
              </w:numPr>
              <w:ind w:left="162" w:hanging="162"/>
              <w:rPr>
                <w:sz w:val="16"/>
                <w:szCs w:val="16"/>
              </w:rPr>
            </w:pPr>
            <w:r>
              <w:rPr>
                <w:sz w:val="16"/>
                <w:szCs w:val="16"/>
              </w:rPr>
              <w:t>Others: 12.5% (2/16</w:t>
            </w:r>
            <w:r w:rsidRPr="00DD5AB1">
              <w:rPr>
                <w:sz w:val="16"/>
                <w:szCs w:val="16"/>
              </w:rPr>
              <w:t>)</w:t>
            </w:r>
          </w:p>
          <w:p w:rsidR="00A10686" w:rsidRPr="00DD5AB1" w:rsidRDefault="00A10686" w:rsidP="0010138D">
            <w:pPr>
              <w:rPr>
                <w:i/>
                <w:sz w:val="16"/>
                <w:szCs w:val="16"/>
              </w:rPr>
            </w:pPr>
            <w:r w:rsidRPr="0078710C">
              <w:rPr>
                <w:sz w:val="16"/>
                <w:szCs w:val="16"/>
                <w:u w:val="single"/>
              </w:rPr>
              <w:t xml:space="preserve">Number of </w:t>
            </w:r>
            <w:proofErr w:type="spellStart"/>
            <w:r w:rsidRPr="0078710C">
              <w:rPr>
                <w:sz w:val="16"/>
                <w:szCs w:val="16"/>
                <w:u w:val="single"/>
              </w:rPr>
              <w:t>stenotic</w:t>
            </w:r>
            <w:proofErr w:type="spellEnd"/>
            <w:r w:rsidRPr="0078710C">
              <w:rPr>
                <w:sz w:val="16"/>
                <w:szCs w:val="16"/>
                <w:u w:val="single"/>
              </w:rPr>
              <w:t xml:space="preserve"> levels</w:t>
            </w:r>
          </w:p>
          <w:p w:rsidR="00A10686" w:rsidRPr="00DD5AB1" w:rsidRDefault="00A10686" w:rsidP="00A10686">
            <w:pPr>
              <w:numPr>
                <w:ilvl w:val="0"/>
                <w:numId w:val="2"/>
              </w:numPr>
              <w:ind w:left="162" w:hanging="162"/>
              <w:rPr>
                <w:sz w:val="16"/>
                <w:szCs w:val="16"/>
              </w:rPr>
            </w:pPr>
            <w:r>
              <w:rPr>
                <w:sz w:val="16"/>
                <w:szCs w:val="16"/>
              </w:rPr>
              <w:t>1: 37.5% (6/16</w:t>
            </w:r>
            <w:r w:rsidRPr="00DD5AB1">
              <w:rPr>
                <w:sz w:val="16"/>
                <w:szCs w:val="16"/>
              </w:rPr>
              <w:t>)</w:t>
            </w:r>
          </w:p>
          <w:p w:rsidR="00A10686" w:rsidRDefault="00A10686" w:rsidP="00A10686">
            <w:pPr>
              <w:numPr>
                <w:ilvl w:val="0"/>
                <w:numId w:val="2"/>
              </w:numPr>
              <w:ind w:left="162" w:hanging="162"/>
              <w:rPr>
                <w:sz w:val="16"/>
                <w:szCs w:val="16"/>
              </w:rPr>
            </w:pPr>
            <w:r>
              <w:rPr>
                <w:sz w:val="16"/>
                <w:szCs w:val="16"/>
              </w:rPr>
              <w:t>≥ 2: 62.5% (10/16</w:t>
            </w:r>
            <w:r w:rsidRPr="00DD5AB1">
              <w:rPr>
                <w:sz w:val="16"/>
                <w:szCs w:val="16"/>
              </w:rPr>
              <w:t>)</w:t>
            </w:r>
          </w:p>
          <w:p w:rsidR="00A10686" w:rsidRPr="00DD5AB1" w:rsidRDefault="00A10686" w:rsidP="0010138D">
            <w:pPr>
              <w:ind w:left="162"/>
              <w:rPr>
                <w:sz w:val="16"/>
                <w:szCs w:val="16"/>
              </w:rPr>
            </w:pPr>
          </w:p>
          <w:p w:rsidR="00A10686" w:rsidRPr="00DD5AB1" w:rsidRDefault="00A10686" w:rsidP="00A10686">
            <w:pPr>
              <w:numPr>
                <w:ilvl w:val="0"/>
                <w:numId w:val="2"/>
              </w:numPr>
              <w:ind w:left="162" w:hanging="162"/>
              <w:rPr>
                <w:sz w:val="16"/>
                <w:szCs w:val="16"/>
              </w:rPr>
            </w:pPr>
            <w:r w:rsidRPr="00DD5AB1">
              <w:rPr>
                <w:sz w:val="16"/>
                <w:szCs w:val="16"/>
              </w:rPr>
              <w:t xml:space="preserve">Pavlov </w:t>
            </w:r>
            <w:r>
              <w:rPr>
                <w:sz w:val="16"/>
                <w:szCs w:val="16"/>
              </w:rPr>
              <w:t>ratio</w:t>
            </w:r>
            <w:r w:rsidRPr="00DD5AB1">
              <w:rPr>
                <w:sz w:val="16"/>
                <w:szCs w:val="16"/>
              </w:rPr>
              <w:t xml:space="preserve"> &lt; 0.8</w:t>
            </w:r>
            <w:r>
              <w:rPr>
                <w:sz w:val="16"/>
                <w:szCs w:val="16"/>
              </w:rPr>
              <w:t>: 25.0% (4/16)</w:t>
            </w:r>
          </w:p>
          <w:p w:rsidR="00A10686" w:rsidRPr="00DD5AB1" w:rsidRDefault="00A10686" w:rsidP="00A10686">
            <w:pPr>
              <w:numPr>
                <w:ilvl w:val="0"/>
                <w:numId w:val="2"/>
              </w:numPr>
              <w:ind w:left="162" w:hanging="162"/>
              <w:rPr>
                <w:sz w:val="16"/>
                <w:szCs w:val="16"/>
              </w:rPr>
            </w:pPr>
            <w:r w:rsidRPr="00DD5AB1">
              <w:rPr>
                <w:sz w:val="16"/>
                <w:szCs w:val="16"/>
              </w:rPr>
              <w:t xml:space="preserve">Compression ratio </w:t>
            </w:r>
            <w:r>
              <w:rPr>
                <w:sz w:val="16"/>
                <w:szCs w:val="16"/>
              </w:rPr>
              <w:t>≤ 0.4: 31.3% (5/16)</w:t>
            </w:r>
          </w:p>
          <w:p w:rsidR="00A10686" w:rsidRDefault="00A10686" w:rsidP="00A10686">
            <w:pPr>
              <w:numPr>
                <w:ilvl w:val="0"/>
                <w:numId w:val="2"/>
              </w:numPr>
              <w:ind w:left="162" w:hanging="162"/>
              <w:rPr>
                <w:sz w:val="16"/>
                <w:szCs w:val="16"/>
              </w:rPr>
            </w:pPr>
            <w:r w:rsidRPr="00DD5AB1">
              <w:rPr>
                <w:sz w:val="16"/>
                <w:szCs w:val="16"/>
              </w:rPr>
              <w:t>Cross-sectional ce</w:t>
            </w:r>
            <w:r>
              <w:rPr>
                <w:sz w:val="16"/>
                <w:szCs w:val="16"/>
              </w:rPr>
              <w:t>rvical spinal cord area (CSA) ≤ 70mm</w:t>
            </w:r>
            <w:r>
              <w:rPr>
                <w:sz w:val="16"/>
                <w:szCs w:val="16"/>
                <w:vertAlign w:val="superscript"/>
              </w:rPr>
              <w:t>2</w:t>
            </w:r>
            <w:r>
              <w:rPr>
                <w:sz w:val="16"/>
                <w:szCs w:val="16"/>
              </w:rPr>
              <w:t>: 43.8% (7/16)</w:t>
            </w:r>
          </w:p>
          <w:p w:rsidR="00A10686" w:rsidRPr="004560A0" w:rsidRDefault="00A10686" w:rsidP="00A10686">
            <w:pPr>
              <w:numPr>
                <w:ilvl w:val="0"/>
                <w:numId w:val="2"/>
              </w:numPr>
              <w:ind w:left="162" w:hanging="162"/>
              <w:rPr>
                <w:sz w:val="16"/>
                <w:szCs w:val="16"/>
              </w:rPr>
            </w:pPr>
            <w:r w:rsidRPr="004560A0">
              <w:rPr>
                <w:sz w:val="16"/>
                <w:szCs w:val="16"/>
              </w:rPr>
              <w:t>Cervic</w:t>
            </w:r>
            <w:r>
              <w:rPr>
                <w:sz w:val="16"/>
                <w:szCs w:val="16"/>
              </w:rPr>
              <w:t xml:space="preserve">al cord MRI </w:t>
            </w:r>
            <w:proofErr w:type="spellStart"/>
            <w:r>
              <w:rPr>
                <w:sz w:val="16"/>
                <w:szCs w:val="16"/>
              </w:rPr>
              <w:t>hyperintensity</w:t>
            </w:r>
            <w:proofErr w:type="spellEnd"/>
            <w:r>
              <w:rPr>
                <w:sz w:val="16"/>
                <w:szCs w:val="16"/>
              </w:rPr>
              <w:t>: 12.5% (2/16</w:t>
            </w:r>
            <w:r w:rsidRPr="004560A0">
              <w:rPr>
                <w:sz w:val="16"/>
                <w:szCs w:val="16"/>
              </w:rPr>
              <w:t>)</w:t>
            </w:r>
          </w:p>
        </w:tc>
        <w:tc>
          <w:tcPr>
            <w:tcW w:w="3240" w:type="dxa"/>
            <w:gridSpan w:val="2"/>
            <w:shd w:val="clear" w:color="auto" w:fill="auto"/>
          </w:tcPr>
          <w:p w:rsidR="00A10686" w:rsidRPr="00867316" w:rsidRDefault="00A10686" w:rsidP="0010138D">
            <w:pPr>
              <w:rPr>
                <w:b/>
                <w:sz w:val="16"/>
                <w:szCs w:val="16"/>
              </w:rPr>
            </w:pPr>
            <w:r>
              <w:rPr>
                <w:b/>
                <w:sz w:val="16"/>
                <w:szCs w:val="16"/>
              </w:rPr>
              <w:lastRenderedPageBreak/>
              <w:t>No d</w:t>
            </w:r>
            <w:r w:rsidRPr="00867316">
              <w:rPr>
                <w:b/>
                <w:sz w:val="16"/>
                <w:szCs w:val="16"/>
              </w:rPr>
              <w:t xml:space="preserve">evelopment of </w:t>
            </w:r>
            <w:r>
              <w:rPr>
                <w:b/>
                <w:sz w:val="16"/>
                <w:szCs w:val="16"/>
              </w:rPr>
              <w:t xml:space="preserve"> myelopathy within 12 months</w:t>
            </w:r>
          </w:p>
          <w:p w:rsidR="00A10686" w:rsidRPr="00DD5AB1" w:rsidRDefault="00A10686" w:rsidP="0010138D">
            <w:pPr>
              <w:rPr>
                <w:i/>
                <w:sz w:val="16"/>
                <w:szCs w:val="16"/>
              </w:rPr>
            </w:pPr>
            <w:r w:rsidRPr="00DD5AB1">
              <w:rPr>
                <w:i/>
                <w:sz w:val="16"/>
                <w:szCs w:val="16"/>
              </w:rPr>
              <w:t>Demographic</w:t>
            </w:r>
          </w:p>
          <w:p w:rsidR="00A10686" w:rsidRPr="00DD5AB1" w:rsidRDefault="00A10686" w:rsidP="00A10686">
            <w:pPr>
              <w:numPr>
                <w:ilvl w:val="0"/>
                <w:numId w:val="2"/>
              </w:numPr>
              <w:ind w:left="162" w:hanging="162"/>
              <w:rPr>
                <w:sz w:val="16"/>
                <w:szCs w:val="16"/>
              </w:rPr>
            </w:pPr>
            <w:r>
              <w:rPr>
                <w:sz w:val="16"/>
                <w:szCs w:val="16"/>
              </w:rPr>
              <w:t>Age &gt; 50 years: 53.0% (97/183</w:t>
            </w:r>
            <w:r w:rsidRPr="00DD5AB1">
              <w:rPr>
                <w:sz w:val="16"/>
                <w:szCs w:val="16"/>
              </w:rPr>
              <w:t>)</w:t>
            </w:r>
          </w:p>
          <w:p w:rsidR="00A10686" w:rsidRDefault="00A10686" w:rsidP="00A10686">
            <w:pPr>
              <w:numPr>
                <w:ilvl w:val="0"/>
                <w:numId w:val="2"/>
              </w:numPr>
              <w:ind w:left="162" w:hanging="162"/>
              <w:rPr>
                <w:sz w:val="16"/>
                <w:szCs w:val="16"/>
              </w:rPr>
            </w:pPr>
            <w:r w:rsidRPr="00DD5AB1">
              <w:rPr>
                <w:sz w:val="16"/>
                <w:szCs w:val="16"/>
              </w:rPr>
              <w:t xml:space="preserve">Male sex: </w:t>
            </w:r>
            <w:r>
              <w:rPr>
                <w:sz w:val="16"/>
                <w:szCs w:val="16"/>
              </w:rPr>
              <w:t>53.6% (98/183</w:t>
            </w:r>
            <w:r w:rsidRPr="00DD5AB1">
              <w:rPr>
                <w:sz w:val="16"/>
                <w:szCs w:val="16"/>
              </w:rPr>
              <w:t>)</w:t>
            </w:r>
          </w:p>
          <w:p w:rsidR="00A10686" w:rsidRPr="00DD5AB1" w:rsidRDefault="00A10686" w:rsidP="0010138D">
            <w:pPr>
              <w:ind w:left="162"/>
              <w:rPr>
                <w:sz w:val="16"/>
                <w:szCs w:val="16"/>
              </w:rPr>
            </w:pPr>
          </w:p>
          <w:p w:rsidR="00A10686" w:rsidRPr="00DD5AB1" w:rsidRDefault="00A10686" w:rsidP="0010138D">
            <w:pPr>
              <w:rPr>
                <w:i/>
                <w:sz w:val="16"/>
                <w:szCs w:val="16"/>
              </w:rPr>
            </w:pPr>
            <w:r w:rsidRPr="00DD5AB1">
              <w:rPr>
                <w:i/>
                <w:sz w:val="16"/>
                <w:szCs w:val="16"/>
              </w:rPr>
              <w:t>Clinical</w:t>
            </w:r>
          </w:p>
          <w:p w:rsidR="00A10686" w:rsidRDefault="00A10686" w:rsidP="00A10686">
            <w:pPr>
              <w:numPr>
                <w:ilvl w:val="0"/>
                <w:numId w:val="2"/>
              </w:numPr>
              <w:ind w:left="162" w:hanging="162"/>
              <w:rPr>
                <w:sz w:val="16"/>
                <w:szCs w:val="16"/>
              </w:rPr>
            </w:pPr>
            <w:r w:rsidRPr="00DD5AB1">
              <w:rPr>
                <w:sz w:val="16"/>
                <w:szCs w:val="16"/>
              </w:rPr>
              <w:t>Presence of symptomatic</w:t>
            </w:r>
            <w:r>
              <w:rPr>
                <w:sz w:val="16"/>
                <w:szCs w:val="16"/>
              </w:rPr>
              <w:t xml:space="preserve"> cervical radiculopathy: 26.3% (48/183)</w:t>
            </w:r>
          </w:p>
          <w:p w:rsidR="00A10686" w:rsidRPr="00DD5AB1" w:rsidRDefault="00A10686" w:rsidP="0010138D">
            <w:pPr>
              <w:ind w:left="162"/>
              <w:rPr>
                <w:sz w:val="16"/>
                <w:szCs w:val="16"/>
              </w:rPr>
            </w:pPr>
          </w:p>
          <w:p w:rsidR="00A10686" w:rsidRPr="0078710C" w:rsidRDefault="00A10686" w:rsidP="0010138D">
            <w:pPr>
              <w:rPr>
                <w:i/>
                <w:sz w:val="16"/>
                <w:szCs w:val="16"/>
              </w:rPr>
            </w:pPr>
            <w:r>
              <w:rPr>
                <w:i/>
                <w:sz w:val="16"/>
                <w:szCs w:val="16"/>
              </w:rPr>
              <w:t>Electrophysiological</w:t>
            </w:r>
          </w:p>
          <w:p w:rsidR="00A10686" w:rsidRPr="003065AC" w:rsidRDefault="00A10686" w:rsidP="00A10686">
            <w:pPr>
              <w:numPr>
                <w:ilvl w:val="0"/>
                <w:numId w:val="2"/>
              </w:numPr>
              <w:ind w:left="162" w:hanging="162"/>
              <w:rPr>
                <w:sz w:val="16"/>
                <w:szCs w:val="16"/>
              </w:rPr>
            </w:pPr>
            <w:r>
              <w:rPr>
                <w:sz w:val="16"/>
                <w:szCs w:val="16"/>
              </w:rPr>
              <w:t xml:space="preserve">Prolonged  median and </w:t>
            </w:r>
            <w:proofErr w:type="spellStart"/>
            <w:r>
              <w:rPr>
                <w:sz w:val="16"/>
                <w:szCs w:val="16"/>
              </w:rPr>
              <w:t>tibial</w:t>
            </w:r>
            <w:proofErr w:type="spellEnd"/>
            <w:r>
              <w:rPr>
                <w:sz w:val="16"/>
                <w:szCs w:val="16"/>
              </w:rPr>
              <w:t xml:space="preserve"> somatosensory-evoked potentials: 16.4% (30/183)</w:t>
            </w:r>
          </w:p>
          <w:p w:rsidR="00A10686" w:rsidRDefault="00A10686" w:rsidP="00A10686">
            <w:pPr>
              <w:numPr>
                <w:ilvl w:val="0"/>
                <w:numId w:val="2"/>
              </w:numPr>
              <w:ind w:left="162" w:hanging="162"/>
              <w:rPr>
                <w:sz w:val="16"/>
                <w:szCs w:val="16"/>
              </w:rPr>
            </w:pPr>
            <w:r>
              <w:rPr>
                <w:sz w:val="16"/>
                <w:szCs w:val="16"/>
              </w:rPr>
              <w:t xml:space="preserve">Prolonged </w:t>
            </w:r>
            <w:r w:rsidRPr="00255F2C">
              <w:rPr>
                <w:rFonts w:eastAsia="SimSun"/>
                <w:sz w:val="16"/>
                <w:szCs w:val="16"/>
                <w:lang w:eastAsia="zh-CN"/>
              </w:rPr>
              <w:t xml:space="preserve"> abductor </w:t>
            </w:r>
            <w:proofErr w:type="spellStart"/>
            <w:r w:rsidRPr="00255F2C">
              <w:rPr>
                <w:rFonts w:eastAsia="SimSun"/>
                <w:sz w:val="16"/>
                <w:szCs w:val="16"/>
                <w:lang w:eastAsia="zh-CN"/>
              </w:rPr>
              <w:t>digiti</w:t>
            </w:r>
            <w:proofErr w:type="spellEnd"/>
            <w:r w:rsidRPr="00255F2C">
              <w:rPr>
                <w:rFonts w:eastAsia="SimSun"/>
                <w:sz w:val="16"/>
                <w:szCs w:val="16"/>
                <w:lang w:eastAsia="zh-CN"/>
              </w:rPr>
              <w:t xml:space="preserve"> </w:t>
            </w:r>
            <w:proofErr w:type="spellStart"/>
            <w:r w:rsidRPr="00255F2C">
              <w:rPr>
                <w:rFonts w:eastAsia="SimSun"/>
                <w:sz w:val="16"/>
                <w:szCs w:val="16"/>
                <w:lang w:eastAsia="zh-CN"/>
              </w:rPr>
              <w:t>minimi</w:t>
            </w:r>
            <w:proofErr w:type="spellEnd"/>
            <w:r w:rsidRPr="00255F2C">
              <w:rPr>
                <w:rFonts w:eastAsia="SimSun"/>
                <w:sz w:val="16"/>
                <w:szCs w:val="16"/>
                <w:lang w:eastAsia="zh-CN"/>
              </w:rPr>
              <w:t xml:space="preserve"> and abductor </w:t>
            </w:r>
            <w:proofErr w:type="spellStart"/>
            <w:r w:rsidRPr="00255F2C">
              <w:rPr>
                <w:rFonts w:eastAsia="SimSun"/>
                <w:sz w:val="16"/>
                <w:szCs w:val="16"/>
                <w:lang w:eastAsia="zh-CN"/>
              </w:rPr>
              <w:t>hallucis</w:t>
            </w:r>
            <w:proofErr w:type="spellEnd"/>
            <w:r w:rsidRPr="00255F2C">
              <w:rPr>
                <w:rFonts w:eastAsia="SimSun"/>
                <w:sz w:val="16"/>
                <w:szCs w:val="16"/>
                <w:lang w:eastAsia="zh-CN"/>
              </w:rPr>
              <w:t xml:space="preserve"> </w:t>
            </w:r>
            <w:r>
              <w:rPr>
                <w:sz w:val="16"/>
                <w:szCs w:val="16"/>
              </w:rPr>
              <w:t>motor-evoked potentials: 16.9% (31/183)</w:t>
            </w:r>
          </w:p>
          <w:p w:rsidR="00A10686" w:rsidRDefault="00A10686" w:rsidP="00A10686">
            <w:pPr>
              <w:numPr>
                <w:ilvl w:val="0"/>
                <w:numId w:val="2"/>
              </w:numPr>
              <w:ind w:left="162" w:hanging="162"/>
              <w:rPr>
                <w:sz w:val="16"/>
                <w:szCs w:val="16"/>
              </w:rPr>
            </w:pPr>
            <w:r w:rsidRPr="0078710C">
              <w:rPr>
                <w:sz w:val="16"/>
                <w:szCs w:val="16"/>
              </w:rPr>
              <w:t>EMG sign</w:t>
            </w:r>
            <w:r>
              <w:rPr>
                <w:sz w:val="16"/>
                <w:szCs w:val="16"/>
              </w:rPr>
              <w:t xml:space="preserve">s of anterior horn cell lesion: </w:t>
            </w:r>
            <w:r>
              <w:rPr>
                <w:sz w:val="16"/>
                <w:szCs w:val="16"/>
              </w:rPr>
              <w:lastRenderedPageBreak/>
              <w:t>21.3% (39/183</w:t>
            </w:r>
            <w:r w:rsidRPr="0078710C">
              <w:rPr>
                <w:sz w:val="16"/>
                <w:szCs w:val="16"/>
              </w:rPr>
              <w:t>)</w:t>
            </w:r>
          </w:p>
          <w:p w:rsidR="00A10686" w:rsidRDefault="00A10686" w:rsidP="0010138D">
            <w:pPr>
              <w:rPr>
                <w:sz w:val="16"/>
                <w:szCs w:val="16"/>
              </w:rPr>
            </w:pPr>
          </w:p>
          <w:p w:rsidR="00A10686" w:rsidRDefault="00A10686" w:rsidP="0010138D">
            <w:pPr>
              <w:rPr>
                <w:i/>
                <w:sz w:val="16"/>
                <w:szCs w:val="16"/>
              </w:rPr>
            </w:pPr>
            <w:r>
              <w:rPr>
                <w:i/>
                <w:sz w:val="16"/>
                <w:szCs w:val="16"/>
              </w:rPr>
              <w:t>Radiographic</w:t>
            </w:r>
          </w:p>
          <w:p w:rsidR="00A10686" w:rsidRPr="00DD5AB1" w:rsidRDefault="00A10686" w:rsidP="0010138D">
            <w:pPr>
              <w:rPr>
                <w:i/>
                <w:sz w:val="16"/>
                <w:szCs w:val="16"/>
              </w:rPr>
            </w:pPr>
            <w:r w:rsidRPr="0078710C">
              <w:rPr>
                <w:sz w:val="16"/>
                <w:szCs w:val="16"/>
                <w:u w:val="single"/>
              </w:rPr>
              <w:t>Type of compression</w:t>
            </w:r>
            <w:r w:rsidRPr="00DD5AB1">
              <w:rPr>
                <w:i/>
                <w:sz w:val="16"/>
                <w:szCs w:val="16"/>
              </w:rPr>
              <w:t xml:space="preserve"> </w:t>
            </w:r>
          </w:p>
          <w:p w:rsidR="00A10686" w:rsidRPr="00DD5AB1" w:rsidRDefault="00A10686" w:rsidP="00A10686">
            <w:pPr>
              <w:numPr>
                <w:ilvl w:val="0"/>
                <w:numId w:val="2"/>
              </w:numPr>
              <w:ind w:left="162" w:hanging="162"/>
              <w:rPr>
                <w:sz w:val="16"/>
                <w:szCs w:val="16"/>
              </w:rPr>
            </w:pPr>
            <w:r w:rsidRPr="00DD5AB1">
              <w:rPr>
                <w:sz w:val="16"/>
                <w:szCs w:val="16"/>
              </w:rPr>
              <w:t>Osteophytes</w:t>
            </w:r>
            <w:r>
              <w:rPr>
                <w:sz w:val="16"/>
                <w:szCs w:val="16"/>
              </w:rPr>
              <w:t>: 73.8% (135/183</w:t>
            </w:r>
            <w:r w:rsidRPr="00DD5AB1">
              <w:rPr>
                <w:sz w:val="16"/>
                <w:szCs w:val="16"/>
              </w:rPr>
              <w:t>)</w:t>
            </w:r>
          </w:p>
          <w:p w:rsidR="00A10686" w:rsidRPr="00DD5AB1" w:rsidRDefault="00A10686" w:rsidP="00A10686">
            <w:pPr>
              <w:numPr>
                <w:ilvl w:val="0"/>
                <w:numId w:val="2"/>
              </w:numPr>
              <w:ind w:left="162" w:hanging="162"/>
              <w:rPr>
                <w:sz w:val="16"/>
                <w:szCs w:val="16"/>
              </w:rPr>
            </w:pPr>
            <w:r>
              <w:rPr>
                <w:sz w:val="16"/>
                <w:szCs w:val="16"/>
              </w:rPr>
              <w:t>Others: 26.2% (48/183</w:t>
            </w:r>
            <w:r w:rsidRPr="00DD5AB1">
              <w:rPr>
                <w:sz w:val="16"/>
                <w:szCs w:val="16"/>
              </w:rPr>
              <w:t>)</w:t>
            </w:r>
          </w:p>
          <w:p w:rsidR="00A10686" w:rsidRPr="00DD5AB1" w:rsidRDefault="00A10686" w:rsidP="0010138D">
            <w:pPr>
              <w:rPr>
                <w:i/>
                <w:sz w:val="16"/>
                <w:szCs w:val="16"/>
              </w:rPr>
            </w:pPr>
            <w:r w:rsidRPr="0078710C">
              <w:rPr>
                <w:sz w:val="16"/>
                <w:szCs w:val="16"/>
                <w:u w:val="single"/>
              </w:rPr>
              <w:t xml:space="preserve">Number of </w:t>
            </w:r>
            <w:proofErr w:type="spellStart"/>
            <w:r w:rsidRPr="0078710C">
              <w:rPr>
                <w:sz w:val="16"/>
                <w:szCs w:val="16"/>
                <w:u w:val="single"/>
              </w:rPr>
              <w:t>stenotic</w:t>
            </w:r>
            <w:proofErr w:type="spellEnd"/>
            <w:r w:rsidRPr="0078710C">
              <w:rPr>
                <w:sz w:val="16"/>
                <w:szCs w:val="16"/>
                <w:u w:val="single"/>
              </w:rPr>
              <w:t xml:space="preserve"> levels</w:t>
            </w:r>
          </w:p>
          <w:p w:rsidR="00A10686" w:rsidRPr="00DD5AB1" w:rsidRDefault="00A10686" w:rsidP="00A10686">
            <w:pPr>
              <w:numPr>
                <w:ilvl w:val="0"/>
                <w:numId w:val="2"/>
              </w:numPr>
              <w:ind w:left="162" w:hanging="162"/>
              <w:rPr>
                <w:sz w:val="16"/>
                <w:szCs w:val="16"/>
              </w:rPr>
            </w:pPr>
            <w:r w:rsidRPr="00DD5AB1">
              <w:rPr>
                <w:sz w:val="16"/>
                <w:szCs w:val="16"/>
              </w:rPr>
              <w:t>1</w:t>
            </w:r>
            <w:r>
              <w:rPr>
                <w:sz w:val="16"/>
                <w:szCs w:val="16"/>
              </w:rPr>
              <w:t>: 54.1% (99/183</w:t>
            </w:r>
            <w:r w:rsidRPr="00DD5AB1">
              <w:rPr>
                <w:sz w:val="16"/>
                <w:szCs w:val="16"/>
              </w:rPr>
              <w:t>)</w:t>
            </w:r>
          </w:p>
          <w:p w:rsidR="00A10686" w:rsidRDefault="00A10686" w:rsidP="00A10686">
            <w:pPr>
              <w:numPr>
                <w:ilvl w:val="0"/>
                <w:numId w:val="2"/>
              </w:numPr>
              <w:ind w:left="162" w:hanging="162"/>
              <w:rPr>
                <w:sz w:val="16"/>
                <w:szCs w:val="16"/>
              </w:rPr>
            </w:pPr>
            <w:r>
              <w:rPr>
                <w:sz w:val="16"/>
                <w:szCs w:val="16"/>
              </w:rPr>
              <w:t>≥ 2: 45.9% (84/183</w:t>
            </w:r>
            <w:r w:rsidRPr="00DD5AB1">
              <w:rPr>
                <w:sz w:val="16"/>
                <w:szCs w:val="16"/>
              </w:rPr>
              <w:t>)</w:t>
            </w:r>
          </w:p>
          <w:p w:rsidR="00A10686" w:rsidRPr="00DD5AB1" w:rsidRDefault="00A10686" w:rsidP="0010138D">
            <w:pPr>
              <w:ind w:left="162"/>
              <w:rPr>
                <w:sz w:val="16"/>
                <w:szCs w:val="16"/>
              </w:rPr>
            </w:pPr>
          </w:p>
          <w:p w:rsidR="00A10686" w:rsidRPr="00DD5AB1" w:rsidRDefault="00A10686" w:rsidP="00A10686">
            <w:pPr>
              <w:numPr>
                <w:ilvl w:val="0"/>
                <w:numId w:val="2"/>
              </w:numPr>
              <w:ind w:left="162" w:hanging="162"/>
              <w:rPr>
                <w:sz w:val="16"/>
                <w:szCs w:val="16"/>
              </w:rPr>
            </w:pPr>
            <w:r w:rsidRPr="00DD5AB1">
              <w:rPr>
                <w:sz w:val="16"/>
                <w:szCs w:val="16"/>
              </w:rPr>
              <w:t xml:space="preserve">Pavlov </w:t>
            </w:r>
            <w:r>
              <w:rPr>
                <w:sz w:val="16"/>
                <w:szCs w:val="16"/>
              </w:rPr>
              <w:t>ratio</w:t>
            </w:r>
            <w:r w:rsidRPr="00DD5AB1">
              <w:rPr>
                <w:sz w:val="16"/>
                <w:szCs w:val="16"/>
              </w:rPr>
              <w:t xml:space="preserve"> &lt; 0.8</w:t>
            </w:r>
            <w:r>
              <w:rPr>
                <w:sz w:val="16"/>
                <w:szCs w:val="16"/>
              </w:rPr>
              <w:t>: 33.9% (62/183)</w:t>
            </w:r>
          </w:p>
          <w:p w:rsidR="00A10686" w:rsidRPr="00DD5AB1" w:rsidRDefault="00A10686" w:rsidP="00A10686">
            <w:pPr>
              <w:numPr>
                <w:ilvl w:val="0"/>
                <w:numId w:val="2"/>
              </w:numPr>
              <w:ind w:left="162" w:hanging="162"/>
              <w:rPr>
                <w:sz w:val="16"/>
                <w:szCs w:val="16"/>
              </w:rPr>
            </w:pPr>
            <w:r w:rsidRPr="00DD5AB1">
              <w:rPr>
                <w:sz w:val="16"/>
                <w:szCs w:val="16"/>
              </w:rPr>
              <w:t xml:space="preserve">Compression ratio </w:t>
            </w:r>
            <w:r>
              <w:rPr>
                <w:sz w:val="16"/>
                <w:szCs w:val="16"/>
              </w:rPr>
              <w:t>≤ 0.4: 24.1% (44/183)</w:t>
            </w:r>
          </w:p>
          <w:p w:rsidR="00A10686" w:rsidRDefault="00A10686" w:rsidP="00A10686">
            <w:pPr>
              <w:numPr>
                <w:ilvl w:val="0"/>
                <w:numId w:val="2"/>
              </w:numPr>
              <w:ind w:left="162" w:hanging="162"/>
              <w:rPr>
                <w:sz w:val="16"/>
                <w:szCs w:val="16"/>
              </w:rPr>
            </w:pPr>
            <w:r w:rsidRPr="00DD5AB1">
              <w:rPr>
                <w:sz w:val="16"/>
                <w:szCs w:val="16"/>
              </w:rPr>
              <w:t>Cross-sectional ce</w:t>
            </w:r>
            <w:r>
              <w:rPr>
                <w:sz w:val="16"/>
                <w:szCs w:val="16"/>
              </w:rPr>
              <w:t>rvical spinal cord area ≤ 70mm</w:t>
            </w:r>
            <w:r>
              <w:rPr>
                <w:sz w:val="16"/>
                <w:szCs w:val="16"/>
                <w:vertAlign w:val="superscript"/>
              </w:rPr>
              <w:t>2</w:t>
            </w:r>
            <w:r>
              <w:rPr>
                <w:sz w:val="16"/>
                <w:szCs w:val="16"/>
              </w:rPr>
              <w:t>: 39.3% (72/183)</w:t>
            </w:r>
          </w:p>
          <w:p w:rsidR="00A10686" w:rsidRPr="004560A0" w:rsidRDefault="00A10686" w:rsidP="00A10686">
            <w:pPr>
              <w:numPr>
                <w:ilvl w:val="0"/>
                <w:numId w:val="2"/>
              </w:numPr>
              <w:ind w:left="162" w:hanging="162"/>
              <w:rPr>
                <w:sz w:val="16"/>
                <w:szCs w:val="16"/>
              </w:rPr>
            </w:pPr>
            <w:r w:rsidRPr="004560A0">
              <w:rPr>
                <w:sz w:val="16"/>
                <w:szCs w:val="16"/>
              </w:rPr>
              <w:t>Cervic</w:t>
            </w:r>
            <w:r>
              <w:rPr>
                <w:sz w:val="16"/>
                <w:szCs w:val="16"/>
              </w:rPr>
              <w:t xml:space="preserve">al cord MRI </w:t>
            </w:r>
            <w:proofErr w:type="spellStart"/>
            <w:r>
              <w:rPr>
                <w:sz w:val="16"/>
                <w:szCs w:val="16"/>
              </w:rPr>
              <w:t>hyperintensity</w:t>
            </w:r>
            <w:proofErr w:type="spellEnd"/>
            <w:r>
              <w:rPr>
                <w:sz w:val="16"/>
                <w:szCs w:val="16"/>
              </w:rPr>
              <w:t>: 25.7% (47/183</w:t>
            </w:r>
            <w:r w:rsidRPr="004560A0">
              <w:rPr>
                <w:sz w:val="16"/>
                <w:szCs w:val="16"/>
              </w:rPr>
              <w:t>)</w:t>
            </w:r>
          </w:p>
        </w:tc>
        <w:tc>
          <w:tcPr>
            <w:tcW w:w="3600" w:type="dxa"/>
            <w:shd w:val="clear" w:color="auto" w:fill="auto"/>
          </w:tcPr>
          <w:p w:rsidR="00A10686" w:rsidRPr="00645BFA" w:rsidRDefault="00A10686" w:rsidP="0010138D">
            <w:pPr>
              <w:ind w:left="77"/>
              <w:rPr>
                <w:sz w:val="16"/>
                <w:szCs w:val="16"/>
              </w:rPr>
            </w:pPr>
            <w:r w:rsidRPr="00645BFA">
              <w:rPr>
                <w:rFonts w:eastAsia="SimSun"/>
                <w:bCs/>
                <w:sz w:val="16"/>
                <w:szCs w:val="16"/>
                <w:u w:val="single"/>
                <w:lang w:eastAsia="zh-CN"/>
              </w:rPr>
              <w:lastRenderedPageBreak/>
              <w:t xml:space="preserve">Associations </w:t>
            </w:r>
            <w:r w:rsidRPr="00EC0032">
              <w:rPr>
                <w:rFonts w:eastAsia="SimSun"/>
                <w:bCs/>
                <w:sz w:val="16"/>
                <w:szCs w:val="16"/>
                <w:u w:val="single"/>
                <w:lang w:eastAsia="zh-CN"/>
              </w:rPr>
              <w:t xml:space="preserve">with </w:t>
            </w:r>
            <w:r w:rsidRPr="00EC0032">
              <w:rPr>
                <w:sz w:val="16"/>
                <w:szCs w:val="16"/>
                <w:u w:val="single"/>
              </w:rPr>
              <w:t>≤ 12 mont</w:t>
            </w:r>
            <w:r w:rsidRPr="00A12831">
              <w:rPr>
                <w:sz w:val="16"/>
                <w:szCs w:val="16"/>
                <w:u w:val="single"/>
              </w:rPr>
              <w:t xml:space="preserve">h </w:t>
            </w:r>
            <w:r>
              <w:rPr>
                <w:rFonts w:eastAsia="SimSun"/>
                <w:bCs/>
                <w:sz w:val="16"/>
                <w:szCs w:val="16"/>
                <w:u w:val="single"/>
                <w:lang w:eastAsia="zh-CN"/>
              </w:rPr>
              <w:t xml:space="preserve"> myelopathy development (compared to those who did not develop  myelopathy within 12 months)</w:t>
            </w:r>
            <w:r w:rsidRPr="00645BFA">
              <w:rPr>
                <w:rFonts w:eastAsia="SimSun"/>
                <w:bCs/>
                <w:sz w:val="16"/>
                <w:szCs w:val="16"/>
                <w:u w:val="single"/>
                <w:lang w:eastAsia="zh-CN"/>
              </w:rPr>
              <w:t xml:space="preserve">: </w:t>
            </w:r>
            <w:r w:rsidRPr="00AB4BCB">
              <w:rPr>
                <w:rFonts w:eastAsia="SimSun"/>
                <w:bCs/>
                <w:sz w:val="16"/>
                <w:szCs w:val="16"/>
                <w:lang w:eastAsia="zh-CN"/>
              </w:rPr>
              <w:t>**</w:t>
            </w:r>
          </w:p>
          <w:p w:rsidR="00A10686" w:rsidRDefault="00A10686" w:rsidP="00A10686">
            <w:pPr>
              <w:numPr>
                <w:ilvl w:val="0"/>
                <w:numId w:val="4"/>
              </w:numPr>
              <w:tabs>
                <w:tab w:val="clear" w:pos="720"/>
              </w:tabs>
              <w:ind w:left="252" w:hanging="175"/>
              <w:rPr>
                <w:sz w:val="16"/>
                <w:szCs w:val="16"/>
              </w:rPr>
            </w:pPr>
            <w:r>
              <w:rPr>
                <w:rFonts w:eastAsia="SimSun"/>
                <w:sz w:val="16"/>
                <w:szCs w:val="16"/>
                <w:lang w:eastAsia="zh-CN"/>
              </w:rPr>
              <w:t>Symptomatic radiculopathy</w:t>
            </w:r>
            <w:r>
              <w:rPr>
                <w:sz w:val="16"/>
                <w:szCs w:val="16"/>
              </w:rPr>
              <w:t xml:space="preserve"> (</w:t>
            </w:r>
            <w:r w:rsidRPr="005176B5">
              <w:rPr>
                <w:i/>
                <w:sz w:val="16"/>
                <w:szCs w:val="16"/>
              </w:rPr>
              <w:t>P = .007</w:t>
            </w:r>
            <w:r w:rsidRPr="00C336DB">
              <w:rPr>
                <w:sz w:val="16"/>
                <w:szCs w:val="16"/>
              </w:rPr>
              <w:t>)</w:t>
            </w:r>
          </w:p>
          <w:p w:rsidR="00A10686" w:rsidRDefault="00A10686" w:rsidP="00A10686">
            <w:pPr>
              <w:numPr>
                <w:ilvl w:val="0"/>
                <w:numId w:val="4"/>
              </w:numPr>
              <w:tabs>
                <w:tab w:val="clear" w:pos="720"/>
              </w:tabs>
              <w:ind w:left="252" w:hanging="175"/>
              <w:rPr>
                <w:sz w:val="16"/>
                <w:szCs w:val="16"/>
              </w:rPr>
            </w:pPr>
            <w:r>
              <w:rPr>
                <w:sz w:val="16"/>
                <w:szCs w:val="16"/>
              </w:rPr>
              <w:t>Prolonged SEPs (</w:t>
            </w:r>
            <w:r w:rsidRPr="005176B5">
              <w:rPr>
                <w:i/>
                <w:sz w:val="16"/>
                <w:szCs w:val="16"/>
              </w:rPr>
              <w:t>P = .007</w:t>
            </w:r>
            <w:r>
              <w:rPr>
                <w:sz w:val="16"/>
                <w:szCs w:val="16"/>
              </w:rPr>
              <w:t>)</w:t>
            </w:r>
          </w:p>
          <w:p w:rsidR="00A10686" w:rsidRDefault="00A10686" w:rsidP="00A10686">
            <w:pPr>
              <w:numPr>
                <w:ilvl w:val="0"/>
                <w:numId w:val="4"/>
              </w:numPr>
              <w:tabs>
                <w:tab w:val="clear" w:pos="720"/>
              </w:tabs>
              <w:ind w:left="252" w:hanging="175"/>
              <w:rPr>
                <w:sz w:val="16"/>
                <w:szCs w:val="16"/>
              </w:rPr>
            </w:pPr>
            <w:r>
              <w:rPr>
                <w:sz w:val="16"/>
                <w:szCs w:val="16"/>
              </w:rPr>
              <w:t>Prolonged MEPs (</w:t>
            </w:r>
            <w:r w:rsidRPr="005176B5">
              <w:rPr>
                <w:i/>
                <w:sz w:val="16"/>
                <w:szCs w:val="16"/>
              </w:rPr>
              <w:t>P = .033</w:t>
            </w:r>
            <w:r>
              <w:rPr>
                <w:sz w:val="16"/>
                <w:szCs w:val="16"/>
              </w:rPr>
              <w:t>)</w:t>
            </w:r>
          </w:p>
          <w:p w:rsidR="00A10686" w:rsidRDefault="00A10686" w:rsidP="00A10686">
            <w:pPr>
              <w:numPr>
                <w:ilvl w:val="0"/>
                <w:numId w:val="4"/>
              </w:numPr>
              <w:tabs>
                <w:tab w:val="clear" w:pos="720"/>
              </w:tabs>
              <w:ind w:left="252" w:hanging="175"/>
              <w:rPr>
                <w:sz w:val="16"/>
                <w:szCs w:val="16"/>
              </w:rPr>
            </w:pPr>
            <w:r w:rsidRPr="004560A0">
              <w:rPr>
                <w:sz w:val="16"/>
                <w:szCs w:val="16"/>
              </w:rPr>
              <w:t xml:space="preserve">Lack of MRI cervical cord </w:t>
            </w:r>
            <w:proofErr w:type="spellStart"/>
            <w:r w:rsidRPr="004560A0">
              <w:rPr>
                <w:sz w:val="16"/>
                <w:szCs w:val="16"/>
              </w:rPr>
              <w:t>hyperintensity</w:t>
            </w:r>
            <w:proofErr w:type="spellEnd"/>
            <w:r w:rsidRPr="004560A0">
              <w:rPr>
                <w:sz w:val="16"/>
                <w:szCs w:val="16"/>
              </w:rPr>
              <w:t xml:space="preserve"> (</w:t>
            </w:r>
            <w:r w:rsidRPr="004560A0">
              <w:rPr>
                <w:i/>
                <w:sz w:val="16"/>
                <w:szCs w:val="16"/>
              </w:rPr>
              <w:t>P  =.036</w:t>
            </w:r>
            <w:r w:rsidRPr="004560A0">
              <w:rPr>
                <w:sz w:val="16"/>
                <w:szCs w:val="16"/>
              </w:rPr>
              <w:t>)</w:t>
            </w:r>
          </w:p>
          <w:p w:rsidR="00A10686" w:rsidRDefault="00A10686" w:rsidP="0010138D">
            <w:pPr>
              <w:ind w:left="77"/>
              <w:rPr>
                <w:rFonts w:eastAsia="SimSun"/>
                <w:bCs/>
                <w:sz w:val="16"/>
                <w:szCs w:val="16"/>
                <w:u w:val="single"/>
                <w:lang w:eastAsia="zh-CN"/>
              </w:rPr>
            </w:pPr>
          </w:p>
          <w:p w:rsidR="00A10686" w:rsidRPr="00645BFA" w:rsidRDefault="00A10686" w:rsidP="0010138D">
            <w:pPr>
              <w:ind w:left="77"/>
              <w:rPr>
                <w:sz w:val="16"/>
                <w:szCs w:val="16"/>
              </w:rPr>
            </w:pPr>
            <w:r>
              <w:rPr>
                <w:rFonts w:eastAsia="SimSun"/>
                <w:bCs/>
                <w:sz w:val="16"/>
                <w:szCs w:val="16"/>
                <w:u w:val="single"/>
                <w:lang w:eastAsia="zh-CN"/>
              </w:rPr>
              <w:t>Not associated</w:t>
            </w:r>
            <w:r w:rsidRPr="00645BFA">
              <w:rPr>
                <w:rFonts w:eastAsia="SimSun"/>
                <w:bCs/>
                <w:sz w:val="16"/>
                <w:szCs w:val="16"/>
                <w:u w:val="single"/>
                <w:lang w:eastAsia="zh-CN"/>
              </w:rPr>
              <w:t xml:space="preserve"> with </w:t>
            </w:r>
            <w:r w:rsidRPr="00EC0032">
              <w:rPr>
                <w:sz w:val="16"/>
                <w:szCs w:val="16"/>
                <w:u w:val="single"/>
              </w:rPr>
              <w:t>≤ 12 mont</w:t>
            </w:r>
            <w:r>
              <w:rPr>
                <w:sz w:val="16"/>
                <w:szCs w:val="16"/>
                <w:u w:val="single"/>
              </w:rPr>
              <w:t>h</w:t>
            </w:r>
            <w:r>
              <w:rPr>
                <w:rFonts w:eastAsia="SimSun"/>
                <w:bCs/>
                <w:sz w:val="16"/>
                <w:szCs w:val="16"/>
                <w:u w:val="single"/>
                <w:lang w:eastAsia="zh-CN"/>
              </w:rPr>
              <w:t xml:space="preserve"> myelopathy development</w:t>
            </w:r>
            <w:r w:rsidRPr="00645BFA">
              <w:rPr>
                <w:rFonts w:eastAsia="SimSun"/>
                <w:bCs/>
                <w:sz w:val="16"/>
                <w:szCs w:val="16"/>
                <w:u w:val="single"/>
                <w:lang w:eastAsia="zh-CN"/>
              </w:rPr>
              <w:t>:</w:t>
            </w:r>
            <w:r w:rsidRPr="009E520C">
              <w:rPr>
                <w:rFonts w:eastAsia="SimSun"/>
                <w:bCs/>
                <w:sz w:val="16"/>
                <w:szCs w:val="16"/>
                <w:lang w:eastAsia="zh-CN"/>
              </w:rPr>
              <w:t>**</w:t>
            </w:r>
          </w:p>
          <w:p w:rsidR="00A10686" w:rsidRDefault="00A10686" w:rsidP="00A10686">
            <w:pPr>
              <w:numPr>
                <w:ilvl w:val="0"/>
                <w:numId w:val="4"/>
              </w:numPr>
              <w:tabs>
                <w:tab w:val="clear" w:pos="720"/>
              </w:tabs>
              <w:ind w:left="252" w:hanging="175"/>
              <w:rPr>
                <w:sz w:val="16"/>
                <w:szCs w:val="16"/>
              </w:rPr>
            </w:pPr>
            <w:r>
              <w:rPr>
                <w:rFonts w:eastAsia="SimSun"/>
                <w:sz w:val="16"/>
                <w:szCs w:val="16"/>
                <w:lang w:eastAsia="zh-CN"/>
              </w:rPr>
              <w:t>Age &gt; 50 years</w:t>
            </w:r>
          </w:p>
          <w:p w:rsidR="00A10686" w:rsidRDefault="00A10686" w:rsidP="00A10686">
            <w:pPr>
              <w:numPr>
                <w:ilvl w:val="0"/>
                <w:numId w:val="4"/>
              </w:numPr>
              <w:tabs>
                <w:tab w:val="clear" w:pos="720"/>
              </w:tabs>
              <w:ind w:left="252" w:hanging="175"/>
              <w:rPr>
                <w:sz w:val="16"/>
                <w:szCs w:val="16"/>
              </w:rPr>
            </w:pPr>
            <w:r>
              <w:rPr>
                <w:sz w:val="16"/>
                <w:szCs w:val="16"/>
              </w:rPr>
              <w:t>Male sex</w:t>
            </w:r>
          </w:p>
          <w:p w:rsidR="00A10686" w:rsidRDefault="00A10686" w:rsidP="00A10686">
            <w:pPr>
              <w:numPr>
                <w:ilvl w:val="0"/>
                <w:numId w:val="4"/>
              </w:numPr>
              <w:tabs>
                <w:tab w:val="clear" w:pos="720"/>
              </w:tabs>
              <w:ind w:left="252" w:hanging="175"/>
              <w:rPr>
                <w:sz w:val="16"/>
                <w:szCs w:val="16"/>
              </w:rPr>
            </w:pPr>
            <w:r>
              <w:rPr>
                <w:sz w:val="16"/>
                <w:szCs w:val="16"/>
              </w:rPr>
              <w:t>EMG signs of anterior horn cell lesion</w:t>
            </w:r>
          </w:p>
          <w:p w:rsidR="00A10686" w:rsidRDefault="00A10686" w:rsidP="00A10686">
            <w:pPr>
              <w:numPr>
                <w:ilvl w:val="0"/>
                <w:numId w:val="4"/>
              </w:numPr>
              <w:tabs>
                <w:tab w:val="clear" w:pos="720"/>
              </w:tabs>
              <w:ind w:left="252" w:hanging="175"/>
              <w:rPr>
                <w:sz w:val="16"/>
                <w:szCs w:val="16"/>
              </w:rPr>
            </w:pPr>
            <w:r>
              <w:rPr>
                <w:sz w:val="16"/>
                <w:szCs w:val="16"/>
              </w:rPr>
              <w:t>Type of compression</w:t>
            </w:r>
          </w:p>
          <w:p w:rsidR="00A10686" w:rsidRDefault="00A10686" w:rsidP="00A10686">
            <w:pPr>
              <w:numPr>
                <w:ilvl w:val="0"/>
                <w:numId w:val="4"/>
              </w:numPr>
              <w:tabs>
                <w:tab w:val="clear" w:pos="720"/>
              </w:tabs>
              <w:ind w:left="252" w:hanging="175"/>
              <w:rPr>
                <w:sz w:val="16"/>
                <w:szCs w:val="16"/>
              </w:rPr>
            </w:pPr>
            <w:r>
              <w:rPr>
                <w:sz w:val="16"/>
                <w:szCs w:val="16"/>
              </w:rPr>
              <w:t xml:space="preserve">Number of </w:t>
            </w:r>
            <w:proofErr w:type="spellStart"/>
            <w:r>
              <w:rPr>
                <w:sz w:val="16"/>
                <w:szCs w:val="16"/>
              </w:rPr>
              <w:t>stenotic</w:t>
            </w:r>
            <w:proofErr w:type="spellEnd"/>
            <w:r>
              <w:rPr>
                <w:sz w:val="16"/>
                <w:szCs w:val="16"/>
              </w:rPr>
              <w:t xml:space="preserve"> levels</w:t>
            </w:r>
          </w:p>
          <w:p w:rsidR="00A10686" w:rsidRDefault="00A10686" w:rsidP="00A10686">
            <w:pPr>
              <w:numPr>
                <w:ilvl w:val="0"/>
                <w:numId w:val="4"/>
              </w:numPr>
              <w:tabs>
                <w:tab w:val="clear" w:pos="720"/>
              </w:tabs>
              <w:ind w:left="252" w:hanging="175"/>
              <w:rPr>
                <w:sz w:val="16"/>
                <w:szCs w:val="16"/>
              </w:rPr>
            </w:pPr>
            <w:r>
              <w:rPr>
                <w:sz w:val="16"/>
                <w:szCs w:val="16"/>
              </w:rPr>
              <w:t>Pavlov ratio &lt; 0.8</w:t>
            </w:r>
          </w:p>
          <w:p w:rsidR="00A10686" w:rsidRDefault="00A10686" w:rsidP="00A10686">
            <w:pPr>
              <w:numPr>
                <w:ilvl w:val="0"/>
                <w:numId w:val="4"/>
              </w:numPr>
              <w:tabs>
                <w:tab w:val="clear" w:pos="720"/>
              </w:tabs>
              <w:ind w:left="252" w:hanging="175"/>
              <w:rPr>
                <w:sz w:val="16"/>
                <w:szCs w:val="16"/>
              </w:rPr>
            </w:pPr>
            <w:r>
              <w:rPr>
                <w:sz w:val="16"/>
                <w:szCs w:val="16"/>
              </w:rPr>
              <w:t>Compression ratio ≤ 0.4</w:t>
            </w:r>
          </w:p>
          <w:p w:rsidR="00A10686" w:rsidRPr="00473555" w:rsidRDefault="00A10686" w:rsidP="00A10686">
            <w:pPr>
              <w:numPr>
                <w:ilvl w:val="0"/>
                <w:numId w:val="4"/>
              </w:numPr>
              <w:tabs>
                <w:tab w:val="clear" w:pos="720"/>
              </w:tabs>
              <w:ind w:left="252" w:hanging="175"/>
              <w:rPr>
                <w:sz w:val="16"/>
                <w:szCs w:val="16"/>
              </w:rPr>
            </w:pPr>
            <w:r w:rsidRPr="00DD5AB1">
              <w:rPr>
                <w:sz w:val="16"/>
                <w:szCs w:val="16"/>
              </w:rPr>
              <w:lastRenderedPageBreak/>
              <w:t xml:space="preserve">Cross-sectional </w:t>
            </w:r>
            <w:r>
              <w:rPr>
                <w:sz w:val="16"/>
                <w:szCs w:val="16"/>
              </w:rPr>
              <w:t>CSA ≤ 70mm</w:t>
            </w:r>
            <w:r>
              <w:rPr>
                <w:sz w:val="16"/>
                <w:szCs w:val="16"/>
                <w:vertAlign w:val="superscript"/>
              </w:rPr>
              <w:t>2</w:t>
            </w:r>
          </w:p>
        </w:tc>
      </w:tr>
      <w:tr w:rsidR="00A10686" w:rsidRPr="00594F48" w:rsidTr="0010138D">
        <w:trPr>
          <w:trHeight w:val="213"/>
        </w:trPr>
        <w:tc>
          <w:tcPr>
            <w:tcW w:w="13068" w:type="dxa"/>
            <w:gridSpan w:val="6"/>
            <w:shd w:val="clear" w:color="auto" w:fill="A6A6A6" w:themeFill="background1" w:themeFillShade="A6"/>
          </w:tcPr>
          <w:p w:rsidR="00A10686" w:rsidRPr="00180FF2" w:rsidRDefault="00A10686" w:rsidP="0010138D">
            <w:pPr>
              <w:rPr>
                <w:i/>
                <w:sz w:val="18"/>
                <w:szCs w:val="18"/>
              </w:rPr>
            </w:pPr>
            <w:r>
              <w:rPr>
                <w:sz w:val="20"/>
                <w:szCs w:val="20"/>
              </w:rPr>
              <w:lastRenderedPageBreak/>
              <w:t>In subjects diagnosed with OPLL, development of myelopathy (C</w:t>
            </w:r>
            <w:r w:rsidRPr="00180FF2">
              <w:rPr>
                <w:sz w:val="20"/>
                <w:szCs w:val="20"/>
              </w:rPr>
              <w:t xml:space="preserve">) versus </w:t>
            </w:r>
            <w:r>
              <w:rPr>
                <w:sz w:val="20"/>
                <w:szCs w:val="20"/>
              </w:rPr>
              <w:t>no development of myelopathy (D</w:t>
            </w:r>
            <w:r w:rsidRPr="00180FF2">
              <w:rPr>
                <w:sz w:val="20"/>
                <w:szCs w:val="20"/>
              </w:rPr>
              <w:t>)</w:t>
            </w:r>
          </w:p>
        </w:tc>
      </w:tr>
      <w:tr w:rsidR="00A10686" w:rsidRPr="00594F48" w:rsidTr="0010138D">
        <w:trPr>
          <w:trHeight w:val="240"/>
        </w:trPr>
        <w:tc>
          <w:tcPr>
            <w:tcW w:w="918" w:type="dxa"/>
          </w:tcPr>
          <w:p w:rsidR="00A10686" w:rsidRDefault="00A10686" w:rsidP="0010138D">
            <w:pPr>
              <w:jc w:val="center"/>
              <w:rPr>
                <w:sz w:val="16"/>
                <w:szCs w:val="16"/>
              </w:rPr>
            </w:pPr>
          </w:p>
        </w:tc>
        <w:tc>
          <w:tcPr>
            <w:tcW w:w="2160" w:type="dxa"/>
            <w:shd w:val="clear" w:color="auto" w:fill="D9D9D9" w:themeFill="background1" w:themeFillShade="D9"/>
          </w:tcPr>
          <w:p w:rsidR="00A10686" w:rsidRPr="00DD5AB1" w:rsidRDefault="00A10686" w:rsidP="0010138D">
            <w:pPr>
              <w:jc w:val="center"/>
              <w:rPr>
                <w:sz w:val="16"/>
                <w:szCs w:val="16"/>
              </w:rPr>
            </w:pPr>
          </w:p>
        </w:tc>
        <w:tc>
          <w:tcPr>
            <w:tcW w:w="3240" w:type="dxa"/>
            <w:gridSpan w:val="2"/>
            <w:shd w:val="clear" w:color="auto" w:fill="D9D9D9" w:themeFill="background1" w:themeFillShade="D9"/>
          </w:tcPr>
          <w:p w:rsidR="00A10686" w:rsidRPr="00DD5AB1" w:rsidRDefault="00A10686" w:rsidP="0010138D">
            <w:pPr>
              <w:jc w:val="center"/>
              <w:rPr>
                <w:sz w:val="16"/>
                <w:szCs w:val="16"/>
              </w:rPr>
            </w:pPr>
            <w:r>
              <w:rPr>
                <w:sz w:val="16"/>
                <w:szCs w:val="16"/>
              </w:rPr>
              <w:t>C</w:t>
            </w:r>
          </w:p>
        </w:tc>
        <w:tc>
          <w:tcPr>
            <w:tcW w:w="3150" w:type="dxa"/>
            <w:shd w:val="clear" w:color="auto" w:fill="D9D9D9" w:themeFill="background1" w:themeFillShade="D9"/>
          </w:tcPr>
          <w:p w:rsidR="00A10686" w:rsidRPr="00DD5AB1" w:rsidRDefault="00A10686" w:rsidP="0010138D">
            <w:pPr>
              <w:jc w:val="center"/>
              <w:rPr>
                <w:sz w:val="16"/>
                <w:szCs w:val="16"/>
              </w:rPr>
            </w:pPr>
            <w:r>
              <w:rPr>
                <w:sz w:val="16"/>
                <w:szCs w:val="16"/>
              </w:rPr>
              <w:t>D</w:t>
            </w:r>
          </w:p>
        </w:tc>
        <w:tc>
          <w:tcPr>
            <w:tcW w:w="3600" w:type="dxa"/>
            <w:shd w:val="clear" w:color="auto" w:fill="D9D9D9" w:themeFill="background1" w:themeFillShade="D9"/>
          </w:tcPr>
          <w:p w:rsidR="00A10686" w:rsidRPr="00DD5AB1" w:rsidRDefault="00A10686" w:rsidP="0010138D">
            <w:pPr>
              <w:jc w:val="center"/>
              <w:rPr>
                <w:sz w:val="16"/>
                <w:szCs w:val="16"/>
              </w:rPr>
            </w:pPr>
          </w:p>
        </w:tc>
      </w:tr>
      <w:tr w:rsidR="00A10686" w:rsidRPr="00594F48" w:rsidTr="0010138D">
        <w:trPr>
          <w:trHeight w:val="369"/>
        </w:trPr>
        <w:tc>
          <w:tcPr>
            <w:tcW w:w="918" w:type="dxa"/>
          </w:tcPr>
          <w:p w:rsidR="00A10686" w:rsidRDefault="00A10686" w:rsidP="0010138D">
            <w:pPr>
              <w:jc w:val="center"/>
              <w:rPr>
                <w:sz w:val="16"/>
                <w:szCs w:val="16"/>
              </w:rPr>
            </w:pPr>
            <w:proofErr w:type="spellStart"/>
            <w:r>
              <w:rPr>
                <w:sz w:val="16"/>
                <w:szCs w:val="16"/>
              </w:rPr>
              <w:t>Fujiyoshi</w:t>
            </w:r>
            <w:proofErr w:type="spellEnd"/>
            <w:r>
              <w:rPr>
                <w:sz w:val="16"/>
                <w:szCs w:val="16"/>
              </w:rPr>
              <w:t xml:space="preserve"> (2010)</w:t>
            </w:r>
          </w:p>
        </w:tc>
        <w:tc>
          <w:tcPr>
            <w:tcW w:w="2160" w:type="dxa"/>
          </w:tcPr>
          <w:p w:rsidR="00A10686" w:rsidRDefault="00A10686" w:rsidP="0010138D">
            <w:pPr>
              <w:rPr>
                <w:sz w:val="16"/>
                <w:szCs w:val="16"/>
              </w:rPr>
            </w:pPr>
            <w:r>
              <w:rPr>
                <w:sz w:val="16"/>
                <w:szCs w:val="16"/>
              </w:rPr>
              <w:t>Myelopathy development: 0% (0/27)</w:t>
            </w:r>
          </w:p>
        </w:tc>
        <w:tc>
          <w:tcPr>
            <w:tcW w:w="3240" w:type="dxa"/>
            <w:gridSpan w:val="2"/>
            <w:shd w:val="clear" w:color="auto" w:fill="auto"/>
          </w:tcPr>
          <w:p w:rsidR="00A10686" w:rsidRPr="00867316" w:rsidRDefault="00A10686" w:rsidP="0010138D">
            <w:pPr>
              <w:rPr>
                <w:b/>
                <w:sz w:val="16"/>
                <w:szCs w:val="16"/>
              </w:rPr>
            </w:pPr>
            <w:r>
              <w:rPr>
                <w:b/>
                <w:sz w:val="16"/>
                <w:szCs w:val="16"/>
              </w:rPr>
              <w:t>NR</w:t>
            </w:r>
          </w:p>
        </w:tc>
        <w:tc>
          <w:tcPr>
            <w:tcW w:w="3150" w:type="dxa"/>
            <w:shd w:val="clear" w:color="auto" w:fill="auto"/>
          </w:tcPr>
          <w:p w:rsidR="00A10686" w:rsidRDefault="00A10686" w:rsidP="0010138D">
            <w:pPr>
              <w:rPr>
                <w:b/>
                <w:sz w:val="16"/>
                <w:szCs w:val="16"/>
              </w:rPr>
            </w:pPr>
            <w:r>
              <w:rPr>
                <w:b/>
                <w:sz w:val="16"/>
                <w:szCs w:val="16"/>
              </w:rPr>
              <w:t>NR</w:t>
            </w:r>
          </w:p>
        </w:tc>
        <w:tc>
          <w:tcPr>
            <w:tcW w:w="3600" w:type="dxa"/>
            <w:shd w:val="clear" w:color="auto" w:fill="auto"/>
          </w:tcPr>
          <w:p w:rsidR="00A10686" w:rsidRPr="00B013FE" w:rsidRDefault="00A10686" w:rsidP="0010138D">
            <w:pPr>
              <w:ind w:left="77"/>
              <w:rPr>
                <w:rFonts w:eastAsia="SimSun"/>
                <w:bCs/>
                <w:sz w:val="16"/>
                <w:szCs w:val="16"/>
                <w:lang w:eastAsia="zh-CN"/>
              </w:rPr>
            </w:pPr>
            <w:r w:rsidRPr="00B013FE">
              <w:rPr>
                <w:rFonts w:eastAsia="SimSun"/>
                <w:bCs/>
                <w:sz w:val="16"/>
                <w:szCs w:val="16"/>
                <w:lang w:eastAsia="zh-CN"/>
              </w:rPr>
              <w:t>NR</w:t>
            </w:r>
          </w:p>
        </w:tc>
      </w:tr>
      <w:tr w:rsidR="00A10686" w:rsidRPr="00594F48" w:rsidTr="0010138D">
        <w:trPr>
          <w:trHeight w:val="369"/>
        </w:trPr>
        <w:tc>
          <w:tcPr>
            <w:tcW w:w="918" w:type="dxa"/>
          </w:tcPr>
          <w:p w:rsidR="00A10686" w:rsidRPr="005569A0" w:rsidRDefault="00A10686" w:rsidP="0010138D">
            <w:pPr>
              <w:ind w:right="-18"/>
              <w:jc w:val="center"/>
              <w:rPr>
                <w:sz w:val="16"/>
                <w:szCs w:val="16"/>
              </w:rPr>
            </w:pPr>
            <w:proofErr w:type="spellStart"/>
            <w:r>
              <w:rPr>
                <w:sz w:val="16"/>
                <w:szCs w:val="16"/>
              </w:rPr>
              <w:t>Matsunaga</w:t>
            </w:r>
            <w:proofErr w:type="spellEnd"/>
            <w:r>
              <w:rPr>
                <w:sz w:val="16"/>
                <w:szCs w:val="16"/>
              </w:rPr>
              <w:t xml:space="preserve"> (2008</w:t>
            </w:r>
            <w:r w:rsidRPr="005569A0">
              <w:rPr>
                <w:sz w:val="16"/>
                <w:szCs w:val="16"/>
              </w:rPr>
              <w:t>)</w:t>
            </w:r>
          </w:p>
        </w:tc>
        <w:tc>
          <w:tcPr>
            <w:tcW w:w="2160" w:type="dxa"/>
          </w:tcPr>
          <w:p w:rsidR="00A10686" w:rsidRDefault="00A10686" w:rsidP="0010138D">
            <w:pPr>
              <w:rPr>
                <w:sz w:val="16"/>
                <w:szCs w:val="16"/>
              </w:rPr>
            </w:pPr>
            <w:r>
              <w:rPr>
                <w:sz w:val="16"/>
                <w:szCs w:val="16"/>
              </w:rPr>
              <w:t>Myelopathy development: 61.5% (96/156)</w:t>
            </w:r>
          </w:p>
          <w:p w:rsidR="00A10686" w:rsidRDefault="00A10686" w:rsidP="0010138D">
            <w:pPr>
              <w:rPr>
                <w:sz w:val="16"/>
                <w:szCs w:val="16"/>
              </w:rPr>
            </w:pPr>
          </w:p>
          <w:p w:rsidR="00A10686" w:rsidRDefault="00A10686" w:rsidP="0010138D">
            <w:pPr>
              <w:rPr>
                <w:sz w:val="16"/>
                <w:szCs w:val="16"/>
              </w:rPr>
            </w:pPr>
            <w:r>
              <w:rPr>
                <w:sz w:val="16"/>
                <w:szCs w:val="16"/>
              </w:rPr>
              <w:t>Myelopathy development in subjects with ≥ 60% cervical spinal canal stenosis: 100% (39/39)</w:t>
            </w:r>
          </w:p>
          <w:p w:rsidR="00A10686" w:rsidRDefault="00A10686" w:rsidP="0010138D">
            <w:pPr>
              <w:rPr>
                <w:sz w:val="16"/>
                <w:szCs w:val="16"/>
              </w:rPr>
            </w:pPr>
          </w:p>
          <w:p w:rsidR="00A10686" w:rsidRDefault="00A10686" w:rsidP="0010138D">
            <w:pPr>
              <w:rPr>
                <w:sz w:val="16"/>
                <w:szCs w:val="16"/>
              </w:rPr>
            </w:pPr>
            <w:r>
              <w:rPr>
                <w:sz w:val="16"/>
                <w:szCs w:val="16"/>
              </w:rPr>
              <w:t>Myelopathy development in subjects with &lt; 60% cervical spinal canal stenosis: 48.7% (57/117)</w:t>
            </w:r>
          </w:p>
        </w:tc>
        <w:tc>
          <w:tcPr>
            <w:tcW w:w="3240" w:type="dxa"/>
            <w:gridSpan w:val="2"/>
            <w:shd w:val="clear" w:color="auto" w:fill="auto"/>
          </w:tcPr>
          <w:p w:rsidR="00A10686" w:rsidRPr="00867316" w:rsidRDefault="00A10686" w:rsidP="0010138D">
            <w:pPr>
              <w:rPr>
                <w:b/>
                <w:sz w:val="16"/>
                <w:szCs w:val="16"/>
              </w:rPr>
            </w:pPr>
            <w:r w:rsidRPr="00867316">
              <w:rPr>
                <w:b/>
                <w:sz w:val="16"/>
                <w:szCs w:val="16"/>
              </w:rPr>
              <w:t xml:space="preserve">Development of </w:t>
            </w:r>
            <w:r>
              <w:rPr>
                <w:b/>
                <w:sz w:val="16"/>
                <w:szCs w:val="16"/>
              </w:rPr>
              <w:t>myelopathy</w:t>
            </w:r>
          </w:p>
          <w:p w:rsidR="00A10686" w:rsidRDefault="00A10686" w:rsidP="0010138D">
            <w:pPr>
              <w:rPr>
                <w:i/>
                <w:sz w:val="16"/>
                <w:szCs w:val="16"/>
              </w:rPr>
            </w:pPr>
            <w:r>
              <w:rPr>
                <w:i/>
                <w:sz w:val="16"/>
                <w:szCs w:val="16"/>
              </w:rPr>
              <w:t>Radiographic</w:t>
            </w:r>
          </w:p>
          <w:p w:rsidR="00A10686" w:rsidRDefault="00A10686" w:rsidP="00A10686">
            <w:pPr>
              <w:numPr>
                <w:ilvl w:val="0"/>
                <w:numId w:val="2"/>
              </w:numPr>
              <w:ind w:left="162" w:hanging="162"/>
              <w:rPr>
                <w:sz w:val="16"/>
                <w:szCs w:val="16"/>
              </w:rPr>
            </w:pPr>
            <w:r>
              <w:rPr>
                <w:sz w:val="16"/>
                <w:szCs w:val="16"/>
              </w:rPr>
              <w:t>Spinal canal stenosis ≥ 60%: 40.6% (39/96)</w:t>
            </w:r>
          </w:p>
          <w:p w:rsidR="00A10686" w:rsidRDefault="00A10686" w:rsidP="00A10686">
            <w:pPr>
              <w:numPr>
                <w:ilvl w:val="0"/>
                <w:numId w:val="2"/>
              </w:numPr>
              <w:ind w:left="162" w:hanging="162"/>
              <w:rPr>
                <w:sz w:val="16"/>
                <w:szCs w:val="16"/>
              </w:rPr>
            </w:pPr>
            <w:r>
              <w:rPr>
                <w:sz w:val="16"/>
                <w:szCs w:val="16"/>
              </w:rPr>
              <w:t>Spinal canal stenosis &lt; 60%: 59.4% (57/96)</w:t>
            </w:r>
          </w:p>
          <w:p w:rsidR="00A10686" w:rsidRDefault="00A10686" w:rsidP="00A10686">
            <w:pPr>
              <w:numPr>
                <w:ilvl w:val="0"/>
                <w:numId w:val="2"/>
              </w:numPr>
              <w:ind w:left="162" w:hanging="162"/>
              <w:rPr>
                <w:sz w:val="16"/>
                <w:szCs w:val="16"/>
              </w:rPr>
            </w:pPr>
            <w:r>
              <w:rPr>
                <w:sz w:val="16"/>
                <w:szCs w:val="16"/>
              </w:rPr>
              <w:t>Cervical ROM: 50 ± 18</w:t>
            </w:r>
          </w:p>
          <w:p w:rsidR="00A10686" w:rsidRPr="00462FF5" w:rsidRDefault="00A10686" w:rsidP="0010138D">
            <w:pPr>
              <w:rPr>
                <w:sz w:val="16"/>
                <w:szCs w:val="16"/>
                <w:u w:val="single"/>
              </w:rPr>
            </w:pPr>
            <w:r w:rsidRPr="00462FF5">
              <w:rPr>
                <w:sz w:val="16"/>
                <w:szCs w:val="16"/>
                <w:u w:val="single"/>
              </w:rPr>
              <w:t>Axial OPLL type</w:t>
            </w:r>
            <w:r w:rsidRPr="00C9197F">
              <w:rPr>
                <w:sz w:val="16"/>
                <w:szCs w:val="16"/>
              </w:rPr>
              <w:t>††</w:t>
            </w:r>
          </w:p>
          <w:p w:rsidR="00A10686" w:rsidRDefault="00A10686" w:rsidP="00A10686">
            <w:pPr>
              <w:numPr>
                <w:ilvl w:val="0"/>
                <w:numId w:val="2"/>
              </w:numPr>
              <w:ind w:left="162" w:hanging="162"/>
              <w:rPr>
                <w:sz w:val="16"/>
                <w:szCs w:val="16"/>
              </w:rPr>
            </w:pPr>
            <w:r>
              <w:rPr>
                <w:sz w:val="16"/>
                <w:szCs w:val="16"/>
              </w:rPr>
              <w:t>Central: 26.7% (12/45)</w:t>
            </w:r>
          </w:p>
          <w:p w:rsidR="00A10686" w:rsidRPr="00BF4C70" w:rsidRDefault="00A10686" w:rsidP="00A10686">
            <w:pPr>
              <w:numPr>
                <w:ilvl w:val="0"/>
                <w:numId w:val="2"/>
              </w:numPr>
              <w:ind w:left="162" w:hanging="162"/>
              <w:rPr>
                <w:sz w:val="16"/>
                <w:szCs w:val="16"/>
              </w:rPr>
            </w:pPr>
            <w:r>
              <w:rPr>
                <w:sz w:val="16"/>
                <w:szCs w:val="16"/>
              </w:rPr>
              <w:t>Lateral deviated: 73.3% (33/45)</w:t>
            </w:r>
          </w:p>
        </w:tc>
        <w:tc>
          <w:tcPr>
            <w:tcW w:w="3150" w:type="dxa"/>
            <w:shd w:val="clear" w:color="auto" w:fill="auto"/>
          </w:tcPr>
          <w:p w:rsidR="00A10686" w:rsidRPr="00867316" w:rsidRDefault="00A10686" w:rsidP="0010138D">
            <w:pPr>
              <w:rPr>
                <w:b/>
                <w:sz w:val="16"/>
                <w:szCs w:val="16"/>
              </w:rPr>
            </w:pPr>
            <w:r>
              <w:rPr>
                <w:b/>
                <w:sz w:val="16"/>
                <w:szCs w:val="16"/>
              </w:rPr>
              <w:t>No d</w:t>
            </w:r>
            <w:r w:rsidRPr="00867316">
              <w:rPr>
                <w:b/>
                <w:sz w:val="16"/>
                <w:szCs w:val="16"/>
              </w:rPr>
              <w:t xml:space="preserve">evelopment of </w:t>
            </w:r>
            <w:r>
              <w:rPr>
                <w:b/>
                <w:sz w:val="16"/>
                <w:szCs w:val="16"/>
              </w:rPr>
              <w:t xml:space="preserve"> myelopathy</w:t>
            </w:r>
          </w:p>
          <w:p w:rsidR="00A10686" w:rsidRDefault="00A10686" w:rsidP="0010138D">
            <w:pPr>
              <w:rPr>
                <w:i/>
                <w:sz w:val="16"/>
                <w:szCs w:val="16"/>
              </w:rPr>
            </w:pPr>
            <w:r>
              <w:rPr>
                <w:i/>
                <w:sz w:val="16"/>
                <w:szCs w:val="16"/>
              </w:rPr>
              <w:t>Radiographic</w:t>
            </w:r>
          </w:p>
          <w:p w:rsidR="00A10686" w:rsidRDefault="00A10686" w:rsidP="00A10686">
            <w:pPr>
              <w:numPr>
                <w:ilvl w:val="0"/>
                <w:numId w:val="2"/>
              </w:numPr>
              <w:ind w:left="162" w:hanging="162"/>
              <w:rPr>
                <w:sz w:val="16"/>
                <w:szCs w:val="16"/>
              </w:rPr>
            </w:pPr>
            <w:r>
              <w:rPr>
                <w:sz w:val="16"/>
                <w:szCs w:val="16"/>
              </w:rPr>
              <w:t>Spinal canal stenosis ≥ 60%: 0% (0/60)</w:t>
            </w:r>
          </w:p>
          <w:p w:rsidR="00A10686" w:rsidRDefault="00A10686" w:rsidP="00A10686">
            <w:pPr>
              <w:numPr>
                <w:ilvl w:val="0"/>
                <w:numId w:val="2"/>
              </w:numPr>
              <w:ind w:left="162" w:hanging="162"/>
              <w:rPr>
                <w:sz w:val="16"/>
                <w:szCs w:val="16"/>
              </w:rPr>
            </w:pPr>
            <w:r>
              <w:rPr>
                <w:sz w:val="16"/>
                <w:szCs w:val="16"/>
              </w:rPr>
              <w:t>Spinal canal stenosis &lt; 60%: 100% (60/60)</w:t>
            </w:r>
          </w:p>
          <w:p w:rsidR="00A10686" w:rsidRDefault="00A10686" w:rsidP="00A10686">
            <w:pPr>
              <w:numPr>
                <w:ilvl w:val="0"/>
                <w:numId w:val="2"/>
              </w:numPr>
              <w:ind w:left="162" w:hanging="162"/>
              <w:rPr>
                <w:sz w:val="16"/>
                <w:szCs w:val="16"/>
              </w:rPr>
            </w:pPr>
            <w:r>
              <w:rPr>
                <w:sz w:val="16"/>
                <w:szCs w:val="16"/>
              </w:rPr>
              <w:t>Cervical ROM: 38 ± 10</w:t>
            </w:r>
          </w:p>
          <w:p w:rsidR="00A10686" w:rsidRPr="00462FF5" w:rsidRDefault="00A10686" w:rsidP="0010138D">
            <w:pPr>
              <w:rPr>
                <w:sz w:val="16"/>
                <w:szCs w:val="16"/>
                <w:u w:val="single"/>
              </w:rPr>
            </w:pPr>
            <w:r w:rsidRPr="00462FF5">
              <w:rPr>
                <w:sz w:val="16"/>
                <w:szCs w:val="16"/>
                <w:u w:val="single"/>
              </w:rPr>
              <w:t>Axial OPLL type</w:t>
            </w:r>
            <w:r w:rsidRPr="00C9197F">
              <w:rPr>
                <w:sz w:val="16"/>
                <w:szCs w:val="16"/>
              </w:rPr>
              <w:t>††</w:t>
            </w:r>
          </w:p>
          <w:p w:rsidR="00A10686" w:rsidRDefault="00A10686" w:rsidP="00A10686">
            <w:pPr>
              <w:numPr>
                <w:ilvl w:val="0"/>
                <w:numId w:val="2"/>
              </w:numPr>
              <w:ind w:left="162" w:hanging="162"/>
              <w:rPr>
                <w:sz w:val="16"/>
                <w:szCs w:val="16"/>
              </w:rPr>
            </w:pPr>
            <w:r>
              <w:rPr>
                <w:sz w:val="16"/>
                <w:szCs w:val="16"/>
              </w:rPr>
              <w:t>Central: 65.0% (39/60)</w:t>
            </w:r>
          </w:p>
          <w:p w:rsidR="00A10686" w:rsidRPr="00BC7CED" w:rsidRDefault="00A10686" w:rsidP="00A10686">
            <w:pPr>
              <w:numPr>
                <w:ilvl w:val="0"/>
                <w:numId w:val="2"/>
              </w:numPr>
              <w:ind w:left="162" w:hanging="162"/>
              <w:rPr>
                <w:sz w:val="16"/>
                <w:szCs w:val="16"/>
              </w:rPr>
            </w:pPr>
            <w:r>
              <w:rPr>
                <w:sz w:val="16"/>
                <w:szCs w:val="16"/>
              </w:rPr>
              <w:t>Lateral deviated: 35.0% (21/60)</w:t>
            </w:r>
          </w:p>
        </w:tc>
        <w:tc>
          <w:tcPr>
            <w:tcW w:w="3600" w:type="dxa"/>
            <w:shd w:val="clear" w:color="auto" w:fill="auto"/>
          </w:tcPr>
          <w:p w:rsidR="00A10686" w:rsidRPr="00645BFA" w:rsidRDefault="00A10686" w:rsidP="0010138D">
            <w:pPr>
              <w:ind w:left="77"/>
              <w:rPr>
                <w:sz w:val="16"/>
                <w:szCs w:val="16"/>
              </w:rPr>
            </w:pPr>
            <w:r w:rsidRPr="00645BFA">
              <w:rPr>
                <w:rFonts w:eastAsia="SimSun"/>
                <w:bCs/>
                <w:sz w:val="16"/>
                <w:szCs w:val="16"/>
                <w:u w:val="single"/>
                <w:lang w:eastAsia="zh-CN"/>
              </w:rPr>
              <w:t xml:space="preserve">Associations with </w:t>
            </w:r>
            <w:r>
              <w:rPr>
                <w:rFonts w:eastAsia="SimSun"/>
                <w:bCs/>
                <w:sz w:val="16"/>
                <w:szCs w:val="16"/>
                <w:u w:val="single"/>
                <w:lang w:eastAsia="zh-CN"/>
              </w:rPr>
              <w:t>myelopathy development (compared to those who did not develop myelopathy)</w:t>
            </w:r>
            <w:r w:rsidRPr="00645BFA">
              <w:rPr>
                <w:rFonts w:eastAsia="SimSun"/>
                <w:bCs/>
                <w:sz w:val="16"/>
                <w:szCs w:val="16"/>
                <w:u w:val="single"/>
                <w:lang w:eastAsia="zh-CN"/>
              </w:rPr>
              <w:t>:</w:t>
            </w:r>
            <w:r w:rsidRPr="00094472">
              <w:rPr>
                <w:sz w:val="18"/>
                <w:szCs w:val="18"/>
              </w:rPr>
              <w:t>§</w:t>
            </w:r>
            <w:r w:rsidRPr="00645BFA">
              <w:rPr>
                <w:rFonts w:eastAsia="SimSun"/>
                <w:bCs/>
                <w:sz w:val="16"/>
                <w:szCs w:val="16"/>
                <w:u w:val="single"/>
                <w:lang w:eastAsia="zh-CN"/>
              </w:rPr>
              <w:t xml:space="preserve"> </w:t>
            </w:r>
          </w:p>
          <w:p w:rsidR="00A10686" w:rsidRDefault="00A10686" w:rsidP="00A10686">
            <w:pPr>
              <w:numPr>
                <w:ilvl w:val="0"/>
                <w:numId w:val="4"/>
              </w:numPr>
              <w:tabs>
                <w:tab w:val="clear" w:pos="720"/>
              </w:tabs>
              <w:ind w:left="252" w:hanging="175"/>
              <w:rPr>
                <w:sz w:val="16"/>
                <w:szCs w:val="16"/>
              </w:rPr>
            </w:pPr>
            <w:r>
              <w:rPr>
                <w:rFonts w:eastAsia="SimSun"/>
                <w:sz w:val="16"/>
                <w:szCs w:val="16"/>
                <w:lang w:eastAsia="zh-CN"/>
              </w:rPr>
              <w:t>Spinal canal stenosis ≥ 60%</w:t>
            </w:r>
            <w:r>
              <w:rPr>
                <w:sz w:val="16"/>
                <w:szCs w:val="16"/>
              </w:rPr>
              <w:t xml:space="preserve"> </w:t>
            </w:r>
            <w:r>
              <w:rPr>
                <w:i/>
                <w:sz w:val="16"/>
                <w:szCs w:val="16"/>
              </w:rPr>
              <w:t>(P = NR</w:t>
            </w:r>
            <w:r w:rsidRPr="00C336DB">
              <w:rPr>
                <w:sz w:val="16"/>
                <w:szCs w:val="16"/>
              </w:rPr>
              <w:t>)</w:t>
            </w:r>
          </w:p>
          <w:p w:rsidR="00A10686" w:rsidRDefault="00A10686" w:rsidP="00A10686">
            <w:pPr>
              <w:numPr>
                <w:ilvl w:val="0"/>
                <w:numId w:val="4"/>
              </w:numPr>
              <w:tabs>
                <w:tab w:val="clear" w:pos="720"/>
              </w:tabs>
              <w:ind w:left="252" w:hanging="175"/>
              <w:rPr>
                <w:sz w:val="16"/>
                <w:szCs w:val="16"/>
              </w:rPr>
            </w:pPr>
            <w:r>
              <w:rPr>
                <w:sz w:val="16"/>
                <w:szCs w:val="16"/>
              </w:rPr>
              <w:t>Increased cervical ROM (</w:t>
            </w:r>
            <w:r>
              <w:rPr>
                <w:i/>
                <w:sz w:val="16"/>
                <w:szCs w:val="16"/>
              </w:rPr>
              <w:t>P = .03</w:t>
            </w:r>
            <w:r>
              <w:rPr>
                <w:sz w:val="16"/>
                <w:szCs w:val="16"/>
              </w:rPr>
              <w:t>)</w:t>
            </w:r>
          </w:p>
          <w:p w:rsidR="00A10686" w:rsidRDefault="00A10686" w:rsidP="00A10686">
            <w:pPr>
              <w:numPr>
                <w:ilvl w:val="0"/>
                <w:numId w:val="4"/>
              </w:numPr>
              <w:tabs>
                <w:tab w:val="clear" w:pos="720"/>
              </w:tabs>
              <w:ind w:left="252" w:hanging="175"/>
              <w:rPr>
                <w:sz w:val="16"/>
                <w:szCs w:val="16"/>
              </w:rPr>
            </w:pPr>
            <w:r>
              <w:rPr>
                <w:sz w:val="16"/>
                <w:szCs w:val="16"/>
              </w:rPr>
              <w:t>Lateral deviated (</w:t>
            </w:r>
            <w:proofErr w:type="spellStart"/>
            <w:r>
              <w:rPr>
                <w:sz w:val="16"/>
                <w:szCs w:val="16"/>
              </w:rPr>
              <w:t>vs</w:t>
            </w:r>
            <w:proofErr w:type="spellEnd"/>
            <w:r>
              <w:rPr>
                <w:sz w:val="16"/>
                <w:szCs w:val="16"/>
              </w:rPr>
              <w:t xml:space="preserve"> central) OPLL type in axial view (</w:t>
            </w:r>
            <w:r>
              <w:rPr>
                <w:i/>
                <w:sz w:val="16"/>
                <w:szCs w:val="16"/>
              </w:rPr>
              <w:t>P = .02</w:t>
            </w:r>
            <w:r w:rsidRPr="005176B5">
              <w:rPr>
                <w:i/>
                <w:sz w:val="16"/>
                <w:szCs w:val="16"/>
              </w:rPr>
              <w:t>1</w:t>
            </w:r>
            <w:r>
              <w:rPr>
                <w:sz w:val="16"/>
                <w:szCs w:val="16"/>
              </w:rPr>
              <w:t>)</w:t>
            </w:r>
          </w:p>
          <w:p w:rsidR="00A10686" w:rsidRDefault="00A10686" w:rsidP="0010138D">
            <w:pPr>
              <w:rPr>
                <w:sz w:val="16"/>
                <w:szCs w:val="16"/>
              </w:rPr>
            </w:pPr>
          </w:p>
          <w:p w:rsidR="00A10686" w:rsidRPr="00645BFA" w:rsidRDefault="00A10686" w:rsidP="0010138D">
            <w:pPr>
              <w:ind w:left="77"/>
              <w:rPr>
                <w:rFonts w:eastAsia="SimSun"/>
                <w:bCs/>
                <w:sz w:val="16"/>
                <w:szCs w:val="16"/>
                <w:u w:val="single"/>
                <w:lang w:eastAsia="zh-CN"/>
              </w:rPr>
            </w:pPr>
          </w:p>
        </w:tc>
      </w:tr>
      <w:tr w:rsidR="00A10686" w:rsidRPr="00594F48" w:rsidTr="0010138D">
        <w:trPr>
          <w:trHeight w:val="369"/>
        </w:trPr>
        <w:tc>
          <w:tcPr>
            <w:tcW w:w="918" w:type="dxa"/>
          </w:tcPr>
          <w:p w:rsidR="00A10686" w:rsidRPr="005569A0" w:rsidRDefault="00A10686" w:rsidP="0010138D">
            <w:pPr>
              <w:ind w:right="-18"/>
              <w:jc w:val="center"/>
              <w:rPr>
                <w:sz w:val="16"/>
                <w:szCs w:val="16"/>
              </w:rPr>
            </w:pPr>
            <w:proofErr w:type="spellStart"/>
            <w:r w:rsidRPr="005569A0">
              <w:rPr>
                <w:sz w:val="16"/>
                <w:szCs w:val="16"/>
              </w:rPr>
              <w:t>Matsunaga</w:t>
            </w:r>
            <w:proofErr w:type="spellEnd"/>
            <w:r w:rsidRPr="005569A0">
              <w:rPr>
                <w:sz w:val="16"/>
                <w:szCs w:val="16"/>
              </w:rPr>
              <w:t xml:space="preserve"> (2004)</w:t>
            </w:r>
            <w:r w:rsidRPr="00C9197F">
              <w:rPr>
                <w:sz w:val="16"/>
                <w:szCs w:val="16"/>
              </w:rPr>
              <w:t>‡‡</w:t>
            </w:r>
          </w:p>
        </w:tc>
        <w:tc>
          <w:tcPr>
            <w:tcW w:w="2160" w:type="dxa"/>
          </w:tcPr>
          <w:p w:rsidR="00A10686" w:rsidRDefault="00A10686" w:rsidP="0010138D">
            <w:pPr>
              <w:rPr>
                <w:sz w:val="16"/>
                <w:szCs w:val="16"/>
              </w:rPr>
            </w:pPr>
            <w:r>
              <w:rPr>
                <w:sz w:val="16"/>
                <w:szCs w:val="16"/>
              </w:rPr>
              <w:t>Myelopathy development: 17.0% (55/323)</w:t>
            </w:r>
          </w:p>
          <w:p w:rsidR="00A10686" w:rsidRDefault="00A10686" w:rsidP="0010138D">
            <w:pPr>
              <w:rPr>
                <w:sz w:val="16"/>
                <w:szCs w:val="16"/>
              </w:rPr>
            </w:pPr>
          </w:p>
          <w:p w:rsidR="00A10686" w:rsidRDefault="00A10686" w:rsidP="0010138D">
            <w:pPr>
              <w:rPr>
                <w:sz w:val="16"/>
                <w:szCs w:val="16"/>
              </w:rPr>
            </w:pPr>
            <w:r>
              <w:rPr>
                <w:sz w:val="16"/>
                <w:szCs w:val="16"/>
              </w:rPr>
              <w:t>Myelopathy-free rate in patients without myelopathy at initial presentation: 71% at 30-year follow-up examination</w:t>
            </w:r>
          </w:p>
        </w:tc>
        <w:tc>
          <w:tcPr>
            <w:tcW w:w="3240" w:type="dxa"/>
            <w:gridSpan w:val="2"/>
            <w:shd w:val="clear" w:color="auto" w:fill="auto"/>
          </w:tcPr>
          <w:p w:rsidR="00A10686" w:rsidRPr="00867316" w:rsidRDefault="00A10686" w:rsidP="0010138D">
            <w:pPr>
              <w:rPr>
                <w:b/>
                <w:sz w:val="16"/>
                <w:szCs w:val="16"/>
              </w:rPr>
            </w:pPr>
            <w:r>
              <w:rPr>
                <w:b/>
                <w:sz w:val="16"/>
                <w:szCs w:val="16"/>
              </w:rPr>
              <w:t>NR</w:t>
            </w:r>
          </w:p>
        </w:tc>
        <w:tc>
          <w:tcPr>
            <w:tcW w:w="3150" w:type="dxa"/>
            <w:shd w:val="clear" w:color="auto" w:fill="auto"/>
          </w:tcPr>
          <w:p w:rsidR="00A10686" w:rsidRDefault="00A10686" w:rsidP="0010138D">
            <w:pPr>
              <w:rPr>
                <w:b/>
                <w:sz w:val="16"/>
                <w:szCs w:val="16"/>
              </w:rPr>
            </w:pPr>
            <w:r>
              <w:rPr>
                <w:b/>
                <w:sz w:val="16"/>
                <w:szCs w:val="16"/>
              </w:rPr>
              <w:t>NR</w:t>
            </w:r>
          </w:p>
        </w:tc>
        <w:tc>
          <w:tcPr>
            <w:tcW w:w="3600" w:type="dxa"/>
            <w:shd w:val="clear" w:color="auto" w:fill="auto"/>
          </w:tcPr>
          <w:p w:rsidR="00A10686" w:rsidRPr="00B013FE" w:rsidRDefault="00A10686" w:rsidP="0010138D">
            <w:pPr>
              <w:ind w:left="77"/>
              <w:rPr>
                <w:rFonts w:eastAsia="SimSun"/>
                <w:bCs/>
                <w:sz w:val="16"/>
                <w:szCs w:val="16"/>
                <w:lang w:eastAsia="zh-CN"/>
              </w:rPr>
            </w:pPr>
            <w:r w:rsidRPr="00B013FE">
              <w:rPr>
                <w:rFonts w:eastAsia="SimSun"/>
                <w:bCs/>
                <w:sz w:val="16"/>
                <w:szCs w:val="16"/>
                <w:lang w:eastAsia="zh-CN"/>
              </w:rPr>
              <w:t>NR</w:t>
            </w:r>
          </w:p>
        </w:tc>
      </w:tr>
    </w:tbl>
    <w:p w:rsidR="00A10686" w:rsidRDefault="00A10686" w:rsidP="00A10686">
      <w:pPr>
        <w:rPr>
          <w:sz w:val="16"/>
          <w:szCs w:val="16"/>
        </w:rPr>
      </w:pPr>
    </w:p>
    <w:p w:rsidR="00A10686" w:rsidRDefault="00A10686" w:rsidP="00A10686">
      <w:pPr>
        <w:rPr>
          <w:sz w:val="18"/>
          <w:szCs w:val="18"/>
        </w:rPr>
      </w:pPr>
      <w:r w:rsidRPr="00094472">
        <w:rPr>
          <w:sz w:val="18"/>
          <w:szCs w:val="18"/>
        </w:rPr>
        <w:t xml:space="preserve">NR = not reported; </w:t>
      </w:r>
      <w:r>
        <w:rPr>
          <w:sz w:val="18"/>
          <w:szCs w:val="18"/>
        </w:rPr>
        <w:t xml:space="preserve">SEPs = somatosensory-evoked potentials; MEPs = motor-evoked potentials; EMG = electromyography, SCA = spinal cord area; </w:t>
      </w:r>
      <w:r w:rsidRPr="00094472">
        <w:rPr>
          <w:sz w:val="18"/>
          <w:szCs w:val="18"/>
        </w:rPr>
        <w:t>MRI = magnetic resonance imaging</w:t>
      </w:r>
      <w:r>
        <w:rPr>
          <w:sz w:val="18"/>
          <w:szCs w:val="18"/>
        </w:rPr>
        <w:t xml:space="preserve">; </w:t>
      </w:r>
      <w:r w:rsidRPr="00094472">
        <w:rPr>
          <w:sz w:val="18"/>
          <w:szCs w:val="18"/>
        </w:rPr>
        <w:t xml:space="preserve">OPLL = Ossification of </w:t>
      </w:r>
      <w:r>
        <w:rPr>
          <w:sz w:val="18"/>
          <w:szCs w:val="18"/>
        </w:rPr>
        <w:t>posterior longitudinal ligament; ROM = range of motion</w:t>
      </w:r>
    </w:p>
    <w:p w:rsidR="00A10686" w:rsidRPr="00094472" w:rsidRDefault="00A10686" w:rsidP="00A10686">
      <w:pPr>
        <w:rPr>
          <w:sz w:val="18"/>
          <w:szCs w:val="18"/>
        </w:rPr>
      </w:pPr>
      <w:r w:rsidRPr="00094472">
        <w:rPr>
          <w:sz w:val="18"/>
          <w:szCs w:val="18"/>
        </w:rPr>
        <w:t>* Only reported outcome measures that related to study question</w:t>
      </w:r>
    </w:p>
    <w:p w:rsidR="00A10686" w:rsidRDefault="00A10686" w:rsidP="00A10686">
      <w:pPr>
        <w:rPr>
          <w:sz w:val="18"/>
          <w:szCs w:val="18"/>
        </w:rPr>
      </w:pPr>
      <w:r w:rsidRPr="00094472">
        <w:rPr>
          <w:sz w:val="18"/>
          <w:szCs w:val="18"/>
        </w:rPr>
        <w:t>† p&lt;.05</w:t>
      </w:r>
    </w:p>
    <w:p w:rsidR="00A10686" w:rsidRPr="00094472" w:rsidRDefault="00A10686" w:rsidP="00A10686">
      <w:pPr>
        <w:rPr>
          <w:sz w:val="18"/>
          <w:szCs w:val="18"/>
        </w:rPr>
      </w:pPr>
      <w:r w:rsidRPr="00094472">
        <w:rPr>
          <w:sz w:val="18"/>
          <w:szCs w:val="18"/>
        </w:rPr>
        <w:t xml:space="preserve">‡ </w:t>
      </w:r>
      <w:proofErr w:type="spellStart"/>
      <w:r w:rsidRPr="00094472">
        <w:rPr>
          <w:sz w:val="18"/>
          <w:szCs w:val="18"/>
        </w:rPr>
        <w:t>Bednarik</w:t>
      </w:r>
      <w:proofErr w:type="spellEnd"/>
      <w:r w:rsidRPr="00094472">
        <w:rPr>
          <w:sz w:val="18"/>
          <w:szCs w:val="18"/>
        </w:rPr>
        <w:t xml:space="preserve"> 2008 and 2011 reported different outcomes on the same subject population</w:t>
      </w:r>
    </w:p>
    <w:p w:rsidR="00A10686" w:rsidRDefault="00A10686" w:rsidP="00A10686">
      <w:pPr>
        <w:rPr>
          <w:sz w:val="18"/>
          <w:szCs w:val="18"/>
        </w:rPr>
      </w:pPr>
      <w:r w:rsidRPr="00094472">
        <w:rPr>
          <w:sz w:val="18"/>
          <w:szCs w:val="18"/>
        </w:rPr>
        <w:t xml:space="preserve">§ </w:t>
      </w:r>
      <w:r>
        <w:rPr>
          <w:sz w:val="18"/>
          <w:szCs w:val="18"/>
        </w:rPr>
        <w:t xml:space="preserve">P-values reported by authors in </w:t>
      </w:r>
      <w:proofErr w:type="spellStart"/>
      <w:r>
        <w:rPr>
          <w:sz w:val="18"/>
          <w:szCs w:val="18"/>
        </w:rPr>
        <w:t>univariate</w:t>
      </w:r>
      <w:proofErr w:type="spellEnd"/>
      <w:r>
        <w:rPr>
          <w:sz w:val="18"/>
          <w:szCs w:val="18"/>
        </w:rPr>
        <w:t xml:space="preserve"> analysis</w:t>
      </w:r>
    </w:p>
    <w:p w:rsidR="00A10686" w:rsidRDefault="00A10686" w:rsidP="00A10686">
      <w:pPr>
        <w:rPr>
          <w:sz w:val="18"/>
          <w:szCs w:val="18"/>
        </w:rPr>
      </w:pPr>
      <w:r>
        <w:rPr>
          <w:sz w:val="18"/>
          <w:szCs w:val="18"/>
        </w:rPr>
        <w:t xml:space="preserve">** Cox proportional multivariate regression analysis; p-values presented if reported by authors </w:t>
      </w:r>
    </w:p>
    <w:p w:rsidR="00A10686" w:rsidRPr="00094472" w:rsidRDefault="00A10686" w:rsidP="00A10686">
      <w:pPr>
        <w:rPr>
          <w:sz w:val="18"/>
          <w:szCs w:val="18"/>
        </w:rPr>
      </w:pPr>
      <w:r w:rsidRPr="00094472">
        <w:rPr>
          <w:sz w:val="18"/>
          <w:szCs w:val="18"/>
        </w:rPr>
        <w:lastRenderedPageBreak/>
        <w:t>P-values not reported</w:t>
      </w:r>
    </w:p>
    <w:p w:rsidR="00A10686" w:rsidRPr="00094472" w:rsidRDefault="00A10686" w:rsidP="00A10686">
      <w:pPr>
        <w:rPr>
          <w:sz w:val="18"/>
          <w:szCs w:val="18"/>
        </w:rPr>
      </w:pPr>
      <w:r w:rsidRPr="00094472">
        <w:rPr>
          <w:sz w:val="18"/>
          <w:szCs w:val="18"/>
        </w:rPr>
        <w:t>††</w:t>
      </w:r>
      <w:r>
        <w:rPr>
          <w:sz w:val="18"/>
          <w:szCs w:val="18"/>
        </w:rPr>
        <w:t xml:space="preserve"> </w:t>
      </w:r>
      <w:r w:rsidRPr="00094472">
        <w:rPr>
          <w:sz w:val="18"/>
          <w:szCs w:val="18"/>
        </w:rPr>
        <w:t>Total N = 105 for this category; subjects with ≥ 60% cervical canal stenosis or history of trauma-induced myelopathy were excluded</w:t>
      </w:r>
    </w:p>
    <w:p w:rsidR="00A10686" w:rsidRPr="00094472" w:rsidRDefault="00A10686" w:rsidP="00A10686">
      <w:pPr>
        <w:rPr>
          <w:sz w:val="18"/>
          <w:szCs w:val="18"/>
        </w:rPr>
      </w:pPr>
      <w:r w:rsidRPr="00094472">
        <w:rPr>
          <w:sz w:val="18"/>
          <w:szCs w:val="18"/>
        </w:rPr>
        <w:t>‡‡</w:t>
      </w:r>
      <w:r>
        <w:rPr>
          <w:sz w:val="18"/>
          <w:szCs w:val="18"/>
        </w:rPr>
        <w:t xml:space="preserve"> </w:t>
      </w:r>
      <w:proofErr w:type="spellStart"/>
      <w:r w:rsidRPr="00094472">
        <w:rPr>
          <w:sz w:val="18"/>
          <w:szCs w:val="18"/>
        </w:rPr>
        <w:t>Matsunaga</w:t>
      </w:r>
      <w:proofErr w:type="spellEnd"/>
      <w:r w:rsidRPr="00094472">
        <w:rPr>
          <w:sz w:val="18"/>
          <w:szCs w:val="18"/>
        </w:rPr>
        <w:t xml:space="preserve"> 2004: </w:t>
      </w:r>
      <w:r>
        <w:rPr>
          <w:sz w:val="18"/>
          <w:szCs w:val="18"/>
        </w:rPr>
        <w:t>T</w:t>
      </w:r>
      <w:r w:rsidRPr="00094472">
        <w:rPr>
          <w:sz w:val="18"/>
          <w:szCs w:val="18"/>
        </w:rPr>
        <w:t>he comparison</w:t>
      </w:r>
      <w:r>
        <w:rPr>
          <w:sz w:val="18"/>
          <w:szCs w:val="18"/>
        </w:rPr>
        <w:t xml:space="preserve"> groups</w:t>
      </w:r>
      <w:r w:rsidRPr="00094472">
        <w:rPr>
          <w:sz w:val="18"/>
          <w:szCs w:val="18"/>
        </w:rPr>
        <w:t xml:space="preserve"> in this article did not allow for assessment of risk factors that contribute to development of myelopathy.</w:t>
      </w:r>
    </w:p>
    <w:p w:rsidR="00A10686" w:rsidRPr="00094472" w:rsidRDefault="00A10686" w:rsidP="00A10686">
      <w:pPr>
        <w:rPr>
          <w:sz w:val="18"/>
          <w:szCs w:val="18"/>
        </w:rPr>
      </w:pPr>
    </w:p>
    <w:p w:rsidR="00A10686" w:rsidRDefault="00A10686" w:rsidP="00A10686">
      <w:pPr>
        <w:rPr>
          <w:b/>
        </w:rPr>
      </w:pPr>
      <w:r>
        <w:rPr>
          <w:b/>
        </w:rPr>
        <w:br w:type="page"/>
      </w:r>
    </w:p>
    <w:p w:rsidR="00A10686" w:rsidRDefault="00A10686" w:rsidP="00A10686">
      <w:pPr>
        <w:rPr>
          <w:b/>
        </w:rPr>
        <w:sectPr w:rsidR="00A10686" w:rsidSect="00A40A73">
          <w:headerReference w:type="default" r:id="rId8"/>
          <w:pgSz w:w="15840" w:h="12240" w:orient="landscape"/>
          <w:pgMar w:top="1440" w:right="1440" w:bottom="1440" w:left="1440" w:header="720" w:footer="720" w:gutter="0"/>
          <w:cols w:space="720"/>
          <w:docGrid w:linePitch="326"/>
        </w:sectPr>
      </w:pPr>
    </w:p>
    <w:p w:rsidR="00A10686" w:rsidRPr="00EE6336" w:rsidRDefault="00A10686" w:rsidP="00A10686">
      <w:pPr>
        <w:rPr>
          <w:b/>
        </w:rPr>
      </w:pPr>
      <w:r w:rsidRPr="00EE6336">
        <w:rPr>
          <w:b/>
        </w:rPr>
        <w:lastRenderedPageBreak/>
        <w:t>Web Appendix</w:t>
      </w:r>
    </w:p>
    <w:p w:rsidR="00A10686" w:rsidRPr="00EE6336" w:rsidRDefault="00A10686" w:rsidP="00A10686">
      <w:pPr>
        <w:rPr>
          <w:b/>
        </w:rPr>
      </w:pPr>
    </w:p>
    <w:p w:rsidR="00A10686" w:rsidRPr="00EE6336" w:rsidRDefault="00A10686" w:rsidP="00A10686">
      <w:pPr>
        <w:autoSpaceDE w:val="0"/>
        <w:autoSpaceDN w:val="0"/>
        <w:adjustRightInd w:val="0"/>
        <w:rPr>
          <w:rFonts w:eastAsia="Times New Roman"/>
          <w:i/>
        </w:rPr>
      </w:pPr>
      <w:r w:rsidRPr="00EE6336">
        <w:rPr>
          <w:rFonts w:eastAsia="Times New Roman"/>
        </w:rPr>
        <w:t xml:space="preserve">1.  </w:t>
      </w:r>
      <w:r w:rsidRPr="00EE6336">
        <w:rPr>
          <w:rFonts w:eastAsia="Times New Roman"/>
          <w:i/>
        </w:rPr>
        <w:t>Data Extraction</w:t>
      </w:r>
    </w:p>
    <w:p w:rsidR="00A10686" w:rsidRPr="00EE6336" w:rsidRDefault="00A10686" w:rsidP="00A10686">
      <w:pPr>
        <w:autoSpaceDE w:val="0"/>
        <w:autoSpaceDN w:val="0"/>
        <w:adjustRightInd w:val="0"/>
        <w:rPr>
          <w:rFonts w:eastAsia="Times New Roman"/>
          <w:color w:val="FF0000"/>
        </w:rPr>
      </w:pPr>
      <w:r w:rsidRPr="00EE6336">
        <w:rPr>
          <w:rFonts w:eastAsia="Times New Roman"/>
        </w:rPr>
        <w:t>Each retrieved citation was reviewed by two independently working reviewers. Most articles were excluded on the basis of information provided by the title or abstract. Citations that appeared to be appropriate or those that could not be excluded unequivocally from the title and abstract were identified, and the corresponding full text reports were reviewed by the two reviewers. Any disagreement between them was resolved by reviewer consensus. From the included articles, the following data were extracte</w:t>
      </w:r>
      <w:r w:rsidRPr="00EE6336">
        <w:rPr>
          <w:rFonts w:eastAsia="Times New Roman"/>
          <w:color w:val="000000"/>
        </w:rPr>
        <w:t xml:space="preserve">d: </w:t>
      </w:r>
      <w:r w:rsidRPr="00EE6336">
        <w:t>study design, patient demographics, inclusion and exclusion criteria, disease characteristics, treatment interventions, follow-up duration and the rate of follow-up for each treatment group (if reported or calculable), treatment outcomes, and complications.</w:t>
      </w:r>
    </w:p>
    <w:p w:rsidR="00A10686" w:rsidRPr="00EE6336" w:rsidRDefault="00A10686" w:rsidP="00A10686">
      <w:pPr>
        <w:jc w:val="center"/>
        <w:rPr>
          <w:rFonts w:eastAsia="Times New Roman"/>
        </w:rPr>
      </w:pPr>
    </w:p>
    <w:p w:rsidR="00A10686" w:rsidRPr="00EE6336" w:rsidRDefault="00A10686" w:rsidP="00A10686">
      <w:pPr>
        <w:autoSpaceDE w:val="0"/>
        <w:autoSpaceDN w:val="0"/>
        <w:adjustRightInd w:val="0"/>
        <w:rPr>
          <w:rFonts w:eastAsia="Times New Roman"/>
          <w:i/>
        </w:rPr>
      </w:pPr>
      <w:r w:rsidRPr="00EE6336">
        <w:rPr>
          <w:rFonts w:eastAsia="Times New Roman"/>
        </w:rPr>
        <w:t xml:space="preserve">2.  </w:t>
      </w:r>
      <w:r w:rsidRPr="00EE6336">
        <w:rPr>
          <w:rFonts w:eastAsia="Times New Roman"/>
          <w:i/>
        </w:rPr>
        <w:t>Study Quality</w:t>
      </w:r>
    </w:p>
    <w:p w:rsidR="00A10686" w:rsidRPr="00EE6336" w:rsidRDefault="00A10686" w:rsidP="00A10686">
      <w:pPr>
        <w:rPr>
          <w:rFonts w:eastAsia="Times New Roman"/>
        </w:rPr>
      </w:pPr>
      <w:r w:rsidRPr="00EE6336">
        <w:rPr>
          <w:rFonts w:eastAsia="Times New Roman"/>
        </w:rPr>
        <w:t xml:space="preserve">Articles selected for inclusion were classified by class of evidence.  The method used for assessing the quality of evidence of individual studies as well as the overall quality of the body of evidence incorporates aspects of the rating scheme developed by the Oxford Centre for Evidence-based Medicine </w:t>
      </w:r>
      <w:r w:rsidRPr="00EE6336">
        <w:rPr>
          <w:rFonts w:eastAsia="Times New Roman"/>
          <w:vertAlign w:val="superscript"/>
        </w:rPr>
        <w:t>1</w:t>
      </w:r>
      <w:r w:rsidRPr="00EE6336">
        <w:rPr>
          <w:rFonts w:eastAsia="Times New Roman"/>
        </w:rPr>
        <w:t xml:space="preserve"> and used with modification by </w:t>
      </w:r>
      <w:r w:rsidRPr="00EE6336">
        <w:rPr>
          <w:rFonts w:eastAsia="Times New Roman"/>
          <w:i/>
          <w:iCs/>
        </w:rPr>
        <w:t xml:space="preserve">The Journal of Bone and Joint Surgery American Volume </w:t>
      </w:r>
      <w:r w:rsidRPr="00EE6336">
        <w:rPr>
          <w:rFonts w:eastAsia="Times New Roman"/>
        </w:rPr>
        <w:t>(</w:t>
      </w:r>
      <w:r w:rsidRPr="00EE6336">
        <w:rPr>
          <w:rFonts w:eastAsia="Times New Roman"/>
          <w:i/>
          <w:iCs/>
        </w:rPr>
        <w:t xml:space="preserve">J Bone Joint </w:t>
      </w:r>
      <w:proofErr w:type="spellStart"/>
      <w:r w:rsidRPr="00EE6336">
        <w:rPr>
          <w:rFonts w:eastAsia="Times New Roman"/>
          <w:i/>
          <w:iCs/>
        </w:rPr>
        <w:t>Surg</w:t>
      </w:r>
      <w:proofErr w:type="spellEnd"/>
      <w:r w:rsidRPr="00EE6336">
        <w:rPr>
          <w:rFonts w:eastAsia="Times New Roman"/>
          <w:i/>
          <w:iCs/>
        </w:rPr>
        <w:t xml:space="preserve"> Am</w:t>
      </w:r>
      <w:r w:rsidRPr="00EE6336">
        <w:rPr>
          <w:rFonts w:eastAsia="Times New Roman"/>
        </w:rPr>
        <w:t xml:space="preserve">), </w:t>
      </w:r>
      <w:r w:rsidRPr="00EE6336">
        <w:rPr>
          <w:rFonts w:eastAsia="Times New Roman"/>
          <w:vertAlign w:val="superscript"/>
        </w:rPr>
        <w:t>2</w:t>
      </w:r>
      <w:r w:rsidRPr="00EE6336">
        <w:rPr>
          <w:rFonts w:eastAsia="Times New Roman"/>
        </w:rPr>
        <w:t xml:space="preserve"> precepts outlined by the Grades of Recommendation Assessment, Development and Evaluation (GRADE) Working Group</w:t>
      </w:r>
      <w:r w:rsidRPr="00EE6336">
        <w:rPr>
          <w:rFonts w:eastAsia="Times New Roman"/>
          <w:vertAlign w:val="superscript"/>
        </w:rPr>
        <w:t>3</w:t>
      </w:r>
      <w:r w:rsidRPr="00EE6336">
        <w:rPr>
          <w:rFonts w:eastAsia="Times New Roman"/>
        </w:rPr>
        <w:t xml:space="preserve"> and recommendations made by the Agency for Healthcare Research and Quality (AHRQ)</w:t>
      </w:r>
      <w:r w:rsidRPr="00EE6336">
        <w:rPr>
          <w:rFonts w:eastAsia="Times New Roman"/>
          <w:vertAlign w:val="superscript"/>
        </w:rPr>
        <w:t>4</w:t>
      </w:r>
      <w:r w:rsidRPr="00EE6336">
        <w:rPr>
          <w:rFonts w:eastAsia="Times New Roman"/>
        </w:rPr>
        <w:t>.  Each individual study was rated by two different investigators against pre-set criteria that resulted in an evidence rating (Class of Evidence I, II, III, or IV).  Disagreements were resolved through discussion.</w:t>
      </w:r>
    </w:p>
    <w:p w:rsidR="00A10686" w:rsidRPr="00EE6336" w:rsidRDefault="00A10686" w:rsidP="00A10686">
      <w:pPr>
        <w:rPr>
          <w:b/>
          <w:highlight w:val="yellow"/>
        </w:rPr>
      </w:pPr>
    </w:p>
    <w:p w:rsidR="00A10686" w:rsidRPr="00E1322B" w:rsidRDefault="00A10686" w:rsidP="00A10686">
      <w:pPr>
        <w:pStyle w:val="ListParagraph"/>
        <w:numPr>
          <w:ilvl w:val="0"/>
          <w:numId w:val="3"/>
        </w:numPr>
        <w:rPr>
          <w:rFonts w:eastAsia="Times New Roman"/>
          <w:i/>
        </w:rPr>
      </w:pPr>
      <w:r w:rsidRPr="00E1322B">
        <w:rPr>
          <w:rFonts w:eastAsia="Times New Roman"/>
          <w:i/>
        </w:rPr>
        <w:t>Class of Evidence Tables</w:t>
      </w:r>
    </w:p>
    <w:p w:rsidR="00A10686" w:rsidRDefault="00A10686" w:rsidP="00A10686">
      <w:pPr>
        <w:pStyle w:val="ListParagraph"/>
        <w:rPr>
          <w:rFonts w:eastAsia="Times New Roman"/>
          <w:i/>
          <w:highlight w:val="yellow"/>
        </w:rPr>
      </w:pPr>
    </w:p>
    <w:p w:rsidR="00A10686" w:rsidRDefault="00A10686" w:rsidP="00A10686">
      <w:pPr>
        <w:ind w:left="360"/>
        <w:rPr>
          <w:i/>
        </w:rPr>
      </w:pPr>
      <w:r>
        <w:rPr>
          <w:i/>
        </w:rPr>
        <w:t>3a</w:t>
      </w:r>
      <w:r w:rsidRPr="00E1322B">
        <w:rPr>
          <w:i/>
        </w:rPr>
        <w:t>.</w:t>
      </w:r>
      <w:r>
        <w:rPr>
          <w:i/>
        </w:rPr>
        <w:t xml:space="preserve"> C</w:t>
      </w:r>
      <w:r w:rsidRPr="00E1322B">
        <w:rPr>
          <w:i/>
        </w:rPr>
        <w:t>lass of evidence (</w:t>
      </w:r>
      <w:proofErr w:type="spellStart"/>
      <w:r w:rsidRPr="00E1322B">
        <w:rPr>
          <w:i/>
        </w:rPr>
        <w:t>CoE</w:t>
      </w:r>
      <w:proofErr w:type="spellEnd"/>
      <w:r w:rsidRPr="00E1322B">
        <w:rPr>
          <w:i/>
        </w:rPr>
        <w:t>)</w:t>
      </w:r>
      <w:r>
        <w:rPr>
          <w:i/>
        </w:rPr>
        <w:t xml:space="preserve"> criteria</w:t>
      </w:r>
      <w:r w:rsidRPr="00E1322B">
        <w:rPr>
          <w:i/>
        </w:rPr>
        <w:t xml:space="preserve"> for prognostic studies </w:t>
      </w:r>
    </w:p>
    <w:tbl>
      <w:tblPr>
        <w:tblW w:w="8118" w:type="dxa"/>
        <w:tblLayout w:type="fixed"/>
        <w:tblLook w:val="0000" w:firstRow="0" w:lastRow="0" w:firstColumn="0" w:lastColumn="0" w:noHBand="0" w:noVBand="0"/>
      </w:tblPr>
      <w:tblGrid>
        <w:gridCol w:w="3258"/>
        <w:gridCol w:w="990"/>
        <w:gridCol w:w="900"/>
        <w:gridCol w:w="990"/>
        <w:gridCol w:w="990"/>
        <w:gridCol w:w="990"/>
      </w:tblGrid>
      <w:tr w:rsidR="00A10686" w:rsidRPr="0015733B" w:rsidTr="0010138D">
        <w:tc>
          <w:tcPr>
            <w:tcW w:w="3258" w:type="dxa"/>
            <w:tcBorders>
              <w:top w:val="single" w:sz="4" w:space="0" w:color="000000"/>
              <w:left w:val="single" w:sz="4" w:space="0" w:color="000000"/>
              <w:bottom w:val="single" w:sz="4" w:space="0" w:color="000000"/>
            </w:tcBorders>
            <w:shd w:val="clear" w:color="auto" w:fill="595959"/>
          </w:tcPr>
          <w:p w:rsidR="00A10686" w:rsidRPr="0015733B" w:rsidRDefault="00A10686" w:rsidP="0010138D">
            <w:pPr>
              <w:snapToGrid w:val="0"/>
              <w:rPr>
                <w:rFonts w:cs="Arial"/>
                <w:b/>
                <w:color w:val="FFFFFF"/>
                <w:kern w:val="36"/>
                <w:sz w:val="18"/>
                <w:szCs w:val="18"/>
              </w:rPr>
            </w:pPr>
            <w:r w:rsidRPr="0015733B">
              <w:rPr>
                <w:rFonts w:cs="Arial"/>
                <w:b/>
                <w:color w:val="FFFFFF"/>
                <w:kern w:val="36"/>
                <w:sz w:val="18"/>
                <w:szCs w:val="18"/>
              </w:rPr>
              <w:t>Methodological principle</w:t>
            </w:r>
          </w:p>
        </w:tc>
        <w:tc>
          <w:tcPr>
            <w:tcW w:w="990" w:type="dxa"/>
            <w:tcBorders>
              <w:top w:val="single" w:sz="4" w:space="0" w:color="000000"/>
              <w:left w:val="single" w:sz="4" w:space="0" w:color="000000"/>
              <w:bottom w:val="single" w:sz="4" w:space="0" w:color="000000"/>
            </w:tcBorders>
            <w:shd w:val="clear" w:color="auto" w:fill="595959"/>
          </w:tcPr>
          <w:p w:rsidR="00A10686" w:rsidRPr="0015733B" w:rsidRDefault="00A10686" w:rsidP="0010138D">
            <w:pPr>
              <w:snapToGrid w:val="0"/>
              <w:ind w:left="-90" w:right="-108"/>
              <w:jc w:val="center"/>
              <w:rPr>
                <w:rFonts w:cs="Arial"/>
                <w:b/>
                <w:bCs/>
                <w:color w:val="FFFFFF"/>
                <w:kern w:val="36"/>
                <w:sz w:val="18"/>
                <w:szCs w:val="18"/>
              </w:rPr>
            </w:pPr>
            <w:proofErr w:type="spellStart"/>
            <w:r>
              <w:rPr>
                <w:rFonts w:cs="Arial"/>
                <w:b/>
                <w:bCs/>
                <w:color w:val="FFFFFF"/>
                <w:kern w:val="36"/>
                <w:sz w:val="18"/>
                <w:szCs w:val="18"/>
              </w:rPr>
              <w:t>Bednarik</w:t>
            </w:r>
            <w:proofErr w:type="spellEnd"/>
          </w:p>
          <w:p w:rsidR="00A10686" w:rsidRPr="0015733B" w:rsidRDefault="00A10686" w:rsidP="0010138D">
            <w:pPr>
              <w:snapToGrid w:val="0"/>
              <w:ind w:left="-90" w:right="-108"/>
              <w:jc w:val="center"/>
              <w:rPr>
                <w:rFonts w:cs="Arial"/>
                <w:b/>
                <w:bCs/>
                <w:color w:val="FFFFFF"/>
                <w:kern w:val="36"/>
                <w:sz w:val="18"/>
                <w:szCs w:val="18"/>
              </w:rPr>
            </w:pPr>
            <w:r>
              <w:rPr>
                <w:rFonts w:cs="Arial"/>
                <w:b/>
                <w:bCs/>
                <w:color w:val="FFFFFF"/>
                <w:kern w:val="36"/>
                <w:sz w:val="18"/>
                <w:szCs w:val="18"/>
              </w:rPr>
              <w:t>(2011</w:t>
            </w:r>
            <w:r w:rsidRPr="0015733B">
              <w:rPr>
                <w:rFonts w:cs="Arial"/>
                <w:b/>
                <w:bCs/>
                <w:color w:val="FFFFFF"/>
                <w:kern w:val="36"/>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595959"/>
          </w:tcPr>
          <w:p w:rsidR="00A10686" w:rsidRPr="0015733B" w:rsidRDefault="00A10686" w:rsidP="0010138D">
            <w:pPr>
              <w:snapToGrid w:val="0"/>
              <w:ind w:left="-90" w:right="-108"/>
              <w:jc w:val="center"/>
              <w:rPr>
                <w:rFonts w:cs="Arial"/>
                <w:b/>
                <w:bCs/>
                <w:color w:val="FFFFFF"/>
                <w:kern w:val="36"/>
                <w:sz w:val="18"/>
                <w:szCs w:val="18"/>
              </w:rPr>
            </w:pPr>
            <w:proofErr w:type="spellStart"/>
            <w:r>
              <w:rPr>
                <w:rFonts w:cs="Arial"/>
                <w:b/>
                <w:bCs/>
                <w:color w:val="FFFFFF"/>
                <w:kern w:val="36"/>
                <w:sz w:val="18"/>
                <w:szCs w:val="18"/>
              </w:rPr>
              <w:t>Bednarik</w:t>
            </w:r>
            <w:proofErr w:type="spellEnd"/>
          </w:p>
          <w:p w:rsidR="00A10686" w:rsidRPr="0015733B" w:rsidRDefault="00A10686" w:rsidP="0010138D">
            <w:pPr>
              <w:snapToGrid w:val="0"/>
              <w:ind w:left="-90" w:right="-108"/>
              <w:jc w:val="center"/>
              <w:rPr>
                <w:rFonts w:cs="Arial"/>
                <w:b/>
                <w:bCs/>
                <w:color w:val="FFFFFF"/>
                <w:kern w:val="36"/>
                <w:sz w:val="18"/>
                <w:szCs w:val="18"/>
              </w:rPr>
            </w:pPr>
            <w:r>
              <w:rPr>
                <w:rFonts w:cs="Arial"/>
                <w:b/>
                <w:bCs/>
                <w:color w:val="FFFFFF"/>
                <w:kern w:val="36"/>
                <w:sz w:val="18"/>
                <w:szCs w:val="18"/>
              </w:rPr>
              <w:t>(2008</w:t>
            </w:r>
            <w:r w:rsidRPr="0015733B">
              <w:rPr>
                <w:rFonts w:cs="Arial"/>
                <w:b/>
                <w:bCs/>
                <w:color w:val="FFFFFF"/>
                <w:kern w:val="36"/>
                <w:sz w:val="18"/>
                <w:szCs w:val="18"/>
              </w:rPr>
              <w:t>)</w:t>
            </w:r>
          </w:p>
        </w:tc>
        <w:tc>
          <w:tcPr>
            <w:tcW w:w="990" w:type="dxa"/>
            <w:tcBorders>
              <w:top w:val="single" w:sz="4" w:space="0" w:color="000000"/>
              <w:left w:val="single" w:sz="4" w:space="0" w:color="000000"/>
              <w:bottom w:val="single" w:sz="4" w:space="0" w:color="000000"/>
            </w:tcBorders>
            <w:shd w:val="clear" w:color="auto" w:fill="595959"/>
          </w:tcPr>
          <w:p w:rsidR="00A10686" w:rsidRPr="0015733B" w:rsidRDefault="00A10686" w:rsidP="0010138D">
            <w:pPr>
              <w:snapToGrid w:val="0"/>
              <w:ind w:left="-90" w:right="-108"/>
              <w:jc w:val="center"/>
              <w:rPr>
                <w:rFonts w:cs="Arial"/>
                <w:b/>
                <w:bCs/>
                <w:color w:val="FFFFFF"/>
                <w:kern w:val="36"/>
                <w:sz w:val="18"/>
                <w:szCs w:val="18"/>
              </w:rPr>
            </w:pPr>
            <w:proofErr w:type="spellStart"/>
            <w:r>
              <w:rPr>
                <w:rFonts w:cs="Arial"/>
                <w:b/>
                <w:bCs/>
                <w:color w:val="FFFFFF"/>
                <w:kern w:val="36"/>
                <w:sz w:val="18"/>
                <w:szCs w:val="18"/>
              </w:rPr>
              <w:t>Fujiyoshi</w:t>
            </w:r>
            <w:proofErr w:type="spellEnd"/>
          </w:p>
          <w:p w:rsidR="00A10686" w:rsidRPr="0015733B" w:rsidRDefault="00A10686" w:rsidP="0010138D">
            <w:pPr>
              <w:snapToGrid w:val="0"/>
              <w:ind w:left="-90" w:right="-108"/>
              <w:jc w:val="center"/>
              <w:rPr>
                <w:rFonts w:cs="Arial"/>
                <w:b/>
                <w:bCs/>
                <w:color w:val="FFFFFF"/>
                <w:kern w:val="36"/>
                <w:sz w:val="18"/>
                <w:szCs w:val="18"/>
              </w:rPr>
            </w:pPr>
            <w:r>
              <w:rPr>
                <w:rFonts w:cs="Arial"/>
                <w:b/>
                <w:bCs/>
                <w:color w:val="FFFFFF"/>
                <w:kern w:val="36"/>
                <w:sz w:val="18"/>
                <w:szCs w:val="18"/>
              </w:rPr>
              <w:t>(2010</w:t>
            </w:r>
            <w:r w:rsidRPr="0015733B">
              <w:rPr>
                <w:rFonts w:cs="Arial"/>
                <w:b/>
                <w:bCs/>
                <w:color w:val="FFFFFF"/>
                <w:kern w:val="36"/>
                <w:sz w:val="18"/>
                <w:szCs w:val="18"/>
              </w:rPr>
              <w:t>)</w:t>
            </w:r>
          </w:p>
        </w:tc>
        <w:tc>
          <w:tcPr>
            <w:tcW w:w="990" w:type="dxa"/>
            <w:tcBorders>
              <w:top w:val="single" w:sz="4" w:space="0" w:color="000000"/>
              <w:left w:val="single" w:sz="4" w:space="0" w:color="000000"/>
              <w:bottom w:val="single" w:sz="4" w:space="0" w:color="000000"/>
              <w:right w:val="single" w:sz="4" w:space="0" w:color="000000"/>
            </w:tcBorders>
            <w:shd w:val="clear" w:color="auto" w:fill="595959"/>
          </w:tcPr>
          <w:p w:rsidR="00A10686" w:rsidRPr="0015733B" w:rsidRDefault="00A10686" w:rsidP="0010138D">
            <w:pPr>
              <w:snapToGrid w:val="0"/>
              <w:ind w:left="-90" w:right="-108"/>
              <w:jc w:val="center"/>
              <w:rPr>
                <w:rFonts w:cs="Arial"/>
                <w:b/>
                <w:bCs/>
                <w:color w:val="FFFFFF"/>
                <w:kern w:val="36"/>
                <w:sz w:val="18"/>
                <w:szCs w:val="18"/>
              </w:rPr>
            </w:pPr>
            <w:proofErr w:type="spellStart"/>
            <w:r>
              <w:rPr>
                <w:rFonts w:cs="Arial"/>
                <w:b/>
                <w:bCs/>
                <w:color w:val="FFFFFF"/>
                <w:kern w:val="36"/>
                <w:sz w:val="18"/>
                <w:szCs w:val="18"/>
              </w:rPr>
              <w:t>Matsunaga</w:t>
            </w:r>
            <w:proofErr w:type="spellEnd"/>
          </w:p>
          <w:p w:rsidR="00A10686" w:rsidRPr="0015733B" w:rsidRDefault="00A10686" w:rsidP="0010138D">
            <w:pPr>
              <w:snapToGrid w:val="0"/>
              <w:ind w:left="-90" w:right="-108"/>
              <w:jc w:val="center"/>
              <w:rPr>
                <w:rFonts w:cs="Arial"/>
                <w:b/>
                <w:bCs/>
                <w:color w:val="FFFFFF"/>
                <w:kern w:val="36"/>
                <w:sz w:val="18"/>
                <w:szCs w:val="18"/>
              </w:rPr>
            </w:pPr>
            <w:r>
              <w:rPr>
                <w:rFonts w:cs="Arial"/>
                <w:b/>
                <w:bCs/>
                <w:color w:val="FFFFFF"/>
                <w:kern w:val="36"/>
                <w:sz w:val="18"/>
                <w:szCs w:val="18"/>
              </w:rPr>
              <w:t>(2008</w:t>
            </w:r>
            <w:r w:rsidRPr="0015733B">
              <w:rPr>
                <w:rFonts w:cs="Arial"/>
                <w:b/>
                <w:bCs/>
                <w:color w:val="FFFFFF"/>
                <w:kern w:val="36"/>
                <w:sz w:val="18"/>
                <w:szCs w:val="18"/>
              </w:rPr>
              <w:t>)</w:t>
            </w:r>
          </w:p>
        </w:tc>
        <w:tc>
          <w:tcPr>
            <w:tcW w:w="990" w:type="dxa"/>
            <w:tcBorders>
              <w:top w:val="single" w:sz="4" w:space="0" w:color="000000"/>
              <w:left w:val="single" w:sz="4" w:space="0" w:color="000000"/>
              <w:bottom w:val="single" w:sz="4" w:space="0" w:color="000000"/>
              <w:right w:val="single" w:sz="4" w:space="0" w:color="000000"/>
            </w:tcBorders>
            <w:shd w:val="clear" w:color="auto" w:fill="595959"/>
          </w:tcPr>
          <w:p w:rsidR="00A10686" w:rsidRPr="0015733B" w:rsidRDefault="00A10686" w:rsidP="0010138D">
            <w:pPr>
              <w:snapToGrid w:val="0"/>
              <w:ind w:left="-90" w:right="-108"/>
              <w:jc w:val="center"/>
              <w:rPr>
                <w:rFonts w:cs="Arial"/>
                <w:b/>
                <w:bCs/>
                <w:color w:val="FFFFFF"/>
                <w:kern w:val="36"/>
                <w:sz w:val="18"/>
                <w:szCs w:val="18"/>
              </w:rPr>
            </w:pPr>
            <w:proofErr w:type="spellStart"/>
            <w:r>
              <w:rPr>
                <w:rFonts w:cs="Arial"/>
                <w:b/>
                <w:bCs/>
                <w:color w:val="FFFFFF"/>
                <w:kern w:val="36"/>
                <w:sz w:val="18"/>
                <w:szCs w:val="18"/>
              </w:rPr>
              <w:t>Matsunaga</w:t>
            </w:r>
            <w:proofErr w:type="spellEnd"/>
          </w:p>
          <w:p w:rsidR="00A10686" w:rsidRPr="0015733B" w:rsidRDefault="00A10686" w:rsidP="0010138D">
            <w:pPr>
              <w:snapToGrid w:val="0"/>
              <w:ind w:left="-90" w:right="-108"/>
              <w:jc w:val="center"/>
              <w:rPr>
                <w:rFonts w:cs="Arial"/>
                <w:b/>
                <w:bCs/>
                <w:color w:val="FFFFFF"/>
                <w:kern w:val="36"/>
                <w:sz w:val="18"/>
                <w:szCs w:val="18"/>
              </w:rPr>
            </w:pPr>
            <w:r>
              <w:rPr>
                <w:rFonts w:cs="Arial"/>
                <w:b/>
                <w:bCs/>
                <w:color w:val="FFFFFF"/>
                <w:kern w:val="36"/>
                <w:sz w:val="18"/>
                <w:szCs w:val="18"/>
              </w:rPr>
              <w:t>(2004</w:t>
            </w:r>
            <w:r w:rsidRPr="0015733B">
              <w:rPr>
                <w:rFonts w:cs="Arial"/>
                <w:b/>
                <w:bCs/>
                <w:color w:val="FFFFFF"/>
                <w:kern w:val="36"/>
                <w:sz w:val="18"/>
                <w:szCs w:val="18"/>
              </w:rPr>
              <w:t>)</w:t>
            </w:r>
          </w:p>
        </w:tc>
      </w:tr>
      <w:tr w:rsidR="00A10686" w:rsidRPr="0015733B" w:rsidTr="0010138D">
        <w:tc>
          <w:tcPr>
            <w:tcW w:w="3258" w:type="dxa"/>
            <w:tcBorders>
              <w:left w:val="single" w:sz="4" w:space="0" w:color="000000"/>
              <w:bottom w:val="dotted" w:sz="4" w:space="0" w:color="auto"/>
            </w:tcBorders>
          </w:tcPr>
          <w:p w:rsidR="00A10686" w:rsidRPr="0015733B" w:rsidRDefault="00A10686" w:rsidP="0010138D">
            <w:pPr>
              <w:snapToGrid w:val="0"/>
              <w:rPr>
                <w:rFonts w:cs="Arial"/>
                <w:color w:val="000000"/>
                <w:kern w:val="36"/>
                <w:sz w:val="18"/>
                <w:szCs w:val="18"/>
              </w:rPr>
            </w:pPr>
            <w:r w:rsidRPr="0015733B">
              <w:rPr>
                <w:rFonts w:cs="Arial"/>
                <w:color w:val="000000"/>
                <w:kern w:val="36"/>
                <w:sz w:val="18"/>
                <w:szCs w:val="18"/>
              </w:rPr>
              <w:t>Study design</w:t>
            </w:r>
          </w:p>
        </w:tc>
        <w:tc>
          <w:tcPr>
            <w:tcW w:w="990" w:type="dxa"/>
            <w:tcBorders>
              <w:left w:val="single" w:sz="4" w:space="0" w:color="000000"/>
              <w:bottom w:val="dotted" w:sz="4" w:space="0" w:color="auto"/>
            </w:tcBorders>
          </w:tcPr>
          <w:p w:rsidR="00A10686" w:rsidRPr="0015733B" w:rsidRDefault="00A10686" w:rsidP="0010138D">
            <w:pPr>
              <w:snapToGrid w:val="0"/>
              <w:jc w:val="center"/>
              <w:rPr>
                <w:rFonts w:cs="Arial"/>
                <w:color w:val="000000"/>
                <w:kern w:val="36"/>
                <w:sz w:val="18"/>
                <w:szCs w:val="18"/>
              </w:rPr>
            </w:pPr>
          </w:p>
        </w:tc>
        <w:tc>
          <w:tcPr>
            <w:tcW w:w="900" w:type="dxa"/>
            <w:tcBorders>
              <w:left w:val="single" w:sz="4" w:space="0" w:color="000000"/>
              <w:bottom w:val="dotted" w:sz="4" w:space="0" w:color="auto"/>
              <w:right w:val="single" w:sz="4" w:space="0" w:color="000000"/>
            </w:tcBorders>
          </w:tcPr>
          <w:p w:rsidR="00A10686" w:rsidRPr="0015733B" w:rsidRDefault="00A10686" w:rsidP="0010138D">
            <w:pPr>
              <w:snapToGrid w:val="0"/>
              <w:ind w:left="90"/>
              <w:jc w:val="center"/>
              <w:rPr>
                <w:rFonts w:cs="Arial"/>
                <w:color w:val="000000"/>
                <w:kern w:val="36"/>
                <w:sz w:val="18"/>
                <w:szCs w:val="18"/>
              </w:rPr>
            </w:pPr>
          </w:p>
        </w:tc>
        <w:tc>
          <w:tcPr>
            <w:tcW w:w="990" w:type="dxa"/>
            <w:tcBorders>
              <w:left w:val="single" w:sz="4" w:space="0" w:color="000000"/>
              <w:bottom w:val="dotted" w:sz="4" w:space="0" w:color="auto"/>
            </w:tcBorders>
          </w:tcPr>
          <w:p w:rsidR="00A10686" w:rsidRPr="0015733B" w:rsidRDefault="00A10686" w:rsidP="0010138D">
            <w:pPr>
              <w:snapToGrid w:val="0"/>
              <w:jc w:val="center"/>
              <w:rPr>
                <w:rFonts w:cs="Arial"/>
                <w:color w:val="000000"/>
                <w:kern w:val="36"/>
                <w:sz w:val="18"/>
                <w:szCs w:val="18"/>
              </w:rPr>
            </w:pPr>
          </w:p>
        </w:tc>
        <w:tc>
          <w:tcPr>
            <w:tcW w:w="990" w:type="dxa"/>
            <w:tcBorders>
              <w:left w:val="single" w:sz="4" w:space="0" w:color="000000"/>
              <w:bottom w:val="dotted" w:sz="4" w:space="0" w:color="auto"/>
              <w:right w:val="single" w:sz="4" w:space="0" w:color="000000"/>
            </w:tcBorders>
          </w:tcPr>
          <w:p w:rsidR="00A10686" w:rsidRPr="0015733B" w:rsidRDefault="00A10686" w:rsidP="0010138D">
            <w:pPr>
              <w:snapToGrid w:val="0"/>
              <w:jc w:val="center"/>
              <w:rPr>
                <w:rFonts w:cs="Arial"/>
                <w:color w:val="000000"/>
                <w:kern w:val="36"/>
                <w:sz w:val="18"/>
                <w:szCs w:val="18"/>
              </w:rPr>
            </w:pPr>
          </w:p>
        </w:tc>
        <w:tc>
          <w:tcPr>
            <w:tcW w:w="990" w:type="dxa"/>
            <w:tcBorders>
              <w:left w:val="single" w:sz="4" w:space="0" w:color="000000"/>
              <w:bottom w:val="dotted" w:sz="4" w:space="0" w:color="auto"/>
              <w:right w:val="single" w:sz="4" w:space="0" w:color="000000"/>
            </w:tcBorders>
          </w:tcPr>
          <w:p w:rsidR="00A10686" w:rsidRPr="0015733B" w:rsidRDefault="00A10686" w:rsidP="0010138D">
            <w:pPr>
              <w:snapToGrid w:val="0"/>
              <w:jc w:val="center"/>
              <w:rPr>
                <w:rFonts w:cs="Arial"/>
                <w:color w:val="000000"/>
                <w:kern w:val="36"/>
                <w:sz w:val="18"/>
                <w:szCs w:val="18"/>
              </w:rPr>
            </w:pPr>
          </w:p>
        </w:tc>
      </w:tr>
      <w:tr w:rsidR="00A10686" w:rsidRPr="0015733B" w:rsidTr="0010138D">
        <w:tc>
          <w:tcPr>
            <w:tcW w:w="3258" w:type="dxa"/>
            <w:tcBorders>
              <w:top w:val="dotted" w:sz="4" w:space="0" w:color="auto"/>
              <w:left w:val="single" w:sz="4" w:space="0" w:color="000000"/>
              <w:bottom w:val="dotted" w:sz="4" w:space="0" w:color="auto"/>
            </w:tcBorders>
          </w:tcPr>
          <w:p w:rsidR="00A10686" w:rsidRPr="0015733B" w:rsidRDefault="00A10686" w:rsidP="0010138D">
            <w:pPr>
              <w:snapToGrid w:val="0"/>
              <w:ind w:left="180"/>
              <w:rPr>
                <w:rFonts w:cs="Arial"/>
                <w:color w:val="000000"/>
                <w:kern w:val="36"/>
                <w:sz w:val="18"/>
                <w:szCs w:val="18"/>
              </w:rPr>
            </w:pPr>
            <w:r w:rsidRPr="0015733B">
              <w:rPr>
                <w:rFonts w:cs="Arial"/>
                <w:color w:val="000000"/>
                <w:kern w:val="36"/>
                <w:sz w:val="18"/>
                <w:szCs w:val="18"/>
              </w:rPr>
              <w:t>Prospective cohort study</w:t>
            </w:r>
          </w:p>
        </w:tc>
        <w:tc>
          <w:tcPr>
            <w:tcW w:w="990" w:type="dxa"/>
            <w:tcBorders>
              <w:top w:val="dotted" w:sz="4" w:space="0" w:color="auto"/>
              <w:left w:val="single" w:sz="4" w:space="0" w:color="000000"/>
              <w:bottom w:val="dotted" w:sz="4" w:space="0" w:color="auto"/>
            </w:tcBorders>
          </w:tcPr>
          <w:p w:rsidR="00A10686" w:rsidRPr="0015733B" w:rsidRDefault="00A10686" w:rsidP="0010138D">
            <w:pPr>
              <w:snapToGrid w:val="0"/>
              <w:jc w:val="center"/>
              <w:rPr>
                <w:rFonts w:cs="Arial"/>
                <w:color w:val="000000"/>
                <w:kern w:val="36"/>
                <w:sz w:val="18"/>
                <w:szCs w:val="18"/>
              </w:rPr>
            </w:pPr>
            <w:r w:rsidRPr="00691788">
              <w:rPr>
                <w:sz w:val="18"/>
                <w:szCs w:val="18"/>
              </w:rPr>
              <w:sym w:font="Wingdings" w:char="F0FC"/>
            </w:r>
          </w:p>
        </w:tc>
        <w:tc>
          <w:tcPr>
            <w:tcW w:w="900" w:type="dxa"/>
            <w:tcBorders>
              <w:top w:val="dotted" w:sz="4" w:space="0" w:color="auto"/>
              <w:left w:val="single" w:sz="4" w:space="0" w:color="000000"/>
              <w:bottom w:val="dotted" w:sz="4" w:space="0" w:color="auto"/>
              <w:right w:val="single" w:sz="4" w:space="0" w:color="000000"/>
            </w:tcBorders>
          </w:tcPr>
          <w:p w:rsidR="00A10686" w:rsidRPr="0015733B" w:rsidRDefault="00A10686" w:rsidP="0010138D">
            <w:pPr>
              <w:snapToGrid w:val="0"/>
              <w:ind w:left="90"/>
              <w:jc w:val="center"/>
              <w:rPr>
                <w:rFonts w:cs="Arial"/>
                <w:color w:val="000000"/>
                <w:kern w:val="36"/>
                <w:sz w:val="18"/>
                <w:szCs w:val="18"/>
              </w:rPr>
            </w:pPr>
            <w:r w:rsidRPr="00691788">
              <w:rPr>
                <w:sz w:val="18"/>
                <w:szCs w:val="18"/>
              </w:rPr>
              <w:sym w:font="Wingdings" w:char="F0FC"/>
            </w:r>
          </w:p>
        </w:tc>
        <w:tc>
          <w:tcPr>
            <w:tcW w:w="990" w:type="dxa"/>
            <w:tcBorders>
              <w:top w:val="dotted" w:sz="4" w:space="0" w:color="auto"/>
              <w:left w:val="single" w:sz="4" w:space="0" w:color="000000"/>
              <w:bottom w:val="dotted" w:sz="4" w:space="0" w:color="auto"/>
            </w:tcBorders>
          </w:tcPr>
          <w:p w:rsidR="00A10686" w:rsidRPr="0015733B" w:rsidRDefault="00A10686" w:rsidP="0010138D">
            <w:pPr>
              <w:snapToGrid w:val="0"/>
              <w:jc w:val="center"/>
              <w:rPr>
                <w:rFonts w:cs="Arial"/>
                <w:color w:val="000000"/>
                <w:kern w:val="36"/>
                <w:sz w:val="18"/>
                <w:szCs w:val="18"/>
              </w:rPr>
            </w:pPr>
            <w:r w:rsidRPr="00691788">
              <w:rPr>
                <w:sz w:val="18"/>
                <w:szCs w:val="18"/>
              </w:rPr>
              <w:sym w:font="Wingdings" w:char="F0FC"/>
            </w:r>
          </w:p>
        </w:tc>
        <w:tc>
          <w:tcPr>
            <w:tcW w:w="990" w:type="dxa"/>
            <w:tcBorders>
              <w:top w:val="dotted" w:sz="4" w:space="0" w:color="auto"/>
              <w:left w:val="single" w:sz="4" w:space="0" w:color="000000"/>
              <w:bottom w:val="dotted" w:sz="4" w:space="0" w:color="auto"/>
              <w:right w:val="single" w:sz="4" w:space="0" w:color="000000"/>
            </w:tcBorders>
          </w:tcPr>
          <w:p w:rsidR="00A10686" w:rsidRPr="0015733B" w:rsidRDefault="00A10686" w:rsidP="0010138D">
            <w:pPr>
              <w:snapToGrid w:val="0"/>
              <w:jc w:val="center"/>
              <w:rPr>
                <w:rFonts w:cs="Arial"/>
                <w:color w:val="000000"/>
                <w:kern w:val="36"/>
                <w:sz w:val="18"/>
                <w:szCs w:val="18"/>
              </w:rPr>
            </w:pPr>
            <w:r w:rsidRPr="00691788">
              <w:rPr>
                <w:sz w:val="18"/>
                <w:szCs w:val="18"/>
              </w:rPr>
              <w:sym w:font="Wingdings" w:char="F0FC"/>
            </w:r>
          </w:p>
        </w:tc>
        <w:tc>
          <w:tcPr>
            <w:tcW w:w="990" w:type="dxa"/>
            <w:tcBorders>
              <w:top w:val="dotted" w:sz="4" w:space="0" w:color="auto"/>
              <w:left w:val="single" w:sz="4" w:space="0" w:color="000000"/>
              <w:bottom w:val="dotted" w:sz="4" w:space="0" w:color="auto"/>
              <w:right w:val="single" w:sz="4" w:space="0" w:color="000000"/>
            </w:tcBorders>
          </w:tcPr>
          <w:p w:rsidR="00A10686" w:rsidRPr="0015733B" w:rsidRDefault="00A10686" w:rsidP="0010138D">
            <w:pPr>
              <w:snapToGrid w:val="0"/>
              <w:jc w:val="center"/>
              <w:rPr>
                <w:rFonts w:cs="Arial"/>
                <w:color w:val="000000"/>
                <w:kern w:val="36"/>
                <w:sz w:val="18"/>
                <w:szCs w:val="18"/>
              </w:rPr>
            </w:pPr>
            <w:r w:rsidRPr="00691788">
              <w:rPr>
                <w:sz w:val="18"/>
                <w:szCs w:val="18"/>
              </w:rPr>
              <w:sym w:font="Wingdings" w:char="F0FC"/>
            </w:r>
          </w:p>
        </w:tc>
      </w:tr>
      <w:tr w:rsidR="00A10686" w:rsidRPr="0015733B" w:rsidTr="0010138D">
        <w:tc>
          <w:tcPr>
            <w:tcW w:w="3258" w:type="dxa"/>
            <w:tcBorders>
              <w:top w:val="dotted" w:sz="4" w:space="0" w:color="auto"/>
              <w:left w:val="single" w:sz="4" w:space="0" w:color="000000"/>
              <w:bottom w:val="dotted" w:sz="4" w:space="0" w:color="auto"/>
            </w:tcBorders>
          </w:tcPr>
          <w:p w:rsidR="00A10686" w:rsidRPr="0015733B" w:rsidRDefault="00A10686" w:rsidP="0010138D">
            <w:pPr>
              <w:snapToGrid w:val="0"/>
              <w:ind w:left="180"/>
              <w:rPr>
                <w:rFonts w:cs="Arial"/>
                <w:color w:val="000000"/>
                <w:kern w:val="36"/>
                <w:sz w:val="18"/>
                <w:szCs w:val="18"/>
              </w:rPr>
            </w:pPr>
            <w:r w:rsidRPr="0015733B">
              <w:rPr>
                <w:rFonts w:cs="Arial"/>
                <w:color w:val="000000"/>
                <w:kern w:val="36"/>
                <w:sz w:val="18"/>
                <w:szCs w:val="18"/>
              </w:rPr>
              <w:t>Retrospective cohort study</w:t>
            </w:r>
          </w:p>
        </w:tc>
        <w:tc>
          <w:tcPr>
            <w:tcW w:w="990" w:type="dxa"/>
            <w:tcBorders>
              <w:top w:val="dotted" w:sz="4" w:space="0" w:color="auto"/>
              <w:left w:val="single" w:sz="4" w:space="0" w:color="000000"/>
              <w:bottom w:val="dotted" w:sz="4" w:space="0" w:color="auto"/>
            </w:tcBorders>
          </w:tcPr>
          <w:p w:rsidR="00A10686" w:rsidRPr="0015733B" w:rsidRDefault="00A10686" w:rsidP="0010138D">
            <w:pPr>
              <w:snapToGrid w:val="0"/>
              <w:jc w:val="center"/>
              <w:rPr>
                <w:rFonts w:cs="Arial"/>
                <w:color w:val="000000"/>
                <w:kern w:val="36"/>
                <w:sz w:val="18"/>
                <w:szCs w:val="18"/>
              </w:rPr>
            </w:pPr>
          </w:p>
        </w:tc>
        <w:tc>
          <w:tcPr>
            <w:tcW w:w="900" w:type="dxa"/>
            <w:tcBorders>
              <w:top w:val="dotted" w:sz="4" w:space="0" w:color="auto"/>
              <w:left w:val="single" w:sz="4" w:space="0" w:color="000000"/>
              <w:bottom w:val="dotted" w:sz="4" w:space="0" w:color="auto"/>
              <w:right w:val="single" w:sz="4" w:space="0" w:color="000000"/>
            </w:tcBorders>
          </w:tcPr>
          <w:p w:rsidR="00A10686" w:rsidRPr="0015733B" w:rsidRDefault="00A10686" w:rsidP="0010138D">
            <w:pPr>
              <w:snapToGrid w:val="0"/>
              <w:ind w:left="90"/>
              <w:jc w:val="center"/>
              <w:rPr>
                <w:rFonts w:cs="Arial"/>
                <w:color w:val="000000"/>
                <w:kern w:val="36"/>
                <w:sz w:val="18"/>
                <w:szCs w:val="18"/>
              </w:rPr>
            </w:pPr>
          </w:p>
        </w:tc>
        <w:tc>
          <w:tcPr>
            <w:tcW w:w="990" w:type="dxa"/>
            <w:tcBorders>
              <w:top w:val="dotted" w:sz="4" w:space="0" w:color="auto"/>
              <w:left w:val="single" w:sz="4" w:space="0" w:color="000000"/>
              <w:bottom w:val="dotted" w:sz="4" w:space="0" w:color="auto"/>
            </w:tcBorders>
          </w:tcPr>
          <w:p w:rsidR="00A10686" w:rsidRPr="0015733B" w:rsidRDefault="00A10686" w:rsidP="0010138D">
            <w:pPr>
              <w:snapToGrid w:val="0"/>
              <w:jc w:val="center"/>
              <w:rPr>
                <w:rFonts w:cs="Arial"/>
                <w:color w:val="000000"/>
                <w:kern w:val="36"/>
                <w:sz w:val="18"/>
                <w:szCs w:val="18"/>
              </w:rPr>
            </w:pPr>
          </w:p>
        </w:tc>
        <w:tc>
          <w:tcPr>
            <w:tcW w:w="990" w:type="dxa"/>
            <w:tcBorders>
              <w:top w:val="dotted" w:sz="4" w:space="0" w:color="auto"/>
              <w:left w:val="single" w:sz="4" w:space="0" w:color="000000"/>
              <w:bottom w:val="dotted" w:sz="4" w:space="0" w:color="auto"/>
              <w:right w:val="single" w:sz="4" w:space="0" w:color="000000"/>
            </w:tcBorders>
          </w:tcPr>
          <w:p w:rsidR="00A10686" w:rsidRPr="0015733B" w:rsidRDefault="00A10686" w:rsidP="0010138D">
            <w:pPr>
              <w:snapToGrid w:val="0"/>
              <w:jc w:val="center"/>
              <w:rPr>
                <w:rFonts w:cs="Arial"/>
                <w:color w:val="000000"/>
                <w:kern w:val="36"/>
                <w:sz w:val="18"/>
                <w:szCs w:val="18"/>
              </w:rPr>
            </w:pPr>
          </w:p>
        </w:tc>
        <w:tc>
          <w:tcPr>
            <w:tcW w:w="990" w:type="dxa"/>
            <w:tcBorders>
              <w:top w:val="dotted" w:sz="4" w:space="0" w:color="auto"/>
              <w:left w:val="single" w:sz="4" w:space="0" w:color="000000"/>
              <w:bottom w:val="dotted" w:sz="4" w:space="0" w:color="auto"/>
              <w:right w:val="single" w:sz="4" w:space="0" w:color="000000"/>
            </w:tcBorders>
          </w:tcPr>
          <w:p w:rsidR="00A10686" w:rsidRPr="0015733B" w:rsidRDefault="00A10686" w:rsidP="0010138D">
            <w:pPr>
              <w:snapToGrid w:val="0"/>
              <w:jc w:val="center"/>
              <w:rPr>
                <w:rFonts w:cs="Arial"/>
                <w:color w:val="000000"/>
                <w:kern w:val="36"/>
                <w:sz w:val="18"/>
                <w:szCs w:val="18"/>
              </w:rPr>
            </w:pPr>
          </w:p>
        </w:tc>
      </w:tr>
      <w:tr w:rsidR="00A10686" w:rsidRPr="0015733B" w:rsidTr="0010138D">
        <w:tc>
          <w:tcPr>
            <w:tcW w:w="3258" w:type="dxa"/>
            <w:tcBorders>
              <w:top w:val="dotted" w:sz="4" w:space="0" w:color="auto"/>
              <w:left w:val="single" w:sz="4" w:space="0" w:color="000000"/>
              <w:bottom w:val="dotted" w:sz="4" w:space="0" w:color="auto"/>
            </w:tcBorders>
          </w:tcPr>
          <w:p w:rsidR="00A10686" w:rsidRPr="0015733B" w:rsidRDefault="00A10686" w:rsidP="0010138D">
            <w:pPr>
              <w:snapToGrid w:val="0"/>
              <w:ind w:left="180"/>
              <w:rPr>
                <w:rFonts w:cs="Arial"/>
                <w:color w:val="000000"/>
                <w:kern w:val="36"/>
                <w:sz w:val="18"/>
                <w:szCs w:val="18"/>
              </w:rPr>
            </w:pPr>
            <w:r w:rsidRPr="0015733B">
              <w:rPr>
                <w:rFonts w:cs="Arial"/>
                <w:color w:val="000000"/>
                <w:kern w:val="36"/>
                <w:sz w:val="18"/>
                <w:szCs w:val="18"/>
              </w:rPr>
              <w:t>Case-control study</w:t>
            </w:r>
          </w:p>
        </w:tc>
        <w:tc>
          <w:tcPr>
            <w:tcW w:w="990" w:type="dxa"/>
            <w:tcBorders>
              <w:top w:val="dotted" w:sz="4" w:space="0" w:color="auto"/>
              <w:left w:val="single" w:sz="4" w:space="0" w:color="000000"/>
              <w:bottom w:val="dotted" w:sz="4" w:space="0" w:color="auto"/>
            </w:tcBorders>
          </w:tcPr>
          <w:p w:rsidR="00A10686" w:rsidRPr="0015733B" w:rsidRDefault="00A10686" w:rsidP="0010138D">
            <w:pPr>
              <w:snapToGrid w:val="0"/>
              <w:jc w:val="center"/>
              <w:rPr>
                <w:rFonts w:cs="Arial"/>
                <w:color w:val="000000"/>
                <w:kern w:val="36"/>
                <w:sz w:val="18"/>
                <w:szCs w:val="18"/>
              </w:rPr>
            </w:pPr>
          </w:p>
        </w:tc>
        <w:tc>
          <w:tcPr>
            <w:tcW w:w="900" w:type="dxa"/>
            <w:tcBorders>
              <w:top w:val="dotted" w:sz="4" w:space="0" w:color="auto"/>
              <w:left w:val="single" w:sz="4" w:space="0" w:color="000000"/>
              <w:bottom w:val="dotted" w:sz="4" w:space="0" w:color="auto"/>
              <w:right w:val="single" w:sz="4" w:space="0" w:color="000000"/>
            </w:tcBorders>
          </w:tcPr>
          <w:p w:rsidR="00A10686" w:rsidRPr="0015733B" w:rsidRDefault="00A10686" w:rsidP="0010138D">
            <w:pPr>
              <w:snapToGrid w:val="0"/>
              <w:ind w:left="90"/>
              <w:jc w:val="center"/>
              <w:rPr>
                <w:rFonts w:cs="Arial"/>
                <w:color w:val="000000"/>
                <w:kern w:val="36"/>
                <w:sz w:val="18"/>
                <w:szCs w:val="18"/>
              </w:rPr>
            </w:pPr>
          </w:p>
        </w:tc>
        <w:tc>
          <w:tcPr>
            <w:tcW w:w="990" w:type="dxa"/>
            <w:tcBorders>
              <w:top w:val="dotted" w:sz="4" w:space="0" w:color="auto"/>
              <w:left w:val="single" w:sz="4" w:space="0" w:color="000000"/>
              <w:bottom w:val="dotted" w:sz="4" w:space="0" w:color="auto"/>
            </w:tcBorders>
          </w:tcPr>
          <w:p w:rsidR="00A10686" w:rsidRPr="0015733B" w:rsidRDefault="00A10686" w:rsidP="0010138D">
            <w:pPr>
              <w:snapToGrid w:val="0"/>
              <w:jc w:val="center"/>
              <w:rPr>
                <w:rFonts w:cs="Arial"/>
                <w:color w:val="000000"/>
                <w:kern w:val="36"/>
                <w:sz w:val="18"/>
                <w:szCs w:val="18"/>
              </w:rPr>
            </w:pPr>
          </w:p>
        </w:tc>
        <w:tc>
          <w:tcPr>
            <w:tcW w:w="990" w:type="dxa"/>
            <w:tcBorders>
              <w:top w:val="dotted" w:sz="4" w:space="0" w:color="auto"/>
              <w:left w:val="single" w:sz="4" w:space="0" w:color="000000"/>
              <w:bottom w:val="dotted" w:sz="4" w:space="0" w:color="auto"/>
              <w:right w:val="single" w:sz="4" w:space="0" w:color="000000"/>
            </w:tcBorders>
          </w:tcPr>
          <w:p w:rsidR="00A10686" w:rsidRPr="0015733B" w:rsidRDefault="00A10686" w:rsidP="0010138D">
            <w:pPr>
              <w:snapToGrid w:val="0"/>
              <w:jc w:val="center"/>
              <w:rPr>
                <w:rFonts w:cs="Arial"/>
                <w:color w:val="000000"/>
                <w:kern w:val="36"/>
                <w:sz w:val="18"/>
                <w:szCs w:val="18"/>
              </w:rPr>
            </w:pPr>
          </w:p>
        </w:tc>
        <w:tc>
          <w:tcPr>
            <w:tcW w:w="990" w:type="dxa"/>
            <w:tcBorders>
              <w:top w:val="dotted" w:sz="4" w:space="0" w:color="auto"/>
              <w:left w:val="single" w:sz="4" w:space="0" w:color="000000"/>
              <w:bottom w:val="dotted" w:sz="4" w:space="0" w:color="auto"/>
              <w:right w:val="single" w:sz="4" w:space="0" w:color="000000"/>
            </w:tcBorders>
          </w:tcPr>
          <w:p w:rsidR="00A10686" w:rsidRPr="0015733B" w:rsidRDefault="00A10686" w:rsidP="0010138D">
            <w:pPr>
              <w:snapToGrid w:val="0"/>
              <w:jc w:val="center"/>
              <w:rPr>
                <w:rFonts w:cs="Arial"/>
                <w:color w:val="000000"/>
                <w:kern w:val="36"/>
                <w:sz w:val="18"/>
                <w:szCs w:val="18"/>
              </w:rPr>
            </w:pPr>
          </w:p>
        </w:tc>
      </w:tr>
      <w:tr w:rsidR="00A10686" w:rsidRPr="0015733B" w:rsidTr="0010138D">
        <w:tc>
          <w:tcPr>
            <w:tcW w:w="3258" w:type="dxa"/>
            <w:tcBorders>
              <w:top w:val="dotted" w:sz="4" w:space="0" w:color="auto"/>
              <w:left w:val="single" w:sz="4" w:space="0" w:color="000000"/>
              <w:bottom w:val="dotted" w:sz="4" w:space="0" w:color="auto"/>
            </w:tcBorders>
          </w:tcPr>
          <w:p w:rsidR="00A10686" w:rsidRPr="0015733B" w:rsidRDefault="00A10686" w:rsidP="0010138D">
            <w:pPr>
              <w:snapToGrid w:val="0"/>
              <w:ind w:left="180"/>
              <w:rPr>
                <w:rFonts w:cs="Arial"/>
                <w:color w:val="000000"/>
                <w:kern w:val="36"/>
                <w:sz w:val="18"/>
                <w:szCs w:val="18"/>
              </w:rPr>
            </w:pPr>
            <w:r w:rsidRPr="0015733B">
              <w:rPr>
                <w:rFonts w:cs="Arial"/>
                <w:color w:val="000000"/>
                <w:kern w:val="36"/>
                <w:sz w:val="18"/>
                <w:szCs w:val="18"/>
              </w:rPr>
              <w:t>Cross-sectional study</w:t>
            </w:r>
          </w:p>
        </w:tc>
        <w:tc>
          <w:tcPr>
            <w:tcW w:w="990" w:type="dxa"/>
            <w:tcBorders>
              <w:top w:val="dotted" w:sz="4" w:space="0" w:color="auto"/>
              <w:left w:val="single" w:sz="4" w:space="0" w:color="000000"/>
              <w:bottom w:val="dotted" w:sz="4" w:space="0" w:color="auto"/>
            </w:tcBorders>
          </w:tcPr>
          <w:p w:rsidR="00A10686" w:rsidRPr="0015733B" w:rsidRDefault="00A10686" w:rsidP="0010138D">
            <w:pPr>
              <w:snapToGrid w:val="0"/>
              <w:jc w:val="center"/>
              <w:rPr>
                <w:rFonts w:cs="Arial"/>
                <w:color w:val="000000"/>
                <w:kern w:val="36"/>
                <w:sz w:val="18"/>
                <w:szCs w:val="18"/>
              </w:rPr>
            </w:pPr>
          </w:p>
        </w:tc>
        <w:tc>
          <w:tcPr>
            <w:tcW w:w="900" w:type="dxa"/>
            <w:tcBorders>
              <w:top w:val="dotted" w:sz="4" w:space="0" w:color="auto"/>
              <w:left w:val="single" w:sz="4" w:space="0" w:color="000000"/>
              <w:bottom w:val="dotted" w:sz="4" w:space="0" w:color="auto"/>
              <w:right w:val="single" w:sz="4" w:space="0" w:color="000000"/>
            </w:tcBorders>
            <w:vAlign w:val="center"/>
          </w:tcPr>
          <w:p w:rsidR="00A10686" w:rsidRPr="0015733B" w:rsidRDefault="00A10686" w:rsidP="0010138D">
            <w:pPr>
              <w:snapToGrid w:val="0"/>
              <w:ind w:left="90"/>
              <w:jc w:val="center"/>
              <w:rPr>
                <w:rFonts w:cs="Arial"/>
                <w:color w:val="000000"/>
                <w:kern w:val="36"/>
                <w:sz w:val="18"/>
                <w:szCs w:val="18"/>
              </w:rPr>
            </w:pPr>
          </w:p>
        </w:tc>
        <w:tc>
          <w:tcPr>
            <w:tcW w:w="990" w:type="dxa"/>
            <w:tcBorders>
              <w:top w:val="dotted" w:sz="4" w:space="0" w:color="auto"/>
              <w:left w:val="single" w:sz="4" w:space="0" w:color="000000"/>
              <w:bottom w:val="dotted" w:sz="4" w:space="0" w:color="auto"/>
            </w:tcBorders>
          </w:tcPr>
          <w:p w:rsidR="00A10686" w:rsidRPr="0015733B" w:rsidRDefault="00A10686" w:rsidP="0010138D">
            <w:pPr>
              <w:snapToGrid w:val="0"/>
              <w:rPr>
                <w:rFonts w:cs="Arial"/>
                <w:color w:val="000000"/>
                <w:kern w:val="36"/>
                <w:sz w:val="18"/>
                <w:szCs w:val="18"/>
              </w:rPr>
            </w:pPr>
          </w:p>
        </w:tc>
        <w:tc>
          <w:tcPr>
            <w:tcW w:w="990" w:type="dxa"/>
            <w:tcBorders>
              <w:top w:val="dotted" w:sz="4" w:space="0" w:color="auto"/>
              <w:left w:val="single" w:sz="4" w:space="0" w:color="000000"/>
              <w:bottom w:val="dotted" w:sz="4" w:space="0" w:color="auto"/>
              <w:right w:val="single" w:sz="4" w:space="0" w:color="000000"/>
            </w:tcBorders>
          </w:tcPr>
          <w:p w:rsidR="00A10686" w:rsidRPr="0015733B" w:rsidRDefault="00A10686" w:rsidP="0010138D">
            <w:pPr>
              <w:snapToGrid w:val="0"/>
              <w:jc w:val="center"/>
              <w:rPr>
                <w:rFonts w:cs="Arial"/>
                <w:color w:val="000000"/>
                <w:kern w:val="36"/>
                <w:sz w:val="18"/>
                <w:szCs w:val="18"/>
              </w:rPr>
            </w:pPr>
          </w:p>
        </w:tc>
        <w:tc>
          <w:tcPr>
            <w:tcW w:w="990" w:type="dxa"/>
            <w:tcBorders>
              <w:top w:val="dotted" w:sz="4" w:space="0" w:color="auto"/>
              <w:left w:val="single" w:sz="4" w:space="0" w:color="000000"/>
              <w:bottom w:val="dotted" w:sz="4" w:space="0" w:color="auto"/>
              <w:right w:val="single" w:sz="4" w:space="0" w:color="000000"/>
            </w:tcBorders>
          </w:tcPr>
          <w:p w:rsidR="00A10686" w:rsidRPr="0015733B" w:rsidRDefault="00A10686" w:rsidP="0010138D">
            <w:pPr>
              <w:snapToGrid w:val="0"/>
              <w:jc w:val="center"/>
              <w:rPr>
                <w:rFonts w:cs="Arial"/>
                <w:color w:val="000000"/>
                <w:kern w:val="36"/>
                <w:sz w:val="18"/>
                <w:szCs w:val="18"/>
              </w:rPr>
            </w:pPr>
          </w:p>
        </w:tc>
      </w:tr>
      <w:tr w:rsidR="00A10686" w:rsidRPr="0015733B" w:rsidTr="0010138D">
        <w:tc>
          <w:tcPr>
            <w:tcW w:w="3258" w:type="dxa"/>
            <w:tcBorders>
              <w:top w:val="dotted" w:sz="4" w:space="0" w:color="auto"/>
              <w:left w:val="single" w:sz="4" w:space="0" w:color="000000"/>
              <w:bottom w:val="single" w:sz="12" w:space="0" w:color="000000"/>
            </w:tcBorders>
          </w:tcPr>
          <w:p w:rsidR="00A10686" w:rsidRPr="0015733B" w:rsidRDefault="00A10686" w:rsidP="0010138D">
            <w:pPr>
              <w:snapToGrid w:val="0"/>
              <w:ind w:left="180"/>
              <w:rPr>
                <w:rFonts w:cs="Arial"/>
                <w:color w:val="000000"/>
                <w:kern w:val="36"/>
                <w:sz w:val="18"/>
                <w:szCs w:val="18"/>
              </w:rPr>
            </w:pPr>
            <w:r w:rsidRPr="0015733B">
              <w:rPr>
                <w:rFonts w:cs="Arial"/>
                <w:color w:val="000000"/>
                <w:kern w:val="36"/>
                <w:sz w:val="18"/>
                <w:szCs w:val="18"/>
              </w:rPr>
              <w:t xml:space="preserve">Case-series </w:t>
            </w:r>
          </w:p>
        </w:tc>
        <w:tc>
          <w:tcPr>
            <w:tcW w:w="990" w:type="dxa"/>
            <w:tcBorders>
              <w:top w:val="dotted" w:sz="4" w:space="0" w:color="auto"/>
              <w:left w:val="single" w:sz="4" w:space="0" w:color="000000"/>
              <w:bottom w:val="single" w:sz="12" w:space="0" w:color="000000"/>
            </w:tcBorders>
          </w:tcPr>
          <w:p w:rsidR="00A10686" w:rsidRPr="0015733B" w:rsidRDefault="00A10686" w:rsidP="0010138D">
            <w:pPr>
              <w:snapToGrid w:val="0"/>
              <w:jc w:val="center"/>
              <w:rPr>
                <w:rFonts w:cs="Arial"/>
                <w:color w:val="000000"/>
                <w:kern w:val="36"/>
                <w:sz w:val="18"/>
                <w:szCs w:val="18"/>
              </w:rPr>
            </w:pPr>
          </w:p>
        </w:tc>
        <w:tc>
          <w:tcPr>
            <w:tcW w:w="900" w:type="dxa"/>
            <w:tcBorders>
              <w:top w:val="dotted" w:sz="4" w:space="0" w:color="auto"/>
              <w:left w:val="single" w:sz="4" w:space="0" w:color="000000"/>
              <w:bottom w:val="single" w:sz="12" w:space="0" w:color="000000"/>
              <w:right w:val="single" w:sz="4" w:space="0" w:color="000000"/>
            </w:tcBorders>
            <w:vAlign w:val="center"/>
          </w:tcPr>
          <w:p w:rsidR="00A10686" w:rsidRPr="0015733B" w:rsidRDefault="00A10686" w:rsidP="0010138D">
            <w:pPr>
              <w:snapToGrid w:val="0"/>
              <w:ind w:left="90"/>
              <w:jc w:val="center"/>
              <w:rPr>
                <w:rFonts w:cs="Arial"/>
                <w:color w:val="000000"/>
                <w:kern w:val="36"/>
                <w:sz w:val="18"/>
                <w:szCs w:val="18"/>
              </w:rPr>
            </w:pPr>
          </w:p>
        </w:tc>
        <w:tc>
          <w:tcPr>
            <w:tcW w:w="990" w:type="dxa"/>
            <w:tcBorders>
              <w:top w:val="dotted" w:sz="4" w:space="0" w:color="auto"/>
              <w:left w:val="single" w:sz="4" w:space="0" w:color="000000"/>
              <w:bottom w:val="single" w:sz="12" w:space="0" w:color="000000"/>
            </w:tcBorders>
          </w:tcPr>
          <w:p w:rsidR="00A10686" w:rsidRPr="0015733B" w:rsidRDefault="00A10686" w:rsidP="0010138D">
            <w:pPr>
              <w:snapToGrid w:val="0"/>
              <w:jc w:val="center"/>
              <w:rPr>
                <w:rFonts w:cs="Arial"/>
                <w:color w:val="000000"/>
                <w:kern w:val="36"/>
                <w:sz w:val="18"/>
                <w:szCs w:val="18"/>
              </w:rPr>
            </w:pPr>
          </w:p>
        </w:tc>
        <w:tc>
          <w:tcPr>
            <w:tcW w:w="990" w:type="dxa"/>
            <w:tcBorders>
              <w:top w:val="dotted" w:sz="4" w:space="0" w:color="auto"/>
              <w:left w:val="single" w:sz="4" w:space="0" w:color="000000"/>
              <w:bottom w:val="single" w:sz="12" w:space="0" w:color="000000"/>
              <w:right w:val="single" w:sz="4" w:space="0" w:color="000000"/>
            </w:tcBorders>
          </w:tcPr>
          <w:p w:rsidR="00A10686" w:rsidRPr="0015733B" w:rsidRDefault="00A10686" w:rsidP="0010138D">
            <w:pPr>
              <w:snapToGrid w:val="0"/>
              <w:jc w:val="center"/>
              <w:rPr>
                <w:rFonts w:cs="Arial"/>
                <w:color w:val="000000"/>
                <w:kern w:val="36"/>
                <w:sz w:val="18"/>
                <w:szCs w:val="18"/>
              </w:rPr>
            </w:pPr>
          </w:p>
        </w:tc>
        <w:tc>
          <w:tcPr>
            <w:tcW w:w="990" w:type="dxa"/>
            <w:tcBorders>
              <w:top w:val="dotted" w:sz="4" w:space="0" w:color="auto"/>
              <w:left w:val="single" w:sz="4" w:space="0" w:color="000000"/>
              <w:bottom w:val="single" w:sz="12" w:space="0" w:color="000000"/>
              <w:right w:val="single" w:sz="4" w:space="0" w:color="000000"/>
            </w:tcBorders>
          </w:tcPr>
          <w:p w:rsidR="00A10686" w:rsidRPr="00691788" w:rsidRDefault="00A10686" w:rsidP="0010138D">
            <w:pPr>
              <w:snapToGrid w:val="0"/>
              <w:jc w:val="center"/>
              <w:rPr>
                <w:sz w:val="18"/>
                <w:szCs w:val="18"/>
              </w:rPr>
            </w:pPr>
          </w:p>
        </w:tc>
      </w:tr>
      <w:tr w:rsidR="00A10686" w:rsidRPr="0015733B" w:rsidTr="0010138D">
        <w:tc>
          <w:tcPr>
            <w:tcW w:w="3258" w:type="dxa"/>
            <w:tcBorders>
              <w:top w:val="single" w:sz="12" w:space="0" w:color="000000"/>
              <w:left w:val="single" w:sz="4" w:space="0" w:color="000000"/>
              <w:bottom w:val="single" w:sz="12" w:space="0" w:color="000000"/>
            </w:tcBorders>
            <w:shd w:val="clear" w:color="auto" w:fill="D9D9D9" w:themeFill="background1" w:themeFillShade="D9"/>
          </w:tcPr>
          <w:p w:rsidR="00A10686" w:rsidRPr="0015733B" w:rsidRDefault="00A10686" w:rsidP="0010138D">
            <w:pPr>
              <w:rPr>
                <w:rFonts w:cs="Arial"/>
                <w:b/>
                <w:color w:val="000000"/>
                <w:kern w:val="36"/>
                <w:sz w:val="18"/>
                <w:szCs w:val="18"/>
              </w:rPr>
            </w:pPr>
            <w:r w:rsidRPr="0015733B">
              <w:rPr>
                <w:rFonts w:cs="Arial"/>
                <w:b/>
                <w:color w:val="000000"/>
                <w:kern w:val="36"/>
                <w:sz w:val="18"/>
                <w:szCs w:val="18"/>
              </w:rPr>
              <w:t>COHORT STUDIES</w:t>
            </w:r>
          </w:p>
        </w:tc>
        <w:tc>
          <w:tcPr>
            <w:tcW w:w="990" w:type="dxa"/>
            <w:tcBorders>
              <w:top w:val="single" w:sz="12" w:space="0" w:color="000000"/>
              <w:bottom w:val="single" w:sz="12" w:space="0" w:color="000000"/>
            </w:tcBorders>
            <w:shd w:val="clear" w:color="auto" w:fill="D9D9D9" w:themeFill="background1" w:themeFillShade="D9"/>
            <w:vAlign w:val="center"/>
          </w:tcPr>
          <w:p w:rsidR="00A10686" w:rsidRPr="0015733B" w:rsidRDefault="00A10686" w:rsidP="0010138D">
            <w:pPr>
              <w:snapToGrid w:val="0"/>
              <w:jc w:val="center"/>
              <w:rPr>
                <w:rFonts w:cs="Arial"/>
                <w:color w:val="000000"/>
                <w:kern w:val="36"/>
                <w:sz w:val="18"/>
                <w:szCs w:val="18"/>
              </w:rPr>
            </w:pPr>
          </w:p>
        </w:tc>
        <w:tc>
          <w:tcPr>
            <w:tcW w:w="900" w:type="dxa"/>
            <w:tcBorders>
              <w:top w:val="single" w:sz="12" w:space="0" w:color="000000"/>
              <w:bottom w:val="single" w:sz="12" w:space="0" w:color="000000"/>
            </w:tcBorders>
            <w:shd w:val="clear" w:color="auto" w:fill="D9D9D9" w:themeFill="background1" w:themeFillShade="D9"/>
            <w:vAlign w:val="center"/>
          </w:tcPr>
          <w:p w:rsidR="00A10686" w:rsidRPr="0015733B" w:rsidRDefault="00A10686" w:rsidP="0010138D">
            <w:pPr>
              <w:snapToGrid w:val="0"/>
              <w:ind w:left="90"/>
              <w:jc w:val="center"/>
              <w:rPr>
                <w:rFonts w:cs="Arial"/>
                <w:color w:val="000000"/>
                <w:kern w:val="36"/>
                <w:sz w:val="18"/>
                <w:szCs w:val="18"/>
              </w:rPr>
            </w:pPr>
          </w:p>
        </w:tc>
        <w:tc>
          <w:tcPr>
            <w:tcW w:w="990" w:type="dxa"/>
            <w:tcBorders>
              <w:top w:val="single" w:sz="12" w:space="0" w:color="000000"/>
              <w:bottom w:val="single" w:sz="12" w:space="0" w:color="000000"/>
            </w:tcBorders>
            <w:shd w:val="clear" w:color="auto" w:fill="D9D9D9" w:themeFill="background1" w:themeFillShade="D9"/>
            <w:vAlign w:val="center"/>
          </w:tcPr>
          <w:p w:rsidR="00A10686" w:rsidRPr="0015733B" w:rsidRDefault="00A10686" w:rsidP="0010138D">
            <w:pPr>
              <w:snapToGrid w:val="0"/>
              <w:jc w:val="center"/>
              <w:rPr>
                <w:rFonts w:cs="Arial"/>
                <w:color w:val="000000"/>
                <w:kern w:val="36"/>
                <w:sz w:val="18"/>
                <w:szCs w:val="18"/>
              </w:rPr>
            </w:pPr>
          </w:p>
        </w:tc>
        <w:tc>
          <w:tcPr>
            <w:tcW w:w="990" w:type="dxa"/>
            <w:tcBorders>
              <w:top w:val="single" w:sz="12" w:space="0" w:color="000000"/>
              <w:bottom w:val="single" w:sz="12"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000000"/>
                <w:kern w:val="36"/>
                <w:sz w:val="18"/>
                <w:szCs w:val="18"/>
              </w:rPr>
            </w:pPr>
          </w:p>
        </w:tc>
        <w:tc>
          <w:tcPr>
            <w:tcW w:w="990" w:type="dxa"/>
            <w:tcBorders>
              <w:top w:val="single" w:sz="12" w:space="0" w:color="000000"/>
              <w:bottom w:val="single" w:sz="12" w:space="0" w:color="000000"/>
              <w:right w:val="single" w:sz="4" w:space="0" w:color="000000"/>
            </w:tcBorders>
            <w:shd w:val="clear" w:color="auto" w:fill="D9D9D9" w:themeFill="background1" w:themeFillShade="D9"/>
          </w:tcPr>
          <w:p w:rsidR="00A10686" w:rsidRPr="0015733B" w:rsidRDefault="00A10686" w:rsidP="0010138D">
            <w:pPr>
              <w:snapToGrid w:val="0"/>
              <w:jc w:val="center"/>
              <w:rPr>
                <w:rFonts w:cs="Arial"/>
                <w:color w:val="000000"/>
                <w:kern w:val="36"/>
                <w:sz w:val="18"/>
                <w:szCs w:val="18"/>
              </w:rPr>
            </w:pPr>
          </w:p>
        </w:tc>
      </w:tr>
      <w:tr w:rsidR="00A10686" w:rsidRPr="0015733B" w:rsidTr="0010138D">
        <w:tc>
          <w:tcPr>
            <w:tcW w:w="3258" w:type="dxa"/>
            <w:tcBorders>
              <w:top w:val="single" w:sz="12" w:space="0" w:color="000000"/>
              <w:left w:val="single" w:sz="4" w:space="0" w:color="000000"/>
              <w:bottom w:val="single" w:sz="4" w:space="0" w:color="000000"/>
            </w:tcBorders>
            <w:shd w:val="clear" w:color="auto" w:fill="D9D9D9" w:themeFill="background1" w:themeFillShade="D9"/>
          </w:tcPr>
          <w:p w:rsidR="00A10686" w:rsidRPr="0015733B" w:rsidRDefault="00A10686" w:rsidP="0010138D">
            <w:pPr>
              <w:ind w:left="180"/>
              <w:rPr>
                <w:rFonts w:cs="Arial"/>
                <w:color w:val="000000"/>
                <w:kern w:val="36"/>
                <w:sz w:val="18"/>
                <w:szCs w:val="18"/>
              </w:rPr>
            </w:pPr>
            <w:r w:rsidRPr="0015733B">
              <w:rPr>
                <w:rFonts w:cs="Arial"/>
                <w:color w:val="000000"/>
                <w:kern w:val="36"/>
                <w:sz w:val="18"/>
                <w:szCs w:val="18"/>
              </w:rPr>
              <w:t>Patients at similar point in the course of their disease or treatment</w:t>
            </w:r>
          </w:p>
        </w:tc>
        <w:tc>
          <w:tcPr>
            <w:tcW w:w="990" w:type="dxa"/>
            <w:tcBorders>
              <w:top w:val="single" w:sz="12" w:space="0" w:color="000000"/>
              <w:left w:val="single" w:sz="4" w:space="0" w:color="000000"/>
              <w:bottom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r w:rsidRPr="00691788">
              <w:rPr>
                <w:sz w:val="18"/>
                <w:szCs w:val="18"/>
              </w:rPr>
              <w:sym w:font="Wingdings" w:char="F0FC"/>
            </w:r>
          </w:p>
        </w:tc>
        <w:tc>
          <w:tcPr>
            <w:tcW w:w="90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r w:rsidRPr="00691788">
              <w:rPr>
                <w:sz w:val="18"/>
                <w:szCs w:val="18"/>
              </w:rPr>
              <w:sym w:font="Wingdings" w:char="F0FC"/>
            </w:r>
          </w:p>
        </w:tc>
        <w:tc>
          <w:tcPr>
            <w:tcW w:w="990" w:type="dxa"/>
            <w:tcBorders>
              <w:top w:val="single" w:sz="12" w:space="0" w:color="000000"/>
              <w:left w:val="single" w:sz="4" w:space="0" w:color="000000"/>
              <w:bottom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r w:rsidRPr="00691788">
              <w:rPr>
                <w:sz w:val="18"/>
                <w:szCs w:val="18"/>
              </w:rPr>
              <w:sym w:font="Wingdings" w:char="F0FC"/>
            </w:r>
          </w:p>
        </w:tc>
        <w:tc>
          <w:tcPr>
            <w:tcW w:w="99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r w:rsidRPr="00691788">
              <w:rPr>
                <w:sz w:val="18"/>
                <w:szCs w:val="18"/>
              </w:rPr>
              <w:sym w:font="Wingdings" w:char="F0FC"/>
            </w:r>
          </w:p>
        </w:tc>
        <w:tc>
          <w:tcPr>
            <w:tcW w:w="99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p>
        </w:tc>
      </w:tr>
      <w:tr w:rsidR="00A10686" w:rsidRPr="0015733B" w:rsidTr="0010138D">
        <w:tc>
          <w:tcPr>
            <w:tcW w:w="3258" w:type="dxa"/>
            <w:tcBorders>
              <w:left w:val="single" w:sz="4" w:space="0" w:color="000000"/>
              <w:bottom w:val="single" w:sz="4" w:space="0" w:color="000000"/>
            </w:tcBorders>
            <w:shd w:val="clear" w:color="auto" w:fill="D9D9D9" w:themeFill="background1" w:themeFillShade="D9"/>
          </w:tcPr>
          <w:p w:rsidR="00A10686" w:rsidRPr="0015733B" w:rsidRDefault="00A10686" w:rsidP="0010138D">
            <w:pPr>
              <w:snapToGrid w:val="0"/>
              <w:ind w:left="180"/>
              <w:rPr>
                <w:rFonts w:cs="Arial"/>
                <w:color w:val="000000"/>
                <w:kern w:val="36"/>
                <w:sz w:val="18"/>
                <w:szCs w:val="18"/>
              </w:rPr>
            </w:pPr>
            <w:r w:rsidRPr="0015733B">
              <w:rPr>
                <w:rFonts w:cs="Arial"/>
                <w:color w:val="000000"/>
                <w:kern w:val="36"/>
                <w:sz w:val="18"/>
                <w:szCs w:val="18"/>
              </w:rPr>
              <w:t xml:space="preserve">Complete follow-up of  </w:t>
            </w:r>
            <w:r w:rsidRPr="0015733B">
              <w:rPr>
                <w:rFonts w:cs="Arial"/>
                <w:color w:val="000000"/>
                <w:kern w:val="36"/>
                <w:sz w:val="18"/>
                <w:szCs w:val="18"/>
                <w:u w:val="single"/>
              </w:rPr>
              <w:t>&gt;</w:t>
            </w:r>
            <w:r w:rsidRPr="0015733B">
              <w:rPr>
                <w:rFonts w:cs="Arial"/>
                <w:color w:val="000000"/>
                <w:kern w:val="36"/>
                <w:sz w:val="18"/>
                <w:szCs w:val="18"/>
              </w:rPr>
              <w:t xml:space="preserve"> 80%</w:t>
            </w:r>
          </w:p>
        </w:tc>
        <w:tc>
          <w:tcPr>
            <w:tcW w:w="990" w:type="dxa"/>
            <w:tcBorders>
              <w:left w:val="single" w:sz="4" w:space="0" w:color="000000"/>
              <w:bottom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p>
        </w:tc>
        <w:tc>
          <w:tcPr>
            <w:tcW w:w="90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p>
        </w:tc>
        <w:tc>
          <w:tcPr>
            <w:tcW w:w="990" w:type="dxa"/>
            <w:tcBorders>
              <w:left w:val="single" w:sz="4" w:space="0" w:color="000000"/>
              <w:bottom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p>
        </w:tc>
        <w:tc>
          <w:tcPr>
            <w:tcW w:w="99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p>
        </w:tc>
        <w:tc>
          <w:tcPr>
            <w:tcW w:w="99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r w:rsidRPr="00691788">
              <w:rPr>
                <w:sz w:val="18"/>
                <w:szCs w:val="18"/>
              </w:rPr>
              <w:sym w:font="Wingdings" w:char="F0FC"/>
            </w:r>
          </w:p>
        </w:tc>
      </w:tr>
      <w:tr w:rsidR="00A10686" w:rsidRPr="0015733B" w:rsidTr="0010138D">
        <w:tc>
          <w:tcPr>
            <w:tcW w:w="3258" w:type="dxa"/>
            <w:tcBorders>
              <w:left w:val="single" w:sz="4" w:space="0" w:color="000000"/>
              <w:bottom w:val="single" w:sz="4" w:space="0" w:color="000000"/>
            </w:tcBorders>
            <w:shd w:val="clear" w:color="auto" w:fill="D9D9D9" w:themeFill="background1" w:themeFillShade="D9"/>
          </w:tcPr>
          <w:p w:rsidR="00A10686" w:rsidRPr="0015733B" w:rsidRDefault="00A10686" w:rsidP="0010138D">
            <w:pPr>
              <w:ind w:left="180"/>
              <w:rPr>
                <w:rFonts w:cs="Arial"/>
                <w:color w:val="000000"/>
                <w:kern w:val="36"/>
                <w:sz w:val="18"/>
                <w:szCs w:val="18"/>
              </w:rPr>
            </w:pPr>
            <w:r w:rsidRPr="0015733B">
              <w:rPr>
                <w:rFonts w:cs="Arial"/>
                <w:color w:val="000000"/>
                <w:kern w:val="36"/>
                <w:sz w:val="18"/>
                <w:szCs w:val="18"/>
              </w:rPr>
              <w:t>Patients followed long enough for outcomes to occur</w:t>
            </w:r>
          </w:p>
        </w:tc>
        <w:tc>
          <w:tcPr>
            <w:tcW w:w="990" w:type="dxa"/>
            <w:tcBorders>
              <w:left w:val="single" w:sz="4" w:space="0" w:color="000000"/>
              <w:bottom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r w:rsidRPr="00691788">
              <w:rPr>
                <w:sz w:val="18"/>
                <w:szCs w:val="18"/>
              </w:rPr>
              <w:sym w:font="Wingdings" w:char="F0FC"/>
            </w:r>
          </w:p>
        </w:tc>
        <w:tc>
          <w:tcPr>
            <w:tcW w:w="90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r w:rsidRPr="00691788">
              <w:rPr>
                <w:sz w:val="18"/>
                <w:szCs w:val="18"/>
              </w:rPr>
              <w:sym w:font="Wingdings" w:char="F0FC"/>
            </w:r>
          </w:p>
        </w:tc>
        <w:tc>
          <w:tcPr>
            <w:tcW w:w="990" w:type="dxa"/>
            <w:tcBorders>
              <w:left w:val="single" w:sz="4" w:space="0" w:color="000000"/>
              <w:bottom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r w:rsidRPr="00691788">
              <w:rPr>
                <w:sz w:val="18"/>
                <w:szCs w:val="18"/>
              </w:rPr>
              <w:sym w:font="Wingdings" w:char="F0FC"/>
            </w:r>
          </w:p>
        </w:tc>
        <w:tc>
          <w:tcPr>
            <w:tcW w:w="99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r w:rsidRPr="00691788">
              <w:rPr>
                <w:sz w:val="18"/>
                <w:szCs w:val="18"/>
              </w:rPr>
              <w:sym w:font="Wingdings" w:char="F0FC"/>
            </w:r>
          </w:p>
        </w:tc>
        <w:tc>
          <w:tcPr>
            <w:tcW w:w="99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r w:rsidRPr="00691788">
              <w:rPr>
                <w:sz w:val="18"/>
                <w:szCs w:val="18"/>
              </w:rPr>
              <w:sym w:font="Wingdings" w:char="F0FC"/>
            </w:r>
          </w:p>
        </w:tc>
      </w:tr>
      <w:tr w:rsidR="00A10686" w:rsidRPr="0015733B" w:rsidTr="0010138D">
        <w:tc>
          <w:tcPr>
            <w:tcW w:w="3258" w:type="dxa"/>
            <w:tcBorders>
              <w:left w:val="single" w:sz="4" w:space="0" w:color="000000"/>
              <w:bottom w:val="single" w:sz="12" w:space="0" w:color="000000"/>
            </w:tcBorders>
            <w:shd w:val="clear" w:color="auto" w:fill="D9D9D9" w:themeFill="background1" w:themeFillShade="D9"/>
          </w:tcPr>
          <w:p w:rsidR="00A10686" w:rsidRPr="0015733B" w:rsidRDefault="00A10686" w:rsidP="0010138D">
            <w:pPr>
              <w:snapToGrid w:val="0"/>
              <w:ind w:left="180"/>
              <w:rPr>
                <w:rFonts w:cs="Arial"/>
                <w:color w:val="000000"/>
                <w:kern w:val="36"/>
                <w:sz w:val="18"/>
                <w:szCs w:val="18"/>
              </w:rPr>
            </w:pPr>
            <w:r w:rsidRPr="0015733B">
              <w:rPr>
                <w:rFonts w:cs="Arial"/>
                <w:color w:val="000000"/>
                <w:kern w:val="36"/>
                <w:sz w:val="18"/>
                <w:szCs w:val="18"/>
              </w:rPr>
              <w:t>Accounting for other prognostic factors*</w:t>
            </w:r>
          </w:p>
        </w:tc>
        <w:tc>
          <w:tcPr>
            <w:tcW w:w="990" w:type="dxa"/>
            <w:tcBorders>
              <w:left w:val="single" w:sz="4" w:space="0" w:color="000000"/>
              <w:bottom w:val="single" w:sz="12"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p>
        </w:tc>
        <w:tc>
          <w:tcPr>
            <w:tcW w:w="900" w:type="dxa"/>
            <w:tcBorders>
              <w:left w:val="single" w:sz="4" w:space="0" w:color="000000"/>
              <w:bottom w:val="single" w:sz="12"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r w:rsidRPr="00691788">
              <w:rPr>
                <w:sz w:val="18"/>
                <w:szCs w:val="18"/>
              </w:rPr>
              <w:sym w:font="Wingdings" w:char="F0FC"/>
            </w:r>
          </w:p>
        </w:tc>
        <w:tc>
          <w:tcPr>
            <w:tcW w:w="990" w:type="dxa"/>
            <w:tcBorders>
              <w:left w:val="single" w:sz="4" w:space="0" w:color="000000"/>
              <w:bottom w:val="single" w:sz="12"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p>
        </w:tc>
        <w:tc>
          <w:tcPr>
            <w:tcW w:w="990" w:type="dxa"/>
            <w:tcBorders>
              <w:left w:val="single" w:sz="4" w:space="0" w:color="000000"/>
              <w:bottom w:val="single" w:sz="12"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p>
        </w:tc>
        <w:tc>
          <w:tcPr>
            <w:tcW w:w="990" w:type="dxa"/>
            <w:tcBorders>
              <w:left w:val="single" w:sz="4" w:space="0" w:color="000000"/>
              <w:bottom w:val="single" w:sz="12"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943634"/>
                <w:kern w:val="36"/>
                <w:sz w:val="18"/>
                <w:szCs w:val="18"/>
              </w:rPr>
            </w:pPr>
          </w:p>
        </w:tc>
      </w:tr>
      <w:tr w:rsidR="00A10686" w:rsidRPr="0015733B" w:rsidTr="0010138D">
        <w:tc>
          <w:tcPr>
            <w:tcW w:w="3258" w:type="dxa"/>
            <w:tcBorders>
              <w:top w:val="single" w:sz="12" w:space="0" w:color="000000"/>
              <w:left w:val="single" w:sz="4" w:space="0" w:color="000000"/>
              <w:bottom w:val="single" w:sz="12" w:space="0" w:color="000000"/>
            </w:tcBorders>
          </w:tcPr>
          <w:p w:rsidR="00A10686" w:rsidRPr="0015733B" w:rsidRDefault="00A10686" w:rsidP="0010138D">
            <w:pPr>
              <w:snapToGrid w:val="0"/>
              <w:rPr>
                <w:rFonts w:cs="Arial"/>
                <w:b/>
                <w:color w:val="000000"/>
                <w:kern w:val="36"/>
                <w:sz w:val="18"/>
                <w:szCs w:val="18"/>
              </w:rPr>
            </w:pPr>
            <w:r w:rsidRPr="0015733B">
              <w:rPr>
                <w:rFonts w:cs="Arial"/>
                <w:b/>
                <w:color w:val="000000"/>
                <w:kern w:val="36"/>
                <w:sz w:val="18"/>
                <w:szCs w:val="18"/>
              </w:rPr>
              <w:t>CASE-CONTROL STUDIES</w:t>
            </w:r>
          </w:p>
        </w:tc>
        <w:tc>
          <w:tcPr>
            <w:tcW w:w="990" w:type="dxa"/>
            <w:tcBorders>
              <w:top w:val="single" w:sz="12" w:space="0" w:color="000000"/>
              <w:bottom w:val="single" w:sz="12" w:space="0" w:color="000000"/>
            </w:tcBorders>
            <w:vAlign w:val="center"/>
          </w:tcPr>
          <w:p w:rsidR="00A10686" w:rsidRPr="0015733B" w:rsidRDefault="00A10686" w:rsidP="0010138D">
            <w:pPr>
              <w:snapToGrid w:val="0"/>
              <w:jc w:val="center"/>
              <w:rPr>
                <w:rFonts w:cs="Arial"/>
                <w:color w:val="000000"/>
                <w:kern w:val="36"/>
                <w:sz w:val="18"/>
                <w:szCs w:val="18"/>
              </w:rPr>
            </w:pPr>
          </w:p>
        </w:tc>
        <w:tc>
          <w:tcPr>
            <w:tcW w:w="900" w:type="dxa"/>
            <w:tcBorders>
              <w:top w:val="single" w:sz="12" w:space="0" w:color="000000"/>
              <w:bottom w:val="single" w:sz="12" w:space="0" w:color="000000"/>
            </w:tcBorders>
          </w:tcPr>
          <w:p w:rsidR="00A10686" w:rsidRPr="0015733B" w:rsidRDefault="00A10686" w:rsidP="0010138D">
            <w:pPr>
              <w:snapToGrid w:val="0"/>
              <w:ind w:left="90"/>
              <w:jc w:val="center"/>
              <w:rPr>
                <w:rFonts w:ascii="Arial" w:hAnsi="Arial" w:cs="Arial"/>
                <w:color w:val="000000"/>
                <w:kern w:val="36"/>
                <w:sz w:val="20"/>
              </w:rPr>
            </w:pPr>
          </w:p>
        </w:tc>
        <w:tc>
          <w:tcPr>
            <w:tcW w:w="990" w:type="dxa"/>
            <w:tcBorders>
              <w:top w:val="single" w:sz="12" w:space="0" w:color="000000"/>
              <w:bottom w:val="single" w:sz="12" w:space="0" w:color="000000"/>
            </w:tcBorders>
            <w:vAlign w:val="center"/>
          </w:tcPr>
          <w:p w:rsidR="00A10686" w:rsidRPr="0015733B" w:rsidRDefault="00A10686" w:rsidP="0010138D">
            <w:pPr>
              <w:snapToGrid w:val="0"/>
              <w:jc w:val="center"/>
              <w:rPr>
                <w:rFonts w:cs="Arial"/>
                <w:color w:val="000000"/>
                <w:kern w:val="36"/>
                <w:sz w:val="18"/>
                <w:szCs w:val="18"/>
              </w:rPr>
            </w:pPr>
          </w:p>
        </w:tc>
        <w:tc>
          <w:tcPr>
            <w:tcW w:w="990" w:type="dxa"/>
            <w:tcBorders>
              <w:top w:val="single" w:sz="12" w:space="0" w:color="000000"/>
              <w:bottom w:val="single" w:sz="12" w:space="0" w:color="000000"/>
              <w:right w:val="single" w:sz="4" w:space="0" w:color="000000"/>
            </w:tcBorders>
            <w:vAlign w:val="center"/>
          </w:tcPr>
          <w:p w:rsidR="00A10686" w:rsidRPr="0015733B" w:rsidRDefault="00A10686" w:rsidP="0010138D">
            <w:pPr>
              <w:snapToGrid w:val="0"/>
              <w:jc w:val="center"/>
              <w:rPr>
                <w:rFonts w:ascii="Arial" w:hAnsi="Arial" w:cs="Arial"/>
                <w:color w:val="000000"/>
                <w:kern w:val="36"/>
                <w:sz w:val="20"/>
              </w:rPr>
            </w:pPr>
          </w:p>
        </w:tc>
        <w:tc>
          <w:tcPr>
            <w:tcW w:w="990" w:type="dxa"/>
            <w:tcBorders>
              <w:top w:val="single" w:sz="12" w:space="0" w:color="000000"/>
              <w:bottom w:val="single" w:sz="12" w:space="0" w:color="000000"/>
              <w:right w:val="single" w:sz="4" w:space="0" w:color="000000"/>
            </w:tcBorders>
          </w:tcPr>
          <w:p w:rsidR="00A10686" w:rsidRPr="0015733B" w:rsidRDefault="00A10686" w:rsidP="0010138D">
            <w:pPr>
              <w:snapToGrid w:val="0"/>
              <w:jc w:val="center"/>
              <w:rPr>
                <w:rFonts w:ascii="Arial" w:hAnsi="Arial" w:cs="Arial"/>
                <w:color w:val="000000"/>
                <w:kern w:val="36"/>
                <w:sz w:val="20"/>
              </w:rPr>
            </w:pPr>
          </w:p>
        </w:tc>
      </w:tr>
      <w:tr w:rsidR="00A10686" w:rsidRPr="0015733B" w:rsidTr="0010138D">
        <w:tc>
          <w:tcPr>
            <w:tcW w:w="3258" w:type="dxa"/>
            <w:tcBorders>
              <w:top w:val="single" w:sz="12" w:space="0" w:color="000000"/>
              <w:left w:val="single" w:sz="4" w:space="0" w:color="000000"/>
              <w:bottom w:val="single" w:sz="4" w:space="0" w:color="000000"/>
            </w:tcBorders>
          </w:tcPr>
          <w:p w:rsidR="00A10686" w:rsidRPr="0015733B" w:rsidRDefault="00A10686" w:rsidP="0010138D">
            <w:pPr>
              <w:snapToGrid w:val="0"/>
              <w:ind w:left="180"/>
              <w:rPr>
                <w:rFonts w:cs="Arial"/>
                <w:color w:val="000000"/>
                <w:kern w:val="36"/>
                <w:sz w:val="18"/>
                <w:szCs w:val="18"/>
              </w:rPr>
            </w:pPr>
            <w:r w:rsidRPr="0015733B">
              <w:rPr>
                <w:rFonts w:cs="Arial"/>
                <w:color w:val="000000"/>
                <w:kern w:val="36"/>
                <w:sz w:val="18"/>
                <w:szCs w:val="18"/>
              </w:rPr>
              <w:t>Incidence cases from defined population over a specified time period</w:t>
            </w:r>
          </w:p>
        </w:tc>
        <w:tc>
          <w:tcPr>
            <w:tcW w:w="990" w:type="dxa"/>
            <w:tcBorders>
              <w:top w:val="single" w:sz="12" w:space="0" w:color="000000"/>
              <w:left w:val="single" w:sz="4" w:space="0" w:color="000000"/>
              <w:bottom w:val="single" w:sz="4" w:space="0" w:color="000000"/>
            </w:tcBorders>
            <w:vAlign w:val="center"/>
          </w:tcPr>
          <w:p w:rsidR="00A10686" w:rsidRPr="0015733B" w:rsidRDefault="00A10686" w:rsidP="0010138D">
            <w:pPr>
              <w:snapToGrid w:val="0"/>
              <w:jc w:val="center"/>
              <w:rPr>
                <w:rFonts w:cs="Arial"/>
                <w:color w:val="000000"/>
                <w:kern w:val="36"/>
                <w:sz w:val="18"/>
                <w:szCs w:val="18"/>
              </w:rPr>
            </w:pPr>
          </w:p>
        </w:tc>
        <w:tc>
          <w:tcPr>
            <w:tcW w:w="900" w:type="dxa"/>
            <w:tcBorders>
              <w:top w:val="single" w:sz="12" w:space="0" w:color="000000"/>
              <w:left w:val="single" w:sz="4" w:space="0" w:color="000000"/>
              <w:bottom w:val="single" w:sz="4" w:space="0" w:color="000000"/>
              <w:right w:val="single" w:sz="4" w:space="0" w:color="000000"/>
            </w:tcBorders>
          </w:tcPr>
          <w:p w:rsidR="00A10686" w:rsidRPr="0015733B" w:rsidRDefault="00A10686" w:rsidP="0010138D">
            <w:pPr>
              <w:snapToGrid w:val="0"/>
              <w:ind w:left="90"/>
              <w:jc w:val="center"/>
              <w:rPr>
                <w:rFonts w:ascii="Arial" w:hAnsi="Arial" w:cs="Arial"/>
                <w:color w:val="000000"/>
                <w:kern w:val="36"/>
                <w:sz w:val="20"/>
              </w:rPr>
            </w:pPr>
          </w:p>
        </w:tc>
        <w:tc>
          <w:tcPr>
            <w:tcW w:w="990" w:type="dxa"/>
            <w:tcBorders>
              <w:top w:val="single" w:sz="12" w:space="0" w:color="000000"/>
              <w:left w:val="single" w:sz="4" w:space="0" w:color="000000"/>
              <w:bottom w:val="single" w:sz="4" w:space="0" w:color="000000"/>
            </w:tcBorders>
            <w:vAlign w:val="center"/>
          </w:tcPr>
          <w:p w:rsidR="00A10686" w:rsidRPr="0015733B" w:rsidRDefault="00A10686" w:rsidP="0010138D">
            <w:pPr>
              <w:snapToGrid w:val="0"/>
              <w:jc w:val="center"/>
              <w:rPr>
                <w:rFonts w:cs="Arial"/>
                <w:color w:val="943634"/>
                <w:kern w:val="36"/>
                <w:sz w:val="18"/>
                <w:szCs w:val="18"/>
              </w:rPr>
            </w:pPr>
          </w:p>
        </w:tc>
        <w:tc>
          <w:tcPr>
            <w:tcW w:w="990" w:type="dxa"/>
            <w:tcBorders>
              <w:top w:val="single" w:sz="12" w:space="0" w:color="000000"/>
              <w:left w:val="single" w:sz="4" w:space="0" w:color="000000"/>
              <w:bottom w:val="single" w:sz="4" w:space="0" w:color="000000"/>
              <w:right w:val="single" w:sz="4" w:space="0" w:color="000000"/>
            </w:tcBorders>
            <w:vAlign w:val="center"/>
          </w:tcPr>
          <w:p w:rsidR="00A10686" w:rsidRPr="0015733B" w:rsidRDefault="00A10686" w:rsidP="0010138D">
            <w:pPr>
              <w:snapToGrid w:val="0"/>
              <w:jc w:val="center"/>
              <w:rPr>
                <w:rFonts w:ascii="Arial" w:hAnsi="Arial" w:cs="Arial"/>
                <w:color w:val="000000"/>
                <w:kern w:val="36"/>
                <w:sz w:val="20"/>
              </w:rPr>
            </w:pPr>
          </w:p>
        </w:tc>
        <w:tc>
          <w:tcPr>
            <w:tcW w:w="990" w:type="dxa"/>
            <w:tcBorders>
              <w:top w:val="single" w:sz="12" w:space="0" w:color="000000"/>
              <w:left w:val="single" w:sz="4" w:space="0" w:color="000000"/>
              <w:bottom w:val="single" w:sz="4" w:space="0" w:color="000000"/>
              <w:right w:val="single" w:sz="4" w:space="0" w:color="000000"/>
            </w:tcBorders>
          </w:tcPr>
          <w:p w:rsidR="00A10686" w:rsidRPr="0015733B" w:rsidRDefault="00A10686" w:rsidP="0010138D">
            <w:pPr>
              <w:snapToGrid w:val="0"/>
              <w:jc w:val="center"/>
              <w:rPr>
                <w:rFonts w:ascii="Arial" w:hAnsi="Arial" w:cs="Arial"/>
                <w:color w:val="000000"/>
                <w:kern w:val="36"/>
                <w:sz w:val="20"/>
              </w:rPr>
            </w:pPr>
          </w:p>
        </w:tc>
      </w:tr>
      <w:tr w:rsidR="00A10686" w:rsidRPr="0015733B" w:rsidTr="0010138D">
        <w:tc>
          <w:tcPr>
            <w:tcW w:w="3258" w:type="dxa"/>
            <w:tcBorders>
              <w:left w:val="single" w:sz="4" w:space="0" w:color="000000"/>
              <w:bottom w:val="single" w:sz="4" w:space="0" w:color="000000"/>
            </w:tcBorders>
          </w:tcPr>
          <w:p w:rsidR="00A10686" w:rsidRPr="0015733B" w:rsidRDefault="00A10686" w:rsidP="0010138D">
            <w:pPr>
              <w:snapToGrid w:val="0"/>
              <w:ind w:left="180"/>
              <w:rPr>
                <w:rFonts w:cs="Arial"/>
                <w:color w:val="000000"/>
                <w:kern w:val="36"/>
                <w:sz w:val="18"/>
                <w:szCs w:val="18"/>
              </w:rPr>
            </w:pPr>
            <w:r w:rsidRPr="0015733B">
              <w:rPr>
                <w:rFonts w:cs="Arial"/>
                <w:color w:val="000000"/>
                <w:kern w:val="36"/>
                <w:sz w:val="18"/>
                <w:szCs w:val="18"/>
              </w:rPr>
              <w:t>Controls represent the population from which the cases come</w:t>
            </w:r>
          </w:p>
        </w:tc>
        <w:tc>
          <w:tcPr>
            <w:tcW w:w="990" w:type="dxa"/>
            <w:tcBorders>
              <w:left w:val="single" w:sz="4" w:space="0" w:color="000000"/>
              <w:bottom w:val="single" w:sz="4" w:space="0" w:color="000000"/>
            </w:tcBorders>
            <w:vAlign w:val="center"/>
          </w:tcPr>
          <w:p w:rsidR="00A10686" w:rsidRPr="0015733B" w:rsidRDefault="00A10686" w:rsidP="0010138D">
            <w:pPr>
              <w:snapToGrid w:val="0"/>
              <w:jc w:val="center"/>
              <w:rPr>
                <w:rFonts w:cs="Arial"/>
                <w:color w:val="000000"/>
                <w:kern w:val="36"/>
                <w:sz w:val="18"/>
                <w:szCs w:val="18"/>
              </w:rPr>
            </w:pPr>
          </w:p>
        </w:tc>
        <w:tc>
          <w:tcPr>
            <w:tcW w:w="900" w:type="dxa"/>
            <w:tcBorders>
              <w:left w:val="single" w:sz="4" w:space="0" w:color="000000"/>
              <w:bottom w:val="single" w:sz="4" w:space="0" w:color="000000"/>
              <w:right w:val="single" w:sz="4" w:space="0" w:color="000000"/>
            </w:tcBorders>
          </w:tcPr>
          <w:p w:rsidR="00A10686" w:rsidRPr="0015733B" w:rsidRDefault="00A10686" w:rsidP="0010138D">
            <w:pPr>
              <w:snapToGrid w:val="0"/>
              <w:ind w:left="90"/>
              <w:jc w:val="center"/>
              <w:rPr>
                <w:rFonts w:ascii="Arial" w:hAnsi="Arial" w:cs="Arial"/>
                <w:color w:val="000000"/>
                <w:kern w:val="36"/>
                <w:sz w:val="18"/>
                <w:szCs w:val="18"/>
              </w:rPr>
            </w:pPr>
          </w:p>
        </w:tc>
        <w:tc>
          <w:tcPr>
            <w:tcW w:w="990" w:type="dxa"/>
            <w:tcBorders>
              <w:left w:val="single" w:sz="4" w:space="0" w:color="000000"/>
              <w:bottom w:val="single" w:sz="4" w:space="0" w:color="000000"/>
            </w:tcBorders>
            <w:vAlign w:val="center"/>
          </w:tcPr>
          <w:p w:rsidR="00A10686" w:rsidRPr="0015733B" w:rsidRDefault="00A10686" w:rsidP="0010138D">
            <w:pPr>
              <w:snapToGrid w:val="0"/>
              <w:jc w:val="center"/>
              <w:rPr>
                <w:rFonts w:cs="Arial"/>
                <w:color w:val="943634"/>
                <w:kern w:val="36"/>
                <w:sz w:val="18"/>
                <w:szCs w:val="18"/>
              </w:rPr>
            </w:pPr>
          </w:p>
        </w:tc>
        <w:tc>
          <w:tcPr>
            <w:tcW w:w="990" w:type="dxa"/>
            <w:tcBorders>
              <w:left w:val="single" w:sz="4" w:space="0" w:color="000000"/>
              <w:bottom w:val="single" w:sz="4" w:space="0" w:color="000000"/>
              <w:right w:val="single" w:sz="4" w:space="0" w:color="000000"/>
            </w:tcBorders>
            <w:vAlign w:val="center"/>
          </w:tcPr>
          <w:p w:rsidR="00A10686" w:rsidRPr="0015733B" w:rsidRDefault="00A10686" w:rsidP="0010138D">
            <w:pPr>
              <w:snapToGrid w:val="0"/>
              <w:jc w:val="center"/>
              <w:rPr>
                <w:rFonts w:ascii="Arial" w:hAnsi="Arial" w:cs="Arial"/>
                <w:color w:val="000000"/>
                <w:kern w:val="36"/>
                <w:sz w:val="18"/>
                <w:szCs w:val="18"/>
              </w:rPr>
            </w:pPr>
          </w:p>
        </w:tc>
        <w:tc>
          <w:tcPr>
            <w:tcW w:w="990" w:type="dxa"/>
            <w:tcBorders>
              <w:left w:val="single" w:sz="4" w:space="0" w:color="000000"/>
              <w:bottom w:val="single" w:sz="4" w:space="0" w:color="000000"/>
              <w:right w:val="single" w:sz="4" w:space="0" w:color="000000"/>
            </w:tcBorders>
          </w:tcPr>
          <w:p w:rsidR="00A10686" w:rsidRPr="0015733B" w:rsidRDefault="00A10686" w:rsidP="0010138D">
            <w:pPr>
              <w:snapToGrid w:val="0"/>
              <w:jc w:val="center"/>
              <w:rPr>
                <w:rFonts w:ascii="Arial" w:hAnsi="Arial" w:cs="Arial"/>
                <w:color w:val="000000"/>
                <w:kern w:val="36"/>
                <w:sz w:val="18"/>
                <w:szCs w:val="18"/>
              </w:rPr>
            </w:pPr>
          </w:p>
        </w:tc>
      </w:tr>
      <w:tr w:rsidR="00A10686" w:rsidRPr="0015733B" w:rsidTr="0010138D">
        <w:tc>
          <w:tcPr>
            <w:tcW w:w="3258" w:type="dxa"/>
            <w:tcBorders>
              <w:left w:val="single" w:sz="4" w:space="0" w:color="000000"/>
              <w:bottom w:val="single" w:sz="4" w:space="0" w:color="000000"/>
            </w:tcBorders>
          </w:tcPr>
          <w:p w:rsidR="00A10686" w:rsidRPr="0015733B" w:rsidRDefault="00A10686" w:rsidP="0010138D">
            <w:pPr>
              <w:snapToGrid w:val="0"/>
              <w:ind w:left="180"/>
              <w:rPr>
                <w:rFonts w:cs="Arial"/>
                <w:color w:val="000000"/>
                <w:kern w:val="36"/>
                <w:sz w:val="18"/>
                <w:szCs w:val="18"/>
              </w:rPr>
            </w:pPr>
            <w:r w:rsidRPr="0015733B">
              <w:rPr>
                <w:rFonts w:cs="Arial"/>
                <w:color w:val="000000"/>
                <w:kern w:val="36"/>
                <w:sz w:val="18"/>
                <w:szCs w:val="18"/>
              </w:rPr>
              <w:t>Exposure precedes an outcome of interest</w:t>
            </w:r>
          </w:p>
        </w:tc>
        <w:tc>
          <w:tcPr>
            <w:tcW w:w="990" w:type="dxa"/>
            <w:tcBorders>
              <w:left w:val="single" w:sz="4" w:space="0" w:color="000000"/>
              <w:bottom w:val="single" w:sz="4" w:space="0" w:color="000000"/>
            </w:tcBorders>
            <w:vAlign w:val="center"/>
          </w:tcPr>
          <w:p w:rsidR="00A10686" w:rsidRPr="0015733B" w:rsidRDefault="00A10686" w:rsidP="0010138D">
            <w:pPr>
              <w:snapToGrid w:val="0"/>
              <w:jc w:val="center"/>
              <w:rPr>
                <w:rFonts w:cs="Arial"/>
                <w:color w:val="000000"/>
                <w:kern w:val="36"/>
                <w:sz w:val="18"/>
                <w:szCs w:val="18"/>
              </w:rPr>
            </w:pPr>
          </w:p>
        </w:tc>
        <w:tc>
          <w:tcPr>
            <w:tcW w:w="900" w:type="dxa"/>
            <w:tcBorders>
              <w:left w:val="single" w:sz="4" w:space="0" w:color="000000"/>
              <w:bottom w:val="single" w:sz="4" w:space="0" w:color="000000"/>
              <w:right w:val="single" w:sz="4" w:space="0" w:color="000000"/>
            </w:tcBorders>
          </w:tcPr>
          <w:p w:rsidR="00A10686" w:rsidRPr="0015733B" w:rsidRDefault="00A10686" w:rsidP="0010138D">
            <w:pPr>
              <w:snapToGrid w:val="0"/>
              <w:ind w:left="90"/>
              <w:jc w:val="center"/>
              <w:rPr>
                <w:rFonts w:ascii="Arial" w:hAnsi="Arial" w:cs="Arial"/>
                <w:color w:val="000000"/>
                <w:kern w:val="36"/>
                <w:sz w:val="18"/>
                <w:szCs w:val="18"/>
              </w:rPr>
            </w:pPr>
          </w:p>
        </w:tc>
        <w:tc>
          <w:tcPr>
            <w:tcW w:w="990" w:type="dxa"/>
            <w:tcBorders>
              <w:left w:val="single" w:sz="4" w:space="0" w:color="000000"/>
              <w:bottom w:val="single" w:sz="4" w:space="0" w:color="000000"/>
            </w:tcBorders>
            <w:vAlign w:val="center"/>
          </w:tcPr>
          <w:p w:rsidR="00A10686" w:rsidRPr="0015733B" w:rsidRDefault="00A10686" w:rsidP="0010138D">
            <w:pPr>
              <w:snapToGrid w:val="0"/>
              <w:jc w:val="center"/>
              <w:rPr>
                <w:rFonts w:cs="Arial"/>
                <w:color w:val="943634"/>
                <w:kern w:val="36"/>
                <w:sz w:val="18"/>
                <w:szCs w:val="18"/>
              </w:rPr>
            </w:pPr>
          </w:p>
        </w:tc>
        <w:tc>
          <w:tcPr>
            <w:tcW w:w="990" w:type="dxa"/>
            <w:tcBorders>
              <w:left w:val="single" w:sz="4" w:space="0" w:color="000000"/>
              <w:bottom w:val="single" w:sz="4" w:space="0" w:color="000000"/>
              <w:right w:val="single" w:sz="4" w:space="0" w:color="000000"/>
            </w:tcBorders>
            <w:vAlign w:val="center"/>
          </w:tcPr>
          <w:p w:rsidR="00A10686" w:rsidRPr="0015733B" w:rsidRDefault="00A10686" w:rsidP="0010138D">
            <w:pPr>
              <w:snapToGrid w:val="0"/>
              <w:jc w:val="center"/>
              <w:rPr>
                <w:rFonts w:ascii="Arial" w:hAnsi="Arial" w:cs="Arial"/>
                <w:color w:val="000000"/>
                <w:kern w:val="36"/>
                <w:sz w:val="18"/>
                <w:szCs w:val="18"/>
              </w:rPr>
            </w:pPr>
          </w:p>
        </w:tc>
        <w:tc>
          <w:tcPr>
            <w:tcW w:w="990" w:type="dxa"/>
            <w:tcBorders>
              <w:left w:val="single" w:sz="4" w:space="0" w:color="000000"/>
              <w:bottom w:val="single" w:sz="4" w:space="0" w:color="000000"/>
              <w:right w:val="single" w:sz="4" w:space="0" w:color="000000"/>
            </w:tcBorders>
          </w:tcPr>
          <w:p w:rsidR="00A10686" w:rsidRPr="0015733B" w:rsidRDefault="00A10686" w:rsidP="0010138D">
            <w:pPr>
              <w:snapToGrid w:val="0"/>
              <w:jc w:val="center"/>
              <w:rPr>
                <w:rFonts w:ascii="Arial" w:hAnsi="Arial" w:cs="Arial"/>
                <w:color w:val="000000"/>
                <w:kern w:val="36"/>
                <w:sz w:val="18"/>
                <w:szCs w:val="18"/>
              </w:rPr>
            </w:pPr>
          </w:p>
        </w:tc>
      </w:tr>
      <w:tr w:rsidR="00A10686" w:rsidRPr="0015733B" w:rsidTr="0010138D">
        <w:tc>
          <w:tcPr>
            <w:tcW w:w="3258" w:type="dxa"/>
            <w:tcBorders>
              <w:top w:val="single" w:sz="4" w:space="0" w:color="000000"/>
              <w:left w:val="single" w:sz="4" w:space="0" w:color="000000"/>
              <w:bottom w:val="single" w:sz="12" w:space="0" w:color="000000"/>
            </w:tcBorders>
          </w:tcPr>
          <w:p w:rsidR="00A10686" w:rsidRPr="0015733B" w:rsidRDefault="00A10686" w:rsidP="0010138D">
            <w:pPr>
              <w:snapToGrid w:val="0"/>
              <w:ind w:left="180"/>
              <w:rPr>
                <w:rFonts w:cs="Arial"/>
                <w:color w:val="000000"/>
                <w:kern w:val="36"/>
                <w:sz w:val="18"/>
                <w:szCs w:val="18"/>
              </w:rPr>
            </w:pPr>
            <w:r w:rsidRPr="0015733B">
              <w:rPr>
                <w:rFonts w:cs="Arial"/>
                <w:color w:val="000000"/>
                <w:kern w:val="36"/>
                <w:sz w:val="18"/>
                <w:szCs w:val="18"/>
              </w:rPr>
              <w:lastRenderedPageBreak/>
              <w:t>Accounting for other prognostic factors</w:t>
            </w:r>
          </w:p>
        </w:tc>
        <w:tc>
          <w:tcPr>
            <w:tcW w:w="990" w:type="dxa"/>
            <w:tcBorders>
              <w:top w:val="single" w:sz="4" w:space="0" w:color="000000"/>
              <w:left w:val="single" w:sz="4" w:space="0" w:color="000000"/>
              <w:bottom w:val="single" w:sz="12" w:space="0" w:color="000000"/>
            </w:tcBorders>
            <w:vAlign w:val="center"/>
          </w:tcPr>
          <w:p w:rsidR="00A10686" w:rsidRPr="0015733B" w:rsidRDefault="00A10686" w:rsidP="0010138D">
            <w:pPr>
              <w:snapToGrid w:val="0"/>
              <w:jc w:val="center"/>
              <w:rPr>
                <w:rFonts w:cs="Arial"/>
                <w:color w:val="000000"/>
                <w:kern w:val="36"/>
                <w:sz w:val="18"/>
                <w:szCs w:val="18"/>
              </w:rPr>
            </w:pPr>
          </w:p>
        </w:tc>
        <w:tc>
          <w:tcPr>
            <w:tcW w:w="900" w:type="dxa"/>
            <w:tcBorders>
              <w:top w:val="single" w:sz="4" w:space="0" w:color="000000"/>
              <w:left w:val="single" w:sz="4" w:space="0" w:color="000000"/>
              <w:bottom w:val="single" w:sz="12" w:space="0" w:color="000000"/>
              <w:right w:val="single" w:sz="4" w:space="0" w:color="000000"/>
            </w:tcBorders>
          </w:tcPr>
          <w:p w:rsidR="00A10686" w:rsidRPr="0015733B" w:rsidRDefault="00A10686" w:rsidP="0010138D">
            <w:pPr>
              <w:snapToGrid w:val="0"/>
              <w:ind w:left="90"/>
              <w:jc w:val="center"/>
              <w:rPr>
                <w:rFonts w:ascii="Arial" w:hAnsi="Arial" w:cs="Arial"/>
                <w:color w:val="000000"/>
                <w:kern w:val="36"/>
                <w:sz w:val="18"/>
                <w:szCs w:val="18"/>
              </w:rPr>
            </w:pPr>
          </w:p>
        </w:tc>
        <w:tc>
          <w:tcPr>
            <w:tcW w:w="990" w:type="dxa"/>
            <w:tcBorders>
              <w:top w:val="single" w:sz="4" w:space="0" w:color="000000"/>
              <w:left w:val="single" w:sz="4" w:space="0" w:color="000000"/>
              <w:bottom w:val="single" w:sz="12" w:space="0" w:color="000000"/>
            </w:tcBorders>
            <w:vAlign w:val="center"/>
          </w:tcPr>
          <w:p w:rsidR="00A10686" w:rsidRPr="0015733B" w:rsidRDefault="00A10686" w:rsidP="0010138D">
            <w:pPr>
              <w:snapToGrid w:val="0"/>
              <w:jc w:val="center"/>
              <w:rPr>
                <w:rFonts w:cs="Arial"/>
                <w:color w:val="000000"/>
                <w:kern w:val="36"/>
                <w:sz w:val="18"/>
                <w:szCs w:val="18"/>
              </w:rPr>
            </w:pPr>
          </w:p>
        </w:tc>
        <w:tc>
          <w:tcPr>
            <w:tcW w:w="990" w:type="dxa"/>
            <w:tcBorders>
              <w:top w:val="single" w:sz="4" w:space="0" w:color="000000"/>
              <w:left w:val="single" w:sz="4" w:space="0" w:color="000000"/>
              <w:bottom w:val="single" w:sz="12" w:space="0" w:color="000000"/>
              <w:right w:val="single" w:sz="4" w:space="0" w:color="000000"/>
            </w:tcBorders>
            <w:vAlign w:val="center"/>
          </w:tcPr>
          <w:p w:rsidR="00A10686" w:rsidRPr="0015733B" w:rsidRDefault="00A10686" w:rsidP="0010138D">
            <w:pPr>
              <w:snapToGrid w:val="0"/>
              <w:jc w:val="center"/>
              <w:rPr>
                <w:rFonts w:ascii="Arial" w:hAnsi="Arial" w:cs="Arial"/>
                <w:color w:val="000000"/>
                <w:kern w:val="36"/>
                <w:sz w:val="18"/>
                <w:szCs w:val="18"/>
              </w:rPr>
            </w:pPr>
          </w:p>
        </w:tc>
        <w:tc>
          <w:tcPr>
            <w:tcW w:w="990" w:type="dxa"/>
            <w:tcBorders>
              <w:top w:val="single" w:sz="4" w:space="0" w:color="000000"/>
              <w:left w:val="single" w:sz="4" w:space="0" w:color="000000"/>
              <w:bottom w:val="single" w:sz="12" w:space="0" w:color="000000"/>
              <w:right w:val="single" w:sz="4" w:space="0" w:color="000000"/>
            </w:tcBorders>
          </w:tcPr>
          <w:p w:rsidR="00A10686" w:rsidRPr="0015733B" w:rsidRDefault="00A10686" w:rsidP="0010138D">
            <w:pPr>
              <w:snapToGrid w:val="0"/>
              <w:jc w:val="center"/>
              <w:rPr>
                <w:rFonts w:ascii="Arial" w:hAnsi="Arial" w:cs="Arial"/>
                <w:color w:val="000000"/>
                <w:kern w:val="36"/>
                <w:sz w:val="18"/>
                <w:szCs w:val="18"/>
              </w:rPr>
            </w:pPr>
          </w:p>
        </w:tc>
      </w:tr>
      <w:tr w:rsidR="00A10686" w:rsidRPr="0015733B" w:rsidTr="0010138D">
        <w:tc>
          <w:tcPr>
            <w:tcW w:w="3258" w:type="dxa"/>
            <w:tcBorders>
              <w:top w:val="single" w:sz="12" w:space="0" w:color="000000"/>
              <w:left w:val="single" w:sz="4" w:space="0" w:color="000000"/>
              <w:bottom w:val="single" w:sz="12" w:space="0" w:color="000000"/>
            </w:tcBorders>
            <w:shd w:val="clear" w:color="auto" w:fill="D9D9D9" w:themeFill="background1" w:themeFillShade="D9"/>
          </w:tcPr>
          <w:p w:rsidR="00A10686" w:rsidRPr="0015733B" w:rsidRDefault="00A10686" w:rsidP="0010138D">
            <w:pPr>
              <w:snapToGrid w:val="0"/>
              <w:rPr>
                <w:rFonts w:cs="Arial"/>
                <w:b/>
                <w:color w:val="000000"/>
                <w:kern w:val="36"/>
                <w:sz w:val="18"/>
                <w:szCs w:val="18"/>
              </w:rPr>
            </w:pPr>
            <w:r w:rsidRPr="0015733B">
              <w:rPr>
                <w:rFonts w:cs="Arial"/>
                <w:b/>
                <w:color w:val="000000"/>
                <w:kern w:val="36"/>
                <w:sz w:val="18"/>
                <w:szCs w:val="18"/>
              </w:rPr>
              <w:t>CROSS-SECTIONAL STUDIES</w:t>
            </w:r>
          </w:p>
        </w:tc>
        <w:tc>
          <w:tcPr>
            <w:tcW w:w="990" w:type="dxa"/>
            <w:tcBorders>
              <w:top w:val="single" w:sz="12" w:space="0" w:color="000000"/>
              <w:bottom w:val="single" w:sz="12" w:space="0" w:color="000000"/>
            </w:tcBorders>
            <w:shd w:val="clear" w:color="auto" w:fill="D9D9D9" w:themeFill="background1" w:themeFillShade="D9"/>
            <w:vAlign w:val="center"/>
          </w:tcPr>
          <w:p w:rsidR="00A10686" w:rsidRPr="0015733B" w:rsidRDefault="00A10686" w:rsidP="0010138D">
            <w:pPr>
              <w:snapToGrid w:val="0"/>
              <w:jc w:val="center"/>
              <w:rPr>
                <w:rFonts w:cs="Arial"/>
                <w:color w:val="000000"/>
                <w:kern w:val="36"/>
                <w:sz w:val="18"/>
                <w:szCs w:val="18"/>
              </w:rPr>
            </w:pPr>
          </w:p>
        </w:tc>
        <w:tc>
          <w:tcPr>
            <w:tcW w:w="900" w:type="dxa"/>
            <w:tcBorders>
              <w:top w:val="single" w:sz="12" w:space="0" w:color="000000"/>
              <w:bottom w:val="single" w:sz="12" w:space="0" w:color="000000"/>
            </w:tcBorders>
            <w:shd w:val="clear" w:color="auto" w:fill="D9D9D9" w:themeFill="background1" w:themeFillShade="D9"/>
          </w:tcPr>
          <w:p w:rsidR="00A10686" w:rsidRPr="0015733B" w:rsidRDefault="00A10686" w:rsidP="0010138D">
            <w:pPr>
              <w:snapToGrid w:val="0"/>
              <w:ind w:left="90"/>
              <w:jc w:val="center"/>
              <w:rPr>
                <w:rFonts w:ascii="Arial" w:hAnsi="Arial" w:cs="Arial"/>
                <w:color w:val="000000"/>
                <w:kern w:val="36"/>
                <w:sz w:val="18"/>
                <w:szCs w:val="18"/>
              </w:rPr>
            </w:pPr>
          </w:p>
        </w:tc>
        <w:tc>
          <w:tcPr>
            <w:tcW w:w="990" w:type="dxa"/>
            <w:tcBorders>
              <w:top w:val="single" w:sz="12" w:space="0" w:color="000000"/>
              <w:bottom w:val="single" w:sz="12" w:space="0" w:color="000000"/>
            </w:tcBorders>
            <w:shd w:val="clear" w:color="auto" w:fill="D9D9D9" w:themeFill="background1" w:themeFillShade="D9"/>
            <w:vAlign w:val="center"/>
          </w:tcPr>
          <w:p w:rsidR="00A10686" w:rsidRPr="0015733B" w:rsidRDefault="00A10686" w:rsidP="0010138D">
            <w:pPr>
              <w:snapToGrid w:val="0"/>
              <w:jc w:val="center"/>
              <w:rPr>
                <w:rFonts w:cs="Arial"/>
                <w:color w:val="000000"/>
                <w:kern w:val="36"/>
                <w:sz w:val="18"/>
                <w:szCs w:val="18"/>
              </w:rPr>
            </w:pPr>
          </w:p>
        </w:tc>
        <w:tc>
          <w:tcPr>
            <w:tcW w:w="990" w:type="dxa"/>
            <w:tcBorders>
              <w:top w:val="single" w:sz="12" w:space="0" w:color="000000"/>
              <w:bottom w:val="single" w:sz="12"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ascii="Arial" w:hAnsi="Arial" w:cs="Arial"/>
                <w:color w:val="000000"/>
                <w:kern w:val="36"/>
                <w:sz w:val="18"/>
                <w:szCs w:val="18"/>
              </w:rPr>
            </w:pPr>
          </w:p>
        </w:tc>
        <w:tc>
          <w:tcPr>
            <w:tcW w:w="990" w:type="dxa"/>
            <w:tcBorders>
              <w:top w:val="single" w:sz="12" w:space="0" w:color="000000"/>
              <w:bottom w:val="single" w:sz="12" w:space="0" w:color="000000"/>
              <w:right w:val="single" w:sz="4" w:space="0" w:color="000000"/>
            </w:tcBorders>
            <w:shd w:val="clear" w:color="auto" w:fill="D9D9D9" w:themeFill="background1" w:themeFillShade="D9"/>
          </w:tcPr>
          <w:p w:rsidR="00A10686" w:rsidRPr="0015733B" w:rsidRDefault="00A10686" w:rsidP="0010138D">
            <w:pPr>
              <w:snapToGrid w:val="0"/>
              <w:jc w:val="center"/>
              <w:rPr>
                <w:rFonts w:ascii="Arial" w:hAnsi="Arial" w:cs="Arial"/>
                <w:color w:val="000000"/>
                <w:kern w:val="36"/>
                <w:sz w:val="18"/>
                <w:szCs w:val="18"/>
              </w:rPr>
            </w:pPr>
          </w:p>
        </w:tc>
      </w:tr>
      <w:tr w:rsidR="00A10686" w:rsidRPr="0015733B" w:rsidTr="0010138D">
        <w:tc>
          <w:tcPr>
            <w:tcW w:w="3258" w:type="dxa"/>
            <w:tcBorders>
              <w:top w:val="single" w:sz="12" w:space="0" w:color="000000"/>
              <w:left w:val="single" w:sz="4" w:space="0" w:color="000000"/>
              <w:bottom w:val="single" w:sz="4" w:space="0" w:color="000000"/>
            </w:tcBorders>
            <w:shd w:val="clear" w:color="auto" w:fill="D9D9D9" w:themeFill="background1" w:themeFillShade="D9"/>
          </w:tcPr>
          <w:p w:rsidR="00A10686" w:rsidRPr="0015733B" w:rsidRDefault="00A10686" w:rsidP="0010138D">
            <w:pPr>
              <w:snapToGrid w:val="0"/>
              <w:ind w:left="180"/>
              <w:rPr>
                <w:rFonts w:cs="Arial"/>
                <w:color w:val="000000"/>
                <w:kern w:val="36"/>
                <w:sz w:val="18"/>
                <w:szCs w:val="18"/>
              </w:rPr>
            </w:pPr>
            <w:r w:rsidRPr="0015733B">
              <w:rPr>
                <w:rFonts w:cs="Arial"/>
                <w:color w:val="000000"/>
                <w:kern w:val="36"/>
                <w:sz w:val="18"/>
                <w:szCs w:val="18"/>
              </w:rPr>
              <w:t>A</w:t>
            </w:r>
            <w:r w:rsidRPr="0015733B">
              <w:rPr>
                <w:color w:val="000000"/>
                <w:kern w:val="36"/>
                <w:sz w:val="18"/>
                <w:szCs w:val="18"/>
              </w:rPr>
              <w:t xml:space="preserve"> representative sample of the population of interest</w:t>
            </w:r>
          </w:p>
        </w:tc>
        <w:tc>
          <w:tcPr>
            <w:tcW w:w="990" w:type="dxa"/>
            <w:tcBorders>
              <w:top w:val="single" w:sz="12" w:space="0" w:color="000000"/>
              <w:left w:val="single" w:sz="4" w:space="0" w:color="000000"/>
              <w:bottom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000000"/>
                <w:kern w:val="36"/>
                <w:sz w:val="18"/>
                <w:szCs w:val="18"/>
              </w:rPr>
            </w:pPr>
          </w:p>
        </w:tc>
        <w:tc>
          <w:tcPr>
            <w:tcW w:w="90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Pr>
          <w:p w:rsidR="00A10686" w:rsidRPr="0015733B" w:rsidRDefault="00A10686" w:rsidP="0010138D">
            <w:pPr>
              <w:snapToGrid w:val="0"/>
              <w:ind w:left="90"/>
              <w:jc w:val="center"/>
              <w:rPr>
                <w:rFonts w:ascii="Arial" w:hAnsi="Arial" w:cs="Arial"/>
                <w:color w:val="000000"/>
                <w:kern w:val="36"/>
                <w:sz w:val="18"/>
                <w:szCs w:val="18"/>
              </w:rPr>
            </w:pPr>
          </w:p>
        </w:tc>
        <w:tc>
          <w:tcPr>
            <w:tcW w:w="990" w:type="dxa"/>
            <w:tcBorders>
              <w:top w:val="single" w:sz="12" w:space="0" w:color="000000"/>
              <w:left w:val="single" w:sz="4" w:space="0" w:color="000000"/>
              <w:bottom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000000"/>
                <w:kern w:val="36"/>
                <w:sz w:val="18"/>
                <w:szCs w:val="18"/>
              </w:rPr>
            </w:pPr>
          </w:p>
        </w:tc>
        <w:tc>
          <w:tcPr>
            <w:tcW w:w="99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ascii="Arial" w:hAnsi="Arial" w:cs="Arial"/>
                <w:color w:val="000000"/>
                <w:kern w:val="36"/>
                <w:sz w:val="18"/>
                <w:szCs w:val="18"/>
              </w:rPr>
            </w:pPr>
          </w:p>
        </w:tc>
        <w:tc>
          <w:tcPr>
            <w:tcW w:w="99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Pr>
          <w:p w:rsidR="00A10686" w:rsidRPr="0015733B" w:rsidRDefault="00A10686" w:rsidP="0010138D">
            <w:pPr>
              <w:snapToGrid w:val="0"/>
              <w:jc w:val="center"/>
              <w:rPr>
                <w:rFonts w:ascii="Arial" w:hAnsi="Arial" w:cs="Arial"/>
                <w:color w:val="000000"/>
                <w:kern w:val="36"/>
                <w:sz w:val="18"/>
                <w:szCs w:val="18"/>
              </w:rPr>
            </w:pPr>
          </w:p>
        </w:tc>
      </w:tr>
      <w:tr w:rsidR="00A10686" w:rsidRPr="0015733B" w:rsidTr="0010138D">
        <w:tc>
          <w:tcPr>
            <w:tcW w:w="3258" w:type="dxa"/>
            <w:tcBorders>
              <w:left w:val="single" w:sz="4" w:space="0" w:color="000000"/>
              <w:bottom w:val="single" w:sz="4" w:space="0" w:color="000000"/>
            </w:tcBorders>
            <w:shd w:val="clear" w:color="auto" w:fill="D9D9D9" w:themeFill="background1" w:themeFillShade="D9"/>
          </w:tcPr>
          <w:p w:rsidR="00A10686" w:rsidRPr="0015733B" w:rsidRDefault="00A10686" w:rsidP="0010138D">
            <w:pPr>
              <w:snapToGrid w:val="0"/>
              <w:ind w:left="180"/>
              <w:rPr>
                <w:rFonts w:cs="Arial"/>
                <w:color w:val="000000"/>
                <w:kern w:val="36"/>
                <w:sz w:val="18"/>
                <w:szCs w:val="18"/>
              </w:rPr>
            </w:pPr>
            <w:r w:rsidRPr="0015733B">
              <w:rPr>
                <w:rFonts w:cs="Arial"/>
                <w:color w:val="000000"/>
                <w:kern w:val="36"/>
                <w:sz w:val="18"/>
                <w:szCs w:val="18"/>
              </w:rPr>
              <w:t>E</w:t>
            </w:r>
            <w:r w:rsidRPr="0015733B">
              <w:rPr>
                <w:color w:val="000000"/>
                <w:kern w:val="36"/>
                <w:sz w:val="18"/>
                <w:szCs w:val="18"/>
              </w:rPr>
              <w:t>xposure that precedes an outcome of interest (e.g., sex, genetic factor)</w:t>
            </w:r>
            <w:r w:rsidRPr="0015733B">
              <w:rPr>
                <w:rFonts w:cs="Arial"/>
                <w:color w:val="000000"/>
                <w:kern w:val="36"/>
                <w:sz w:val="18"/>
                <w:szCs w:val="18"/>
              </w:rPr>
              <w:t xml:space="preserve"> </w:t>
            </w:r>
          </w:p>
        </w:tc>
        <w:tc>
          <w:tcPr>
            <w:tcW w:w="990" w:type="dxa"/>
            <w:tcBorders>
              <w:left w:val="single" w:sz="4" w:space="0" w:color="000000"/>
              <w:bottom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000000"/>
                <w:kern w:val="36"/>
                <w:sz w:val="18"/>
                <w:szCs w:val="18"/>
              </w:rPr>
            </w:pPr>
          </w:p>
        </w:tc>
        <w:tc>
          <w:tcPr>
            <w:tcW w:w="900" w:type="dxa"/>
            <w:tcBorders>
              <w:left w:val="single" w:sz="4" w:space="0" w:color="000000"/>
              <w:bottom w:val="single" w:sz="4" w:space="0" w:color="000000"/>
              <w:right w:val="single" w:sz="4" w:space="0" w:color="000000"/>
            </w:tcBorders>
            <w:shd w:val="clear" w:color="auto" w:fill="D9D9D9" w:themeFill="background1" w:themeFillShade="D9"/>
          </w:tcPr>
          <w:p w:rsidR="00A10686" w:rsidRPr="0015733B" w:rsidRDefault="00A10686" w:rsidP="0010138D">
            <w:pPr>
              <w:snapToGrid w:val="0"/>
              <w:ind w:left="90"/>
              <w:jc w:val="center"/>
              <w:rPr>
                <w:rFonts w:ascii="Arial" w:hAnsi="Arial" w:cs="Arial"/>
                <w:color w:val="000000"/>
                <w:kern w:val="36"/>
                <w:sz w:val="18"/>
                <w:szCs w:val="18"/>
              </w:rPr>
            </w:pPr>
          </w:p>
        </w:tc>
        <w:tc>
          <w:tcPr>
            <w:tcW w:w="990" w:type="dxa"/>
            <w:tcBorders>
              <w:left w:val="single" w:sz="4" w:space="0" w:color="000000"/>
              <w:bottom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000000"/>
                <w:kern w:val="36"/>
                <w:sz w:val="18"/>
                <w:szCs w:val="18"/>
              </w:rPr>
            </w:pPr>
          </w:p>
        </w:tc>
        <w:tc>
          <w:tcPr>
            <w:tcW w:w="99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ascii="Arial" w:hAnsi="Arial" w:cs="Arial"/>
                <w:color w:val="000000"/>
                <w:kern w:val="36"/>
                <w:sz w:val="18"/>
                <w:szCs w:val="18"/>
              </w:rPr>
            </w:pPr>
          </w:p>
        </w:tc>
        <w:tc>
          <w:tcPr>
            <w:tcW w:w="990" w:type="dxa"/>
            <w:tcBorders>
              <w:left w:val="single" w:sz="4" w:space="0" w:color="000000"/>
              <w:bottom w:val="single" w:sz="4" w:space="0" w:color="000000"/>
              <w:right w:val="single" w:sz="4" w:space="0" w:color="000000"/>
            </w:tcBorders>
            <w:shd w:val="clear" w:color="auto" w:fill="D9D9D9" w:themeFill="background1" w:themeFillShade="D9"/>
          </w:tcPr>
          <w:p w:rsidR="00A10686" w:rsidRPr="0015733B" w:rsidRDefault="00A10686" w:rsidP="0010138D">
            <w:pPr>
              <w:snapToGrid w:val="0"/>
              <w:jc w:val="center"/>
              <w:rPr>
                <w:rFonts w:ascii="Arial" w:hAnsi="Arial" w:cs="Arial"/>
                <w:color w:val="000000"/>
                <w:kern w:val="36"/>
                <w:sz w:val="18"/>
                <w:szCs w:val="18"/>
              </w:rPr>
            </w:pPr>
          </w:p>
        </w:tc>
      </w:tr>
      <w:tr w:rsidR="00A10686" w:rsidRPr="0015733B" w:rsidTr="0010138D">
        <w:tc>
          <w:tcPr>
            <w:tcW w:w="3258" w:type="dxa"/>
            <w:tcBorders>
              <w:left w:val="single" w:sz="4" w:space="0" w:color="000000"/>
              <w:bottom w:val="single" w:sz="4" w:space="0" w:color="000000"/>
            </w:tcBorders>
            <w:shd w:val="clear" w:color="auto" w:fill="D9D9D9" w:themeFill="background1" w:themeFillShade="D9"/>
          </w:tcPr>
          <w:p w:rsidR="00A10686" w:rsidRPr="0015733B" w:rsidRDefault="00A10686" w:rsidP="0010138D">
            <w:pPr>
              <w:snapToGrid w:val="0"/>
              <w:ind w:left="180"/>
              <w:rPr>
                <w:rFonts w:cs="Arial"/>
                <w:color w:val="000000"/>
                <w:kern w:val="36"/>
                <w:sz w:val="18"/>
                <w:szCs w:val="18"/>
              </w:rPr>
            </w:pPr>
            <w:r w:rsidRPr="0015733B">
              <w:rPr>
                <w:rFonts w:cs="Arial"/>
                <w:color w:val="000000"/>
                <w:kern w:val="36"/>
                <w:sz w:val="18"/>
                <w:szCs w:val="18"/>
              </w:rPr>
              <w:t>A</w:t>
            </w:r>
            <w:r w:rsidRPr="0015733B">
              <w:rPr>
                <w:color w:val="000000"/>
                <w:kern w:val="36"/>
                <w:sz w:val="18"/>
                <w:szCs w:val="18"/>
              </w:rPr>
              <w:t>ccounting for other prognostic factors</w:t>
            </w:r>
          </w:p>
        </w:tc>
        <w:tc>
          <w:tcPr>
            <w:tcW w:w="990" w:type="dxa"/>
            <w:tcBorders>
              <w:left w:val="single" w:sz="4" w:space="0" w:color="000000"/>
              <w:bottom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000000"/>
                <w:kern w:val="36"/>
                <w:sz w:val="18"/>
                <w:szCs w:val="18"/>
              </w:rPr>
            </w:pPr>
          </w:p>
        </w:tc>
        <w:tc>
          <w:tcPr>
            <w:tcW w:w="900" w:type="dxa"/>
            <w:tcBorders>
              <w:left w:val="single" w:sz="4" w:space="0" w:color="000000"/>
              <w:bottom w:val="single" w:sz="4" w:space="0" w:color="000000"/>
              <w:right w:val="single" w:sz="4" w:space="0" w:color="000000"/>
            </w:tcBorders>
            <w:shd w:val="clear" w:color="auto" w:fill="D9D9D9" w:themeFill="background1" w:themeFillShade="D9"/>
          </w:tcPr>
          <w:p w:rsidR="00A10686" w:rsidRPr="0015733B" w:rsidRDefault="00A10686" w:rsidP="0010138D">
            <w:pPr>
              <w:snapToGrid w:val="0"/>
              <w:ind w:left="90"/>
              <w:jc w:val="center"/>
              <w:rPr>
                <w:rFonts w:ascii="Arial" w:hAnsi="Arial" w:cs="Arial"/>
                <w:color w:val="000000"/>
                <w:kern w:val="36"/>
                <w:sz w:val="18"/>
                <w:szCs w:val="18"/>
              </w:rPr>
            </w:pPr>
          </w:p>
        </w:tc>
        <w:tc>
          <w:tcPr>
            <w:tcW w:w="990" w:type="dxa"/>
            <w:tcBorders>
              <w:left w:val="single" w:sz="4" w:space="0" w:color="000000"/>
              <w:bottom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000000"/>
                <w:kern w:val="36"/>
                <w:sz w:val="18"/>
                <w:szCs w:val="18"/>
              </w:rPr>
            </w:pPr>
          </w:p>
        </w:tc>
        <w:tc>
          <w:tcPr>
            <w:tcW w:w="99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ascii="Arial" w:hAnsi="Arial" w:cs="Arial"/>
                <w:color w:val="000000"/>
                <w:kern w:val="36"/>
                <w:sz w:val="18"/>
                <w:szCs w:val="18"/>
              </w:rPr>
            </w:pPr>
          </w:p>
        </w:tc>
        <w:tc>
          <w:tcPr>
            <w:tcW w:w="990" w:type="dxa"/>
            <w:tcBorders>
              <w:left w:val="single" w:sz="4" w:space="0" w:color="000000"/>
              <w:bottom w:val="single" w:sz="4" w:space="0" w:color="000000"/>
              <w:right w:val="single" w:sz="4" w:space="0" w:color="000000"/>
            </w:tcBorders>
            <w:shd w:val="clear" w:color="auto" w:fill="D9D9D9" w:themeFill="background1" w:themeFillShade="D9"/>
          </w:tcPr>
          <w:p w:rsidR="00A10686" w:rsidRPr="0015733B" w:rsidRDefault="00A10686" w:rsidP="0010138D">
            <w:pPr>
              <w:snapToGrid w:val="0"/>
              <w:jc w:val="center"/>
              <w:rPr>
                <w:rFonts w:ascii="Arial" w:hAnsi="Arial" w:cs="Arial"/>
                <w:color w:val="000000"/>
                <w:kern w:val="36"/>
                <w:sz w:val="18"/>
                <w:szCs w:val="18"/>
              </w:rPr>
            </w:pPr>
          </w:p>
        </w:tc>
      </w:tr>
      <w:tr w:rsidR="00A10686" w:rsidRPr="0015733B" w:rsidTr="0010138D">
        <w:tc>
          <w:tcPr>
            <w:tcW w:w="3258" w:type="dxa"/>
            <w:tcBorders>
              <w:left w:val="single" w:sz="4" w:space="0" w:color="000000"/>
              <w:bottom w:val="single" w:sz="4" w:space="0" w:color="000000"/>
            </w:tcBorders>
            <w:shd w:val="clear" w:color="auto" w:fill="D9D9D9" w:themeFill="background1" w:themeFillShade="D9"/>
          </w:tcPr>
          <w:p w:rsidR="00A10686" w:rsidRPr="0015733B" w:rsidRDefault="00A10686" w:rsidP="0010138D">
            <w:pPr>
              <w:snapToGrid w:val="0"/>
              <w:ind w:left="180"/>
              <w:rPr>
                <w:rFonts w:cs="Arial"/>
                <w:color w:val="000000"/>
                <w:kern w:val="36"/>
                <w:sz w:val="18"/>
                <w:szCs w:val="18"/>
              </w:rPr>
            </w:pPr>
            <w:r w:rsidRPr="0015733B">
              <w:rPr>
                <w:rFonts w:cs="Arial"/>
                <w:color w:val="000000"/>
                <w:kern w:val="36"/>
                <w:sz w:val="18"/>
                <w:szCs w:val="18"/>
              </w:rPr>
              <w:t xml:space="preserve">For surveys, a </w:t>
            </w:r>
            <w:r w:rsidRPr="0015733B">
              <w:rPr>
                <w:color w:val="000000"/>
                <w:kern w:val="36"/>
                <w:sz w:val="18"/>
                <w:szCs w:val="18"/>
              </w:rPr>
              <w:t>return rate</w:t>
            </w:r>
            <w:r w:rsidRPr="0015733B">
              <w:rPr>
                <w:rFonts w:cs="Arial"/>
                <w:color w:val="000000"/>
                <w:kern w:val="36"/>
                <w:sz w:val="18"/>
                <w:szCs w:val="18"/>
              </w:rPr>
              <w:t xml:space="preserve"> of  </w:t>
            </w:r>
            <w:r w:rsidRPr="0015733B">
              <w:rPr>
                <w:rFonts w:cs="Arial"/>
                <w:color w:val="000000"/>
                <w:kern w:val="36"/>
                <w:sz w:val="18"/>
                <w:szCs w:val="18"/>
                <w:u w:val="single"/>
              </w:rPr>
              <w:t>&gt;</w:t>
            </w:r>
            <w:r w:rsidRPr="0015733B">
              <w:rPr>
                <w:rFonts w:cs="Arial"/>
                <w:color w:val="000000"/>
                <w:kern w:val="36"/>
                <w:sz w:val="18"/>
                <w:szCs w:val="18"/>
              </w:rPr>
              <w:t xml:space="preserve"> 80%</w:t>
            </w:r>
          </w:p>
        </w:tc>
        <w:tc>
          <w:tcPr>
            <w:tcW w:w="990" w:type="dxa"/>
            <w:tcBorders>
              <w:left w:val="single" w:sz="4" w:space="0" w:color="000000"/>
              <w:bottom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000000"/>
                <w:kern w:val="36"/>
                <w:sz w:val="18"/>
                <w:szCs w:val="18"/>
              </w:rPr>
            </w:pPr>
          </w:p>
        </w:tc>
        <w:tc>
          <w:tcPr>
            <w:tcW w:w="900" w:type="dxa"/>
            <w:tcBorders>
              <w:left w:val="single" w:sz="4" w:space="0" w:color="000000"/>
              <w:bottom w:val="single" w:sz="4" w:space="0" w:color="000000"/>
              <w:right w:val="single" w:sz="4" w:space="0" w:color="000000"/>
            </w:tcBorders>
            <w:shd w:val="clear" w:color="auto" w:fill="D9D9D9" w:themeFill="background1" w:themeFillShade="D9"/>
          </w:tcPr>
          <w:p w:rsidR="00A10686" w:rsidRPr="0015733B" w:rsidRDefault="00A10686" w:rsidP="0010138D">
            <w:pPr>
              <w:snapToGrid w:val="0"/>
              <w:ind w:left="90"/>
              <w:jc w:val="center"/>
              <w:rPr>
                <w:rFonts w:ascii="Arial" w:hAnsi="Arial" w:cs="Arial"/>
                <w:color w:val="000000"/>
                <w:kern w:val="36"/>
                <w:sz w:val="18"/>
                <w:szCs w:val="18"/>
              </w:rPr>
            </w:pPr>
          </w:p>
        </w:tc>
        <w:tc>
          <w:tcPr>
            <w:tcW w:w="990" w:type="dxa"/>
            <w:tcBorders>
              <w:left w:val="single" w:sz="4" w:space="0" w:color="000000"/>
              <w:bottom w:val="single" w:sz="4" w:space="0" w:color="000000"/>
            </w:tcBorders>
            <w:shd w:val="clear" w:color="auto" w:fill="D9D9D9" w:themeFill="background1" w:themeFillShade="D9"/>
            <w:vAlign w:val="center"/>
          </w:tcPr>
          <w:p w:rsidR="00A10686" w:rsidRPr="0015733B" w:rsidRDefault="00A10686" w:rsidP="0010138D">
            <w:pPr>
              <w:snapToGrid w:val="0"/>
              <w:jc w:val="center"/>
              <w:rPr>
                <w:rFonts w:cs="Arial"/>
                <w:color w:val="000000"/>
                <w:kern w:val="36"/>
                <w:sz w:val="18"/>
                <w:szCs w:val="18"/>
              </w:rPr>
            </w:pPr>
          </w:p>
        </w:tc>
        <w:tc>
          <w:tcPr>
            <w:tcW w:w="99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10686" w:rsidRPr="0015733B" w:rsidRDefault="00A10686" w:rsidP="0010138D">
            <w:pPr>
              <w:snapToGrid w:val="0"/>
              <w:jc w:val="center"/>
              <w:rPr>
                <w:rFonts w:ascii="Arial" w:hAnsi="Arial" w:cs="Arial"/>
                <w:color w:val="000000"/>
                <w:kern w:val="36"/>
                <w:sz w:val="18"/>
                <w:szCs w:val="18"/>
              </w:rPr>
            </w:pPr>
          </w:p>
        </w:tc>
        <w:tc>
          <w:tcPr>
            <w:tcW w:w="990" w:type="dxa"/>
            <w:tcBorders>
              <w:left w:val="single" w:sz="4" w:space="0" w:color="000000"/>
              <w:bottom w:val="single" w:sz="4" w:space="0" w:color="000000"/>
              <w:right w:val="single" w:sz="4" w:space="0" w:color="000000"/>
            </w:tcBorders>
            <w:shd w:val="clear" w:color="auto" w:fill="D9D9D9" w:themeFill="background1" w:themeFillShade="D9"/>
          </w:tcPr>
          <w:p w:rsidR="00A10686" w:rsidRPr="0015733B" w:rsidRDefault="00A10686" w:rsidP="0010138D">
            <w:pPr>
              <w:snapToGrid w:val="0"/>
              <w:jc w:val="center"/>
              <w:rPr>
                <w:rFonts w:ascii="Arial" w:hAnsi="Arial" w:cs="Arial"/>
                <w:color w:val="000000"/>
                <w:kern w:val="36"/>
                <w:sz w:val="18"/>
                <w:szCs w:val="18"/>
              </w:rPr>
            </w:pPr>
          </w:p>
        </w:tc>
      </w:tr>
      <w:tr w:rsidR="00A10686" w:rsidRPr="0015733B" w:rsidTr="0010138D">
        <w:tc>
          <w:tcPr>
            <w:tcW w:w="3258" w:type="dxa"/>
            <w:tcBorders>
              <w:left w:val="single" w:sz="4" w:space="0" w:color="000000"/>
              <w:bottom w:val="single" w:sz="4" w:space="0" w:color="000000"/>
            </w:tcBorders>
            <w:shd w:val="clear" w:color="auto" w:fill="595959"/>
          </w:tcPr>
          <w:p w:rsidR="00A10686" w:rsidRPr="0015733B" w:rsidRDefault="00A10686" w:rsidP="0010138D">
            <w:pPr>
              <w:snapToGrid w:val="0"/>
              <w:rPr>
                <w:rFonts w:cs="Arial"/>
                <w:b/>
                <w:color w:val="FFFFFF"/>
                <w:kern w:val="36"/>
                <w:sz w:val="18"/>
                <w:szCs w:val="18"/>
              </w:rPr>
            </w:pPr>
            <w:r w:rsidRPr="0015733B">
              <w:rPr>
                <w:rFonts w:cs="Arial"/>
                <w:b/>
                <w:color w:val="FFFFFF"/>
                <w:kern w:val="36"/>
                <w:sz w:val="18"/>
                <w:szCs w:val="18"/>
              </w:rPr>
              <w:t>Evidence class</w:t>
            </w:r>
          </w:p>
        </w:tc>
        <w:tc>
          <w:tcPr>
            <w:tcW w:w="990" w:type="dxa"/>
            <w:tcBorders>
              <w:left w:val="single" w:sz="4" w:space="0" w:color="000000"/>
              <w:bottom w:val="single" w:sz="4" w:space="0" w:color="000000"/>
            </w:tcBorders>
            <w:shd w:val="clear" w:color="auto" w:fill="595959"/>
            <w:vAlign w:val="center"/>
          </w:tcPr>
          <w:p w:rsidR="00A10686" w:rsidRPr="0015733B" w:rsidRDefault="00A10686" w:rsidP="0010138D">
            <w:pPr>
              <w:snapToGrid w:val="0"/>
              <w:jc w:val="center"/>
              <w:rPr>
                <w:rFonts w:cs="Arial"/>
                <w:color w:val="FFFFFF"/>
                <w:kern w:val="36"/>
                <w:sz w:val="18"/>
                <w:szCs w:val="18"/>
              </w:rPr>
            </w:pPr>
            <w:r w:rsidRPr="0015733B">
              <w:rPr>
                <w:rFonts w:cs="Arial"/>
                <w:b/>
                <w:bCs/>
                <w:color w:val="FFFFFF"/>
                <w:kern w:val="36"/>
                <w:sz w:val="18"/>
                <w:szCs w:val="18"/>
              </w:rPr>
              <w:t>I</w:t>
            </w:r>
            <w:r>
              <w:rPr>
                <w:rFonts w:cs="Arial"/>
                <w:b/>
                <w:bCs/>
                <w:color w:val="FFFFFF"/>
                <w:kern w:val="36"/>
                <w:sz w:val="18"/>
                <w:szCs w:val="18"/>
              </w:rPr>
              <w:t>II</w:t>
            </w:r>
          </w:p>
        </w:tc>
        <w:tc>
          <w:tcPr>
            <w:tcW w:w="900" w:type="dxa"/>
            <w:tcBorders>
              <w:left w:val="single" w:sz="4" w:space="0" w:color="000000"/>
              <w:bottom w:val="single" w:sz="4" w:space="0" w:color="000000"/>
              <w:right w:val="single" w:sz="4" w:space="0" w:color="000000"/>
            </w:tcBorders>
            <w:shd w:val="clear" w:color="auto" w:fill="595959"/>
          </w:tcPr>
          <w:p w:rsidR="00A10686" w:rsidRPr="0015733B" w:rsidRDefault="00A10686" w:rsidP="0010138D">
            <w:pPr>
              <w:snapToGrid w:val="0"/>
              <w:jc w:val="center"/>
              <w:rPr>
                <w:rFonts w:cs="Arial"/>
                <w:b/>
                <w:bCs/>
                <w:color w:val="FFFFFF"/>
                <w:kern w:val="36"/>
                <w:sz w:val="18"/>
                <w:szCs w:val="18"/>
              </w:rPr>
            </w:pPr>
            <w:r w:rsidRPr="0015733B">
              <w:rPr>
                <w:rFonts w:cs="Arial"/>
                <w:b/>
                <w:bCs/>
                <w:color w:val="FFFFFF"/>
                <w:kern w:val="36"/>
                <w:sz w:val="18"/>
                <w:szCs w:val="18"/>
              </w:rPr>
              <w:t>II</w:t>
            </w:r>
          </w:p>
        </w:tc>
        <w:tc>
          <w:tcPr>
            <w:tcW w:w="990" w:type="dxa"/>
            <w:tcBorders>
              <w:left w:val="single" w:sz="4" w:space="0" w:color="000000"/>
              <w:bottom w:val="single" w:sz="4" w:space="0" w:color="000000"/>
            </w:tcBorders>
            <w:shd w:val="clear" w:color="auto" w:fill="595959"/>
          </w:tcPr>
          <w:p w:rsidR="00A10686" w:rsidRPr="0015733B" w:rsidRDefault="00A10686" w:rsidP="0010138D">
            <w:pPr>
              <w:snapToGrid w:val="0"/>
              <w:jc w:val="center"/>
              <w:rPr>
                <w:rFonts w:cs="Arial"/>
                <w:b/>
                <w:bCs/>
                <w:color w:val="FFFFFF"/>
                <w:kern w:val="36"/>
                <w:sz w:val="18"/>
                <w:szCs w:val="18"/>
              </w:rPr>
            </w:pPr>
            <w:r w:rsidRPr="0015733B">
              <w:rPr>
                <w:rFonts w:cs="Arial"/>
                <w:b/>
                <w:bCs/>
                <w:color w:val="FFFFFF"/>
                <w:kern w:val="36"/>
                <w:sz w:val="18"/>
                <w:szCs w:val="18"/>
              </w:rPr>
              <w:t>II</w:t>
            </w:r>
            <w:r>
              <w:rPr>
                <w:rFonts w:cs="Arial"/>
                <w:b/>
                <w:bCs/>
                <w:color w:val="FFFFFF"/>
                <w:kern w:val="36"/>
                <w:sz w:val="18"/>
                <w:szCs w:val="18"/>
              </w:rPr>
              <w:t>I</w:t>
            </w:r>
          </w:p>
        </w:tc>
        <w:tc>
          <w:tcPr>
            <w:tcW w:w="990" w:type="dxa"/>
            <w:tcBorders>
              <w:left w:val="single" w:sz="4" w:space="0" w:color="000000"/>
              <w:bottom w:val="single" w:sz="4" w:space="0" w:color="000000"/>
              <w:right w:val="single" w:sz="4" w:space="0" w:color="000000"/>
            </w:tcBorders>
            <w:shd w:val="clear" w:color="auto" w:fill="595959"/>
          </w:tcPr>
          <w:p w:rsidR="00A10686" w:rsidRPr="0015733B" w:rsidRDefault="00A10686" w:rsidP="0010138D">
            <w:pPr>
              <w:snapToGrid w:val="0"/>
              <w:jc w:val="center"/>
              <w:rPr>
                <w:rFonts w:cs="Arial"/>
                <w:b/>
                <w:bCs/>
                <w:color w:val="FFFFFF"/>
                <w:kern w:val="36"/>
                <w:sz w:val="18"/>
                <w:szCs w:val="18"/>
              </w:rPr>
            </w:pPr>
            <w:r w:rsidRPr="0015733B">
              <w:rPr>
                <w:rFonts w:cs="Arial"/>
                <w:b/>
                <w:bCs/>
                <w:color w:val="FFFFFF"/>
                <w:kern w:val="36"/>
                <w:sz w:val="18"/>
                <w:szCs w:val="18"/>
              </w:rPr>
              <w:t>I</w:t>
            </w:r>
            <w:r>
              <w:rPr>
                <w:rFonts w:cs="Arial"/>
                <w:b/>
                <w:bCs/>
                <w:color w:val="FFFFFF"/>
                <w:kern w:val="36"/>
                <w:sz w:val="18"/>
                <w:szCs w:val="18"/>
              </w:rPr>
              <w:t>II</w:t>
            </w:r>
          </w:p>
        </w:tc>
        <w:tc>
          <w:tcPr>
            <w:tcW w:w="990" w:type="dxa"/>
            <w:tcBorders>
              <w:left w:val="single" w:sz="4" w:space="0" w:color="000000"/>
              <w:bottom w:val="single" w:sz="4" w:space="0" w:color="000000"/>
              <w:right w:val="single" w:sz="4" w:space="0" w:color="000000"/>
            </w:tcBorders>
            <w:shd w:val="clear" w:color="auto" w:fill="595959"/>
          </w:tcPr>
          <w:p w:rsidR="00A10686" w:rsidRPr="0015733B" w:rsidRDefault="00A10686" w:rsidP="0010138D">
            <w:pPr>
              <w:snapToGrid w:val="0"/>
              <w:jc w:val="center"/>
              <w:rPr>
                <w:rFonts w:cs="Arial"/>
                <w:b/>
                <w:bCs/>
                <w:color w:val="FFFFFF"/>
                <w:kern w:val="36"/>
                <w:sz w:val="18"/>
                <w:szCs w:val="18"/>
              </w:rPr>
            </w:pPr>
            <w:r>
              <w:rPr>
                <w:rFonts w:cs="Arial"/>
                <w:b/>
                <w:bCs/>
                <w:color w:val="FFFFFF"/>
                <w:kern w:val="36"/>
                <w:sz w:val="18"/>
                <w:szCs w:val="18"/>
              </w:rPr>
              <w:t>III</w:t>
            </w:r>
          </w:p>
        </w:tc>
      </w:tr>
    </w:tbl>
    <w:p w:rsidR="00A10686" w:rsidRDefault="00A10686" w:rsidP="00A10686">
      <w:pPr>
        <w:ind w:left="90" w:right="-367"/>
        <w:rPr>
          <w:rFonts w:cs="Arial"/>
          <w:kern w:val="36"/>
          <w:sz w:val="18"/>
          <w:szCs w:val="18"/>
        </w:rPr>
      </w:pPr>
      <w:r w:rsidRPr="0015733B">
        <w:rPr>
          <w:rFonts w:cs="Arial"/>
          <w:color w:val="000000"/>
          <w:kern w:val="36"/>
          <w:sz w:val="18"/>
          <w:szCs w:val="18"/>
        </w:rPr>
        <w:t>*</w:t>
      </w:r>
      <w:r w:rsidRPr="0015733B">
        <w:rPr>
          <w:rFonts w:cs="Arial"/>
          <w:kern w:val="36"/>
          <w:sz w:val="18"/>
          <w:szCs w:val="18"/>
        </w:rPr>
        <w:t>Authors must consider other factors that might influence patient outcomes</w:t>
      </w:r>
    </w:p>
    <w:p w:rsidR="00A10686" w:rsidRPr="00060D01" w:rsidRDefault="00A10686" w:rsidP="00A10686">
      <w:pPr>
        <w:rPr>
          <w:rFonts w:eastAsia="Times New Roman"/>
          <w:i/>
          <w:sz w:val="18"/>
          <w:szCs w:val="18"/>
        </w:rPr>
      </w:pPr>
      <w:r w:rsidRPr="00060D01">
        <w:rPr>
          <w:rFonts w:eastAsia="Times New Roman"/>
          <w:i/>
          <w:sz w:val="18"/>
          <w:szCs w:val="18"/>
        </w:rPr>
        <w:t xml:space="preserve">Blank cells indicate that the criterion was either not met or that it could not be determined </w:t>
      </w:r>
    </w:p>
    <w:p w:rsidR="00A10686" w:rsidRDefault="00A10686" w:rsidP="00A10686">
      <w:pPr>
        <w:rPr>
          <w:highlight w:val="yellow"/>
        </w:rPr>
      </w:pPr>
    </w:p>
    <w:p w:rsidR="00A10686" w:rsidRPr="005B3025" w:rsidRDefault="00A10686" w:rsidP="00A10686">
      <w:pPr>
        <w:rPr>
          <w:rFonts w:cs="Arial"/>
          <w:i/>
          <w:color w:val="000000"/>
          <w:kern w:val="36"/>
        </w:rPr>
      </w:pPr>
      <w:r>
        <w:rPr>
          <w:rFonts w:cs="Arial"/>
          <w:i/>
          <w:color w:val="000000"/>
          <w:kern w:val="36"/>
        </w:rPr>
        <w:t>3b</w:t>
      </w:r>
      <w:r w:rsidRPr="005B3025">
        <w:rPr>
          <w:rFonts w:cs="Arial"/>
          <w:i/>
          <w:color w:val="000000"/>
          <w:kern w:val="36"/>
        </w:rPr>
        <w:t>. Criteria for class of evidence (</w:t>
      </w:r>
      <w:proofErr w:type="spellStart"/>
      <w:r w:rsidRPr="005B3025">
        <w:rPr>
          <w:rFonts w:cs="Arial"/>
          <w:i/>
          <w:color w:val="000000"/>
          <w:kern w:val="36"/>
        </w:rPr>
        <w:t>CoE</w:t>
      </w:r>
      <w:proofErr w:type="spellEnd"/>
      <w:r w:rsidRPr="005B3025">
        <w:rPr>
          <w:rFonts w:cs="Arial"/>
          <w:i/>
          <w:color w:val="000000"/>
          <w:kern w:val="36"/>
        </w:rPr>
        <w:t>) for prognostic studies</w:t>
      </w:r>
    </w:p>
    <w:tbl>
      <w:tblPr>
        <w:tblStyle w:val="TableGrid"/>
        <w:tblW w:w="9917" w:type="dxa"/>
        <w:tblInd w:w="-72" w:type="dxa"/>
        <w:tblBorders>
          <w:insideH w:val="none" w:sz="0" w:space="0" w:color="auto"/>
          <w:insideV w:val="none" w:sz="0" w:space="0" w:color="auto"/>
        </w:tblBorders>
        <w:tblLook w:val="01E0" w:firstRow="1" w:lastRow="1" w:firstColumn="1" w:lastColumn="1" w:noHBand="0" w:noVBand="0"/>
      </w:tblPr>
      <w:tblGrid>
        <w:gridCol w:w="606"/>
        <w:gridCol w:w="2184"/>
        <w:gridCol w:w="2038"/>
        <w:gridCol w:w="5089"/>
      </w:tblGrid>
      <w:tr w:rsidR="00A10686" w:rsidRPr="005D5854" w:rsidTr="0010138D">
        <w:tc>
          <w:tcPr>
            <w:tcW w:w="606" w:type="dxa"/>
            <w:tcBorders>
              <w:top w:val="single" w:sz="4" w:space="0" w:color="auto"/>
              <w:bottom w:val="single" w:sz="4" w:space="0" w:color="auto"/>
              <w:right w:val="single" w:sz="4" w:space="0" w:color="auto"/>
            </w:tcBorders>
            <w:shd w:val="clear" w:color="auto" w:fill="E6E6E6"/>
          </w:tcPr>
          <w:p w:rsidR="00A10686" w:rsidRPr="005D5854" w:rsidRDefault="00A10686" w:rsidP="0010138D">
            <w:pPr>
              <w:ind w:left="-90" w:right="-108"/>
              <w:jc w:val="center"/>
              <w:rPr>
                <w:b/>
                <w:color w:val="000000"/>
                <w:sz w:val="20"/>
              </w:rPr>
            </w:pPr>
          </w:p>
        </w:tc>
        <w:tc>
          <w:tcPr>
            <w:tcW w:w="2184" w:type="dxa"/>
            <w:tcBorders>
              <w:top w:val="single" w:sz="4" w:space="0" w:color="auto"/>
              <w:bottom w:val="single" w:sz="4" w:space="0" w:color="auto"/>
              <w:right w:val="single" w:sz="4" w:space="0" w:color="auto"/>
            </w:tcBorders>
            <w:shd w:val="clear" w:color="auto" w:fill="E6E6E6"/>
          </w:tcPr>
          <w:p w:rsidR="00A10686" w:rsidRPr="005D5854" w:rsidRDefault="00A10686" w:rsidP="0010138D">
            <w:pPr>
              <w:ind w:left="522"/>
              <w:rPr>
                <w:b/>
                <w:color w:val="000000"/>
                <w:sz w:val="20"/>
              </w:rPr>
            </w:pPr>
          </w:p>
        </w:tc>
        <w:tc>
          <w:tcPr>
            <w:tcW w:w="7127" w:type="dxa"/>
            <w:gridSpan w:val="2"/>
            <w:tcBorders>
              <w:top w:val="single" w:sz="4" w:space="0" w:color="auto"/>
              <w:left w:val="single" w:sz="4" w:space="0" w:color="auto"/>
              <w:bottom w:val="single" w:sz="4" w:space="0" w:color="auto"/>
            </w:tcBorders>
            <w:shd w:val="clear" w:color="auto" w:fill="E6E6E6"/>
          </w:tcPr>
          <w:p w:rsidR="00A10686" w:rsidRPr="005D5854" w:rsidRDefault="00A10686" w:rsidP="0010138D">
            <w:pPr>
              <w:ind w:left="522"/>
              <w:rPr>
                <w:b/>
                <w:color w:val="000000"/>
                <w:sz w:val="20"/>
              </w:rPr>
            </w:pPr>
            <w:r w:rsidRPr="005D5854">
              <w:rPr>
                <w:b/>
                <w:color w:val="000000"/>
                <w:sz w:val="20"/>
              </w:rPr>
              <w:t>Studies of Prognosis</w:t>
            </w:r>
          </w:p>
        </w:tc>
      </w:tr>
      <w:tr w:rsidR="00A10686" w:rsidRPr="005D5854" w:rsidTr="0010138D">
        <w:tc>
          <w:tcPr>
            <w:tcW w:w="606" w:type="dxa"/>
            <w:tcBorders>
              <w:top w:val="single" w:sz="4" w:space="0" w:color="auto"/>
              <w:bottom w:val="single" w:sz="4" w:space="0" w:color="auto"/>
              <w:right w:val="single" w:sz="4" w:space="0" w:color="auto"/>
            </w:tcBorders>
            <w:shd w:val="clear" w:color="auto" w:fill="E6E6E6"/>
          </w:tcPr>
          <w:p w:rsidR="00A10686" w:rsidRPr="005D5854" w:rsidRDefault="00A10686" w:rsidP="0010138D">
            <w:pPr>
              <w:ind w:left="-90" w:right="-108"/>
              <w:jc w:val="center"/>
              <w:rPr>
                <w:b/>
                <w:color w:val="000000"/>
                <w:sz w:val="20"/>
              </w:rPr>
            </w:pPr>
            <w:r>
              <w:rPr>
                <w:b/>
                <w:color w:val="000000"/>
                <w:sz w:val="20"/>
              </w:rPr>
              <w:t>Class</w:t>
            </w:r>
          </w:p>
        </w:tc>
        <w:tc>
          <w:tcPr>
            <w:tcW w:w="2184" w:type="dxa"/>
            <w:tcBorders>
              <w:top w:val="single" w:sz="4" w:space="0" w:color="auto"/>
              <w:bottom w:val="single" w:sz="4" w:space="0" w:color="auto"/>
              <w:right w:val="single" w:sz="4" w:space="0" w:color="auto"/>
            </w:tcBorders>
            <w:shd w:val="clear" w:color="auto" w:fill="E6E6E6"/>
          </w:tcPr>
          <w:p w:rsidR="00A10686" w:rsidRPr="005D5854" w:rsidRDefault="00A10686" w:rsidP="0010138D">
            <w:pPr>
              <w:ind w:left="-126" w:right="-90"/>
              <w:jc w:val="center"/>
              <w:rPr>
                <w:b/>
                <w:color w:val="000000"/>
                <w:sz w:val="20"/>
              </w:rPr>
            </w:pPr>
            <w:r>
              <w:rPr>
                <w:b/>
                <w:color w:val="000000"/>
                <w:sz w:val="20"/>
              </w:rPr>
              <w:t>Risk of bias</w:t>
            </w:r>
          </w:p>
        </w:tc>
        <w:tc>
          <w:tcPr>
            <w:tcW w:w="2038" w:type="dxa"/>
            <w:tcBorders>
              <w:top w:val="single" w:sz="4" w:space="0" w:color="auto"/>
              <w:left w:val="single" w:sz="4" w:space="0" w:color="auto"/>
              <w:bottom w:val="single" w:sz="4" w:space="0" w:color="auto"/>
            </w:tcBorders>
            <w:shd w:val="clear" w:color="auto" w:fill="E6E6E6"/>
          </w:tcPr>
          <w:p w:rsidR="00A10686" w:rsidRPr="005D5854" w:rsidRDefault="00A10686" w:rsidP="0010138D">
            <w:pPr>
              <w:ind w:left="-126" w:right="-90"/>
              <w:jc w:val="center"/>
              <w:rPr>
                <w:b/>
                <w:color w:val="000000"/>
                <w:sz w:val="20"/>
              </w:rPr>
            </w:pPr>
            <w:r w:rsidRPr="005D5854">
              <w:rPr>
                <w:b/>
                <w:color w:val="000000"/>
                <w:sz w:val="20"/>
              </w:rPr>
              <w:t>Study design</w:t>
            </w:r>
          </w:p>
        </w:tc>
        <w:tc>
          <w:tcPr>
            <w:tcW w:w="5089" w:type="dxa"/>
            <w:tcBorders>
              <w:top w:val="single" w:sz="4" w:space="0" w:color="auto"/>
              <w:left w:val="single" w:sz="4" w:space="0" w:color="auto"/>
              <w:bottom w:val="single" w:sz="4" w:space="0" w:color="auto"/>
            </w:tcBorders>
            <w:shd w:val="clear" w:color="auto" w:fill="E6E6E6"/>
          </w:tcPr>
          <w:p w:rsidR="00A10686" w:rsidRPr="005D5854" w:rsidRDefault="00A10686" w:rsidP="0010138D">
            <w:pPr>
              <w:ind w:left="-18" w:right="-90"/>
              <w:rPr>
                <w:b/>
                <w:color w:val="000000"/>
                <w:sz w:val="20"/>
              </w:rPr>
            </w:pPr>
            <w:r w:rsidRPr="005D5854">
              <w:rPr>
                <w:b/>
                <w:color w:val="000000"/>
                <w:sz w:val="20"/>
              </w:rPr>
              <w:t>Criteria</w:t>
            </w:r>
          </w:p>
        </w:tc>
      </w:tr>
      <w:tr w:rsidR="00A10686" w:rsidRPr="005D5854" w:rsidTr="0010138D">
        <w:tc>
          <w:tcPr>
            <w:tcW w:w="606" w:type="dxa"/>
            <w:tcBorders>
              <w:top w:val="single" w:sz="4" w:space="0" w:color="auto"/>
              <w:bottom w:val="single" w:sz="4" w:space="0" w:color="auto"/>
              <w:right w:val="single" w:sz="2" w:space="0" w:color="auto"/>
            </w:tcBorders>
            <w:shd w:val="clear" w:color="auto" w:fill="E6E6E6"/>
          </w:tcPr>
          <w:p w:rsidR="00A10686" w:rsidRPr="005D5854" w:rsidRDefault="00A10686" w:rsidP="0010138D">
            <w:pPr>
              <w:ind w:left="-90" w:right="-108"/>
              <w:jc w:val="center"/>
              <w:rPr>
                <w:b/>
                <w:sz w:val="20"/>
              </w:rPr>
            </w:pPr>
            <w:r w:rsidRPr="005D5854">
              <w:rPr>
                <w:b/>
                <w:sz w:val="20"/>
              </w:rPr>
              <w:t>I</w:t>
            </w:r>
          </w:p>
        </w:tc>
        <w:tc>
          <w:tcPr>
            <w:tcW w:w="2184" w:type="dxa"/>
            <w:tcBorders>
              <w:top w:val="nil"/>
              <w:bottom w:val="single" w:sz="4" w:space="0" w:color="auto"/>
              <w:right w:val="single" w:sz="4" w:space="0" w:color="auto"/>
            </w:tcBorders>
          </w:tcPr>
          <w:p w:rsidR="00A10686" w:rsidRDefault="00A10686" w:rsidP="0010138D">
            <w:pPr>
              <w:ind w:left="-18" w:right="72"/>
              <w:rPr>
                <w:rFonts w:eastAsia="SimSun"/>
                <w:sz w:val="18"/>
                <w:szCs w:val="18"/>
                <w:lang w:eastAsia="zh-CN"/>
              </w:rPr>
            </w:pPr>
            <w:r w:rsidRPr="00B474EF">
              <w:rPr>
                <w:rFonts w:eastAsia="SimSun"/>
                <w:b/>
                <w:sz w:val="18"/>
                <w:szCs w:val="18"/>
                <w:lang w:eastAsia="zh-CN"/>
              </w:rPr>
              <w:t>Low risk;</w:t>
            </w:r>
            <w:r>
              <w:rPr>
                <w:rFonts w:eastAsia="SimSun"/>
                <w:sz w:val="18"/>
                <w:szCs w:val="18"/>
                <w:lang w:eastAsia="zh-CN"/>
              </w:rPr>
              <w:t xml:space="preserve"> </w:t>
            </w:r>
          </w:p>
          <w:p w:rsidR="00A10686" w:rsidRPr="005D5854" w:rsidRDefault="00A10686" w:rsidP="0010138D">
            <w:pPr>
              <w:tabs>
                <w:tab w:val="left" w:pos="432"/>
              </w:tabs>
              <w:ind w:left="-14" w:right="-63"/>
              <w:rPr>
                <w:sz w:val="20"/>
              </w:rPr>
            </w:pPr>
            <w:r>
              <w:rPr>
                <w:rFonts w:eastAsia="SimSun"/>
                <w:sz w:val="18"/>
                <w:szCs w:val="18"/>
                <w:lang w:eastAsia="zh-CN"/>
              </w:rPr>
              <w:t>Study adheres to commonly held tenets of high quality design, execution and avoidance of bias</w:t>
            </w:r>
          </w:p>
        </w:tc>
        <w:tc>
          <w:tcPr>
            <w:tcW w:w="2038" w:type="dxa"/>
            <w:tcBorders>
              <w:top w:val="nil"/>
              <w:left w:val="single" w:sz="4" w:space="0" w:color="auto"/>
              <w:bottom w:val="single" w:sz="4" w:space="0" w:color="auto"/>
            </w:tcBorders>
            <w:shd w:val="clear" w:color="auto" w:fill="auto"/>
          </w:tcPr>
          <w:p w:rsidR="00A10686" w:rsidRPr="005D5854" w:rsidRDefault="00A10686" w:rsidP="0010138D">
            <w:pPr>
              <w:tabs>
                <w:tab w:val="left" w:pos="432"/>
              </w:tabs>
              <w:ind w:left="-14" w:right="-63"/>
              <w:rPr>
                <w:sz w:val="20"/>
              </w:rPr>
            </w:pPr>
            <w:r w:rsidRPr="005D5854">
              <w:rPr>
                <w:sz w:val="20"/>
              </w:rPr>
              <w:t>Good quality cohort*</w:t>
            </w:r>
          </w:p>
        </w:tc>
        <w:tc>
          <w:tcPr>
            <w:tcW w:w="5089" w:type="dxa"/>
            <w:tcBorders>
              <w:top w:val="nil"/>
              <w:left w:val="single" w:sz="4" w:space="0" w:color="auto"/>
              <w:bottom w:val="single" w:sz="4" w:space="0" w:color="auto"/>
            </w:tcBorders>
            <w:shd w:val="clear" w:color="auto" w:fill="auto"/>
          </w:tcPr>
          <w:p w:rsidR="00A10686" w:rsidRPr="005D5854" w:rsidRDefault="00A10686" w:rsidP="00A10686">
            <w:pPr>
              <w:numPr>
                <w:ilvl w:val="0"/>
                <w:numId w:val="1"/>
              </w:numPr>
              <w:tabs>
                <w:tab w:val="clear" w:pos="720"/>
              </w:tabs>
              <w:ind w:left="162" w:hanging="162"/>
              <w:rPr>
                <w:sz w:val="20"/>
              </w:rPr>
            </w:pPr>
            <w:r w:rsidRPr="005D5854">
              <w:rPr>
                <w:sz w:val="20"/>
              </w:rPr>
              <w:t>Prospective design</w:t>
            </w:r>
          </w:p>
          <w:p w:rsidR="00A10686" w:rsidRPr="005D5854" w:rsidRDefault="00A10686" w:rsidP="00A10686">
            <w:pPr>
              <w:numPr>
                <w:ilvl w:val="0"/>
                <w:numId w:val="1"/>
              </w:numPr>
              <w:tabs>
                <w:tab w:val="clear" w:pos="720"/>
              </w:tabs>
              <w:ind w:left="162" w:hanging="180"/>
              <w:rPr>
                <w:sz w:val="20"/>
              </w:rPr>
            </w:pPr>
            <w:r w:rsidRPr="005D5854">
              <w:rPr>
                <w:sz w:val="20"/>
              </w:rPr>
              <w:t>Patients at similar point in the course of their disease or treatment</w:t>
            </w:r>
          </w:p>
          <w:p w:rsidR="00A10686" w:rsidRPr="005D5854" w:rsidRDefault="00A10686" w:rsidP="00A10686">
            <w:pPr>
              <w:numPr>
                <w:ilvl w:val="0"/>
                <w:numId w:val="1"/>
              </w:numPr>
              <w:tabs>
                <w:tab w:val="clear" w:pos="720"/>
              </w:tabs>
              <w:ind w:left="162" w:hanging="180"/>
              <w:rPr>
                <w:sz w:val="20"/>
              </w:rPr>
            </w:pPr>
            <w:r w:rsidRPr="005D5854">
              <w:rPr>
                <w:sz w:val="20"/>
              </w:rPr>
              <w:t xml:space="preserve">F/U rate of </w:t>
            </w:r>
            <w:r>
              <w:rPr>
                <w:sz w:val="20"/>
              </w:rPr>
              <w:t xml:space="preserve">≥ </w:t>
            </w:r>
            <w:r w:rsidRPr="005D5854">
              <w:rPr>
                <w:sz w:val="20"/>
              </w:rPr>
              <w:t>80%†</w:t>
            </w:r>
          </w:p>
          <w:p w:rsidR="00A10686" w:rsidRPr="005D5854" w:rsidRDefault="00A10686" w:rsidP="00A10686">
            <w:pPr>
              <w:numPr>
                <w:ilvl w:val="0"/>
                <w:numId w:val="1"/>
              </w:numPr>
              <w:tabs>
                <w:tab w:val="clear" w:pos="720"/>
              </w:tabs>
              <w:ind w:left="162" w:hanging="180"/>
              <w:rPr>
                <w:sz w:val="20"/>
              </w:rPr>
            </w:pPr>
            <w:r w:rsidRPr="005D5854">
              <w:rPr>
                <w:sz w:val="20"/>
              </w:rPr>
              <w:t xml:space="preserve">Patients followed long enough for outcomes to occur </w:t>
            </w:r>
          </w:p>
          <w:p w:rsidR="00A10686" w:rsidRPr="005D5854" w:rsidRDefault="00A10686" w:rsidP="00A10686">
            <w:pPr>
              <w:numPr>
                <w:ilvl w:val="0"/>
                <w:numId w:val="1"/>
              </w:numPr>
              <w:tabs>
                <w:tab w:val="clear" w:pos="720"/>
              </w:tabs>
              <w:ind w:left="162" w:hanging="180"/>
            </w:pPr>
            <w:r w:rsidRPr="005D5854">
              <w:rPr>
                <w:sz w:val="20"/>
              </w:rPr>
              <w:t>Accounting for other prognostic factors‡</w:t>
            </w:r>
          </w:p>
        </w:tc>
      </w:tr>
      <w:tr w:rsidR="00A10686" w:rsidRPr="005D5854" w:rsidTr="0010138D">
        <w:trPr>
          <w:trHeight w:val="710"/>
        </w:trPr>
        <w:tc>
          <w:tcPr>
            <w:tcW w:w="606" w:type="dxa"/>
            <w:tcBorders>
              <w:top w:val="single" w:sz="4" w:space="0" w:color="auto"/>
              <w:bottom w:val="nil"/>
              <w:right w:val="single" w:sz="2" w:space="0" w:color="auto"/>
            </w:tcBorders>
            <w:shd w:val="clear" w:color="auto" w:fill="E6E6E6"/>
          </w:tcPr>
          <w:p w:rsidR="00A10686" w:rsidRPr="005D5854" w:rsidRDefault="00A10686" w:rsidP="0010138D">
            <w:pPr>
              <w:ind w:left="-90" w:right="-108"/>
              <w:jc w:val="center"/>
              <w:rPr>
                <w:b/>
                <w:sz w:val="20"/>
              </w:rPr>
            </w:pPr>
            <w:r w:rsidRPr="005D5854">
              <w:rPr>
                <w:b/>
                <w:sz w:val="20"/>
              </w:rPr>
              <w:t>II</w:t>
            </w:r>
          </w:p>
        </w:tc>
        <w:tc>
          <w:tcPr>
            <w:tcW w:w="2184" w:type="dxa"/>
            <w:tcBorders>
              <w:top w:val="single" w:sz="4" w:space="0" w:color="auto"/>
              <w:bottom w:val="nil"/>
              <w:right w:val="single" w:sz="4" w:space="0" w:color="auto"/>
            </w:tcBorders>
          </w:tcPr>
          <w:p w:rsidR="00A10686" w:rsidRPr="00B474EF" w:rsidRDefault="00A10686" w:rsidP="0010138D">
            <w:pPr>
              <w:ind w:left="-14" w:right="72"/>
              <w:rPr>
                <w:rFonts w:eastAsia="SimSun"/>
                <w:b/>
                <w:sz w:val="18"/>
                <w:szCs w:val="18"/>
                <w:lang w:eastAsia="zh-CN"/>
              </w:rPr>
            </w:pPr>
            <w:r w:rsidRPr="00B474EF">
              <w:rPr>
                <w:rFonts w:eastAsia="SimSun"/>
                <w:b/>
                <w:sz w:val="18"/>
                <w:szCs w:val="18"/>
                <w:lang w:eastAsia="zh-CN"/>
              </w:rPr>
              <w:t>Moderate</w:t>
            </w:r>
            <w:r>
              <w:rPr>
                <w:rFonts w:eastAsia="SimSun"/>
                <w:b/>
                <w:sz w:val="18"/>
                <w:szCs w:val="18"/>
                <w:lang w:eastAsia="zh-CN"/>
              </w:rPr>
              <w:t>ly low</w:t>
            </w:r>
            <w:r w:rsidRPr="00B474EF">
              <w:rPr>
                <w:rFonts w:eastAsia="SimSun"/>
                <w:b/>
                <w:sz w:val="18"/>
                <w:szCs w:val="18"/>
                <w:lang w:eastAsia="zh-CN"/>
              </w:rPr>
              <w:t xml:space="preserve"> risk: </w:t>
            </w:r>
          </w:p>
          <w:p w:rsidR="00A10686" w:rsidRDefault="00A10686" w:rsidP="0010138D">
            <w:pPr>
              <w:ind w:left="-14" w:right="72"/>
              <w:rPr>
                <w:rFonts w:eastAsia="SimSun"/>
                <w:sz w:val="18"/>
                <w:szCs w:val="18"/>
                <w:lang w:eastAsia="zh-CN"/>
              </w:rPr>
            </w:pPr>
          </w:p>
          <w:p w:rsidR="00A10686" w:rsidRPr="005D5854" w:rsidRDefault="00A10686" w:rsidP="0010138D">
            <w:pPr>
              <w:tabs>
                <w:tab w:val="left" w:pos="432"/>
              </w:tabs>
              <w:ind w:left="-14"/>
              <w:rPr>
                <w:sz w:val="20"/>
              </w:rPr>
            </w:pPr>
            <w:r>
              <w:rPr>
                <w:rFonts w:eastAsia="SimSun"/>
                <w:sz w:val="18"/>
                <w:szCs w:val="18"/>
                <w:lang w:eastAsia="zh-CN"/>
              </w:rPr>
              <w:t>Study has potential for some bias; does not meet all criteria for class I but deficiencies not likely to invalidate results or introduce significant bias</w:t>
            </w:r>
          </w:p>
        </w:tc>
        <w:tc>
          <w:tcPr>
            <w:tcW w:w="2038" w:type="dxa"/>
            <w:tcBorders>
              <w:top w:val="single" w:sz="4" w:space="0" w:color="auto"/>
              <w:left w:val="single" w:sz="4" w:space="0" w:color="auto"/>
              <w:bottom w:val="nil"/>
            </w:tcBorders>
            <w:shd w:val="clear" w:color="auto" w:fill="auto"/>
          </w:tcPr>
          <w:p w:rsidR="00A10686" w:rsidRPr="005D5854" w:rsidRDefault="00A10686" w:rsidP="0010138D">
            <w:pPr>
              <w:tabs>
                <w:tab w:val="left" w:pos="432"/>
              </w:tabs>
              <w:ind w:left="-14"/>
              <w:rPr>
                <w:sz w:val="20"/>
              </w:rPr>
            </w:pPr>
            <w:r w:rsidRPr="005D5854">
              <w:rPr>
                <w:sz w:val="20"/>
              </w:rPr>
              <w:t>Moderate quality cohort</w:t>
            </w:r>
          </w:p>
        </w:tc>
        <w:tc>
          <w:tcPr>
            <w:tcW w:w="5089" w:type="dxa"/>
            <w:tcBorders>
              <w:top w:val="single" w:sz="4" w:space="0" w:color="auto"/>
              <w:left w:val="single" w:sz="4" w:space="0" w:color="auto"/>
              <w:bottom w:val="nil"/>
            </w:tcBorders>
            <w:shd w:val="clear" w:color="auto" w:fill="auto"/>
          </w:tcPr>
          <w:p w:rsidR="00A10686" w:rsidRPr="005D5854" w:rsidRDefault="00A10686" w:rsidP="00A10686">
            <w:pPr>
              <w:numPr>
                <w:ilvl w:val="0"/>
                <w:numId w:val="1"/>
              </w:numPr>
              <w:tabs>
                <w:tab w:val="clear" w:pos="720"/>
              </w:tabs>
              <w:ind w:left="162" w:hanging="176"/>
              <w:rPr>
                <w:sz w:val="20"/>
              </w:rPr>
            </w:pPr>
            <w:r w:rsidRPr="005D5854">
              <w:rPr>
                <w:sz w:val="20"/>
              </w:rPr>
              <w:t xml:space="preserve">Prospective design, with violation of one of the other criteria for good quality cohort study </w:t>
            </w:r>
          </w:p>
          <w:p w:rsidR="00A10686" w:rsidRPr="005D5854" w:rsidRDefault="00A10686" w:rsidP="00A10686">
            <w:pPr>
              <w:numPr>
                <w:ilvl w:val="0"/>
                <w:numId w:val="1"/>
              </w:numPr>
              <w:tabs>
                <w:tab w:val="clear" w:pos="720"/>
              </w:tabs>
              <w:ind w:left="162" w:hanging="176"/>
              <w:rPr>
                <w:sz w:val="20"/>
              </w:rPr>
            </w:pPr>
            <w:r w:rsidRPr="005D5854">
              <w:rPr>
                <w:sz w:val="20"/>
              </w:rPr>
              <w:t xml:space="preserve">Retrospective design, meeting all the rest of the criteria in </w:t>
            </w:r>
            <w:r>
              <w:rPr>
                <w:sz w:val="20"/>
              </w:rPr>
              <w:t xml:space="preserve">class </w:t>
            </w:r>
            <w:r w:rsidRPr="005D5854">
              <w:rPr>
                <w:sz w:val="20"/>
              </w:rPr>
              <w:t>I</w:t>
            </w:r>
          </w:p>
        </w:tc>
      </w:tr>
      <w:tr w:rsidR="00A10686" w:rsidRPr="005D5854" w:rsidTr="0010138D">
        <w:tc>
          <w:tcPr>
            <w:tcW w:w="606" w:type="dxa"/>
            <w:tcBorders>
              <w:top w:val="single" w:sz="4" w:space="0" w:color="auto"/>
              <w:bottom w:val="single" w:sz="4" w:space="0" w:color="auto"/>
              <w:right w:val="single" w:sz="2" w:space="0" w:color="auto"/>
            </w:tcBorders>
            <w:shd w:val="clear" w:color="auto" w:fill="E6E6E6"/>
          </w:tcPr>
          <w:p w:rsidR="00A10686" w:rsidRPr="005D5854" w:rsidRDefault="00A10686" w:rsidP="0010138D">
            <w:pPr>
              <w:ind w:left="-90" w:right="-108"/>
              <w:jc w:val="center"/>
              <w:rPr>
                <w:b/>
                <w:sz w:val="20"/>
              </w:rPr>
            </w:pPr>
            <w:r w:rsidRPr="005D5854">
              <w:rPr>
                <w:b/>
                <w:sz w:val="20"/>
              </w:rPr>
              <w:t>III</w:t>
            </w:r>
          </w:p>
        </w:tc>
        <w:tc>
          <w:tcPr>
            <w:tcW w:w="2184" w:type="dxa"/>
            <w:tcBorders>
              <w:top w:val="single" w:sz="4" w:space="0" w:color="auto"/>
              <w:bottom w:val="single" w:sz="4" w:space="0" w:color="auto"/>
              <w:right w:val="single" w:sz="4" w:space="0" w:color="auto"/>
            </w:tcBorders>
          </w:tcPr>
          <w:p w:rsidR="00A10686" w:rsidRPr="00116DFF" w:rsidRDefault="00A10686" w:rsidP="0010138D">
            <w:pPr>
              <w:ind w:left="-18" w:right="72"/>
              <w:rPr>
                <w:rFonts w:eastAsia="SimSun"/>
                <w:b/>
                <w:sz w:val="18"/>
                <w:szCs w:val="18"/>
                <w:lang w:eastAsia="zh-CN"/>
              </w:rPr>
            </w:pPr>
            <w:r>
              <w:rPr>
                <w:rFonts w:eastAsia="SimSun"/>
                <w:b/>
                <w:sz w:val="18"/>
                <w:szCs w:val="18"/>
                <w:lang w:eastAsia="zh-CN"/>
              </w:rPr>
              <w:t>Moderately high</w:t>
            </w:r>
            <w:r w:rsidRPr="00116DFF">
              <w:rPr>
                <w:rFonts w:eastAsia="SimSun"/>
                <w:b/>
                <w:sz w:val="18"/>
                <w:szCs w:val="18"/>
                <w:lang w:eastAsia="zh-CN"/>
              </w:rPr>
              <w:t xml:space="preserve"> risk: </w:t>
            </w:r>
          </w:p>
          <w:p w:rsidR="00A10686" w:rsidRPr="005D5854" w:rsidRDefault="00A10686" w:rsidP="0010138D">
            <w:pPr>
              <w:ind w:left="-14"/>
              <w:rPr>
                <w:sz w:val="20"/>
              </w:rPr>
            </w:pPr>
            <w:r>
              <w:rPr>
                <w:rFonts w:eastAsia="SimSun"/>
                <w:sz w:val="18"/>
                <w:szCs w:val="18"/>
                <w:lang w:eastAsia="zh-CN"/>
              </w:rPr>
              <w:t>Study has flaws in design and/or execution that increase potential for bias that may invalidate study results</w:t>
            </w:r>
          </w:p>
        </w:tc>
        <w:tc>
          <w:tcPr>
            <w:tcW w:w="2038" w:type="dxa"/>
            <w:tcBorders>
              <w:top w:val="single" w:sz="4" w:space="0" w:color="auto"/>
              <w:left w:val="single" w:sz="4" w:space="0" w:color="auto"/>
              <w:bottom w:val="single" w:sz="4" w:space="0" w:color="auto"/>
            </w:tcBorders>
            <w:shd w:val="clear" w:color="auto" w:fill="auto"/>
          </w:tcPr>
          <w:p w:rsidR="00A10686" w:rsidRPr="005D5854" w:rsidRDefault="00A10686" w:rsidP="0010138D">
            <w:pPr>
              <w:ind w:left="-14"/>
              <w:rPr>
                <w:sz w:val="20"/>
              </w:rPr>
            </w:pPr>
            <w:r w:rsidRPr="005D5854">
              <w:rPr>
                <w:sz w:val="20"/>
              </w:rPr>
              <w:t>Poor quality cohort</w:t>
            </w:r>
          </w:p>
          <w:p w:rsidR="00A10686" w:rsidRPr="005D5854" w:rsidRDefault="00A10686" w:rsidP="0010138D">
            <w:pPr>
              <w:ind w:left="-14"/>
              <w:rPr>
                <w:sz w:val="20"/>
              </w:rPr>
            </w:pPr>
            <w:r w:rsidRPr="005D5854">
              <w:rPr>
                <w:sz w:val="20"/>
              </w:rPr>
              <w:t>Good quality case-control or cross-sectional study</w:t>
            </w:r>
          </w:p>
        </w:tc>
        <w:tc>
          <w:tcPr>
            <w:tcW w:w="5089" w:type="dxa"/>
            <w:tcBorders>
              <w:top w:val="single" w:sz="4" w:space="0" w:color="auto"/>
              <w:left w:val="single" w:sz="4" w:space="0" w:color="auto"/>
              <w:bottom w:val="single" w:sz="4" w:space="0" w:color="auto"/>
            </w:tcBorders>
            <w:shd w:val="clear" w:color="auto" w:fill="auto"/>
          </w:tcPr>
          <w:p w:rsidR="00A10686" w:rsidRPr="005D5854" w:rsidRDefault="00A10686" w:rsidP="00A10686">
            <w:pPr>
              <w:numPr>
                <w:ilvl w:val="0"/>
                <w:numId w:val="1"/>
              </w:numPr>
              <w:tabs>
                <w:tab w:val="clear" w:pos="720"/>
              </w:tabs>
              <w:ind w:left="158" w:hanging="158"/>
              <w:rPr>
                <w:sz w:val="20"/>
              </w:rPr>
            </w:pPr>
            <w:r w:rsidRPr="005D5854">
              <w:rPr>
                <w:sz w:val="20"/>
              </w:rPr>
              <w:t>Prospective design with violation of 2 or more criteria for good quality cohort, or</w:t>
            </w:r>
          </w:p>
          <w:p w:rsidR="00A10686" w:rsidRPr="005D5854" w:rsidRDefault="00A10686" w:rsidP="00A10686">
            <w:pPr>
              <w:numPr>
                <w:ilvl w:val="0"/>
                <w:numId w:val="1"/>
              </w:numPr>
              <w:tabs>
                <w:tab w:val="clear" w:pos="720"/>
              </w:tabs>
              <w:ind w:left="173" w:hanging="187"/>
              <w:rPr>
                <w:sz w:val="20"/>
              </w:rPr>
            </w:pPr>
            <w:r w:rsidRPr="005D5854">
              <w:rPr>
                <w:sz w:val="20"/>
              </w:rPr>
              <w:t>Retrospective design with violation of 1 or more criteria for good quality cohort</w:t>
            </w:r>
          </w:p>
          <w:p w:rsidR="00A10686" w:rsidRPr="005D5854" w:rsidRDefault="00A10686" w:rsidP="00A10686">
            <w:pPr>
              <w:numPr>
                <w:ilvl w:val="0"/>
                <w:numId w:val="1"/>
              </w:numPr>
              <w:tabs>
                <w:tab w:val="clear" w:pos="720"/>
              </w:tabs>
              <w:ind w:left="162" w:right="-108" w:hanging="180"/>
              <w:rPr>
                <w:sz w:val="20"/>
              </w:rPr>
            </w:pPr>
            <w:r w:rsidRPr="005D5854">
              <w:rPr>
                <w:sz w:val="20"/>
              </w:rPr>
              <w:t>A good case-control study§</w:t>
            </w:r>
          </w:p>
          <w:p w:rsidR="00A10686" w:rsidRPr="005D5854" w:rsidRDefault="00A10686" w:rsidP="00A10686">
            <w:pPr>
              <w:numPr>
                <w:ilvl w:val="0"/>
                <w:numId w:val="1"/>
              </w:numPr>
              <w:tabs>
                <w:tab w:val="clear" w:pos="720"/>
              </w:tabs>
              <w:ind w:left="173" w:hanging="187"/>
              <w:rPr>
                <w:sz w:val="20"/>
              </w:rPr>
            </w:pPr>
            <w:r w:rsidRPr="005D5854">
              <w:rPr>
                <w:sz w:val="20"/>
              </w:rPr>
              <w:t>A good cross-sectional study**</w:t>
            </w:r>
          </w:p>
        </w:tc>
      </w:tr>
      <w:tr w:rsidR="00A10686" w:rsidRPr="005D5854" w:rsidTr="0010138D">
        <w:trPr>
          <w:trHeight w:val="930"/>
        </w:trPr>
        <w:tc>
          <w:tcPr>
            <w:tcW w:w="606" w:type="dxa"/>
            <w:tcBorders>
              <w:top w:val="single" w:sz="4" w:space="0" w:color="auto"/>
              <w:right w:val="single" w:sz="2" w:space="0" w:color="auto"/>
            </w:tcBorders>
            <w:shd w:val="clear" w:color="auto" w:fill="E6E6E6"/>
          </w:tcPr>
          <w:p w:rsidR="00A10686" w:rsidRPr="005D5854" w:rsidRDefault="00A10686" w:rsidP="0010138D">
            <w:pPr>
              <w:ind w:left="-90" w:right="-108"/>
              <w:jc w:val="center"/>
              <w:rPr>
                <w:b/>
                <w:sz w:val="20"/>
              </w:rPr>
            </w:pPr>
            <w:r w:rsidRPr="005D5854">
              <w:rPr>
                <w:b/>
                <w:sz w:val="20"/>
              </w:rPr>
              <w:t>IV</w:t>
            </w:r>
          </w:p>
        </w:tc>
        <w:tc>
          <w:tcPr>
            <w:tcW w:w="2184" w:type="dxa"/>
            <w:tcBorders>
              <w:top w:val="single" w:sz="4" w:space="0" w:color="auto"/>
              <w:right w:val="single" w:sz="4" w:space="0" w:color="auto"/>
            </w:tcBorders>
          </w:tcPr>
          <w:p w:rsidR="00A10686" w:rsidRDefault="00A10686" w:rsidP="0010138D">
            <w:pPr>
              <w:ind w:left="-18" w:right="72"/>
              <w:rPr>
                <w:rFonts w:eastAsia="SimSun"/>
                <w:b/>
                <w:sz w:val="18"/>
                <w:szCs w:val="18"/>
                <w:lang w:eastAsia="zh-CN"/>
              </w:rPr>
            </w:pPr>
            <w:r>
              <w:rPr>
                <w:rFonts w:eastAsia="SimSun"/>
                <w:b/>
                <w:sz w:val="18"/>
                <w:szCs w:val="18"/>
                <w:lang w:eastAsia="zh-CN"/>
              </w:rPr>
              <w:t>H</w:t>
            </w:r>
            <w:r w:rsidRPr="00116DFF">
              <w:rPr>
                <w:rFonts w:eastAsia="SimSun"/>
                <w:b/>
                <w:sz w:val="18"/>
                <w:szCs w:val="18"/>
                <w:lang w:eastAsia="zh-CN"/>
              </w:rPr>
              <w:t xml:space="preserve">igh risk:  </w:t>
            </w:r>
          </w:p>
          <w:p w:rsidR="00A10686" w:rsidRPr="005D5854" w:rsidRDefault="00A10686" w:rsidP="0010138D">
            <w:pPr>
              <w:ind w:right="-108" w:firstLine="6"/>
              <w:rPr>
                <w:sz w:val="20"/>
              </w:rPr>
            </w:pPr>
            <w:r w:rsidRPr="00116DFF">
              <w:rPr>
                <w:rFonts w:eastAsia="SimSun"/>
                <w:sz w:val="18"/>
                <w:szCs w:val="18"/>
                <w:lang w:eastAsia="zh-CN"/>
              </w:rPr>
              <w:t>Study</w:t>
            </w:r>
            <w:r>
              <w:rPr>
                <w:rFonts w:eastAsia="SimSun"/>
                <w:sz w:val="18"/>
                <w:szCs w:val="18"/>
                <w:lang w:eastAsia="zh-CN"/>
              </w:rPr>
              <w:t xml:space="preserve"> has significant potential for bias; does not include design features geared toward minimizing bias and/or does not have a comparison group</w:t>
            </w:r>
          </w:p>
        </w:tc>
        <w:tc>
          <w:tcPr>
            <w:tcW w:w="2038" w:type="dxa"/>
            <w:tcBorders>
              <w:top w:val="single" w:sz="4" w:space="0" w:color="auto"/>
              <w:left w:val="single" w:sz="4" w:space="0" w:color="auto"/>
            </w:tcBorders>
            <w:shd w:val="clear" w:color="auto" w:fill="auto"/>
          </w:tcPr>
          <w:p w:rsidR="00A10686" w:rsidRPr="005D5854" w:rsidRDefault="00A10686" w:rsidP="0010138D">
            <w:pPr>
              <w:ind w:left="173" w:right="-108" w:hanging="187"/>
              <w:rPr>
                <w:sz w:val="20"/>
              </w:rPr>
            </w:pPr>
            <w:r w:rsidRPr="005D5854">
              <w:rPr>
                <w:sz w:val="20"/>
              </w:rPr>
              <w:t>Poor quality case-control or cross-sectional</w:t>
            </w:r>
          </w:p>
          <w:p w:rsidR="00A10686" w:rsidRPr="005D5854" w:rsidRDefault="00A10686" w:rsidP="0010138D">
            <w:pPr>
              <w:ind w:left="173" w:hanging="187"/>
              <w:rPr>
                <w:sz w:val="20"/>
              </w:rPr>
            </w:pPr>
            <w:r w:rsidRPr="005D5854">
              <w:rPr>
                <w:sz w:val="20"/>
              </w:rPr>
              <w:t>Case series§</w:t>
            </w:r>
          </w:p>
        </w:tc>
        <w:tc>
          <w:tcPr>
            <w:tcW w:w="5089" w:type="dxa"/>
            <w:tcBorders>
              <w:top w:val="single" w:sz="4" w:space="0" w:color="auto"/>
              <w:left w:val="single" w:sz="4" w:space="0" w:color="auto"/>
              <w:right w:val="single" w:sz="4" w:space="0" w:color="auto"/>
            </w:tcBorders>
            <w:shd w:val="clear" w:color="auto" w:fill="auto"/>
          </w:tcPr>
          <w:p w:rsidR="00A10686" w:rsidRPr="005D5854" w:rsidRDefault="00A10686" w:rsidP="00A10686">
            <w:pPr>
              <w:numPr>
                <w:ilvl w:val="0"/>
                <w:numId w:val="1"/>
              </w:numPr>
              <w:tabs>
                <w:tab w:val="clear" w:pos="720"/>
              </w:tabs>
              <w:ind w:left="162" w:right="-108" w:hanging="180"/>
              <w:rPr>
                <w:sz w:val="20"/>
              </w:rPr>
            </w:pPr>
            <w:r w:rsidRPr="005D5854">
              <w:rPr>
                <w:sz w:val="20"/>
              </w:rPr>
              <w:t>Other than a good case-control study</w:t>
            </w:r>
          </w:p>
          <w:p w:rsidR="00A10686" w:rsidRPr="005D5854" w:rsidRDefault="00A10686" w:rsidP="00A10686">
            <w:pPr>
              <w:numPr>
                <w:ilvl w:val="0"/>
                <w:numId w:val="1"/>
              </w:numPr>
              <w:tabs>
                <w:tab w:val="clear" w:pos="720"/>
              </w:tabs>
              <w:ind w:left="162" w:right="-108" w:hanging="180"/>
              <w:rPr>
                <w:sz w:val="20"/>
              </w:rPr>
            </w:pPr>
            <w:r w:rsidRPr="005D5854">
              <w:rPr>
                <w:sz w:val="20"/>
              </w:rPr>
              <w:t>Other than a good cross-sectional study</w:t>
            </w:r>
          </w:p>
          <w:p w:rsidR="00A10686" w:rsidRPr="005D5854" w:rsidRDefault="00A10686" w:rsidP="00A10686">
            <w:pPr>
              <w:numPr>
                <w:ilvl w:val="0"/>
                <w:numId w:val="1"/>
              </w:numPr>
              <w:tabs>
                <w:tab w:val="clear" w:pos="720"/>
              </w:tabs>
              <w:ind w:left="162" w:right="-108" w:hanging="180"/>
              <w:rPr>
                <w:sz w:val="20"/>
              </w:rPr>
            </w:pPr>
            <w:r w:rsidRPr="005D5854">
              <w:rPr>
                <w:sz w:val="20"/>
              </w:rPr>
              <w:t>Any case series†† design</w:t>
            </w:r>
          </w:p>
        </w:tc>
      </w:tr>
    </w:tbl>
    <w:p w:rsidR="00A10686" w:rsidRPr="005D5854" w:rsidRDefault="00A10686" w:rsidP="00A10686">
      <w:pPr>
        <w:ind w:left="180" w:hanging="180"/>
        <w:rPr>
          <w:rFonts w:cs="Arial"/>
          <w:kern w:val="36"/>
          <w:sz w:val="20"/>
          <w:szCs w:val="20"/>
        </w:rPr>
      </w:pPr>
      <w:r w:rsidRPr="005D5854">
        <w:rPr>
          <w:rFonts w:cs="Arial"/>
          <w:kern w:val="36"/>
          <w:sz w:val="20"/>
          <w:szCs w:val="20"/>
        </w:rPr>
        <w:t>*Cohort studies follow individuals with the exposure of interest over time and monitor for occurrence of the outcome of interest.</w:t>
      </w:r>
    </w:p>
    <w:p w:rsidR="00A10686" w:rsidRPr="005D5854" w:rsidRDefault="00A10686" w:rsidP="00A10686">
      <w:pPr>
        <w:ind w:left="180" w:hanging="180"/>
        <w:rPr>
          <w:rFonts w:cs="Arial"/>
          <w:kern w:val="36"/>
          <w:sz w:val="20"/>
          <w:szCs w:val="20"/>
        </w:rPr>
      </w:pPr>
      <w:r w:rsidRPr="005D5854">
        <w:rPr>
          <w:rFonts w:cs="Arial"/>
          <w:kern w:val="36"/>
          <w:sz w:val="20"/>
          <w:szCs w:val="20"/>
        </w:rPr>
        <w:t>†Applies to cohort studies only.</w:t>
      </w:r>
    </w:p>
    <w:p w:rsidR="00A10686" w:rsidRPr="005D5854" w:rsidRDefault="00A10686" w:rsidP="00A10686">
      <w:pPr>
        <w:ind w:left="180" w:hanging="180"/>
        <w:rPr>
          <w:rFonts w:cs="Arial"/>
          <w:kern w:val="36"/>
          <w:sz w:val="20"/>
          <w:szCs w:val="20"/>
        </w:rPr>
      </w:pPr>
      <w:r w:rsidRPr="005D5854">
        <w:rPr>
          <w:kern w:val="36"/>
          <w:sz w:val="20"/>
          <w:szCs w:val="20"/>
        </w:rPr>
        <w:t>‡</w:t>
      </w:r>
      <w:r w:rsidRPr="005D5854">
        <w:rPr>
          <w:rFonts w:cs="Arial"/>
          <w:kern w:val="36"/>
          <w:sz w:val="20"/>
          <w:szCs w:val="20"/>
        </w:rPr>
        <w:t>Authors must consider other factors that m</w:t>
      </w:r>
      <w:r>
        <w:rPr>
          <w:rFonts w:cs="Arial"/>
          <w:kern w:val="36"/>
          <w:sz w:val="20"/>
          <w:szCs w:val="20"/>
        </w:rPr>
        <w:t>ight influence patient outcomes and should control for them if appropriate.</w:t>
      </w:r>
    </w:p>
    <w:p w:rsidR="00A10686" w:rsidRPr="005D5854" w:rsidRDefault="00A10686" w:rsidP="00A10686">
      <w:pPr>
        <w:ind w:left="180" w:hanging="180"/>
        <w:rPr>
          <w:rFonts w:cs="Arial"/>
          <w:color w:val="000000"/>
          <w:kern w:val="36"/>
          <w:sz w:val="20"/>
          <w:szCs w:val="20"/>
        </w:rPr>
      </w:pPr>
      <w:r w:rsidRPr="005D5854">
        <w:rPr>
          <w:color w:val="000000"/>
          <w:kern w:val="36"/>
          <w:sz w:val="20"/>
          <w:szCs w:val="20"/>
        </w:rPr>
        <w:t xml:space="preserve">§A good case-control study must have the all of the following: all incident cases from the defined population over a specified time period, </w:t>
      </w:r>
      <w:r w:rsidRPr="005D5854">
        <w:rPr>
          <w:rFonts w:cs="Arial"/>
          <w:color w:val="000000"/>
          <w:kern w:val="36"/>
          <w:sz w:val="20"/>
          <w:szCs w:val="20"/>
        </w:rPr>
        <w:t>controls that represent the population from which the cases come, exposure that precedes an outcome of interest, and accounting for other prognostic factors.</w:t>
      </w:r>
    </w:p>
    <w:p w:rsidR="00A10686" w:rsidRPr="005D5854" w:rsidRDefault="00A10686" w:rsidP="00A10686">
      <w:pPr>
        <w:tabs>
          <w:tab w:val="left" w:pos="180"/>
        </w:tabs>
        <w:ind w:left="180" w:hanging="180"/>
        <w:rPr>
          <w:color w:val="000000"/>
          <w:kern w:val="36"/>
          <w:sz w:val="20"/>
          <w:szCs w:val="20"/>
        </w:rPr>
      </w:pPr>
      <w:r w:rsidRPr="005D5854">
        <w:rPr>
          <w:color w:val="000000"/>
          <w:kern w:val="36"/>
          <w:sz w:val="20"/>
          <w:szCs w:val="20"/>
        </w:rPr>
        <w:t xml:space="preserve">**A good cross-sectional study must have all of the following: a representative sample of the population of interest, an exposure that precedes an outcome of interest (e.g., sex, genetic factor), an accounting for other prognostic factors, and for surveys, at least </w:t>
      </w:r>
      <w:proofErr w:type="gramStart"/>
      <w:r w:rsidRPr="005D5854">
        <w:rPr>
          <w:color w:val="000000"/>
          <w:kern w:val="36"/>
          <w:sz w:val="20"/>
          <w:szCs w:val="20"/>
        </w:rPr>
        <w:t>a</w:t>
      </w:r>
      <w:proofErr w:type="gramEnd"/>
      <w:r w:rsidRPr="005D5854">
        <w:rPr>
          <w:color w:val="000000"/>
          <w:kern w:val="36"/>
          <w:sz w:val="20"/>
          <w:szCs w:val="20"/>
        </w:rPr>
        <w:t xml:space="preserve"> 80% return rate. </w:t>
      </w:r>
    </w:p>
    <w:p w:rsidR="00A10686" w:rsidRDefault="00A10686" w:rsidP="00A10686">
      <w:pPr>
        <w:ind w:left="180" w:hanging="180"/>
        <w:rPr>
          <w:rFonts w:cs="Arial"/>
          <w:color w:val="000000"/>
          <w:kern w:val="36"/>
          <w:sz w:val="20"/>
          <w:szCs w:val="20"/>
        </w:rPr>
      </w:pPr>
      <w:r w:rsidRPr="005D5854">
        <w:rPr>
          <w:rFonts w:cs="Arial"/>
          <w:color w:val="000000"/>
          <w:kern w:val="36"/>
          <w:sz w:val="20"/>
          <w:szCs w:val="20"/>
        </w:rPr>
        <w:t xml:space="preserve">††A case-series design for prognosis is one where all the patients in the study have the exposure of interest.  Since all the patients have the exposure, risks of an outcome can be calculated only for those with the exposure, but cannot be compared with those who do not have the exposure.  For example, a case-series evaluating the effect of </w:t>
      </w:r>
      <w:r w:rsidRPr="005D5854">
        <w:rPr>
          <w:rFonts w:cs="Arial"/>
          <w:color w:val="000000"/>
          <w:kern w:val="36"/>
          <w:sz w:val="20"/>
          <w:szCs w:val="20"/>
        </w:rPr>
        <w:lastRenderedPageBreak/>
        <w:t xml:space="preserve">smoking on spine fusion that only recruits patients who smoke can simply provide the risk of patients who smoke that result in </w:t>
      </w:r>
      <w:proofErr w:type="spellStart"/>
      <w:r w:rsidRPr="005D5854">
        <w:rPr>
          <w:rFonts w:cs="Arial"/>
          <w:color w:val="000000"/>
          <w:kern w:val="36"/>
          <w:sz w:val="20"/>
          <w:szCs w:val="20"/>
        </w:rPr>
        <w:t>pseudarthrosis</w:t>
      </w:r>
      <w:proofErr w:type="spellEnd"/>
      <w:r w:rsidRPr="005D5854">
        <w:rPr>
          <w:rFonts w:cs="Arial"/>
          <w:color w:val="000000"/>
          <w:kern w:val="36"/>
          <w:sz w:val="20"/>
          <w:szCs w:val="20"/>
        </w:rPr>
        <w:t xml:space="preserve"> but cannot compare this risk to those that do not smoke.  </w:t>
      </w:r>
    </w:p>
    <w:p w:rsidR="00A10686" w:rsidRDefault="00A10686" w:rsidP="00A10686"/>
    <w:p w:rsidR="00A10686" w:rsidRPr="00EE6336" w:rsidRDefault="00A10686" w:rsidP="00A10686">
      <w:pPr>
        <w:rPr>
          <w:rFonts w:eastAsia="SimSun"/>
          <w:highlight w:val="yellow"/>
          <w:lang w:eastAsia="zh-CN"/>
        </w:rPr>
      </w:pPr>
    </w:p>
    <w:p w:rsidR="00A10686" w:rsidRPr="000774F8" w:rsidRDefault="00A10686" w:rsidP="00A10686">
      <w:pPr>
        <w:rPr>
          <w:rFonts w:eastAsia="Times New Roman"/>
          <w:i/>
          <w:color w:val="FF0000"/>
        </w:rPr>
      </w:pPr>
      <w:r w:rsidRPr="000774F8">
        <w:rPr>
          <w:rFonts w:eastAsia="Times New Roman"/>
          <w:i/>
        </w:rPr>
        <w:t>4. Excluded articles.</w:t>
      </w:r>
      <w:r w:rsidRPr="000774F8">
        <w:rPr>
          <w:rFonts w:eastAsia="Times New Roman"/>
          <w:i/>
          <w:color w:val="FF0000"/>
        </w:rPr>
        <w:t xml:space="preserve"> </w:t>
      </w:r>
    </w:p>
    <w:p w:rsidR="00A10686" w:rsidRPr="000774F8" w:rsidRDefault="00A10686" w:rsidP="00A10686">
      <w:pPr>
        <w:rPr>
          <w:b/>
        </w:rPr>
      </w:pPr>
    </w:p>
    <w:tbl>
      <w:tblPr>
        <w:tblW w:w="9735" w:type="dxa"/>
        <w:tblInd w:w="93" w:type="dxa"/>
        <w:tblLayout w:type="fixed"/>
        <w:tblLook w:val="0000" w:firstRow="0" w:lastRow="0" w:firstColumn="0" w:lastColumn="0" w:noHBand="0" w:noVBand="0"/>
      </w:tblPr>
      <w:tblGrid>
        <w:gridCol w:w="4155"/>
        <w:gridCol w:w="810"/>
        <w:gridCol w:w="4770"/>
      </w:tblGrid>
      <w:tr w:rsidR="00A10686" w:rsidRPr="00EE6336" w:rsidTr="0010138D">
        <w:trPr>
          <w:trHeight w:val="255"/>
        </w:trPr>
        <w:tc>
          <w:tcPr>
            <w:tcW w:w="4155" w:type="dxa"/>
            <w:tcBorders>
              <w:top w:val="single" w:sz="4" w:space="0" w:color="auto"/>
              <w:left w:val="nil"/>
              <w:bottom w:val="single" w:sz="4" w:space="0" w:color="auto"/>
              <w:right w:val="nil"/>
            </w:tcBorders>
          </w:tcPr>
          <w:p w:rsidR="00A10686" w:rsidRPr="000774F8" w:rsidRDefault="00A10686" w:rsidP="0010138D">
            <w:pPr>
              <w:rPr>
                <w:b/>
                <w:color w:val="000000"/>
              </w:rPr>
            </w:pPr>
            <w:r w:rsidRPr="000774F8">
              <w:rPr>
                <w:b/>
                <w:color w:val="000000"/>
                <w:sz w:val="22"/>
                <w:szCs w:val="22"/>
              </w:rPr>
              <w:t>Author</w:t>
            </w:r>
          </w:p>
        </w:tc>
        <w:tc>
          <w:tcPr>
            <w:tcW w:w="810" w:type="dxa"/>
            <w:tcBorders>
              <w:top w:val="single" w:sz="4" w:space="0" w:color="auto"/>
              <w:left w:val="nil"/>
              <w:bottom w:val="single" w:sz="4" w:space="0" w:color="auto"/>
              <w:right w:val="nil"/>
            </w:tcBorders>
          </w:tcPr>
          <w:p w:rsidR="00A10686" w:rsidRPr="000774F8" w:rsidRDefault="00A10686" w:rsidP="0010138D">
            <w:pPr>
              <w:jc w:val="right"/>
              <w:rPr>
                <w:b/>
                <w:color w:val="000000"/>
              </w:rPr>
            </w:pPr>
            <w:r w:rsidRPr="000774F8">
              <w:rPr>
                <w:b/>
                <w:color w:val="000000"/>
                <w:sz w:val="22"/>
                <w:szCs w:val="22"/>
              </w:rPr>
              <w:t>Year</w:t>
            </w:r>
          </w:p>
        </w:tc>
        <w:tc>
          <w:tcPr>
            <w:tcW w:w="4770" w:type="dxa"/>
            <w:tcBorders>
              <w:top w:val="single" w:sz="4" w:space="0" w:color="auto"/>
              <w:left w:val="nil"/>
              <w:bottom w:val="single" w:sz="4" w:space="0" w:color="auto"/>
              <w:right w:val="nil"/>
            </w:tcBorders>
            <w:noWrap/>
          </w:tcPr>
          <w:p w:rsidR="00A10686" w:rsidRPr="000774F8" w:rsidRDefault="00A10686" w:rsidP="0010138D">
            <w:pPr>
              <w:rPr>
                <w:b/>
                <w:color w:val="000000"/>
              </w:rPr>
            </w:pPr>
            <w:r w:rsidRPr="000774F8">
              <w:rPr>
                <w:b/>
                <w:color w:val="000000"/>
                <w:sz w:val="22"/>
                <w:szCs w:val="22"/>
              </w:rPr>
              <w:t>Reason for exclusion</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EE6336" w:rsidRDefault="00A10686" w:rsidP="0010138D">
            <w:pPr>
              <w:rPr>
                <w:color w:val="000000"/>
                <w:sz w:val="20"/>
                <w:szCs w:val="20"/>
                <w:highlight w:val="yellow"/>
              </w:rPr>
            </w:pPr>
            <w:proofErr w:type="spellStart"/>
            <w:r w:rsidRPr="00DA45F7">
              <w:rPr>
                <w:color w:val="000000"/>
                <w:sz w:val="20"/>
                <w:szCs w:val="20"/>
              </w:rPr>
              <w:t>Bednarik</w:t>
            </w:r>
            <w:proofErr w:type="spellEnd"/>
            <w:r w:rsidRPr="00DA45F7">
              <w:rPr>
                <w:color w:val="000000"/>
                <w:sz w:val="20"/>
                <w:szCs w:val="20"/>
              </w:rPr>
              <w:t xml:space="preserve">, J., Z. </w:t>
            </w:r>
            <w:proofErr w:type="spellStart"/>
            <w:r w:rsidRPr="00DA45F7">
              <w:rPr>
                <w:color w:val="000000"/>
                <w:sz w:val="20"/>
                <w:szCs w:val="20"/>
              </w:rPr>
              <w:t>Kadanka</w:t>
            </w:r>
            <w:proofErr w:type="spellEnd"/>
            <w:r w:rsidRPr="00DA45F7">
              <w:rPr>
                <w:color w:val="000000"/>
                <w:sz w:val="20"/>
                <w:szCs w:val="20"/>
              </w:rPr>
              <w:t>, et al. (2004). "</w:t>
            </w:r>
            <w:proofErr w:type="spellStart"/>
            <w:r w:rsidRPr="00DA45F7">
              <w:rPr>
                <w:color w:val="000000"/>
                <w:sz w:val="20"/>
                <w:szCs w:val="20"/>
              </w:rPr>
              <w:t>Presymptomatic</w:t>
            </w:r>
            <w:proofErr w:type="spellEnd"/>
            <w:r w:rsidRPr="00DA45F7">
              <w:rPr>
                <w:color w:val="000000"/>
                <w:sz w:val="20"/>
                <w:szCs w:val="20"/>
              </w:rPr>
              <w:t xml:space="preserve"> </w:t>
            </w:r>
            <w:proofErr w:type="spellStart"/>
            <w:r w:rsidRPr="00DA45F7">
              <w:rPr>
                <w:color w:val="000000"/>
                <w:sz w:val="20"/>
                <w:szCs w:val="20"/>
              </w:rPr>
              <w:t>spondylotic</w:t>
            </w:r>
            <w:proofErr w:type="spellEnd"/>
            <w:r w:rsidRPr="00DA45F7">
              <w:rPr>
                <w:color w:val="000000"/>
                <w:sz w:val="20"/>
                <w:szCs w:val="20"/>
              </w:rPr>
              <w:t xml:space="preserve"> cervical cord compression." Spine (</w:t>
            </w:r>
            <w:proofErr w:type="spellStart"/>
            <w:r w:rsidRPr="00DA45F7">
              <w:rPr>
                <w:color w:val="000000"/>
                <w:sz w:val="20"/>
                <w:szCs w:val="20"/>
              </w:rPr>
              <w:t>Phila</w:t>
            </w:r>
            <w:proofErr w:type="spellEnd"/>
            <w:r w:rsidRPr="00DA45F7">
              <w:rPr>
                <w:color w:val="000000"/>
                <w:sz w:val="20"/>
                <w:szCs w:val="20"/>
              </w:rPr>
              <w:t xml:space="preserve"> Pa 1976) 29(20): 2260-9.</w:t>
            </w:r>
          </w:p>
        </w:tc>
        <w:tc>
          <w:tcPr>
            <w:tcW w:w="810" w:type="dxa"/>
            <w:vAlign w:val="center"/>
          </w:tcPr>
          <w:p w:rsidR="00A10686" w:rsidRPr="000774F8" w:rsidRDefault="00A10686" w:rsidP="0010138D">
            <w:pPr>
              <w:rPr>
                <w:color w:val="000000"/>
                <w:sz w:val="20"/>
                <w:szCs w:val="20"/>
              </w:rPr>
            </w:pPr>
            <w:r w:rsidRPr="000774F8">
              <w:rPr>
                <w:color w:val="000000"/>
                <w:sz w:val="20"/>
                <w:szCs w:val="20"/>
              </w:rPr>
              <w:t>2004</w:t>
            </w:r>
          </w:p>
        </w:tc>
        <w:tc>
          <w:tcPr>
            <w:tcW w:w="4770" w:type="dxa"/>
            <w:noWrap/>
            <w:vAlign w:val="center"/>
          </w:tcPr>
          <w:p w:rsidR="00A10686" w:rsidRPr="00B713E1" w:rsidRDefault="00A10686" w:rsidP="0010138D">
            <w:pPr>
              <w:rPr>
                <w:color w:val="000000"/>
                <w:sz w:val="20"/>
                <w:szCs w:val="20"/>
              </w:rPr>
            </w:pPr>
            <w:proofErr w:type="gramStart"/>
            <w:r w:rsidRPr="00B713E1">
              <w:rPr>
                <w:color w:val="000000"/>
                <w:sz w:val="20"/>
                <w:szCs w:val="20"/>
              </w:rPr>
              <w:t>Population overlap</w:t>
            </w:r>
            <w:proofErr w:type="gramEnd"/>
            <w:r w:rsidRPr="00B713E1">
              <w:rPr>
                <w:color w:val="000000"/>
                <w:sz w:val="20"/>
                <w:szCs w:val="20"/>
              </w:rPr>
              <w:t xml:space="preserve"> with </w:t>
            </w:r>
            <w:proofErr w:type="spellStart"/>
            <w:r>
              <w:rPr>
                <w:color w:val="000000"/>
                <w:sz w:val="20"/>
                <w:szCs w:val="20"/>
              </w:rPr>
              <w:t>Bednarik</w:t>
            </w:r>
            <w:proofErr w:type="spellEnd"/>
            <w:r>
              <w:rPr>
                <w:color w:val="000000"/>
                <w:sz w:val="20"/>
                <w:szCs w:val="20"/>
              </w:rPr>
              <w:t xml:space="preserve"> 2008 and 2011 articles</w:t>
            </w:r>
            <w:r w:rsidRPr="00B713E1">
              <w:rPr>
                <w:color w:val="000000"/>
                <w:sz w:val="20"/>
                <w:szCs w:val="20"/>
              </w:rPr>
              <w:t>; reported on a smaller subject population and did not report additional results/outcomes</w:t>
            </w:r>
            <w:r>
              <w:rPr>
                <w:color w:val="000000"/>
                <w:sz w:val="20"/>
                <w:szCs w:val="20"/>
              </w:rPr>
              <w:t xml:space="preserve"> compared to later studies</w:t>
            </w:r>
            <w:r w:rsidRPr="00B713E1">
              <w:rPr>
                <w:color w:val="000000"/>
                <w:sz w:val="20"/>
                <w:szCs w:val="20"/>
              </w:rPr>
              <w:t>.</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EE6336" w:rsidRDefault="00A10686" w:rsidP="0010138D">
            <w:pPr>
              <w:rPr>
                <w:sz w:val="20"/>
                <w:szCs w:val="20"/>
                <w:highlight w:val="yellow"/>
              </w:rPr>
            </w:pPr>
            <w:proofErr w:type="spellStart"/>
            <w:r w:rsidRPr="00DA45F7">
              <w:rPr>
                <w:sz w:val="20"/>
                <w:szCs w:val="20"/>
              </w:rPr>
              <w:t>Bednarik</w:t>
            </w:r>
            <w:proofErr w:type="spellEnd"/>
            <w:r w:rsidRPr="00DA45F7">
              <w:rPr>
                <w:sz w:val="20"/>
                <w:szCs w:val="20"/>
              </w:rPr>
              <w:t xml:space="preserve">, J., Z. </w:t>
            </w:r>
            <w:proofErr w:type="spellStart"/>
            <w:r w:rsidRPr="00DA45F7">
              <w:rPr>
                <w:sz w:val="20"/>
                <w:szCs w:val="20"/>
              </w:rPr>
              <w:t>Kadanka</w:t>
            </w:r>
            <w:proofErr w:type="spellEnd"/>
            <w:r w:rsidRPr="00DA45F7">
              <w:rPr>
                <w:sz w:val="20"/>
                <w:szCs w:val="20"/>
              </w:rPr>
              <w:t xml:space="preserve">, et al. (1998). "The value of somatosensory and motor evoked </w:t>
            </w:r>
            <w:proofErr w:type="spellStart"/>
            <w:r w:rsidRPr="00DA45F7">
              <w:rPr>
                <w:sz w:val="20"/>
                <w:szCs w:val="20"/>
              </w:rPr>
              <w:t>evoked</w:t>
            </w:r>
            <w:proofErr w:type="spellEnd"/>
            <w:r w:rsidRPr="00DA45F7">
              <w:rPr>
                <w:sz w:val="20"/>
                <w:szCs w:val="20"/>
              </w:rPr>
              <w:t xml:space="preserve"> potentials in pre-clinical </w:t>
            </w:r>
            <w:proofErr w:type="spellStart"/>
            <w:r w:rsidRPr="00DA45F7">
              <w:rPr>
                <w:sz w:val="20"/>
                <w:szCs w:val="20"/>
              </w:rPr>
              <w:t>spondylotic</w:t>
            </w:r>
            <w:proofErr w:type="spellEnd"/>
            <w:r w:rsidRPr="00DA45F7">
              <w:rPr>
                <w:sz w:val="20"/>
                <w:szCs w:val="20"/>
              </w:rPr>
              <w:t xml:space="preserve"> cervical cord compression." </w:t>
            </w:r>
            <w:proofErr w:type="spellStart"/>
            <w:r w:rsidRPr="00DA45F7">
              <w:rPr>
                <w:sz w:val="20"/>
                <w:szCs w:val="20"/>
              </w:rPr>
              <w:t>Eur</w:t>
            </w:r>
            <w:proofErr w:type="spellEnd"/>
            <w:r w:rsidRPr="00DA45F7">
              <w:rPr>
                <w:sz w:val="20"/>
                <w:szCs w:val="20"/>
              </w:rPr>
              <w:t xml:space="preserve"> Spine J 7(6): 493-500</w:t>
            </w:r>
            <w:r>
              <w:rPr>
                <w:sz w:val="20"/>
                <w:szCs w:val="20"/>
              </w:rPr>
              <w:t>.</w:t>
            </w:r>
          </w:p>
        </w:tc>
        <w:tc>
          <w:tcPr>
            <w:tcW w:w="810" w:type="dxa"/>
            <w:vAlign w:val="center"/>
          </w:tcPr>
          <w:p w:rsidR="00A10686" w:rsidRPr="000774F8" w:rsidRDefault="00A10686" w:rsidP="0010138D">
            <w:pPr>
              <w:rPr>
                <w:sz w:val="20"/>
                <w:szCs w:val="20"/>
              </w:rPr>
            </w:pPr>
            <w:r w:rsidRPr="000774F8">
              <w:rPr>
                <w:sz w:val="20"/>
                <w:szCs w:val="20"/>
              </w:rPr>
              <w:t>1998</w:t>
            </w:r>
          </w:p>
        </w:tc>
        <w:tc>
          <w:tcPr>
            <w:tcW w:w="4770" w:type="dxa"/>
            <w:noWrap/>
            <w:vAlign w:val="center"/>
          </w:tcPr>
          <w:p w:rsidR="00A10686" w:rsidRPr="00B713E1" w:rsidRDefault="00A10686" w:rsidP="0010138D">
            <w:pPr>
              <w:rPr>
                <w:color w:val="000000"/>
                <w:sz w:val="20"/>
                <w:szCs w:val="20"/>
              </w:rPr>
            </w:pPr>
            <w:proofErr w:type="gramStart"/>
            <w:r w:rsidRPr="00B713E1">
              <w:rPr>
                <w:color w:val="000000"/>
                <w:sz w:val="20"/>
                <w:szCs w:val="20"/>
              </w:rPr>
              <w:t>Population overlap</w:t>
            </w:r>
            <w:proofErr w:type="gramEnd"/>
            <w:r w:rsidRPr="00B713E1">
              <w:rPr>
                <w:color w:val="000000"/>
                <w:sz w:val="20"/>
                <w:szCs w:val="20"/>
              </w:rPr>
              <w:t xml:space="preserve"> with </w:t>
            </w:r>
            <w:proofErr w:type="spellStart"/>
            <w:r>
              <w:rPr>
                <w:color w:val="000000"/>
                <w:sz w:val="20"/>
                <w:szCs w:val="20"/>
              </w:rPr>
              <w:t>Bednarik</w:t>
            </w:r>
            <w:proofErr w:type="spellEnd"/>
            <w:r>
              <w:rPr>
                <w:color w:val="000000"/>
                <w:sz w:val="20"/>
                <w:szCs w:val="20"/>
              </w:rPr>
              <w:t xml:space="preserve"> 2008 and 2011 articles</w:t>
            </w:r>
            <w:r w:rsidRPr="00B713E1">
              <w:rPr>
                <w:color w:val="000000"/>
                <w:sz w:val="20"/>
                <w:szCs w:val="20"/>
              </w:rPr>
              <w:t>; reported on a smaller subject population and did not report additional results/outcomes</w:t>
            </w:r>
            <w:r>
              <w:rPr>
                <w:color w:val="000000"/>
                <w:sz w:val="20"/>
                <w:szCs w:val="20"/>
              </w:rPr>
              <w:t xml:space="preserve"> compared to later studies</w:t>
            </w:r>
            <w:r w:rsidRPr="00B713E1">
              <w:rPr>
                <w:color w:val="000000"/>
                <w:sz w:val="20"/>
                <w:szCs w:val="20"/>
              </w:rPr>
              <w:t>.</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6D103E" w:rsidRDefault="00A10686" w:rsidP="0010138D">
            <w:pPr>
              <w:rPr>
                <w:sz w:val="20"/>
                <w:szCs w:val="20"/>
              </w:rPr>
            </w:pPr>
            <w:r w:rsidRPr="006D103E">
              <w:rPr>
                <w:sz w:val="20"/>
                <w:szCs w:val="20"/>
              </w:rPr>
              <w:t xml:space="preserve">Castro, F. P., Jr., J. </w:t>
            </w:r>
            <w:proofErr w:type="spellStart"/>
            <w:r w:rsidRPr="006D103E">
              <w:rPr>
                <w:sz w:val="20"/>
                <w:szCs w:val="20"/>
              </w:rPr>
              <w:t>Ricciardi</w:t>
            </w:r>
            <w:proofErr w:type="spellEnd"/>
            <w:r w:rsidRPr="006D103E">
              <w:rPr>
                <w:sz w:val="20"/>
                <w:szCs w:val="20"/>
              </w:rPr>
              <w:t xml:space="preserve">, et al. (1997). "Stingers, the </w:t>
            </w:r>
            <w:proofErr w:type="spellStart"/>
            <w:r w:rsidRPr="006D103E">
              <w:rPr>
                <w:sz w:val="20"/>
                <w:szCs w:val="20"/>
              </w:rPr>
              <w:t>Torg</w:t>
            </w:r>
            <w:proofErr w:type="spellEnd"/>
            <w:r w:rsidRPr="006D103E">
              <w:rPr>
                <w:sz w:val="20"/>
                <w:szCs w:val="20"/>
              </w:rPr>
              <w:t xml:space="preserve"> ratio, and the cervical spine." </w:t>
            </w:r>
            <w:proofErr w:type="gramStart"/>
            <w:r w:rsidRPr="006D103E">
              <w:rPr>
                <w:sz w:val="20"/>
                <w:szCs w:val="20"/>
              </w:rPr>
              <w:t>Am</w:t>
            </w:r>
            <w:proofErr w:type="gramEnd"/>
            <w:r w:rsidRPr="006D103E">
              <w:rPr>
                <w:sz w:val="20"/>
                <w:szCs w:val="20"/>
              </w:rPr>
              <w:t xml:space="preserve"> J Sports Med 25(5): 603-8.</w:t>
            </w:r>
          </w:p>
        </w:tc>
        <w:tc>
          <w:tcPr>
            <w:tcW w:w="810" w:type="dxa"/>
            <w:vAlign w:val="center"/>
          </w:tcPr>
          <w:p w:rsidR="00A10686" w:rsidRPr="006D103E" w:rsidRDefault="00A10686" w:rsidP="0010138D">
            <w:pPr>
              <w:rPr>
                <w:sz w:val="20"/>
                <w:szCs w:val="20"/>
              </w:rPr>
            </w:pPr>
            <w:r w:rsidRPr="006D103E">
              <w:rPr>
                <w:sz w:val="20"/>
                <w:szCs w:val="20"/>
              </w:rPr>
              <w:t>1997</w:t>
            </w:r>
          </w:p>
        </w:tc>
        <w:tc>
          <w:tcPr>
            <w:tcW w:w="4770" w:type="dxa"/>
            <w:noWrap/>
            <w:vAlign w:val="center"/>
          </w:tcPr>
          <w:p w:rsidR="00A10686" w:rsidRPr="006D103E" w:rsidRDefault="00A10686" w:rsidP="0010138D">
            <w:pPr>
              <w:rPr>
                <w:color w:val="000000"/>
                <w:sz w:val="20"/>
                <w:szCs w:val="20"/>
              </w:rPr>
            </w:pPr>
            <w:r w:rsidRPr="006D103E">
              <w:rPr>
                <w:color w:val="000000"/>
                <w:sz w:val="20"/>
                <w:szCs w:val="20"/>
              </w:rPr>
              <w:t xml:space="preserve">Did not assess outcomes of interest (subjects were followed prospectively for development of transient </w:t>
            </w:r>
            <w:proofErr w:type="spellStart"/>
            <w:r w:rsidRPr="006D103E">
              <w:rPr>
                <w:color w:val="000000"/>
                <w:sz w:val="20"/>
                <w:szCs w:val="20"/>
              </w:rPr>
              <w:t>neuropraxias</w:t>
            </w:r>
            <w:proofErr w:type="spellEnd"/>
            <w:r w:rsidRPr="006D103E">
              <w:rPr>
                <w:color w:val="000000"/>
                <w:sz w:val="20"/>
                <w:szCs w:val="20"/>
              </w:rPr>
              <w:t>)</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6D103E" w:rsidRDefault="00A10686" w:rsidP="0010138D">
            <w:pPr>
              <w:rPr>
                <w:sz w:val="20"/>
                <w:szCs w:val="20"/>
              </w:rPr>
            </w:pPr>
            <w:r w:rsidRPr="006D103E">
              <w:rPr>
                <w:sz w:val="20"/>
                <w:szCs w:val="20"/>
              </w:rPr>
              <w:t xml:space="preserve">Chang, H., K. J. Song, et al. (2012). "Factors related to the development of myelopathy in patients with cervical ossification of the posterior longitudinal ligament." J Bone Joint </w:t>
            </w:r>
            <w:proofErr w:type="spellStart"/>
            <w:r w:rsidRPr="006D103E">
              <w:rPr>
                <w:sz w:val="20"/>
                <w:szCs w:val="20"/>
              </w:rPr>
              <w:t>Surg</w:t>
            </w:r>
            <w:proofErr w:type="spellEnd"/>
            <w:r w:rsidRPr="006D103E">
              <w:rPr>
                <w:sz w:val="20"/>
                <w:szCs w:val="20"/>
              </w:rPr>
              <w:t xml:space="preserve"> Br 94(7): 946-9.</w:t>
            </w:r>
          </w:p>
        </w:tc>
        <w:tc>
          <w:tcPr>
            <w:tcW w:w="810" w:type="dxa"/>
            <w:vAlign w:val="center"/>
          </w:tcPr>
          <w:p w:rsidR="00A10686" w:rsidRPr="006D103E" w:rsidRDefault="00A10686" w:rsidP="0010138D">
            <w:pPr>
              <w:rPr>
                <w:sz w:val="20"/>
                <w:szCs w:val="20"/>
              </w:rPr>
            </w:pPr>
            <w:r w:rsidRPr="006D103E">
              <w:rPr>
                <w:sz w:val="20"/>
                <w:szCs w:val="20"/>
              </w:rPr>
              <w:t>2012</w:t>
            </w:r>
          </w:p>
        </w:tc>
        <w:tc>
          <w:tcPr>
            <w:tcW w:w="4770" w:type="dxa"/>
            <w:noWrap/>
            <w:vAlign w:val="center"/>
          </w:tcPr>
          <w:p w:rsidR="00A10686" w:rsidRPr="006D103E" w:rsidRDefault="00A10686" w:rsidP="0010138D">
            <w:pPr>
              <w:rPr>
                <w:color w:val="000000"/>
                <w:sz w:val="20"/>
                <w:szCs w:val="20"/>
              </w:rPr>
            </w:pPr>
            <w:r w:rsidRPr="006D103E">
              <w:rPr>
                <w:color w:val="000000"/>
                <w:sz w:val="20"/>
                <w:szCs w:val="20"/>
              </w:rPr>
              <w:t>Cross-sectional study; did not assess outcomes of interest</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6D103E" w:rsidRDefault="00A10686" w:rsidP="0010138D">
            <w:pPr>
              <w:rPr>
                <w:sz w:val="20"/>
                <w:szCs w:val="20"/>
              </w:rPr>
            </w:pPr>
            <w:r w:rsidRPr="006D103E">
              <w:rPr>
                <w:sz w:val="20"/>
                <w:szCs w:val="20"/>
              </w:rPr>
              <w:t xml:space="preserve">Chiba, K., I. Yamamoto, et al. (2005). "Multicenter study investigating the postoperative progression of ossification of the posterior longitudinal ligament in the cervical spine: a new computer-assisted measurement." J </w:t>
            </w:r>
            <w:proofErr w:type="spellStart"/>
            <w:r w:rsidRPr="006D103E">
              <w:rPr>
                <w:sz w:val="20"/>
                <w:szCs w:val="20"/>
              </w:rPr>
              <w:t>Neurosurg</w:t>
            </w:r>
            <w:proofErr w:type="spellEnd"/>
            <w:r w:rsidRPr="006D103E">
              <w:rPr>
                <w:sz w:val="20"/>
                <w:szCs w:val="20"/>
              </w:rPr>
              <w:t xml:space="preserve"> Spine 3(1): 17-23.</w:t>
            </w:r>
          </w:p>
        </w:tc>
        <w:tc>
          <w:tcPr>
            <w:tcW w:w="810" w:type="dxa"/>
            <w:vAlign w:val="center"/>
          </w:tcPr>
          <w:p w:rsidR="00A10686" w:rsidRPr="006D103E" w:rsidRDefault="00A10686" w:rsidP="0010138D">
            <w:pPr>
              <w:rPr>
                <w:sz w:val="20"/>
                <w:szCs w:val="20"/>
              </w:rPr>
            </w:pPr>
            <w:r w:rsidRPr="006D103E">
              <w:rPr>
                <w:sz w:val="20"/>
                <w:szCs w:val="20"/>
              </w:rPr>
              <w:t>2005</w:t>
            </w:r>
          </w:p>
        </w:tc>
        <w:tc>
          <w:tcPr>
            <w:tcW w:w="4770" w:type="dxa"/>
            <w:noWrap/>
            <w:vAlign w:val="center"/>
          </w:tcPr>
          <w:p w:rsidR="00A10686" w:rsidRPr="006D103E" w:rsidRDefault="00A10686" w:rsidP="0010138D">
            <w:pPr>
              <w:rPr>
                <w:color w:val="000000"/>
                <w:sz w:val="20"/>
                <w:szCs w:val="20"/>
              </w:rPr>
            </w:pPr>
            <w:r w:rsidRPr="006D103E">
              <w:rPr>
                <w:color w:val="000000"/>
                <w:sz w:val="20"/>
                <w:szCs w:val="20"/>
              </w:rPr>
              <w:t>Did not assess outcomes of interest (subjects with a history of surgical intervention were followed for progression of OPLL)</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6D103E" w:rsidRDefault="00A10686" w:rsidP="0010138D">
            <w:pPr>
              <w:rPr>
                <w:color w:val="000000"/>
                <w:sz w:val="20"/>
                <w:szCs w:val="20"/>
              </w:rPr>
            </w:pPr>
            <w:r w:rsidRPr="006D103E">
              <w:rPr>
                <w:color w:val="000000"/>
                <w:sz w:val="20"/>
                <w:szCs w:val="20"/>
              </w:rPr>
              <w:t xml:space="preserve">Foo, D. (1986). "Spinal cord injury in forty-four patients with cervical </w:t>
            </w:r>
            <w:proofErr w:type="spellStart"/>
            <w:r w:rsidRPr="006D103E">
              <w:rPr>
                <w:color w:val="000000"/>
                <w:sz w:val="20"/>
                <w:szCs w:val="20"/>
              </w:rPr>
              <w:t>spondylosis</w:t>
            </w:r>
            <w:proofErr w:type="spellEnd"/>
            <w:r w:rsidRPr="006D103E">
              <w:rPr>
                <w:color w:val="000000"/>
                <w:sz w:val="20"/>
                <w:szCs w:val="20"/>
              </w:rPr>
              <w:t>." Paraplegia 24(5): 301-6.</w:t>
            </w:r>
          </w:p>
        </w:tc>
        <w:tc>
          <w:tcPr>
            <w:tcW w:w="810" w:type="dxa"/>
            <w:vAlign w:val="center"/>
          </w:tcPr>
          <w:p w:rsidR="00A10686" w:rsidRPr="006D103E" w:rsidRDefault="00A10686" w:rsidP="0010138D">
            <w:pPr>
              <w:rPr>
                <w:color w:val="000000"/>
                <w:sz w:val="20"/>
                <w:szCs w:val="20"/>
              </w:rPr>
            </w:pPr>
            <w:r w:rsidRPr="006D103E">
              <w:rPr>
                <w:color w:val="000000"/>
                <w:sz w:val="20"/>
                <w:szCs w:val="20"/>
              </w:rPr>
              <w:t>1986</w:t>
            </w:r>
          </w:p>
        </w:tc>
        <w:tc>
          <w:tcPr>
            <w:tcW w:w="4770" w:type="dxa"/>
            <w:noWrap/>
            <w:vAlign w:val="center"/>
          </w:tcPr>
          <w:p w:rsidR="00A10686" w:rsidRPr="006D103E" w:rsidRDefault="00A10686" w:rsidP="0010138D">
            <w:pPr>
              <w:rPr>
                <w:color w:val="000000"/>
                <w:sz w:val="20"/>
                <w:szCs w:val="20"/>
              </w:rPr>
            </w:pPr>
            <w:r w:rsidRPr="006D103E">
              <w:rPr>
                <w:color w:val="000000"/>
                <w:sz w:val="20"/>
                <w:szCs w:val="20"/>
              </w:rPr>
              <w:t>Did not meet inclusion criteria (subjects had history of spinal cord injury)</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6D103E" w:rsidRDefault="00A10686" w:rsidP="0010138D">
            <w:pPr>
              <w:rPr>
                <w:color w:val="000000"/>
                <w:sz w:val="20"/>
                <w:szCs w:val="20"/>
              </w:rPr>
            </w:pPr>
            <w:r w:rsidRPr="000774F8">
              <w:rPr>
                <w:color w:val="000000"/>
                <w:sz w:val="20"/>
                <w:szCs w:val="20"/>
              </w:rPr>
              <w:t xml:space="preserve">Ichihara, D., E. Okada, et al. (2009). "Longitudinal magnetic resonance imaging study on whiplash injury patients: minimum 10-year follow-up." J </w:t>
            </w:r>
            <w:proofErr w:type="spellStart"/>
            <w:r w:rsidRPr="000774F8">
              <w:rPr>
                <w:color w:val="000000"/>
                <w:sz w:val="20"/>
                <w:szCs w:val="20"/>
              </w:rPr>
              <w:t>Orthop</w:t>
            </w:r>
            <w:proofErr w:type="spellEnd"/>
            <w:r w:rsidRPr="000774F8">
              <w:rPr>
                <w:color w:val="000000"/>
                <w:sz w:val="20"/>
                <w:szCs w:val="20"/>
              </w:rPr>
              <w:t xml:space="preserve"> </w:t>
            </w:r>
            <w:proofErr w:type="spellStart"/>
            <w:r w:rsidRPr="000774F8">
              <w:rPr>
                <w:color w:val="000000"/>
                <w:sz w:val="20"/>
                <w:szCs w:val="20"/>
              </w:rPr>
              <w:t>Sci</w:t>
            </w:r>
            <w:proofErr w:type="spellEnd"/>
            <w:r w:rsidRPr="000774F8">
              <w:rPr>
                <w:color w:val="000000"/>
                <w:sz w:val="20"/>
                <w:szCs w:val="20"/>
              </w:rPr>
              <w:t xml:space="preserve"> 14(5): 602-10.</w:t>
            </w:r>
          </w:p>
        </w:tc>
        <w:tc>
          <w:tcPr>
            <w:tcW w:w="810" w:type="dxa"/>
            <w:vAlign w:val="center"/>
          </w:tcPr>
          <w:p w:rsidR="00A10686" w:rsidRPr="006D103E" w:rsidRDefault="00A10686" w:rsidP="0010138D">
            <w:pPr>
              <w:rPr>
                <w:color w:val="000000"/>
                <w:sz w:val="20"/>
                <w:szCs w:val="20"/>
              </w:rPr>
            </w:pPr>
            <w:r>
              <w:rPr>
                <w:color w:val="000000"/>
                <w:sz w:val="20"/>
                <w:szCs w:val="20"/>
              </w:rPr>
              <w:t>2009</w:t>
            </w:r>
          </w:p>
        </w:tc>
        <w:tc>
          <w:tcPr>
            <w:tcW w:w="4770" w:type="dxa"/>
            <w:noWrap/>
            <w:vAlign w:val="center"/>
          </w:tcPr>
          <w:p w:rsidR="00A10686" w:rsidRPr="006D103E" w:rsidRDefault="00A10686" w:rsidP="0010138D">
            <w:pPr>
              <w:spacing w:before="100" w:beforeAutospacing="1" w:after="100" w:afterAutospacing="1"/>
              <w:rPr>
                <w:color w:val="000000"/>
                <w:sz w:val="20"/>
                <w:szCs w:val="20"/>
              </w:rPr>
            </w:pPr>
            <w:r>
              <w:rPr>
                <w:color w:val="000000"/>
                <w:sz w:val="20"/>
                <w:szCs w:val="20"/>
              </w:rPr>
              <w:t>Did not report outcomes of interest</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6D103E" w:rsidRDefault="00A10686" w:rsidP="0010138D">
            <w:pPr>
              <w:rPr>
                <w:color w:val="000000"/>
                <w:sz w:val="20"/>
                <w:szCs w:val="20"/>
              </w:rPr>
            </w:pPr>
            <w:r w:rsidRPr="000774F8">
              <w:rPr>
                <w:color w:val="000000"/>
                <w:sz w:val="20"/>
                <w:szCs w:val="20"/>
              </w:rPr>
              <w:t>Iwasaki, M., T. Yamamoto, et al. (2002). "Cervical kyphosis: predictive factors for progression of kyphosis and myelopathy." Spine (</w:t>
            </w:r>
            <w:proofErr w:type="spellStart"/>
            <w:r w:rsidRPr="000774F8">
              <w:rPr>
                <w:color w:val="000000"/>
                <w:sz w:val="20"/>
                <w:szCs w:val="20"/>
              </w:rPr>
              <w:t>Phila</w:t>
            </w:r>
            <w:proofErr w:type="spellEnd"/>
            <w:r w:rsidRPr="000774F8">
              <w:rPr>
                <w:color w:val="000000"/>
                <w:sz w:val="20"/>
                <w:szCs w:val="20"/>
              </w:rPr>
              <w:t xml:space="preserve"> Pa 1976) 27(13): 1419-25</w:t>
            </w:r>
            <w:r>
              <w:rPr>
                <w:color w:val="000000"/>
                <w:sz w:val="20"/>
                <w:szCs w:val="20"/>
              </w:rPr>
              <w:t>.</w:t>
            </w:r>
          </w:p>
        </w:tc>
        <w:tc>
          <w:tcPr>
            <w:tcW w:w="810" w:type="dxa"/>
            <w:vAlign w:val="center"/>
          </w:tcPr>
          <w:p w:rsidR="00A10686" w:rsidRPr="006D103E" w:rsidRDefault="00A10686" w:rsidP="0010138D">
            <w:pPr>
              <w:rPr>
                <w:color w:val="000000"/>
                <w:sz w:val="20"/>
                <w:szCs w:val="20"/>
              </w:rPr>
            </w:pPr>
            <w:r>
              <w:rPr>
                <w:color w:val="000000"/>
                <w:sz w:val="20"/>
                <w:szCs w:val="20"/>
              </w:rPr>
              <w:t>2002</w:t>
            </w:r>
          </w:p>
        </w:tc>
        <w:tc>
          <w:tcPr>
            <w:tcW w:w="4770" w:type="dxa"/>
            <w:noWrap/>
            <w:vAlign w:val="center"/>
          </w:tcPr>
          <w:p w:rsidR="00A10686" w:rsidRPr="006D103E" w:rsidRDefault="00A10686" w:rsidP="0010138D">
            <w:pPr>
              <w:spacing w:before="100" w:beforeAutospacing="1" w:after="100" w:afterAutospacing="1"/>
              <w:rPr>
                <w:color w:val="000000"/>
                <w:sz w:val="20"/>
                <w:szCs w:val="20"/>
              </w:rPr>
            </w:pPr>
            <w:r>
              <w:rPr>
                <w:color w:val="000000"/>
                <w:sz w:val="20"/>
                <w:szCs w:val="20"/>
              </w:rPr>
              <w:t>Did not meet inclusion criteria</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6D103E" w:rsidRDefault="00A10686" w:rsidP="0010138D">
            <w:pPr>
              <w:rPr>
                <w:color w:val="000000"/>
                <w:sz w:val="20"/>
                <w:szCs w:val="20"/>
              </w:rPr>
            </w:pPr>
            <w:proofErr w:type="spellStart"/>
            <w:r w:rsidRPr="000774F8">
              <w:rPr>
                <w:color w:val="000000"/>
                <w:sz w:val="20"/>
                <w:szCs w:val="20"/>
              </w:rPr>
              <w:t>Kadanka</w:t>
            </w:r>
            <w:proofErr w:type="spellEnd"/>
            <w:r w:rsidRPr="000774F8">
              <w:rPr>
                <w:color w:val="000000"/>
                <w:sz w:val="20"/>
                <w:szCs w:val="20"/>
              </w:rPr>
              <w:t xml:space="preserve">, Z., M. </w:t>
            </w:r>
            <w:proofErr w:type="spellStart"/>
            <w:r w:rsidRPr="000774F8">
              <w:rPr>
                <w:color w:val="000000"/>
                <w:sz w:val="20"/>
                <w:szCs w:val="20"/>
              </w:rPr>
              <w:t>Kerkovsky</w:t>
            </w:r>
            <w:proofErr w:type="spellEnd"/>
            <w:r w:rsidRPr="000774F8">
              <w:rPr>
                <w:color w:val="000000"/>
                <w:sz w:val="20"/>
                <w:szCs w:val="20"/>
              </w:rPr>
              <w:t xml:space="preserve">, et al. (2007). "Cross-sectional transverse area and </w:t>
            </w:r>
            <w:proofErr w:type="spellStart"/>
            <w:r w:rsidRPr="000774F8">
              <w:rPr>
                <w:color w:val="000000"/>
                <w:sz w:val="20"/>
                <w:szCs w:val="20"/>
              </w:rPr>
              <w:t>hyperintensities</w:t>
            </w:r>
            <w:proofErr w:type="spellEnd"/>
            <w:r w:rsidRPr="000774F8">
              <w:rPr>
                <w:color w:val="000000"/>
                <w:sz w:val="20"/>
                <w:szCs w:val="20"/>
              </w:rPr>
              <w:t xml:space="preserve"> on magnetic resonance imaging in relation to the clinical picture in cervical </w:t>
            </w:r>
            <w:proofErr w:type="spellStart"/>
            <w:r w:rsidRPr="000774F8">
              <w:rPr>
                <w:color w:val="000000"/>
                <w:sz w:val="20"/>
                <w:szCs w:val="20"/>
              </w:rPr>
              <w:t>spondylotic</w:t>
            </w:r>
            <w:proofErr w:type="spellEnd"/>
            <w:r w:rsidRPr="000774F8">
              <w:rPr>
                <w:color w:val="000000"/>
                <w:sz w:val="20"/>
                <w:szCs w:val="20"/>
              </w:rPr>
              <w:t xml:space="preserve"> myelopathy." Spine (</w:t>
            </w:r>
            <w:proofErr w:type="spellStart"/>
            <w:r w:rsidRPr="000774F8">
              <w:rPr>
                <w:color w:val="000000"/>
                <w:sz w:val="20"/>
                <w:szCs w:val="20"/>
              </w:rPr>
              <w:t>Phila</w:t>
            </w:r>
            <w:proofErr w:type="spellEnd"/>
            <w:r w:rsidRPr="000774F8">
              <w:rPr>
                <w:color w:val="000000"/>
                <w:sz w:val="20"/>
                <w:szCs w:val="20"/>
              </w:rPr>
              <w:t xml:space="preserve"> Pa 1976) 32(23): 2573-7.</w:t>
            </w:r>
          </w:p>
        </w:tc>
        <w:tc>
          <w:tcPr>
            <w:tcW w:w="810" w:type="dxa"/>
            <w:vAlign w:val="center"/>
          </w:tcPr>
          <w:p w:rsidR="00A10686" w:rsidRPr="006D103E" w:rsidRDefault="00A10686" w:rsidP="0010138D">
            <w:pPr>
              <w:rPr>
                <w:color w:val="000000"/>
                <w:sz w:val="20"/>
                <w:szCs w:val="20"/>
              </w:rPr>
            </w:pPr>
            <w:r>
              <w:rPr>
                <w:color w:val="000000"/>
                <w:sz w:val="20"/>
                <w:szCs w:val="20"/>
              </w:rPr>
              <w:t>2007</w:t>
            </w:r>
          </w:p>
        </w:tc>
        <w:tc>
          <w:tcPr>
            <w:tcW w:w="4770" w:type="dxa"/>
            <w:noWrap/>
            <w:vAlign w:val="center"/>
          </w:tcPr>
          <w:p w:rsidR="00A10686" w:rsidRPr="006D103E" w:rsidRDefault="00A10686" w:rsidP="0010138D">
            <w:pPr>
              <w:rPr>
                <w:color w:val="000000"/>
                <w:sz w:val="20"/>
                <w:szCs w:val="20"/>
              </w:rPr>
            </w:pPr>
            <w:r w:rsidRPr="006D103E">
              <w:rPr>
                <w:color w:val="000000"/>
                <w:sz w:val="20"/>
                <w:szCs w:val="20"/>
              </w:rPr>
              <w:t>Cross-sectional study; did not assess outcomes of interest</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6D103E" w:rsidRDefault="00A10686" w:rsidP="0010138D">
            <w:pPr>
              <w:rPr>
                <w:color w:val="000000"/>
                <w:sz w:val="20"/>
                <w:szCs w:val="20"/>
              </w:rPr>
            </w:pPr>
            <w:proofErr w:type="spellStart"/>
            <w:r w:rsidRPr="000774F8">
              <w:rPr>
                <w:color w:val="000000"/>
                <w:sz w:val="20"/>
                <w:szCs w:val="20"/>
              </w:rPr>
              <w:t>Kerkovsky</w:t>
            </w:r>
            <w:proofErr w:type="spellEnd"/>
            <w:r w:rsidRPr="000774F8">
              <w:rPr>
                <w:color w:val="000000"/>
                <w:sz w:val="20"/>
                <w:szCs w:val="20"/>
              </w:rPr>
              <w:t xml:space="preserve">, M., J. </w:t>
            </w:r>
            <w:proofErr w:type="spellStart"/>
            <w:r w:rsidRPr="000774F8">
              <w:rPr>
                <w:color w:val="000000"/>
                <w:sz w:val="20"/>
                <w:szCs w:val="20"/>
              </w:rPr>
              <w:t>Bednarik</w:t>
            </w:r>
            <w:proofErr w:type="spellEnd"/>
            <w:r w:rsidRPr="000774F8">
              <w:rPr>
                <w:color w:val="000000"/>
                <w:sz w:val="20"/>
                <w:szCs w:val="20"/>
              </w:rPr>
              <w:t xml:space="preserve">, et al. (2012). "Magnetic resonance diffusion tensor imaging in patients with cervical </w:t>
            </w:r>
            <w:proofErr w:type="spellStart"/>
            <w:r w:rsidRPr="000774F8">
              <w:rPr>
                <w:color w:val="000000"/>
                <w:sz w:val="20"/>
                <w:szCs w:val="20"/>
              </w:rPr>
              <w:t>spondylotic</w:t>
            </w:r>
            <w:proofErr w:type="spellEnd"/>
            <w:r w:rsidRPr="000774F8">
              <w:rPr>
                <w:color w:val="000000"/>
                <w:sz w:val="20"/>
                <w:szCs w:val="20"/>
              </w:rPr>
              <w:t xml:space="preserve"> spinal cord compression: correlations between clinical and electrophysiological findings." Spine (</w:t>
            </w:r>
            <w:proofErr w:type="spellStart"/>
            <w:r w:rsidRPr="000774F8">
              <w:rPr>
                <w:color w:val="000000"/>
                <w:sz w:val="20"/>
                <w:szCs w:val="20"/>
              </w:rPr>
              <w:t>Phila</w:t>
            </w:r>
            <w:proofErr w:type="spellEnd"/>
            <w:r w:rsidRPr="000774F8">
              <w:rPr>
                <w:color w:val="000000"/>
                <w:sz w:val="20"/>
                <w:szCs w:val="20"/>
              </w:rPr>
              <w:t xml:space="preserve"> Pa 1976) 37(1): 48-56.</w:t>
            </w:r>
          </w:p>
        </w:tc>
        <w:tc>
          <w:tcPr>
            <w:tcW w:w="810" w:type="dxa"/>
            <w:vAlign w:val="center"/>
          </w:tcPr>
          <w:p w:rsidR="00A10686" w:rsidRPr="006D103E" w:rsidRDefault="00A10686" w:rsidP="0010138D">
            <w:pPr>
              <w:rPr>
                <w:color w:val="000000"/>
                <w:sz w:val="20"/>
                <w:szCs w:val="20"/>
              </w:rPr>
            </w:pPr>
            <w:r>
              <w:rPr>
                <w:color w:val="000000"/>
                <w:sz w:val="20"/>
                <w:szCs w:val="20"/>
              </w:rPr>
              <w:t>2012</w:t>
            </w:r>
          </w:p>
        </w:tc>
        <w:tc>
          <w:tcPr>
            <w:tcW w:w="4770" w:type="dxa"/>
            <w:noWrap/>
            <w:vAlign w:val="center"/>
          </w:tcPr>
          <w:p w:rsidR="00A10686" w:rsidRPr="006D103E" w:rsidRDefault="00A10686" w:rsidP="0010138D">
            <w:pPr>
              <w:rPr>
                <w:color w:val="000000"/>
                <w:sz w:val="20"/>
                <w:szCs w:val="20"/>
              </w:rPr>
            </w:pPr>
            <w:r w:rsidRPr="006D103E">
              <w:rPr>
                <w:color w:val="000000"/>
                <w:sz w:val="20"/>
                <w:szCs w:val="20"/>
              </w:rPr>
              <w:t>Cross-sectional study; did not assess outcomes of interest</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6D103E" w:rsidRDefault="00A10686" w:rsidP="0010138D">
            <w:pPr>
              <w:rPr>
                <w:color w:val="000000"/>
                <w:sz w:val="20"/>
                <w:szCs w:val="20"/>
              </w:rPr>
            </w:pPr>
            <w:r w:rsidRPr="006D103E">
              <w:rPr>
                <w:color w:val="000000"/>
                <w:sz w:val="20"/>
                <w:szCs w:val="20"/>
              </w:rPr>
              <w:t xml:space="preserve">Lee, S. H., K. T. Kim, et al. (2010). </w:t>
            </w:r>
            <w:r w:rsidRPr="006D103E">
              <w:rPr>
                <w:color w:val="000000"/>
                <w:sz w:val="20"/>
                <w:szCs w:val="20"/>
              </w:rPr>
              <w:lastRenderedPageBreak/>
              <w:t>"Asymptomatic cervical cord compression in lumbar spinal stenosis patients: a whole spine magnetic resonance imaging study." Spine (</w:t>
            </w:r>
            <w:proofErr w:type="spellStart"/>
            <w:r w:rsidRPr="006D103E">
              <w:rPr>
                <w:color w:val="000000"/>
                <w:sz w:val="20"/>
                <w:szCs w:val="20"/>
              </w:rPr>
              <w:t>Phila</w:t>
            </w:r>
            <w:proofErr w:type="spellEnd"/>
            <w:r w:rsidRPr="006D103E">
              <w:rPr>
                <w:color w:val="000000"/>
                <w:sz w:val="20"/>
                <w:szCs w:val="20"/>
              </w:rPr>
              <w:t xml:space="preserve"> Pa 1976) 35(23): 2057-63.</w:t>
            </w:r>
          </w:p>
        </w:tc>
        <w:tc>
          <w:tcPr>
            <w:tcW w:w="810" w:type="dxa"/>
            <w:vAlign w:val="center"/>
          </w:tcPr>
          <w:p w:rsidR="00A10686" w:rsidRPr="006D103E" w:rsidRDefault="00A10686" w:rsidP="0010138D">
            <w:pPr>
              <w:rPr>
                <w:color w:val="000000"/>
                <w:sz w:val="20"/>
                <w:szCs w:val="20"/>
              </w:rPr>
            </w:pPr>
            <w:r w:rsidRPr="006D103E">
              <w:rPr>
                <w:color w:val="000000"/>
                <w:sz w:val="20"/>
                <w:szCs w:val="20"/>
              </w:rPr>
              <w:lastRenderedPageBreak/>
              <w:t>2010</w:t>
            </w:r>
          </w:p>
        </w:tc>
        <w:tc>
          <w:tcPr>
            <w:tcW w:w="4770" w:type="dxa"/>
            <w:noWrap/>
            <w:vAlign w:val="center"/>
          </w:tcPr>
          <w:p w:rsidR="00A10686" w:rsidRPr="006D103E" w:rsidRDefault="00A10686" w:rsidP="0010138D">
            <w:pPr>
              <w:spacing w:before="100" w:beforeAutospacing="1" w:after="100" w:afterAutospacing="1"/>
              <w:rPr>
                <w:color w:val="000000"/>
                <w:sz w:val="20"/>
                <w:szCs w:val="20"/>
              </w:rPr>
            </w:pPr>
            <w:r w:rsidRPr="006D103E">
              <w:rPr>
                <w:color w:val="000000"/>
                <w:sz w:val="20"/>
                <w:szCs w:val="20"/>
              </w:rPr>
              <w:t xml:space="preserve">Did not assess outcomes of interest (assessed the </w:t>
            </w:r>
            <w:r w:rsidRPr="006D103E">
              <w:rPr>
                <w:color w:val="000000"/>
                <w:sz w:val="20"/>
                <w:szCs w:val="20"/>
              </w:rPr>
              <w:lastRenderedPageBreak/>
              <w:t>presence of asymptomatic cervical cord compression in subjects with lumbar stenosis)</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0774F8" w:rsidRDefault="00A10686" w:rsidP="0010138D">
            <w:pPr>
              <w:rPr>
                <w:sz w:val="20"/>
                <w:szCs w:val="20"/>
              </w:rPr>
            </w:pPr>
            <w:r w:rsidRPr="000744F0">
              <w:rPr>
                <w:sz w:val="20"/>
                <w:szCs w:val="20"/>
              </w:rPr>
              <w:lastRenderedPageBreak/>
              <w:t xml:space="preserve">Lees, F. and J. W. Turner (1963). "Natural History and Prognosis of Cervical </w:t>
            </w:r>
            <w:proofErr w:type="spellStart"/>
            <w:r w:rsidRPr="000744F0">
              <w:rPr>
                <w:sz w:val="20"/>
                <w:szCs w:val="20"/>
              </w:rPr>
              <w:t>Spondylosis</w:t>
            </w:r>
            <w:proofErr w:type="spellEnd"/>
            <w:r w:rsidRPr="000744F0">
              <w:rPr>
                <w:sz w:val="20"/>
                <w:szCs w:val="20"/>
              </w:rPr>
              <w:t>." Br Med J 2(5373): 1607-10.</w:t>
            </w:r>
          </w:p>
        </w:tc>
        <w:tc>
          <w:tcPr>
            <w:tcW w:w="810" w:type="dxa"/>
            <w:vAlign w:val="center"/>
          </w:tcPr>
          <w:p w:rsidR="00A10686" w:rsidRDefault="00A10686" w:rsidP="0010138D">
            <w:pPr>
              <w:rPr>
                <w:sz w:val="20"/>
                <w:szCs w:val="20"/>
              </w:rPr>
            </w:pPr>
            <w:r>
              <w:rPr>
                <w:sz w:val="20"/>
                <w:szCs w:val="20"/>
              </w:rPr>
              <w:t>1963</w:t>
            </w:r>
          </w:p>
        </w:tc>
        <w:tc>
          <w:tcPr>
            <w:tcW w:w="4770" w:type="dxa"/>
            <w:noWrap/>
            <w:vAlign w:val="center"/>
          </w:tcPr>
          <w:p w:rsidR="00A10686" w:rsidRDefault="00A10686" w:rsidP="0010138D">
            <w:pPr>
              <w:spacing w:before="100" w:beforeAutospacing="1" w:after="100" w:afterAutospacing="1"/>
              <w:rPr>
                <w:color w:val="000000"/>
                <w:sz w:val="20"/>
                <w:szCs w:val="20"/>
              </w:rPr>
            </w:pPr>
            <w:r>
              <w:rPr>
                <w:color w:val="000000"/>
                <w:sz w:val="20"/>
                <w:szCs w:val="20"/>
              </w:rPr>
              <w:t>Did not meet inclusion criteria</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B713E1" w:rsidRDefault="00A10686" w:rsidP="0010138D">
            <w:pPr>
              <w:rPr>
                <w:sz w:val="20"/>
                <w:szCs w:val="20"/>
              </w:rPr>
            </w:pPr>
            <w:r w:rsidRPr="000774F8">
              <w:rPr>
                <w:sz w:val="20"/>
                <w:szCs w:val="20"/>
              </w:rPr>
              <w:t>Matsumoto, M., E. Okada, et al. (2010). "Prospective ten-year follow-up study comparing patients with whiplash-associated disorders and asymptomatic subjects using magnetic resonance imaging." Spine (</w:t>
            </w:r>
            <w:proofErr w:type="spellStart"/>
            <w:r w:rsidRPr="000774F8">
              <w:rPr>
                <w:sz w:val="20"/>
                <w:szCs w:val="20"/>
              </w:rPr>
              <w:t>Phila</w:t>
            </w:r>
            <w:proofErr w:type="spellEnd"/>
            <w:r w:rsidRPr="000774F8">
              <w:rPr>
                <w:sz w:val="20"/>
                <w:szCs w:val="20"/>
              </w:rPr>
              <w:t xml:space="preserve"> Pa 1976) 35(18): 1684-90.</w:t>
            </w:r>
          </w:p>
        </w:tc>
        <w:tc>
          <w:tcPr>
            <w:tcW w:w="810" w:type="dxa"/>
            <w:vAlign w:val="center"/>
          </w:tcPr>
          <w:p w:rsidR="00A10686" w:rsidRPr="00B713E1" w:rsidRDefault="00A10686" w:rsidP="0010138D">
            <w:pPr>
              <w:rPr>
                <w:sz w:val="20"/>
                <w:szCs w:val="20"/>
              </w:rPr>
            </w:pPr>
            <w:r>
              <w:rPr>
                <w:sz w:val="20"/>
                <w:szCs w:val="20"/>
              </w:rPr>
              <w:t>2010</w:t>
            </w:r>
          </w:p>
        </w:tc>
        <w:tc>
          <w:tcPr>
            <w:tcW w:w="4770" w:type="dxa"/>
            <w:noWrap/>
            <w:vAlign w:val="center"/>
          </w:tcPr>
          <w:p w:rsidR="00A10686" w:rsidRPr="006D103E" w:rsidRDefault="00A10686" w:rsidP="0010138D">
            <w:pPr>
              <w:spacing w:before="100" w:beforeAutospacing="1" w:after="100" w:afterAutospacing="1"/>
              <w:rPr>
                <w:color w:val="000000"/>
                <w:sz w:val="20"/>
                <w:szCs w:val="20"/>
              </w:rPr>
            </w:pPr>
            <w:r>
              <w:rPr>
                <w:color w:val="000000"/>
                <w:sz w:val="20"/>
                <w:szCs w:val="20"/>
              </w:rPr>
              <w:t>Did not report outcomes of interest</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B713E1" w:rsidRDefault="00A10686" w:rsidP="0010138D">
            <w:pPr>
              <w:rPr>
                <w:sz w:val="20"/>
                <w:szCs w:val="20"/>
              </w:rPr>
            </w:pPr>
            <w:proofErr w:type="spellStart"/>
            <w:r w:rsidRPr="00B713E1">
              <w:rPr>
                <w:sz w:val="20"/>
                <w:szCs w:val="20"/>
              </w:rPr>
              <w:t>Matsunaga</w:t>
            </w:r>
            <w:proofErr w:type="spellEnd"/>
            <w:r w:rsidRPr="00B713E1">
              <w:rPr>
                <w:sz w:val="20"/>
                <w:szCs w:val="20"/>
              </w:rPr>
              <w:t xml:space="preserve">, S., M. </w:t>
            </w:r>
            <w:proofErr w:type="spellStart"/>
            <w:r w:rsidRPr="00B713E1">
              <w:rPr>
                <w:sz w:val="20"/>
                <w:szCs w:val="20"/>
              </w:rPr>
              <w:t>Kukita</w:t>
            </w:r>
            <w:proofErr w:type="spellEnd"/>
            <w:r w:rsidRPr="00B713E1">
              <w:rPr>
                <w:sz w:val="20"/>
                <w:szCs w:val="20"/>
              </w:rPr>
              <w:t xml:space="preserve">, et al. (2002). "Pathogenesis of myelopathy in patients with ossification of the posterior longitudinal ligament." J </w:t>
            </w:r>
            <w:proofErr w:type="spellStart"/>
            <w:r w:rsidRPr="00B713E1">
              <w:rPr>
                <w:sz w:val="20"/>
                <w:szCs w:val="20"/>
              </w:rPr>
              <w:t>Neurosurg</w:t>
            </w:r>
            <w:proofErr w:type="spellEnd"/>
            <w:r w:rsidRPr="00B713E1">
              <w:rPr>
                <w:sz w:val="20"/>
                <w:szCs w:val="20"/>
              </w:rPr>
              <w:t xml:space="preserve"> 96(2 </w:t>
            </w:r>
            <w:proofErr w:type="spellStart"/>
            <w:r w:rsidRPr="00B713E1">
              <w:rPr>
                <w:sz w:val="20"/>
                <w:szCs w:val="20"/>
              </w:rPr>
              <w:t>Suppl</w:t>
            </w:r>
            <w:proofErr w:type="spellEnd"/>
            <w:r w:rsidRPr="00B713E1">
              <w:rPr>
                <w:sz w:val="20"/>
                <w:szCs w:val="20"/>
              </w:rPr>
              <w:t>): 168-72.</w:t>
            </w:r>
          </w:p>
        </w:tc>
        <w:tc>
          <w:tcPr>
            <w:tcW w:w="810" w:type="dxa"/>
            <w:vAlign w:val="center"/>
          </w:tcPr>
          <w:p w:rsidR="00A10686" w:rsidRPr="00B713E1" w:rsidRDefault="00A10686" w:rsidP="0010138D">
            <w:pPr>
              <w:rPr>
                <w:sz w:val="20"/>
                <w:szCs w:val="20"/>
              </w:rPr>
            </w:pPr>
            <w:r w:rsidRPr="00B713E1">
              <w:rPr>
                <w:sz w:val="20"/>
                <w:szCs w:val="20"/>
              </w:rPr>
              <w:t>2002</w:t>
            </w:r>
          </w:p>
        </w:tc>
        <w:tc>
          <w:tcPr>
            <w:tcW w:w="4770" w:type="dxa"/>
            <w:noWrap/>
            <w:vAlign w:val="center"/>
          </w:tcPr>
          <w:p w:rsidR="00A10686" w:rsidRPr="00B713E1" w:rsidRDefault="00A10686" w:rsidP="0010138D">
            <w:pPr>
              <w:rPr>
                <w:color w:val="000000"/>
                <w:sz w:val="20"/>
                <w:szCs w:val="20"/>
              </w:rPr>
            </w:pPr>
            <w:proofErr w:type="gramStart"/>
            <w:r w:rsidRPr="00B713E1">
              <w:rPr>
                <w:color w:val="000000"/>
                <w:sz w:val="20"/>
                <w:szCs w:val="20"/>
              </w:rPr>
              <w:t>Population overlap</w:t>
            </w:r>
            <w:proofErr w:type="gramEnd"/>
            <w:r w:rsidRPr="00B713E1">
              <w:rPr>
                <w:color w:val="000000"/>
                <w:sz w:val="20"/>
                <w:szCs w:val="20"/>
              </w:rPr>
              <w:t xml:space="preserve"> with </w:t>
            </w:r>
            <w:proofErr w:type="spellStart"/>
            <w:r w:rsidRPr="00B713E1">
              <w:rPr>
                <w:color w:val="000000"/>
                <w:sz w:val="20"/>
                <w:szCs w:val="20"/>
              </w:rPr>
              <w:t>Matsunaga</w:t>
            </w:r>
            <w:proofErr w:type="spellEnd"/>
            <w:r w:rsidRPr="00B713E1">
              <w:rPr>
                <w:color w:val="000000"/>
                <w:sz w:val="20"/>
                <w:szCs w:val="20"/>
              </w:rPr>
              <w:t xml:space="preserve"> 2004 </w:t>
            </w:r>
            <w:r>
              <w:rPr>
                <w:color w:val="000000"/>
                <w:sz w:val="20"/>
                <w:szCs w:val="20"/>
              </w:rPr>
              <w:t>article</w:t>
            </w:r>
            <w:r w:rsidRPr="00B713E1">
              <w:rPr>
                <w:color w:val="000000"/>
                <w:sz w:val="20"/>
                <w:szCs w:val="20"/>
              </w:rPr>
              <w:t>; reported on a smaller subject population and did not report additional results/outcomes compared to later study.</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B713E1" w:rsidRDefault="00A10686" w:rsidP="0010138D">
            <w:pPr>
              <w:rPr>
                <w:color w:val="000000"/>
                <w:sz w:val="20"/>
                <w:szCs w:val="20"/>
              </w:rPr>
            </w:pPr>
            <w:r w:rsidRPr="00B713E1">
              <w:rPr>
                <w:color w:val="000000"/>
                <w:sz w:val="20"/>
                <w:szCs w:val="20"/>
              </w:rPr>
              <w:t xml:space="preserve">Meyer, S. A., K. R. Schulte, et al. (1994). "Cervical spinal stenosis and stingers in collegiate football players." </w:t>
            </w:r>
            <w:proofErr w:type="gramStart"/>
            <w:r w:rsidRPr="00B713E1">
              <w:rPr>
                <w:color w:val="000000"/>
                <w:sz w:val="20"/>
                <w:szCs w:val="20"/>
              </w:rPr>
              <w:t>Am</w:t>
            </w:r>
            <w:proofErr w:type="gramEnd"/>
            <w:r w:rsidRPr="00B713E1">
              <w:rPr>
                <w:color w:val="000000"/>
                <w:sz w:val="20"/>
                <w:szCs w:val="20"/>
              </w:rPr>
              <w:t xml:space="preserve"> J Sports Med 22(2): 158-66.</w:t>
            </w:r>
          </w:p>
        </w:tc>
        <w:tc>
          <w:tcPr>
            <w:tcW w:w="810" w:type="dxa"/>
            <w:vAlign w:val="center"/>
          </w:tcPr>
          <w:p w:rsidR="00A10686" w:rsidRPr="00B713E1" w:rsidRDefault="00A10686" w:rsidP="0010138D">
            <w:pPr>
              <w:rPr>
                <w:color w:val="000000"/>
                <w:sz w:val="20"/>
                <w:szCs w:val="20"/>
              </w:rPr>
            </w:pPr>
            <w:r w:rsidRPr="00B713E1">
              <w:rPr>
                <w:color w:val="000000"/>
                <w:sz w:val="20"/>
                <w:szCs w:val="20"/>
              </w:rPr>
              <w:t>1994</w:t>
            </w:r>
          </w:p>
        </w:tc>
        <w:tc>
          <w:tcPr>
            <w:tcW w:w="4770" w:type="dxa"/>
            <w:noWrap/>
            <w:vAlign w:val="center"/>
          </w:tcPr>
          <w:p w:rsidR="00A10686" w:rsidRPr="00B713E1" w:rsidRDefault="00A10686" w:rsidP="0010138D">
            <w:pPr>
              <w:rPr>
                <w:color w:val="000000"/>
                <w:sz w:val="20"/>
                <w:szCs w:val="20"/>
              </w:rPr>
            </w:pPr>
            <w:r w:rsidRPr="00B713E1">
              <w:rPr>
                <w:color w:val="000000"/>
                <w:sz w:val="20"/>
                <w:szCs w:val="20"/>
              </w:rPr>
              <w:t xml:space="preserve">Did not assess outcomes of interest (subjects were followed prospectively for development of transient </w:t>
            </w:r>
            <w:proofErr w:type="spellStart"/>
            <w:r w:rsidRPr="00B713E1">
              <w:rPr>
                <w:color w:val="000000"/>
                <w:sz w:val="20"/>
                <w:szCs w:val="20"/>
              </w:rPr>
              <w:t>neuropraxias</w:t>
            </w:r>
            <w:proofErr w:type="spellEnd"/>
            <w:r w:rsidRPr="00B713E1">
              <w:rPr>
                <w:color w:val="000000"/>
                <w:sz w:val="20"/>
                <w:szCs w:val="20"/>
              </w:rPr>
              <w:t>)</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B713E1" w:rsidRDefault="00A10686" w:rsidP="0010138D">
            <w:pPr>
              <w:rPr>
                <w:color w:val="000000"/>
                <w:sz w:val="20"/>
                <w:szCs w:val="20"/>
              </w:rPr>
            </w:pPr>
            <w:proofErr w:type="spellStart"/>
            <w:r w:rsidRPr="00B713E1">
              <w:rPr>
                <w:color w:val="000000"/>
                <w:sz w:val="20"/>
                <w:szCs w:val="20"/>
              </w:rPr>
              <w:t>Miyanji</w:t>
            </w:r>
            <w:proofErr w:type="spellEnd"/>
            <w:r w:rsidRPr="00B713E1">
              <w:rPr>
                <w:color w:val="000000"/>
                <w:sz w:val="20"/>
                <w:szCs w:val="20"/>
              </w:rPr>
              <w:t xml:space="preserve">, F., J. C. </w:t>
            </w:r>
            <w:proofErr w:type="spellStart"/>
            <w:r w:rsidRPr="00B713E1">
              <w:rPr>
                <w:color w:val="000000"/>
                <w:sz w:val="20"/>
                <w:szCs w:val="20"/>
              </w:rPr>
              <w:t>Furlan</w:t>
            </w:r>
            <w:proofErr w:type="spellEnd"/>
            <w:r w:rsidRPr="00B713E1">
              <w:rPr>
                <w:color w:val="000000"/>
                <w:sz w:val="20"/>
                <w:szCs w:val="20"/>
              </w:rPr>
              <w:t>, et al. (2007). "Acute cervical traumatic spinal cord injury: MR imaging findings correlated with neurologic outcome--prospective study with 100 consecutive patients." Radiology 243(3): 820-7.</w:t>
            </w:r>
          </w:p>
        </w:tc>
        <w:tc>
          <w:tcPr>
            <w:tcW w:w="810" w:type="dxa"/>
            <w:vAlign w:val="center"/>
          </w:tcPr>
          <w:p w:rsidR="00A10686" w:rsidRPr="00B713E1" w:rsidRDefault="00A10686" w:rsidP="0010138D">
            <w:pPr>
              <w:rPr>
                <w:color w:val="000000"/>
                <w:sz w:val="20"/>
                <w:szCs w:val="20"/>
              </w:rPr>
            </w:pPr>
            <w:r w:rsidRPr="00B713E1">
              <w:rPr>
                <w:color w:val="000000"/>
                <w:sz w:val="20"/>
                <w:szCs w:val="20"/>
              </w:rPr>
              <w:t>2007</w:t>
            </w:r>
          </w:p>
        </w:tc>
        <w:tc>
          <w:tcPr>
            <w:tcW w:w="4770" w:type="dxa"/>
            <w:noWrap/>
            <w:vAlign w:val="center"/>
          </w:tcPr>
          <w:p w:rsidR="00A10686" w:rsidRPr="00B713E1" w:rsidRDefault="00A10686" w:rsidP="0010138D">
            <w:pPr>
              <w:rPr>
                <w:color w:val="000000"/>
                <w:sz w:val="20"/>
                <w:szCs w:val="20"/>
              </w:rPr>
            </w:pPr>
            <w:r w:rsidRPr="00B713E1">
              <w:rPr>
                <w:color w:val="000000"/>
                <w:sz w:val="20"/>
                <w:szCs w:val="20"/>
              </w:rPr>
              <w:t>Did not meet inclusion criteria (subjects had history of spinal cord injury)</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B713E1" w:rsidRDefault="00A10686" w:rsidP="0010138D">
            <w:pPr>
              <w:rPr>
                <w:sz w:val="20"/>
                <w:szCs w:val="20"/>
              </w:rPr>
            </w:pPr>
            <w:r w:rsidRPr="00B713E1">
              <w:rPr>
                <w:sz w:val="20"/>
                <w:szCs w:val="20"/>
              </w:rPr>
              <w:t xml:space="preserve">Mochizuki, M., A. </w:t>
            </w:r>
            <w:proofErr w:type="spellStart"/>
            <w:r w:rsidRPr="00B713E1">
              <w:rPr>
                <w:sz w:val="20"/>
                <w:szCs w:val="20"/>
              </w:rPr>
              <w:t>Aiba</w:t>
            </w:r>
            <w:proofErr w:type="spellEnd"/>
            <w:r w:rsidRPr="00B713E1">
              <w:rPr>
                <w:sz w:val="20"/>
                <w:szCs w:val="20"/>
              </w:rPr>
              <w:t xml:space="preserve">, et al. (2009). "Cervical myelopathy in patients with ossification of the posterior longitudinal ligament." J </w:t>
            </w:r>
            <w:proofErr w:type="spellStart"/>
            <w:r w:rsidRPr="00B713E1">
              <w:rPr>
                <w:sz w:val="20"/>
                <w:szCs w:val="20"/>
              </w:rPr>
              <w:t>Neurosurg</w:t>
            </w:r>
            <w:proofErr w:type="spellEnd"/>
            <w:r w:rsidRPr="00B713E1">
              <w:rPr>
                <w:sz w:val="20"/>
                <w:szCs w:val="20"/>
              </w:rPr>
              <w:t xml:space="preserve"> Spine 10(2): 122-8</w:t>
            </w:r>
            <w:r>
              <w:rPr>
                <w:sz w:val="20"/>
                <w:szCs w:val="20"/>
              </w:rPr>
              <w:t>.</w:t>
            </w:r>
          </w:p>
        </w:tc>
        <w:tc>
          <w:tcPr>
            <w:tcW w:w="810" w:type="dxa"/>
            <w:vAlign w:val="center"/>
          </w:tcPr>
          <w:p w:rsidR="00A10686" w:rsidRPr="00B713E1" w:rsidRDefault="00A10686" w:rsidP="0010138D">
            <w:pPr>
              <w:rPr>
                <w:sz w:val="20"/>
                <w:szCs w:val="20"/>
              </w:rPr>
            </w:pPr>
            <w:r w:rsidRPr="00B713E1">
              <w:rPr>
                <w:sz w:val="20"/>
                <w:szCs w:val="20"/>
              </w:rPr>
              <w:t>2009</w:t>
            </w:r>
          </w:p>
        </w:tc>
        <w:tc>
          <w:tcPr>
            <w:tcW w:w="4770" w:type="dxa"/>
            <w:noWrap/>
            <w:vAlign w:val="center"/>
          </w:tcPr>
          <w:p w:rsidR="00A10686" w:rsidRPr="00B713E1" w:rsidRDefault="00A10686" w:rsidP="0010138D">
            <w:pPr>
              <w:rPr>
                <w:color w:val="000000"/>
                <w:sz w:val="20"/>
                <w:szCs w:val="20"/>
              </w:rPr>
            </w:pPr>
            <w:r w:rsidRPr="00B713E1">
              <w:rPr>
                <w:color w:val="000000"/>
                <w:sz w:val="20"/>
                <w:szCs w:val="20"/>
              </w:rPr>
              <w:t xml:space="preserve">Population overlap with </w:t>
            </w:r>
            <w:proofErr w:type="spellStart"/>
            <w:r w:rsidRPr="00B713E1">
              <w:rPr>
                <w:color w:val="000000"/>
                <w:sz w:val="20"/>
                <w:szCs w:val="20"/>
              </w:rPr>
              <w:t>Fujiyoshi</w:t>
            </w:r>
            <w:proofErr w:type="spellEnd"/>
            <w:r w:rsidRPr="00B713E1">
              <w:rPr>
                <w:color w:val="000000"/>
                <w:sz w:val="20"/>
                <w:szCs w:val="20"/>
              </w:rPr>
              <w:t xml:space="preserve"> 2010 article; N = 6 and did not report additional results/outcomes compared to </w:t>
            </w:r>
            <w:proofErr w:type="spellStart"/>
            <w:r w:rsidRPr="00B713E1">
              <w:rPr>
                <w:color w:val="000000"/>
                <w:sz w:val="20"/>
                <w:szCs w:val="20"/>
              </w:rPr>
              <w:t>Fujiyoshi</w:t>
            </w:r>
            <w:proofErr w:type="spellEnd"/>
            <w:r w:rsidRPr="00B713E1">
              <w:rPr>
                <w:color w:val="000000"/>
                <w:sz w:val="20"/>
                <w:szCs w:val="20"/>
              </w:rPr>
              <w:t xml:space="preserve"> article.</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B713E1" w:rsidRDefault="00A10686" w:rsidP="0010138D">
            <w:pPr>
              <w:rPr>
                <w:sz w:val="20"/>
                <w:szCs w:val="20"/>
              </w:rPr>
            </w:pPr>
            <w:r w:rsidRPr="000774F8">
              <w:rPr>
                <w:sz w:val="20"/>
                <w:szCs w:val="20"/>
              </w:rPr>
              <w:t>Okada, E., M. Matsumoto, et al. (2009). "Aging of the cervical spine in healthy volunteers: a 10-year longitudinal magnetic resonance imaging study." Spine (</w:t>
            </w:r>
            <w:proofErr w:type="spellStart"/>
            <w:r w:rsidRPr="000774F8">
              <w:rPr>
                <w:sz w:val="20"/>
                <w:szCs w:val="20"/>
              </w:rPr>
              <w:t>Phila</w:t>
            </w:r>
            <w:proofErr w:type="spellEnd"/>
            <w:r w:rsidRPr="000774F8">
              <w:rPr>
                <w:sz w:val="20"/>
                <w:szCs w:val="20"/>
              </w:rPr>
              <w:t xml:space="preserve"> Pa 1976) 34(7): 706-12.</w:t>
            </w:r>
          </w:p>
        </w:tc>
        <w:tc>
          <w:tcPr>
            <w:tcW w:w="810" w:type="dxa"/>
            <w:vAlign w:val="center"/>
          </w:tcPr>
          <w:p w:rsidR="00A10686" w:rsidRPr="00B713E1" w:rsidRDefault="00A10686" w:rsidP="0010138D">
            <w:pPr>
              <w:rPr>
                <w:sz w:val="20"/>
                <w:szCs w:val="20"/>
              </w:rPr>
            </w:pPr>
            <w:r>
              <w:rPr>
                <w:sz w:val="20"/>
                <w:szCs w:val="20"/>
              </w:rPr>
              <w:t>2009</w:t>
            </w:r>
          </w:p>
        </w:tc>
        <w:tc>
          <w:tcPr>
            <w:tcW w:w="4770" w:type="dxa"/>
            <w:noWrap/>
            <w:vAlign w:val="center"/>
          </w:tcPr>
          <w:p w:rsidR="00A10686" w:rsidRPr="00B713E1" w:rsidRDefault="00A10686" w:rsidP="0010138D">
            <w:pPr>
              <w:rPr>
                <w:color w:val="000000"/>
                <w:sz w:val="20"/>
                <w:szCs w:val="20"/>
              </w:rPr>
            </w:pPr>
            <w:r>
              <w:rPr>
                <w:color w:val="000000"/>
                <w:sz w:val="20"/>
                <w:szCs w:val="20"/>
              </w:rPr>
              <w:t>Did not meet inclusion criteria and did not report outcomes of interest</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B713E1" w:rsidRDefault="00A10686" w:rsidP="0010138D">
            <w:pPr>
              <w:rPr>
                <w:sz w:val="20"/>
                <w:szCs w:val="20"/>
              </w:rPr>
            </w:pPr>
            <w:r w:rsidRPr="00B713E1">
              <w:rPr>
                <w:sz w:val="20"/>
                <w:szCs w:val="20"/>
              </w:rPr>
              <w:t>Okada, S., T. Maeda, et al. (2009). "Does ossification of the posterior longitudinal ligament affect the neurological outcome after traumatic cervical cord injury?" Spine (</w:t>
            </w:r>
            <w:proofErr w:type="spellStart"/>
            <w:r w:rsidRPr="00B713E1">
              <w:rPr>
                <w:sz w:val="20"/>
                <w:szCs w:val="20"/>
              </w:rPr>
              <w:t>Phila</w:t>
            </w:r>
            <w:proofErr w:type="spellEnd"/>
            <w:r w:rsidRPr="00B713E1">
              <w:rPr>
                <w:sz w:val="20"/>
                <w:szCs w:val="20"/>
              </w:rPr>
              <w:t xml:space="preserve"> Pa 1976) 34(11): 1148-52.</w:t>
            </w:r>
          </w:p>
        </w:tc>
        <w:tc>
          <w:tcPr>
            <w:tcW w:w="810" w:type="dxa"/>
            <w:vAlign w:val="center"/>
          </w:tcPr>
          <w:p w:rsidR="00A10686" w:rsidRPr="00B713E1" w:rsidRDefault="00A10686" w:rsidP="0010138D">
            <w:pPr>
              <w:rPr>
                <w:sz w:val="20"/>
                <w:szCs w:val="20"/>
              </w:rPr>
            </w:pPr>
            <w:r w:rsidRPr="00B713E1">
              <w:rPr>
                <w:sz w:val="20"/>
                <w:szCs w:val="20"/>
              </w:rPr>
              <w:t>2009</w:t>
            </w:r>
          </w:p>
        </w:tc>
        <w:tc>
          <w:tcPr>
            <w:tcW w:w="4770" w:type="dxa"/>
            <w:noWrap/>
            <w:vAlign w:val="center"/>
          </w:tcPr>
          <w:p w:rsidR="00A10686" w:rsidRPr="00B713E1" w:rsidRDefault="00A10686" w:rsidP="0010138D">
            <w:pPr>
              <w:rPr>
                <w:color w:val="000000"/>
                <w:sz w:val="20"/>
                <w:szCs w:val="20"/>
              </w:rPr>
            </w:pPr>
            <w:r w:rsidRPr="00B713E1">
              <w:rPr>
                <w:color w:val="000000"/>
                <w:sz w:val="20"/>
                <w:szCs w:val="20"/>
              </w:rPr>
              <w:t>Did not meet inclusion criteria and did not assess outcomes of interest (subjects were followed for duration of hospital stay).</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EE6336" w:rsidRDefault="00A10686" w:rsidP="0010138D">
            <w:pPr>
              <w:rPr>
                <w:sz w:val="20"/>
                <w:szCs w:val="20"/>
                <w:highlight w:val="yellow"/>
              </w:rPr>
            </w:pPr>
            <w:proofErr w:type="spellStart"/>
            <w:r w:rsidRPr="00B713E1">
              <w:rPr>
                <w:sz w:val="20"/>
                <w:szCs w:val="20"/>
              </w:rPr>
              <w:t>Presciutti</w:t>
            </w:r>
            <w:proofErr w:type="spellEnd"/>
            <w:r w:rsidRPr="00B713E1">
              <w:rPr>
                <w:sz w:val="20"/>
                <w:szCs w:val="20"/>
              </w:rPr>
              <w:t xml:space="preserve">, S. M., P. DeLuca, et al. (2009). "Mean </w:t>
            </w:r>
            <w:proofErr w:type="spellStart"/>
            <w:r w:rsidRPr="00B713E1">
              <w:rPr>
                <w:sz w:val="20"/>
                <w:szCs w:val="20"/>
              </w:rPr>
              <w:t>subaxial</w:t>
            </w:r>
            <w:proofErr w:type="spellEnd"/>
            <w:r w:rsidRPr="00B713E1">
              <w:rPr>
                <w:sz w:val="20"/>
                <w:szCs w:val="20"/>
              </w:rPr>
              <w:t xml:space="preserve"> space available for the cord index as a novel method of measuring cervical spine geometry to predict the chronic stinger syndrome in American football players." J </w:t>
            </w:r>
            <w:proofErr w:type="spellStart"/>
            <w:r w:rsidRPr="00B713E1">
              <w:rPr>
                <w:sz w:val="20"/>
                <w:szCs w:val="20"/>
              </w:rPr>
              <w:t>Neurosurg</w:t>
            </w:r>
            <w:proofErr w:type="spellEnd"/>
            <w:r w:rsidRPr="00B713E1">
              <w:rPr>
                <w:sz w:val="20"/>
                <w:szCs w:val="20"/>
              </w:rPr>
              <w:t xml:space="preserve"> Spine 11(3): 264-71.</w:t>
            </w:r>
          </w:p>
        </w:tc>
        <w:tc>
          <w:tcPr>
            <w:tcW w:w="810" w:type="dxa"/>
            <w:vAlign w:val="center"/>
          </w:tcPr>
          <w:p w:rsidR="00A10686" w:rsidRPr="00E2405F" w:rsidRDefault="00A10686" w:rsidP="0010138D">
            <w:pPr>
              <w:rPr>
                <w:sz w:val="20"/>
                <w:szCs w:val="20"/>
              </w:rPr>
            </w:pPr>
            <w:r w:rsidRPr="00E2405F">
              <w:rPr>
                <w:sz w:val="20"/>
                <w:szCs w:val="20"/>
              </w:rPr>
              <w:t>2009</w:t>
            </w:r>
          </w:p>
        </w:tc>
        <w:tc>
          <w:tcPr>
            <w:tcW w:w="4770" w:type="dxa"/>
            <w:noWrap/>
            <w:vAlign w:val="center"/>
          </w:tcPr>
          <w:p w:rsidR="00A10686" w:rsidRPr="00B713E1" w:rsidRDefault="00A10686" w:rsidP="0010138D">
            <w:pPr>
              <w:rPr>
                <w:color w:val="000000"/>
                <w:sz w:val="20"/>
                <w:szCs w:val="20"/>
              </w:rPr>
            </w:pPr>
            <w:r w:rsidRPr="00B713E1">
              <w:rPr>
                <w:color w:val="000000"/>
                <w:sz w:val="20"/>
                <w:szCs w:val="20"/>
              </w:rPr>
              <w:t>Did not meet inclusion criteria and did not assess outcomes of interest (</w:t>
            </w:r>
            <w:r>
              <w:rPr>
                <w:color w:val="000000"/>
                <w:sz w:val="20"/>
                <w:szCs w:val="20"/>
              </w:rPr>
              <w:t xml:space="preserve">retrospective case control study that assessed factors which may contribute to transient </w:t>
            </w:r>
            <w:proofErr w:type="spellStart"/>
            <w:r>
              <w:rPr>
                <w:color w:val="000000"/>
                <w:sz w:val="20"/>
                <w:szCs w:val="20"/>
              </w:rPr>
              <w:t>neuropraxia</w:t>
            </w:r>
            <w:proofErr w:type="spellEnd"/>
            <w:r>
              <w:rPr>
                <w:color w:val="000000"/>
                <w:sz w:val="20"/>
                <w:szCs w:val="20"/>
              </w:rPr>
              <w:t xml:space="preserve"> development</w:t>
            </w:r>
            <w:r w:rsidRPr="00B713E1">
              <w:rPr>
                <w:color w:val="000000"/>
                <w:sz w:val="20"/>
                <w:szCs w:val="20"/>
              </w:rPr>
              <w:t>).</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EE6336" w:rsidRDefault="00A10686" w:rsidP="0010138D">
            <w:pPr>
              <w:rPr>
                <w:sz w:val="20"/>
                <w:szCs w:val="20"/>
                <w:highlight w:val="yellow"/>
              </w:rPr>
            </w:pPr>
            <w:proofErr w:type="spellStart"/>
            <w:r w:rsidRPr="00B713E1">
              <w:rPr>
                <w:sz w:val="20"/>
                <w:szCs w:val="20"/>
              </w:rPr>
              <w:t>Regenbogen</w:t>
            </w:r>
            <w:proofErr w:type="spellEnd"/>
            <w:r w:rsidRPr="00B713E1">
              <w:rPr>
                <w:sz w:val="20"/>
                <w:szCs w:val="20"/>
              </w:rPr>
              <w:t xml:space="preserve">, V. S., L. F. Rogers, et al. (1986). "Cervical spinal cord injuries in patients with cervical </w:t>
            </w:r>
            <w:proofErr w:type="spellStart"/>
            <w:r w:rsidRPr="00B713E1">
              <w:rPr>
                <w:sz w:val="20"/>
                <w:szCs w:val="20"/>
              </w:rPr>
              <w:t>spondylosis</w:t>
            </w:r>
            <w:proofErr w:type="spellEnd"/>
            <w:r w:rsidRPr="00B713E1">
              <w:rPr>
                <w:sz w:val="20"/>
                <w:szCs w:val="20"/>
              </w:rPr>
              <w:t xml:space="preserve">." AJR Am J </w:t>
            </w:r>
            <w:proofErr w:type="spellStart"/>
            <w:r w:rsidRPr="00B713E1">
              <w:rPr>
                <w:sz w:val="20"/>
                <w:szCs w:val="20"/>
              </w:rPr>
              <w:t>Roentgenol</w:t>
            </w:r>
            <w:proofErr w:type="spellEnd"/>
            <w:r w:rsidRPr="00B713E1">
              <w:rPr>
                <w:sz w:val="20"/>
                <w:szCs w:val="20"/>
              </w:rPr>
              <w:t xml:space="preserve"> 146(2): 277-84.</w:t>
            </w:r>
          </w:p>
        </w:tc>
        <w:tc>
          <w:tcPr>
            <w:tcW w:w="810" w:type="dxa"/>
            <w:vAlign w:val="center"/>
          </w:tcPr>
          <w:p w:rsidR="00A10686" w:rsidRPr="00E2405F" w:rsidRDefault="00A10686" w:rsidP="0010138D">
            <w:pPr>
              <w:rPr>
                <w:sz w:val="20"/>
                <w:szCs w:val="20"/>
              </w:rPr>
            </w:pPr>
            <w:r w:rsidRPr="00E2405F">
              <w:rPr>
                <w:sz w:val="20"/>
                <w:szCs w:val="20"/>
              </w:rPr>
              <w:t>1986</w:t>
            </w:r>
          </w:p>
        </w:tc>
        <w:tc>
          <w:tcPr>
            <w:tcW w:w="4770" w:type="dxa"/>
            <w:noWrap/>
            <w:vAlign w:val="center"/>
          </w:tcPr>
          <w:p w:rsidR="00A10686" w:rsidRPr="006D103E" w:rsidRDefault="00A10686" w:rsidP="0010138D">
            <w:pPr>
              <w:rPr>
                <w:color w:val="000000"/>
                <w:sz w:val="20"/>
                <w:szCs w:val="20"/>
              </w:rPr>
            </w:pPr>
            <w:r w:rsidRPr="006D103E">
              <w:rPr>
                <w:color w:val="000000"/>
                <w:sz w:val="20"/>
                <w:szCs w:val="20"/>
              </w:rPr>
              <w:t>Cross-sectional study; did not assess outcomes of interest</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EE6336" w:rsidRDefault="00A10686" w:rsidP="0010138D">
            <w:pPr>
              <w:rPr>
                <w:sz w:val="20"/>
                <w:szCs w:val="20"/>
                <w:highlight w:val="yellow"/>
              </w:rPr>
            </w:pPr>
            <w:proofErr w:type="spellStart"/>
            <w:r w:rsidRPr="00E2405F">
              <w:rPr>
                <w:sz w:val="20"/>
                <w:szCs w:val="20"/>
              </w:rPr>
              <w:t>Setzer</w:t>
            </w:r>
            <w:proofErr w:type="spellEnd"/>
            <w:r w:rsidRPr="00E2405F">
              <w:rPr>
                <w:sz w:val="20"/>
                <w:szCs w:val="20"/>
              </w:rPr>
              <w:t>, M., E. Hermann, et al. (2008). "</w:t>
            </w:r>
            <w:proofErr w:type="spellStart"/>
            <w:r w:rsidRPr="00E2405F">
              <w:rPr>
                <w:sz w:val="20"/>
                <w:szCs w:val="20"/>
              </w:rPr>
              <w:t>Apolipoprotein</w:t>
            </w:r>
            <w:proofErr w:type="spellEnd"/>
            <w:r w:rsidRPr="00E2405F">
              <w:rPr>
                <w:sz w:val="20"/>
                <w:szCs w:val="20"/>
              </w:rPr>
              <w:t xml:space="preserve"> E gene polymorphism and the risk of cervical myelopathy in patients with chronic spinal cord compression." Spine (</w:t>
            </w:r>
            <w:proofErr w:type="spellStart"/>
            <w:r w:rsidRPr="00E2405F">
              <w:rPr>
                <w:sz w:val="20"/>
                <w:szCs w:val="20"/>
              </w:rPr>
              <w:t>Phila</w:t>
            </w:r>
            <w:proofErr w:type="spellEnd"/>
            <w:r w:rsidRPr="00E2405F">
              <w:rPr>
                <w:sz w:val="20"/>
                <w:szCs w:val="20"/>
              </w:rPr>
              <w:t xml:space="preserve"> Pa 1976) 33(5): 497-502.</w:t>
            </w:r>
          </w:p>
        </w:tc>
        <w:tc>
          <w:tcPr>
            <w:tcW w:w="810" w:type="dxa"/>
            <w:vAlign w:val="center"/>
          </w:tcPr>
          <w:p w:rsidR="00A10686" w:rsidRPr="00E2405F" w:rsidRDefault="00A10686" w:rsidP="0010138D">
            <w:pPr>
              <w:rPr>
                <w:sz w:val="20"/>
                <w:szCs w:val="20"/>
              </w:rPr>
            </w:pPr>
            <w:r w:rsidRPr="00E2405F">
              <w:rPr>
                <w:sz w:val="20"/>
                <w:szCs w:val="20"/>
              </w:rPr>
              <w:t>2008</w:t>
            </w:r>
          </w:p>
        </w:tc>
        <w:tc>
          <w:tcPr>
            <w:tcW w:w="4770" w:type="dxa"/>
            <w:noWrap/>
            <w:vAlign w:val="center"/>
          </w:tcPr>
          <w:p w:rsidR="00A10686" w:rsidRPr="006D103E" w:rsidRDefault="00A10686" w:rsidP="0010138D">
            <w:pPr>
              <w:rPr>
                <w:color w:val="000000"/>
                <w:sz w:val="20"/>
                <w:szCs w:val="20"/>
              </w:rPr>
            </w:pPr>
            <w:r w:rsidRPr="006D103E">
              <w:rPr>
                <w:color w:val="000000"/>
                <w:sz w:val="20"/>
                <w:szCs w:val="20"/>
              </w:rPr>
              <w:t>Cross-sectional study; did not assess outcomes of interest</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E2405F" w:rsidRDefault="00A10686" w:rsidP="0010138D">
            <w:pPr>
              <w:rPr>
                <w:sz w:val="20"/>
                <w:szCs w:val="20"/>
              </w:rPr>
            </w:pPr>
            <w:r w:rsidRPr="000774F8">
              <w:rPr>
                <w:sz w:val="20"/>
                <w:szCs w:val="20"/>
              </w:rPr>
              <w:t xml:space="preserve">Shimomura, T., M. </w:t>
            </w:r>
            <w:proofErr w:type="spellStart"/>
            <w:r w:rsidRPr="000774F8">
              <w:rPr>
                <w:sz w:val="20"/>
                <w:szCs w:val="20"/>
              </w:rPr>
              <w:t>Sumi</w:t>
            </w:r>
            <w:proofErr w:type="spellEnd"/>
            <w:r w:rsidRPr="000774F8">
              <w:rPr>
                <w:sz w:val="20"/>
                <w:szCs w:val="20"/>
              </w:rPr>
              <w:t xml:space="preserve">, et al. (2007). </w:t>
            </w:r>
            <w:r w:rsidRPr="000774F8">
              <w:rPr>
                <w:sz w:val="20"/>
                <w:szCs w:val="20"/>
              </w:rPr>
              <w:lastRenderedPageBreak/>
              <w:t xml:space="preserve">"Prognostic factors for deterioration of patients with cervical </w:t>
            </w:r>
            <w:proofErr w:type="spellStart"/>
            <w:r w:rsidRPr="000774F8">
              <w:rPr>
                <w:sz w:val="20"/>
                <w:szCs w:val="20"/>
              </w:rPr>
              <w:t>spondylotic</w:t>
            </w:r>
            <w:proofErr w:type="spellEnd"/>
            <w:r w:rsidRPr="000774F8">
              <w:rPr>
                <w:sz w:val="20"/>
                <w:szCs w:val="20"/>
              </w:rPr>
              <w:t xml:space="preserve"> myelopathy after nonsurgical treatment." Spine (</w:t>
            </w:r>
            <w:proofErr w:type="spellStart"/>
            <w:r w:rsidRPr="000774F8">
              <w:rPr>
                <w:sz w:val="20"/>
                <w:szCs w:val="20"/>
              </w:rPr>
              <w:t>Phila</w:t>
            </w:r>
            <w:proofErr w:type="spellEnd"/>
            <w:r w:rsidRPr="000774F8">
              <w:rPr>
                <w:sz w:val="20"/>
                <w:szCs w:val="20"/>
              </w:rPr>
              <w:t xml:space="preserve"> Pa 1976) 32(22): 2474-9.</w:t>
            </w:r>
          </w:p>
        </w:tc>
        <w:tc>
          <w:tcPr>
            <w:tcW w:w="810" w:type="dxa"/>
            <w:vAlign w:val="center"/>
          </w:tcPr>
          <w:p w:rsidR="00A10686" w:rsidRPr="00E2405F" w:rsidRDefault="00A10686" w:rsidP="0010138D">
            <w:pPr>
              <w:rPr>
                <w:sz w:val="20"/>
                <w:szCs w:val="20"/>
              </w:rPr>
            </w:pPr>
            <w:r>
              <w:rPr>
                <w:sz w:val="20"/>
                <w:szCs w:val="20"/>
              </w:rPr>
              <w:lastRenderedPageBreak/>
              <w:t>2007</w:t>
            </w:r>
          </w:p>
        </w:tc>
        <w:tc>
          <w:tcPr>
            <w:tcW w:w="4770" w:type="dxa"/>
            <w:noWrap/>
            <w:vAlign w:val="center"/>
          </w:tcPr>
          <w:p w:rsidR="00A10686" w:rsidRPr="00E2405F" w:rsidRDefault="00A10686" w:rsidP="0010138D">
            <w:pPr>
              <w:rPr>
                <w:color w:val="000000"/>
                <w:sz w:val="20"/>
                <w:szCs w:val="20"/>
              </w:rPr>
            </w:pPr>
            <w:r w:rsidRPr="00E2405F">
              <w:rPr>
                <w:color w:val="000000"/>
                <w:sz w:val="20"/>
                <w:szCs w:val="20"/>
              </w:rPr>
              <w:t>Did not meet inclusion criteria; all subjects had CSM</w:t>
            </w:r>
            <w:r>
              <w:rPr>
                <w:color w:val="000000"/>
                <w:sz w:val="20"/>
                <w:szCs w:val="20"/>
              </w:rPr>
              <w:t xml:space="preserve"> at </w:t>
            </w:r>
            <w:r>
              <w:rPr>
                <w:color w:val="000000"/>
                <w:sz w:val="20"/>
                <w:szCs w:val="20"/>
              </w:rPr>
              <w:lastRenderedPageBreak/>
              <w:t>baseline</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EE6336" w:rsidRDefault="00A10686" w:rsidP="0010138D">
            <w:pPr>
              <w:rPr>
                <w:sz w:val="20"/>
                <w:szCs w:val="20"/>
                <w:highlight w:val="yellow"/>
              </w:rPr>
            </w:pPr>
            <w:proofErr w:type="spellStart"/>
            <w:r w:rsidRPr="00E2405F">
              <w:rPr>
                <w:sz w:val="20"/>
                <w:szCs w:val="20"/>
              </w:rPr>
              <w:lastRenderedPageBreak/>
              <w:t>Simo</w:t>
            </w:r>
            <w:proofErr w:type="spellEnd"/>
            <w:r w:rsidRPr="00E2405F">
              <w:rPr>
                <w:sz w:val="20"/>
                <w:szCs w:val="20"/>
              </w:rPr>
              <w:t xml:space="preserve">, M., I. </w:t>
            </w:r>
            <w:proofErr w:type="spellStart"/>
            <w:r w:rsidRPr="00E2405F">
              <w:rPr>
                <w:sz w:val="20"/>
                <w:szCs w:val="20"/>
              </w:rPr>
              <w:t>Szirmai</w:t>
            </w:r>
            <w:proofErr w:type="spellEnd"/>
            <w:r w:rsidRPr="00E2405F">
              <w:rPr>
                <w:sz w:val="20"/>
                <w:szCs w:val="20"/>
              </w:rPr>
              <w:t xml:space="preserve">, et al. (2004). "Superior sensitivity of motor over somatosensory evoked potentials in the diagnosis of cervical </w:t>
            </w:r>
            <w:proofErr w:type="spellStart"/>
            <w:r w:rsidRPr="00E2405F">
              <w:rPr>
                <w:sz w:val="20"/>
                <w:szCs w:val="20"/>
              </w:rPr>
              <w:t>spondylotic</w:t>
            </w:r>
            <w:proofErr w:type="spellEnd"/>
            <w:r w:rsidRPr="00E2405F">
              <w:rPr>
                <w:sz w:val="20"/>
                <w:szCs w:val="20"/>
              </w:rPr>
              <w:t xml:space="preserve"> myelopathy." </w:t>
            </w:r>
            <w:proofErr w:type="spellStart"/>
            <w:r w:rsidRPr="00E2405F">
              <w:rPr>
                <w:sz w:val="20"/>
                <w:szCs w:val="20"/>
              </w:rPr>
              <w:t>Eur</w:t>
            </w:r>
            <w:proofErr w:type="spellEnd"/>
            <w:r w:rsidRPr="00E2405F">
              <w:rPr>
                <w:sz w:val="20"/>
                <w:szCs w:val="20"/>
              </w:rPr>
              <w:t xml:space="preserve"> J </w:t>
            </w:r>
            <w:proofErr w:type="spellStart"/>
            <w:r w:rsidRPr="00E2405F">
              <w:rPr>
                <w:sz w:val="20"/>
                <w:szCs w:val="20"/>
              </w:rPr>
              <w:t>Neurol</w:t>
            </w:r>
            <w:proofErr w:type="spellEnd"/>
            <w:r w:rsidRPr="00E2405F">
              <w:rPr>
                <w:sz w:val="20"/>
                <w:szCs w:val="20"/>
              </w:rPr>
              <w:t xml:space="preserve"> 11(9): 621-6.</w:t>
            </w:r>
          </w:p>
        </w:tc>
        <w:tc>
          <w:tcPr>
            <w:tcW w:w="810" w:type="dxa"/>
            <w:vAlign w:val="center"/>
          </w:tcPr>
          <w:p w:rsidR="00A10686" w:rsidRPr="00E2405F" w:rsidRDefault="00A10686" w:rsidP="0010138D">
            <w:pPr>
              <w:rPr>
                <w:sz w:val="20"/>
                <w:szCs w:val="20"/>
              </w:rPr>
            </w:pPr>
            <w:r w:rsidRPr="00E2405F">
              <w:rPr>
                <w:sz w:val="20"/>
                <w:szCs w:val="20"/>
              </w:rPr>
              <w:t>2004</w:t>
            </w:r>
          </w:p>
        </w:tc>
        <w:tc>
          <w:tcPr>
            <w:tcW w:w="4770" w:type="dxa"/>
            <w:noWrap/>
            <w:vAlign w:val="center"/>
          </w:tcPr>
          <w:p w:rsidR="00A10686" w:rsidRPr="006D103E" w:rsidRDefault="00A10686" w:rsidP="0010138D">
            <w:pPr>
              <w:rPr>
                <w:color w:val="000000"/>
                <w:sz w:val="20"/>
                <w:szCs w:val="20"/>
              </w:rPr>
            </w:pPr>
            <w:r w:rsidRPr="006D103E">
              <w:rPr>
                <w:color w:val="000000"/>
                <w:sz w:val="20"/>
                <w:szCs w:val="20"/>
              </w:rPr>
              <w:t>Cross-sectional study; did not assess outcomes of interest</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E2405F" w:rsidRDefault="00A10686" w:rsidP="0010138D">
            <w:pPr>
              <w:rPr>
                <w:sz w:val="20"/>
                <w:szCs w:val="20"/>
              </w:rPr>
            </w:pPr>
            <w:proofErr w:type="spellStart"/>
            <w:r w:rsidRPr="000774F8">
              <w:rPr>
                <w:sz w:val="20"/>
                <w:szCs w:val="20"/>
              </w:rPr>
              <w:t>Takamiya</w:t>
            </w:r>
            <w:proofErr w:type="spellEnd"/>
            <w:r w:rsidRPr="000774F8">
              <w:rPr>
                <w:sz w:val="20"/>
                <w:szCs w:val="20"/>
              </w:rPr>
              <w:t xml:space="preserve">, Y., K. Nagata, et al. (2006). "Cervical spine disorders in farm workers requiring neck extension actions." J </w:t>
            </w:r>
            <w:proofErr w:type="spellStart"/>
            <w:r w:rsidRPr="000774F8">
              <w:rPr>
                <w:sz w:val="20"/>
                <w:szCs w:val="20"/>
              </w:rPr>
              <w:t>Orthop</w:t>
            </w:r>
            <w:proofErr w:type="spellEnd"/>
            <w:r w:rsidRPr="000774F8">
              <w:rPr>
                <w:sz w:val="20"/>
                <w:szCs w:val="20"/>
              </w:rPr>
              <w:t xml:space="preserve"> </w:t>
            </w:r>
            <w:proofErr w:type="spellStart"/>
            <w:r w:rsidRPr="000774F8">
              <w:rPr>
                <w:sz w:val="20"/>
                <w:szCs w:val="20"/>
              </w:rPr>
              <w:t>Sci</w:t>
            </w:r>
            <w:proofErr w:type="spellEnd"/>
            <w:r w:rsidRPr="000774F8">
              <w:rPr>
                <w:sz w:val="20"/>
                <w:szCs w:val="20"/>
              </w:rPr>
              <w:t xml:space="preserve"> 11(3): 235-40.</w:t>
            </w:r>
          </w:p>
        </w:tc>
        <w:tc>
          <w:tcPr>
            <w:tcW w:w="810" w:type="dxa"/>
            <w:vAlign w:val="center"/>
          </w:tcPr>
          <w:p w:rsidR="00A10686" w:rsidRPr="00E2405F" w:rsidRDefault="00A10686" w:rsidP="0010138D">
            <w:pPr>
              <w:rPr>
                <w:sz w:val="20"/>
                <w:szCs w:val="20"/>
              </w:rPr>
            </w:pPr>
            <w:r>
              <w:rPr>
                <w:sz w:val="20"/>
                <w:szCs w:val="20"/>
              </w:rPr>
              <w:t>2006</w:t>
            </w:r>
          </w:p>
        </w:tc>
        <w:tc>
          <w:tcPr>
            <w:tcW w:w="4770" w:type="dxa"/>
            <w:noWrap/>
            <w:vAlign w:val="center"/>
          </w:tcPr>
          <w:p w:rsidR="00A10686" w:rsidRPr="00B713E1" w:rsidRDefault="00A10686" w:rsidP="0010138D">
            <w:pPr>
              <w:rPr>
                <w:color w:val="000000"/>
                <w:sz w:val="20"/>
                <w:szCs w:val="20"/>
              </w:rPr>
            </w:pPr>
            <w:r>
              <w:rPr>
                <w:color w:val="000000"/>
                <w:sz w:val="20"/>
                <w:szCs w:val="20"/>
              </w:rPr>
              <w:t>Retrospective cohort study; subjects did not meet inclusion criteria</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E2405F" w:rsidRDefault="00A10686" w:rsidP="0010138D">
            <w:pPr>
              <w:rPr>
                <w:sz w:val="20"/>
                <w:szCs w:val="20"/>
              </w:rPr>
            </w:pPr>
            <w:proofErr w:type="spellStart"/>
            <w:r w:rsidRPr="00E2405F">
              <w:rPr>
                <w:sz w:val="20"/>
                <w:szCs w:val="20"/>
              </w:rPr>
              <w:t>Torg</w:t>
            </w:r>
            <w:proofErr w:type="spellEnd"/>
            <w:r w:rsidRPr="00E2405F">
              <w:rPr>
                <w:sz w:val="20"/>
                <w:szCs w:val="20"/>
              </w:rPr>
              <w:t xml:space="preserve">, J. S., R. J. </w:t>
            </w:r>
            <w:proofErr w:type="spellStart"/>
            <w:r w:rsidRPr="00E2405F">
              <w:rPr>
                <w:sz w:val="20"/>
                <w:szCs w:val="20"/>
              </w:rPr>
              <w:t>Naranja</w:t>
            </w:r>
            <w:proofErr w:type="spellEnd"/>
            <w:r w:rsidRPr="00E2405F">
              <w:rPr>
                <w:sz w:val="20"/>
                <w:szCs w:val="20"/>
              </w:rPr>
              <w:t xml:space="preserve">, Jr., et al. (1996). "The relationship of developmental narrowing of the cervical spinal canal to reversible and irreversible injury of the cervical spinal cord in football players." J Bone Joint </w:t>
            </w:r>
            <w:proofErr w:type="spellStart"/>
            <w:r w:rsidRPr="00E2405F">
              <w:rPr>
                <w:sz w:val="20"/>
                <w:szCs w:val="20"/>
              </w:rPr>
              <w:t>Surg</w:t>
            </w:r>
            <w:proofErr w:type="spellEnd"/>
            <w:r w:rsidRPr="00E2405F">
              <w:rPr>
                <w:sz w:val="20"/>
                <w:szCs w:val="20"/>
              </w:rPr>
              <w:t xml:space="preserve"> Am 78(9): 1308-14</w:t>
            </w:r>
            <w:r>
              <w:rPr>
                <w:sz w:val="20"/>
                <w:szCs w:val="20"/>
              </w:rPr>
              <w:t>.</w:t>
            </w:r>
          </w:p>
        </w:tc>
        <w:tc>
          <w:tcPr>
            <w:tcW w:w="810" w:type="dxa"/>
            <w:vAlign w:val="center"/>
          </w:tcPr>
          <w:p w:rsidR="00A10686" w:rsidRPr="00E2405F" w:rsidRDefault="00A10686" w:rsidP="0010138D">
            <w:pPr>
              <w:rPr>
                <w:sz w:val="20"/>
                <w:szCs w:val="20"/>
              </w:rPr>
            </w:pPr>
            <w:r w:rsidRPr="00E2405F">
              <w:rPr>
                <w:sz w:val="20"/>
                <w:szCs w:val="20"/>
              </w:rPr>
              <w:t>1996</w:t>
            </w:r>
          </w:p>
        </w:tc>
        <w:tc>
          <w:tcPr>
            <w:tcW w:w="4770" w:type="dxa"/>
            <w:noWrap/>
            <w:vAlign w:val="center"/>
          </w:tcPr>
          <w:p w:rsidR="00A10686" w:rsidRPr="00B713E1" w:rsidRDefault="00A10686" w:rsidP="0010138D">
            <w:pPr>
              <w:rPr>
                <w:color w:val="000000"/>
                <w:sz w:val="20"/>
                <w:szCs w:val="20"/>
              </w:rPr>
            </w:pPr>
            <w:r w:rsidRPr="00B713E1">
              <w:rPr>
                <w:color w:val="000000"/>
                <w:sz w:val="20"/>
                <w:szCs w:val="20"/>
              </w:rPr>
              <w:t>Did not assess outcomes of interest (</w:t>
            </w:r>
            <w:r>
              <w:rPr>
                <w:color w:val="000000"/>
                <w:sz w:val="20"/>
                <w:szCs w:val="20"/>
              </w:rPr>
              <w:t xml:space="preserve">One cohort of </w:t>
            </w:r>
            <w:r w:rsidRPr="00B713E1">
              <w:rPr>
                <w:color w:val="000000"/>
                <w:sz w:val="20"/>
                <w:szCs w:val="20"/>
              </w:rPr>
              <w:t xml:space="preserve">subjects </w:t>
            </w:r>
            <w:r>
              <w:rPr>
                <w:color w:val="000000"/>
                <w:sz w:val="20"/>
                <w:szCs w:val="20"/>
              </w:rPr>
              <w:t>was</w:t>
            </w:r>
            <w:r w:rsidRPr="00B713E1">
              <w:rPr>
                <w:color w:val="000000"/>
                <w:sz w:val="20"/>
                <w:szCs w:val="20"/>
              </w:rPr>
              <w:t xml:space="preserve"> followed prospectively for </w:t>
            </w:r>
            <w:r>
              <w:rPr>
                <w:color w:val="000000"/>
                <w:sz w:val="20"/>
                <w:szCs w:val="20"/>
              </w:rPr>
              <w:t>neurologic injury following history of</w:t>
            </w:r>
            <w:r w:rsidRPr="00B713E1">
              <w:rPr>
                <w:color w:val="000000"/>
                <w:sz w:val="20"/>
                <w:szCs w:val="20"/>
              </w:rPr>
              <w:t xml:space="preserve"> transient </w:t>
            </w:r>
            <w:proofErr w:type="spellStart"/>
            <w:r w:rsidRPr="00B713E1">
              <w:rPr>
                <w:color w:val="000000"/>
                <w:sz w:val="20"/>
                <w:szCs w:val="20"/>
              </w:rPr>
              <w:t>neuropraxias</w:t>
            </w:r>
            <w:proofErr w:type="spellEnd"/>
            <w:r w:rsidRPr="00B713E1">
              <w:rPr>
                <w:color w:val="000000"/>
                <w:sz w:val="20"/>
                <w:szCs w:val="20"/>
              </w:rPr>
              <w:t>)</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EE6336" w:rsidRDefault="00A10686" w:rsidP="0010138D">
            <w:pPr>
              <w:rPr>
                <w:sz w:val="20"/>
                <w:szCs w:val="20"/>
                <w:highlight w:val="yellow"/>
              </w:rPr>
            </w:pPr>
            <w:proofErr w:type="spellStart"/>
            <w:r w:rsidRPr="00E2405F">
              <w:rPr>
                <w:sz w:val="20"/>
                <w:szCs w:val="20"/>
              </w:rPr>
              <w:t>Voskuhl</w:t>
            </w:r>
            <w:proofErr w:type="spellEnd"/>
            <w:r w:rsidRPr="00E2405F">
              <w:rPr>
                <w:sz w:val="20"/>
                <w:szCs w:val="20"/>
              </w:rPr>
              <w:t xml:space="preserve">, R. R. and R. C. Hinton (1990). "Sensory impairment in the hands secondary to </w:t>
            </w:r>
            <w:proofErr w:type="spellStart"/>
            <w:r w:rsidRPr="00E2405F">
              <w:rPr>
                <w:sz w:val="20"/>
                <w:szCs w:val="20"/>
              </w:rPr>
              <w:t>spondylotic</w:t>
            </w:r>
            <w:proofErr w:type="spellEnd"/>
            <w:r w:rsidRPr="00E2405F">
              <w:rPr>
                <w:sz w:val="20"/>
                <w:szCs w:val="20"/>
              </w:rPr>
              <w:t xml:space="preserve"> compression of the cervical spinal cord." Arch </w:t>
            </w:r>
            <w:proofErr w:type="spellStart"/>
            <w:r w:rsidRPr="00E2405F">
              <w:rPr>
                <w:sz w:val="20"/>
                <w:szCs w:val="20"/>
              </w:rPr>
              <w:t>Neurol</w:t>
            </w:r>
            <w:proofErr w:type="spellEnd"/>
            <w:r w:rsidRPr="00E2405F">
              <w:rPr>
                <w:sz w:val="20"/>
                <w:szCs w:val="20"/>
              </w:rPr>
              <w:t xml:space="preserve"> 47(3): 309-11.</w:t>
            </w:r>
          </w:p>
        </w:tc>
        <w:tc>
          <w:tcPr>
            <w:tcW w:w="810" w:type="dxa"/>
            <w:vAlign w:val="center"/>
          </w:tcPr>
          <w:p w:rsidR="00A10686" w:rsidRPr="00E2405F" w:rsidRDefault="00A10686" w:rsidP="0010138D">
            <w:pPr>
              <w:rPr>
                <w:sz w:val="20"/>
                <w:szCs w:val="20"/>
              </w:rPr>
            </w:pPr>
            <w:r w:rsidRPr="00E2405F">
              <w:rPr>
                <w:sz w:val="20"/>
                <w:szCs w:val="20"/>
              </w:rPr>
              <w:t>1990</w:t>
            </w:r>
          </w:p>
        </w:tc>
        <w:tc>
          <w:tcPr>
            <w:tcW w:w="4770" w:type="dxa"/>
            <w:noWrap/>
            <w:vAlign w:val="center"/>
          </w:tcPr>
          <w:p w:rsidR="00A10686" w:rsidRPr="00E2405F" w:rsidRDefault="00A10686" w:rsidP="0010138D">
            <w:pPr>
              <w:rPr>
                <w:color w:val="000000"/>
                <w:sz w:val="20"/>
                <w:szCs w:val="20"/>
              </w:rPr>
            </w:pPr>
            <w:r w:rsidRPr="00E2405F">
              <w:rPr>
                <w:color w:val="000000"/>
                <w:sz w:val="20"/>
                <w:szCs w:val="20"/>
              </w:rPr>
              <w:t>Did not meet inclusion criteria; all subjects were suspicious for CSM</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EE6336" w:rsidRDefault="00A10686" w:rsidP="0010138D">
            <w:pPr>
              <w:rPr>
                <w:sz w:val="20"/>
                <w:szCs w:val="20"/>
                <w:highlight w:val="yellow"/>
              </w:rPr>
            </w:pPr>
            <w:proofErr w:type="spellStart"/>
            <w:r w:rsidRPr="00E2405F">
              <w:rPr>
                <w:sz w:val="20"/>
                <w:szCs w:val="20"/>
              </w:rPr>
              <w:t>Yagi</w:t>
            </w:r>
            <w:proofErr w:type="spellEnd"/>
            <w:r w:rsidRPr="00E2405F">
              <w:rPr>
                <w:sz w:val="20"/>
                <w:szCs w:val="20"/>
              </w:rPr>
              <w:t xml:space="preserve">, M., K. </w:t>
            </w:r>
            <w:proofErr w:type="spellStart"/>
            <w:r w:rsidRPr="00E2405F">
              <w:rPr>
                <w:sz w:val="20"/>
                <w:szCs w:val="20"/>
              </w:rPr>
              <w:t>Ninomiya</w:t>
            </w:r>
            <w:proofErr w:type="spellEnd"/>
            <w:r w:rsidRPr="00E2405F">
              <w:rPr>
                <w:sz w:val="20"/>
                <w:szCs w:val="20"/>
              </w:rPr>
              <w:t xml:space="preserve">, et al. (2010). "Long-term surgical outcome and risk factors in patients with cervical myelopathy and a change in signal intensity of intramedullary spinal cord on Magnetic Resonance imaging." J </w:t>
            </w:r>
            <w:proofErr w:type="spellStart"/>
            <w:r w:rsidRPr="00E2405F">
              <w:rPr>
                <w:sz w:val="20"/>
                <w:szCs w:val="20"/>
              </w:rPr>
              <w:t>Neurosurg</w:t>
            </w:r>
            <w:proofErr w:type="spellEnd"/>
            <w:r w:rsidRPr="00E2405F">
              <w:rPr>
                <w:sz w:val="20"/>
                <w:szCs w:val="20"/>
              </w:rPr>
              <w:t xml:space="preserve"> Spine 12(1): 59-65.</w:t>
            </w:r>
          </w:p>
        </w:tc>
        <w:tc>
          <w:tcPr>
            <w:tcW w:w="810" w:type="dxa"/>
            <w:vAlign w:val="center"/>
          </w:tcPr>
          <w:p w:rsidR="00A10686" w:rsidRPr="00E2405F" w:rsidRDefault="00A10686" w:rsidP="0010138D">
            <w:pPr>
              <w:rPr>
                <w:sz w:val="20"/>
                <w:szCs w:val="20"/>
              </w:rPr>
            </w:pPr>
            <w:r w:rsidRPr="00E2405F">
              <w:rPr>
                <w:sz w:val="20"/>
                <w:szCs w:val="20"/>
              </w:rPr>
              <w:t>2010</w:t>
            </w:r>
          </w:p>
        </w:tc>
        <w:tc>
          <w:tcPr>
            <w:tcW w:w="4770" w:type="dxa"/>
            <w:noWrap/>
            <w:vAlign w:val="center"/>
          </w:tcPr>
          <w:p w:rsidR="00A10686" w:rsidRPr="00E2405F" w:rsidRDefault="00A10686" w:rsidP="0010138D">
            <w:pPr>
              <w:rPr>
                <w:color w:val="000000"/>
                <w:sz w:val="20"/>
                <w:szCs w:val="20"/>
              </w:rPr>
            </w:pPr>
            <w:r w:rsidRPr="00E2405F">
              <w:rPr>
                <w:color w:val="000000"/>
                <w:sz w:val="20"/>
                <w:szCs w:val="20"/>
              </w:rPr>
              <w:t>Did not meet inclusion criteria; all subjects had CSM</w:t>
            </w:r>
          </w:p>
        </w:tc>
      </w:tr>
      <w:tr w:rsidR="00A10686" w:rsidRPr="00EE6336" w:rsidTr="0010138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4155" w:type="dxa"/>
            <w:vAlign w:val="center"/>
          </w:tcPr>
          <w:p w:rsidR="00A10686" w:rsidRPr="00EE6336" w:rsidRDefault="00A10686" w:rsidP="0010138D">
            <w:pPr>
              <w:rPr>
                <w:sz w:val="20"/>
                <w:szCs w:val="20"/>
                <w:highlight w:val="yellow"/>
              </w:rPr>
            </w:pPr>
            <w:r w:rsidRPr="00E2405F">
              <w:rPr>
                <w:sz w:val="20"/>
                <w:szCs w:val="20"/>
              </w:rPr>
              <w:t>Yukawa, Y., F. Kato, et al. (2007). "MR T2 image classification in cervical compression myelopathy: predictor of surgical outcomes." Spine (</w:t>
            </w:r>
            <w:proofErr w:type="spellStart"/>
            <w:r w:rsidRPr="00E2405F">
              <w:rPr>
                <w:sz w:val="20"/>
                <w:szCs w:val="20"/>
              </w:rPr>
              <w:t>Phila</w:t>
            </w:r>
            <w:proofErr w:type="spellEnd"/>
            <w:r w:rsidRPr="00E2405F">
              <w:rPr>
                <w:sz w:val="20"/>
                <w:szCs w:val="20"/>
              </w:rPr>
              <w:t xml:space="preserve"> Pa 1976) 32(15): 1675-8; discussion 1679.</w:t>
            </w:r>
          </w:p>
        </w:tc>
        <w:tc>
          <w:tcPr>
            <w:tcW w:w="810" w:type="dxa"/>
            <w:vAlign w:val="center"/>
          </w:tcPr>
          <w:p w:rsidR="00A10686" w:rsidRPr="00E2405F" w:rsidRDefault="00A10686" w:rsidP="0010138D">
            <w:pPr>
              <w:rPr>
                <w:sz w:val="20"/>
                <w:szCs w:val="20"/>
              </w:rPr>
            </w:pPr>
            <w:r w:rsidRPr="00E2405F">
              <w:rPr>
                <w:sz w:val="20"/>
                <w:szCs w:val="20"/>
              </w:rPr>
              <w:t>2007</w:t>
            </w:r>
          </w:p>
        </w:tc>
        <w:tc>
          <w:tcPr>
            <w:tcW w:w="4770" w:type="dxa"/>
            <w:noWrap/>
            <w:vAlign w:val="center"/>
          </w:tcPr>
          <w:p w:rsidR="00A10686" w:rsidRPr="00E2405F" w:rsidRDefault="00A10686" w:rsidP="0010138D">
            <w:pPr>
              <w:rPr>
                <w:color w:val="000000"/>
                <w:sz w:val="20"/>
                <w:szCs w:val="20"/>
              </w:rPr>
            </w:pPr>
            <w:r w:rsidRPr="00E2405F">
              <w:rPr>
                <w:color w:val="000000"/>
                <w:sz w:val="20"/>
                <w:szCs w:val="20"/>
              </w:rPr>
              <w:t>Did not meet inclusion criteria; all subjects had CSM</w:t>
            </w:r>
          </w:p>
        </w:tc>
      </w:tr>
    </w:tbl>
    <w:p w:rsidR="007C5F2F" w:rsidRDefault="007C5F2F">
      <w:bookmarkStart w:id="0" w:name="_GoBack"/>
      <w:bookmarkEnd w:id="0"/>
    </w:p>
    <w:sectPr w:rsidR="007C5F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60" w:rsidRDefault="00310E60" w:rsidP="00A10686">
      <w:r>
        <w:separator/>
      </w:r>
    </w:p>
  </w:endnote>
  <w:endnote w:type="continuationSeparator" w:id="0">
    <w:p w:rsidR="00310E60" w:rsidRDefault="00310E60" w:rsidP="00A1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60" w:rsidRDefault="00310E60" w:rsidP="00A10686">
      <w:r>
        <w:separator/>
      </w:r>
    </w:p>
  </w:footnote>
  <w:footnote w:type="continuationSeparator" w:id="0">
    <w:p w:rsidR="00310E60" w:rsidRDefault="00310E60" w:rsidP="00A10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86" w:rsidRDefault="00A10686">
    <w:pPr>
      <w:pStyle w:val="Header"/>
    </w:pPr>
    <w:r>
      <w:tab/>
    </w:r>
    <w:r>
      <w:tab/>
    </w:r>
    <w:r>
      <w:rPr>
        <w:rFonts w:ascii="Arial" w:hAnsi="Arial" w:cs="Arial"/>
      </w:rPr>
      <w:t>Asymptomatic Cervical Stenosis and OPLL</w:t>
    </w:r>
    <w:r>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260D"/>
    <w:multiLevelType w:val="hybridMultilevel"/>
    <w:tmpl w:val="07F475F2"/>
    <w:lvl w:ilvl="0" w:tplc="C85E6C42">
      <w:start w:val="1"/>
      <w:numFmt w:val="bullet"/>
      <w:lvlText w:val=""/>
      <w:lvlJc w:val="left"/>
      <w:pPr>
        <w:tabs>
          <w:tab w:val="num" w:pos="720"/>
        </w:tabs>
        <w:ind w:left="720" w:hanging="360"/>
      </w:pPr>
      <w:rPr>
        <w:rFonts w:ascii="Symbol" w:hAnsi="Symbol" w:hint="default"/>
        <w:color w:val="auto"/>
      </w:rPr>
    </w:lvl>
    <w:lvl w:ilvl="1" w:tplc="C85E6C4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FA69B7"/>
    <w:multiLevelType w:val="hybridMultilevel"/>
    <w:tmpl w:val="B9F0A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
    <w:nsid w:val="513A6EEE"/>
    <w:multiLevelType w:val="hybridMultilevel"/>
    <w:tmpl w:val="FE40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457F4F"/>
    <w:multiLevelType w:val="hybridMultilevel"/>
    <w:tmpl w:val="8A4E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86"/>
    <w:rsid w:val="00310E60"/>
    <w:rsid w:val="007C5F2F"/>
    <w:rsid w:val="00A1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8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86"/>
    <w:pPr>
      <w:ind w:left="720"/>
      <w:contextualSpacing/>
    </w:pPr>
  </w:style>
  <w:style w:type="table" w:styleId="TableGrid">
    <w:name w:val="Table Grid"/>
    <w:basedOn w:val="TableNormal"/>
    <w:rsid w:val="00A106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0686"/>
    <w:pPr>
      <w:tabs>
        <w:tab w:val="center" w:pos="4680"/>
        <w:tab w:val="right" w:pos="9360"/>
      </w:tabs>
    </w:pPr>
  </w:style>
  <w:style w:type="character" w:customStyle="1" w:styleId="HeaderChar">
    <w:name w:val="Header Char"/>
    <w:basedOn w:val="DefaultParagraphFont"/>
    <w:link w:val="Header"/>
    <w:uiPriority w:val="99"/>
    <w:rsid w:val="00A10686"/>
    <w:rPr>
      <w:rFonts w:ascii="Times New Roman" w:eastAsia="Calibri" w:hAnsi="Times New Roman" w:cs="Times New Roman"/>
      <w:sz w:val="24"/>
      <w:szCs w:val="24"/>
    </w:rPr>
  </w:style>
  <w:style w:type="paragraph" w:styleId="Footer">
    <w:name w:val="footer"/>
    <w:basedOn w:val="Normal"/>
    <w:link w:val="FooterChar"/>
    <w:uiPriority w:val="99"/>
    <w:unhideWhenUsed/>
    <w:rsid w:val="00A10686"/>
    <w:pPr>
      <w:tabs>
        <w:tab w:val="center" w:pos="4680"/>
        <w:tab w:val="right" w:pos="9360"/>
      </w:tabs>
    </w:pPr>
  </w:style>
  <w:style w:type="character" w:customStyle="1" w:styleId="FooterChar">
    <w:name w:val="Footer Char"/>
    <w:basedOn w:val="DefaultParagraphFont"/>
    <w:link w:val="Footer"/>
    <w:uiPriority w:val="99"/>
    <w:rsid w:val="00A10686"/>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10686"/>
    <w:rPr>
      <w:rFonts w:ascii="Tahoma" w:hAnsi="Tahoma" w:cs="Tahoma"/>
      <w:sz w:val="16"/>
      <w:szCs w:val="16"/>
    </w:rPr>
  </w:style>
  <w:style w:type="character" w:customStyle="1" w:styleId="BalloonTextChar">
    <w:name w:val="Balloon Text Char"/>
    <w:basedOn w:val="DefaultParagraphFont"/>
    <w:link w:val="BalloonText"/>
    <w:uiPriority w:val="99"/>
    <w:semiHidden/>
    <w:rsid w:val="00A106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8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86"/>
    <w:pPr>
      <w:ind w:left="720"/>
      <w:contextualSpacing/>
    </w:pPr>
  </w:style>
  <w:style w:type="table" w:styleId="TableGrid">
    <w:name w:val="Table Grid"/>
    <w:basedOn w:val="TableNormal"/>
    <w:rsid w:val="00A106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0686"/>
    <w:pPr>
      <w:tabs>
        <w:tab w:val="center" w:pos="4680"/>
        <w:tab w:val="right" w:pos="9360"/>
      </w:tabs>
    </w:pPr>
  </w:style>
  <w:style w:type="character" w:customStyle="1" w:styleId="HeaderChar">
    <w:name w:val="Header Char"/>
    <w:basedOn w:val="DefaultParagraphFont"/>
    <w:link w:val="Header"/>
    <w:uiPriority w:val="99"/>
    <w:rsid w:val="00A10686"/>
    <w:rPr>
      <w:rFonts w:ascii="Times New Roman" w:eastAsia="Calibri" w:hAnsi="Times New Roman" w:cs="Times New Roman"/>
      <w:sz w:val="24"/>
      <w:szCs w:val="24"/>
    </w:rPr>
  </w:style>
  <w:style w:type="paragraph" w:styleId="Footer">
    <w:name w:val="footer"/>
    <w:basedOn w:val="Normal"/>
    <w:link w:val="FooterChar"/>
    <w:uiPriority w:val="99"/>
    <w:unhideWhenUsed/>
    <w:rsid w:val="00A10686"/>
    <w:pPr>
      <w:tabs>
        <w:tab w:val="center" w:pos="4680"/>
        <w:tab w:val="right" w:pos="9360"/>
      </w:tabs>
    </w:pPr>
  </w:style>
  <w:style w:type="character" w:customStyle="1" w:styleId="FooterChar">
    <w:name w:val="Footer Char"/>
    <w:basedOn w:val="DefaultParagraphFont"/>
    <w:link w:val="Footer"/>
    <w:uiPriority w:val="99"/>
    <w:rsid w:val="00A10686"/>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10686"/>
    <w:rPr>
      <w:rFonts w:ascii="Tahoma" w:hAnsi="Tahoma" w:cs="Tahoma"/>
      <w:sz w:val="16"/>
      <w:szCs w:val="16"/>
    </w:rPr>
  </w:style>
  <w:style w:type="character" w:customStyle="1" w:styleId="BalloonTextChar">
    <w:name w:val="Balloon Text Char"/>
    <w:basedOn w:val="DefaultParagraphFont"/>
    <w:link w:val="BalloonText"/>
    <w:uiPriority w:val="99"/>
    <w:semiHidden/>
    <w:rsid w:val="00A106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dc:creator>
  <cp:lastModifiedBy>Madeleine</cp:lastModifiedBy>
  <cp:revision>1</cp:revision>
  <dcterms:created xsi:type="dcterms:W3CDTF">2013-03-06T20:20:00Z</dcterms:created>
  <dcterms:modified xsi:type="dcterms:W3CDTF">2013-03-06T20:21:00Z</dcterms:modified>
</cp:coreProperties>
</file>