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6C" w:rsidRDefault="00691253" w:rsidP="00C9246C">
      <w:pPr>
        <w:spacing w:after="0" w:line="240" w:lineRule="auto"/>
        <w:ind w:left="-90"/>
        <w:rPr>
          <w:rFonts w:ascii="Calibri" w:hAnsi="Calibri" w:cs="Calibri"/>
          <w:noProof/>
        </w:rPr>
      </w:pPr>
      <w:r>
        <w:rPr>
          <w:rFonts w:ascii="Arial" w:hAnsi="Arial" w:cs="Arial"/>
        </w:rPr>
        <w:t xml:space="preserve">Supplemental Digital Content 1: </w:t>
      </w:r>
      <w:r w:rsidR="00C9246C" w:rsidRPr="001A7528">
        <w:rPr>
          <w:rFonts w:ascii="Arial" w:hAnsi="Arial" w:cs="Arial"/>
        </w:rPr>
        <w:t xml:space="preserve">Low Back Injury Severity Code Groups Based on ICD-9 Codes </w:t>
      </w:r>
      <w:r w:rsidR="00C9246C">
        <w:rPr>
          <w:rFonts w:ascii="Arial" w:hAnsi="Arial" w:cs="Arial"/>
        </w:rPr>
        <w:t>(</w:t>
      </w:r>
      <w:r w:rsidR="00617B72">
        <w:rPr>
          <w:rFonts w:ascii="Calibri" w:hAnsi="Calibri" w:cs="Calibri"/>
          <w:noProof/>
        </w:rPr>
        <w:t>1</w:t>
      </w:r>
      <w:r w:rsidR="00C9246C">
        <w:rPr>
          <w:rFonts w:ascii="Calibri" w:hAnsi="Calibri" w:cs="Calibri"/>
          <w:noProof/>
        </w:rPr>
        <w:t>)</w:t>
      </w:r>
    </w:p>
    <w:p w:rsidR="00123016" w:rsidRDefault="00123016" w:rsidP="00C9246C">
      <w:pPr>
        <w:spacing w:after="0" w:line="240" w:lineRule="auto"/>
        <w:ind w:left="-90"/>
        <w:rPr>
          <w:rFonts w:ascii="Calibri" w:hAnsi="Calibri" w:cs="Calibri"/>
          <w:noProof/>
        </w:rPr>
      </w:pPr>
    </w:p>
    <w:tbl>
      <w:tblPr>
        <w:tblW w:w="4898" w:type="dxa"/>
        <w:tblInd w:w="-72" w:type="dxa"/>
        <w:tblLook w:val="0000" w:firstRow="0" w:lastRow="0" w:firstColumn="0" w:lastColumn="0" w:noHBand="0" w:noVBand="0"/>
      </w:tblPr>
      <w:tblGrid>
        <w:gridCol w:w="866"/>
        <w:gridCol w:w="4032"/>
      </w:tblGrid>
      <w:tr w:rsidR="00DB6989" w:rsidTr="00724DAF">
        <w:trPr>
          <w:trHeight w:val="25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Default="00DB6989" w:rsidP="00724D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ICD-9 Code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Default="00DB6989" w:rsidP="00724D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B6989" w:rsidTr="00724DAF">
        <w:trPr>
          <w:trHeight w:val="255"/>
        </w:trPr>
        <w:tc>
          <w:tcPr>
            <w:tcW w:w="4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Default="00DB6989" w:rsidP="00724D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 Severe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344.60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Syndrome,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cauda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equina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344.61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Synd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cauda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equina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w/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bladder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353.1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Lesions, lumbosacral plexus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353.4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Lesions, lumbosacral root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353.8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nerve root/plexus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353.9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nerve root/plexus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355.0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Lesion, sciatic nerve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721.42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lumbar w/myelopathy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Disorders, intervertebral disc</w:t>
            </w:r>
          </w:p>
        </w:tc>
      </w:tr>
      <w:tr w:rsidR="00DB6989" w:rsidRPr="001C2F04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Dsplcmnt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thorc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lmbr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disc w/o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myelpy</w:t>
            </w:r>
            <w:proofErr w:type="spellEnd"/>
          </w:p>
        </w:tc>
      </w:tr>
      <w:tr w:rsidR="00DB6989" w:rsidRPr="001C2F04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722.10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Dsplcmnt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lumbar disc w/o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myelpy</w:t>
            </w:r>
            <w:proofErr w:type="spellEnd"/>
          </w:p>
        </w:tc>
      </w:tr>
      <w:tr w:rsidR="00DB6989" w:rsidRPr="001C2F04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Displacement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 xml:space="preserve">, disc NOS w/o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myelpy</w:t>
            </w:r>
            <w:proofErr w:type="spellEnd"/>
          </w:p>
        </w:tc>
      </w:tr>
      <w:tr w:rsidR="00DB6989" w:rsidRPr="003B7BA2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976C5">
              <w:rPr>
                <w:rFonts w:ascii="Arial" w:hAnsi="Arial" w:cs="Arial"/>
                <w:sz w:val="20"/>
                <w:szCs w:val="20"/>
                <w:lang w:val="nb-NO"/>
              </w:rPr>
              <w:t>Dsord, intervertebral disc w/myelpy</w:t>
            </w:r>
          </w:p>
        </w:tc>
      </w:tr>
      <w:tr w:rsidR="00DB6989" w:rsidRPr="008701EF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722.70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Disorder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, disc NOS w/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myelopathy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722.73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lumbar disc w/myelopathy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722.83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Syndrome,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postlaminectomy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lumbar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Stenosis, spinal,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oth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than cervical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724.00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Stenosis, spinal,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unspec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region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724.02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Stenosis, spinal, lumbar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724.09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Stenosis, spinal, other spec site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Sciatica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Neuritis, lumbosacral NOS</w:t>
            </w:r>
          </w:p>
        </w:tc>
      </w:tr>
      <w:tr w:rsidR="00DB6989" w:rsidRPr="001C2F04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724.6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Disorders, sacrum (incl. LS jt. instability)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729.2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Neuralgia/neuritis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738.4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Spondylolisthesis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acquired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756.1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Anomaly, congenital, spine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756.10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Anomaly, congenital, spine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756.11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Spondylolysis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cngn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lumbosacral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756.12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Spondylolisthesis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congenital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953.2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Injury, lumbar root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953.5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Injury lumbosacral plexus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956.0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Injury sciatic nerve</w:t>
            </w:r>
          </w:p>
        </w:tc>
      </w:tr>
      <w:tr w:rsidR="00DB6989" w:rsidRPr="00B56D5D" w:rsidTr="00724DAF">
        <w:trPr>
          <w:trHeight w:val="255"/>
        </w:trPr>
        <w:tc>
          <w:tcPr>
            <w:tcW w:w="4898" w:type="dxa"/>
            <w:gridSpan w:val="2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6989" w:rsidRPr="00B56D5D" w:rsidTr="00724DAF">
        <w:trPr>
          <w:trHeight w:val="255"/>
        </w:trPr>
        <w:tc>
          <w:tcPr>
            <w:tcW w:w="48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6C5">
              <w:rPr>
                <w:rFonts w:ascii="Arial" w:hAnsi="Arial" w:cs="Arial"/>
                <w:b/>
                <w:bCs/>
                <w:sz w:val="20"/>
                <w:szCs w:val="20"/>
              </w:rPr>
              <w:t>Less Severe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349.9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nervous system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720.0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Spondylitis,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ankylosing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720.1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Enthesopathy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spinal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720.2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Sacroiliitis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720.9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Spondylopathy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inflammatory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721.3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lumbosacral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721.7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Spondylopathy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, traumatic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721.8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spinal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lastRenderedPageBreak/>
              <w:t>721.9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721.90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Spondylosis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NOS w/o myelopathy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722.32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Schmorl's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nodes, lumbar region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Dgnratn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thorc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/lumbar disc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722.52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Degeneration, lumbar/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lmbsac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disc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722.6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Degeneration, disc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Dsord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intrvrtbrl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disc,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oth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unspc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722.90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 NEC/NOS, unspecified disc</w:t>
            </w:r>
          </w:p>
        </w:tc>
      </w:tr>
      <w:tr w:rsidR="00DB6989" w:rsidRPr="008701EF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722.93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Disorder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 xml:space="preserve"> NEC/NOS,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lumbar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 xml:space="preserve"> disc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Disorders, back, other &amp;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unspc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Lumbago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Backache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Disorders, coccyx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724.71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Hypermobility, coccyx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724.79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coccyx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Symptom, back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724.9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back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728.2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Atrophy, muscular disuse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728.8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Disorders, muscle/ligament/fascia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728.85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Spasm, muscle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728.9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muscle/ligament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729.1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Myalgia/myositis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729.9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Disorder, soft tissue NEC/NOS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737.3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Kyphoscoliosis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and scoliosis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737.30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Scoliosis, idiopathic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737.39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Scoliosis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738.5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Deformity, acquired, back/spine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739.3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Lesion,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nonallopathic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lumbar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rgn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739.4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Lesion,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nonallopathic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sacral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rgn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756.15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Fusion, spine, congenital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793.7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Nonspecif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abnl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radiolog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fnd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musculoskl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systm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799.8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Condition, ill-defined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839.2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Dsloc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thoracic/lumbar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vrt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clsd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839.20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Dsloc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lumbar vertebra, closed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839.42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Dislocation sacrum, closed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839.69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Dislocation site NEC, closed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839.8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Dislocation,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mlt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/ill-defined,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clsd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sacroiliac region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846.0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lumbosacral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sacroiliac ligament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Sprain/strain,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sacrospinatus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Sprain/strain,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sacrotuberous</w:t>
            </w:r>
            <w:proofErr w:type="spellEnd"/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sacroiliac site NEC</w:t>
            </w:r>
          </w:p>
        </w:tc>
      </w:tr>
      <w:tr w:rsidR="00DB6989" w:rsidRPr="008701EF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846.9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Sprain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strain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>sacroiliac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  <w:lang w:val="fr-FR"/>
              </w:rPr>
              <w:t xml:space="preserve"> site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 xml:space="preserve">Sprains/strain 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oth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76C5">
              <w:rPr>
                <w:rFonts w:ascii="Arial" w:hAnsi="Arial" w:cs="Arial"/>
                <w:sz w:val="20"/>
                <w:szCs w:val="20"/>
              </w:rPr>
              <w:t>unspc</w:t>
            </w:r>
            <w:proofErr w:type="spellEnd"/>
            <w:r w:rsidRPr="002976C5">
              <w:rPr>
                <w:rFonts w:ascii="Arial" w:hAnsi="Arial" w:cs="Arial"/>
                <w:sz w:val="20"/>
                <w:szCs w:val="20"/>
              </w:rPr>
              <w:t xml:space="preserve"> parts back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847.2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lumbar region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847.3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sacrum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847.4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coccyx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lastRenderedPageBreak/>
              <w:t>847.9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Sprain/strain, back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848.8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 NEC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848.9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Sprain/strain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905.7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Late effect, sprain/strain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922.3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Contusion, back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922.31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Contusion, back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922.32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Contusion, buttock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922.9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Contusion, trunk NOS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959.1</w:t>
            </w:r>
          </w:p>
        </w:tc>
        <w:tc>
          <w:tcPr>
            <w:tcW w:w="4032" w:type="dxa"/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Injury NOS, trunk</w:t>
            </w:r>
          </w:p>
        </w:tc>
      </w:tr>
      <w:tr w:rsidR="00DB6989" w:rsidTr="00724DAF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959.19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6989" w:rsidRPr="002976C5" w:rsidRDefault="00DB6989" w:rsidP="00724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76C5">
              <w:rPr>
                <w:rFonts w:ascii="Arial" w:hAnsi="Arial" w:cs="Arial"/>
                <w:sz w:val="20"/>
                <w:szCs w:val="20"/>
              </w:rPr>
              <w:t>Injury NOS, other sites trunk</w:t>
            </w:r>
          </w:p>
        </w:tc>
      </w:tr>
    </w:tbl>
    <w:p w:rsidR="00DB6989" w:rsidRPr="001A7528" w:rsidRDefault="00DB6989" w:rsidP="00C9246C">
      <w:pPr>
        <w:spacing w:after="0" w:line="240" w:lineRule="auto"/>
        <w:ind w:left="-90"/>
        <w:rPr>
          <w:rFonts w:ascii="Arial" w:hAnsi="Arial" w:cs="Arial"/>
        </w:rPr>
      </w:pPr>
    </w:p>
    <w:p w:rsidR="00691253" w:rsidRDefault="00691253">
      <w:pPr>
        <w:spacing w:after="0" w:line="240" w:lineRule="auto"/>
        <w:rPr>
          <w:rFonts w:ascii="Arial" w:hAnsi="Arial" w:cs="Arial"/>
        </w:rPr>
      </w:pPr>
    </w:p>
    <w:p w:rsidR="00DB6989" w:rsidRDefault="00DB69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7438" w:rsidRDefault="00B80605" w:rsidP="006969A6">
      <w:pPr>
        <w:spacing w:after="0" w:line="240" w:lineRule="auto"/>
      </w:pPr>
      <w:r>
        <w:rPr>
          <w:rFonts w:ascii="Arial" w:hAnsi="Arial" w:cs="Arial"/>
        </w:rPr>
        <w:lastRenderedPageBreak/>
        <w:t>Supplemental Digital Content</w:t>
      </w:r>
      <w:r w:rsidR="00AE7438">
        <w:rPr>
          <w:rFonts w:ascii="Arial" w:hAnsi="Arial" w:cs="Arial"/>
        </w:rPr>
        <w:t xml:space="preserve"> </w:t>
      </w:r>
      <w:r w:rsidR="00691253">
        <w:rPr>
          <w:rFonts w:ascii="Arial" w:hAnsi="Arial" w:cs="Arial"/>
        </w:rPr>
        <w:t>2</w:t>
      </w:r>
      <w:r w:rsidR="00AE7438" w:rsidRPr="001A7528">
        <w:rPr>
          <w:rFonts w:ascii="Arial" w:hAnsi="Arial" w:cs="Arial"/>
        </w:rPr>
        <w:t xml:space="preserve">: </w:t>
      </w:r>
      <w:r w:rsidR="00AE7438">
        <w:t>Current Procedural Terminology (CPT) Codes for Identifying Medical Services (</w:t>
      </w:r>
      <w:r w:rsidR="00617B72">
        <w:t>2</w:t>
      </w:r>
      <w:r w:rsidR="00AE7438">
        <w:t>)</w:t>
      </w:r>
    </w:p>
    <w:p w:rsidR="00AE7438" w:rsidRDefault="00AE7438" w:rsidP="00AE7438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7"/>
        <w:gridCol w:w="1011"/>
        <w:gridCol w:w="6858"/>
      </w:tblGrid>
      <w:tr w:rsidR="00AE7438" w:rsidRPr="005662C7" w:rsidTr="00C60761">
        <w:trPr>
          <w:trHeight w:val="350"/>
        </w:trPr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Category of Service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CPT Code</w:t>
            </w:r>
          </w:p>
        </w:tc>
        <w:tc>
          <w:tcPr>
            <w:tcW w:w="3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Advanced Imaging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62284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 procedure for myelography and/or computed tomography, spinal (other than C1-C2 and posterior fossa)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62290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 procedure for discography, each level; lumbar</w:t>
            </w:r>
          </w:p>
        </w:tc>
      </w:tr>
      <w:tr w:rsidR="00AE7438" w:rsidRPr="005662C7" w:rsidTr="00C60761">
        <w:trPr>
          <w:trHeight w:val="377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62292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Injection procedure for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chemonucleolysis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including discography, intervertebral disc, single or multiple levels, lumbar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72131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Computed tomography, lumbar spine; without contrast material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72132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Computed tomography, lumbar spine; with contrast material</w:t>
            </w:r>
          </w:p>
        </w:tc>
      </w:tr>
      <w:tr w:rsidR="00AE7438" w:rsidRPr="005662C7" w:rsidTr="00C60761">
        <w:trPr>
          <w:trHeight w:val="431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72133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Computed tomography, lumbar spine; without contrast material, followed by contrast material(s) and further sections</w:t>
            </w:r>
          </w:p>
        </w:tc>
      </w:tr>
      <w:tr w:rsidR="00AE7438" w:rsidRPr="005662C7" w:rsidTr="00C60761">
        <w:trPr>
          <w:trHeight w:val="422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72148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Magnetic resonance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proton) imaging, spinal canal and contents, lumbar; without contrast material</w:t>
            </w:r>
          </w:p>
        </w:tc>
      </w:tr>
      <w:tr w:rsidR="00AE7438" w:rsidRPr="005662C7" w:rsidTr="00C60761">
        <w:trPr>
          <w:trHeight w:val="404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72149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Magnetic resonance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proton) imaging, spinal canal and contents, lumbar; with contrast material(s)</w:t>
            </w:r>
          </w:p>
        </w:tc>
      </w:tr>
      <w:tr w:rsidR="00AE7438" w:rsidRPr="005662C7" w:rsidTr="00C60761">
        <w:trPr>
          <w:trHeight w:val="39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72158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Magnetic resonance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proton) imaging, spinal canal and contents, without contrast material, followed by contrast material(s) and further sequences; lumbar</w:t>
            </w:r>
          </w:p>
        </w:tc>
      </w:tr>
      <w:tr w:rsidR="00AE7438" w:rsidRPr="005662C7" w:rsidTr="00C60761">
        <w:trPr>
          <w:trHeight w:val="26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72265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Myelography, lumbosacral, radiological supervision and interpretation</w:t>
            </w:r>
          </w:p>
        </w:tc>
      </w:tr>
      <w:tr w:rsidR="00AE7438" w:rsidRPr="005662C7" w:rsidTr="00C60761">
        <w:trPr>
          <w:trHeight w:val="422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72270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Myelography, 2 or more regions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lumbar/thoracic, cervical/thoracic, lumbar/cervical, lumbar/thoracic/cervical), radiological supervision and interpretation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72295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Discography, lumbar, radiological supervision and interpretation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78315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and/or joint imaging; 3 phase study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78320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Bone and/or joint imaging; tomographic (SPECT)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78399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Unlisted musculoskeletal procedure, diagnostic nuclear medicine</w:t>
            </w:r>
          </w:p>
        </w:tc>
      </w:tr>
      <w:tr w:rsidR="00AE7438" w:rsidRPr="005662C7" w:rsidTr="00C60761">
        <w:trPr>
          <w:trHeight w:val="305"/>
        </w:trPr>
        <w:tc>
          <w:tcPr>
            <w:tcW w:w="8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EMG / NCV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95860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Needle electromyography; 1 extremity with or without related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paraspinal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areas</w:t>
            </w:r>
          </w:p>
        </w:tc>
      </w:tr>
      <w:tr w:rsidR="00AE7438" w:rsidRPr="005662C7" w:rsidTr="00C60761">
        <w:trPr>
          <w:trHeight w:val="269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95861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Needle electromyography; 2 extremities with or without related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paraspinal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areas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95900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Nerve conduction, amplitude and latency/velocity study, each nerve; motor, without F-wave study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95903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Nerve conduction, amplitude and latency/velocity study, each nerve; motor, with F-wave study</w:t>
            </w:r>
          </w:p>
        </w:tc>
      </w:tr>
      <w:tr w:rsidR="00AE7438" w:rsidRPr="005662C7" w:rsidTr="00C60761">
        <w:trPr>
          <w:trHeight w:val="233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95904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Nerve conduction, amplitude and latency/velocity study, each nerve; sensory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95905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Motor and/or sensory nerve conduction, using preconfigured electrode array(s), amplitude and latency/velocity study, each limb, includes F-wave study when performed, with interpretation and report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95907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Nerve conduction studies; 1-2 studies</w:t>
            </w:r>
          </w:p>
        </w:tc>
      </w:tr>
      <w:tr w:rsidR="00AE7438" w:rsidRPr="005662C7" w:rsidTr="00C60761">
        <w:trPr>
          <w:trHeight w:val="467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95926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Short-latency somatosensory evoked potential study, stimulation of any/all peripheral nerves or skin sites, recording from the central nervous system; in lower limbs</w:t>
            </w:r>
          </w:p>
        </w:tc>
      </w:tr>
      <w:tr w:rsidR="00AE7438" w:rsidRPr="005662C7" w:rsidTr="00C60761">
        <w:trPr>
          <w:trHeight w:val="260"/>
        </w:trPr>
        <w:tc>
          <w:tcPr>
            <w:tcW w:w="8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95934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H-reflex, amplitude and latency study; record gastrocnemius/soleus muscle</w:t>
            </w:r>
          </w:p>
        </w:tc>
      </w:tr>
      <w:tr w:rsidR="00AE7438" w:rsidRPr="005662C7" w:rsidTr="00C60761">
        <w:trPr>
          <w:trHeight w:val="809"/>
        </w:trPr>
        <w:tc>
          <w:tcPr>
            <w:tcW w:w="8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Injections (Epidural Steroid Injections)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Injection(s), of diagnostic or therapeutic substance(s) (including anesthetic, antispasmodic, opioid, steroid, other solution), not including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substances, including needle or catheter placement, includes contrast for localization when performed, epidural or subarachnoid; lumbar or sacral (caudal)</w:t>
            </w:r>
          </w:p>
        </w:tc>
      </w:tr>
      <w:tr w:rsidR="00AE7438" w:rsidRPr="005662C7" w:rsidTr="00C60761">
        <w:trPr>
          <w:trHeight w:val="791"/>
        </w:trPr>
        <w:tc>
          <w:tcPr>
            <w:tcW w:w="8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62319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Injection(s), including indwelling catheter placement, continuous infusion or intermittent bolus, of diagnostic or therapeutic substance(s) (including anesthetic, antispasmodic, opioid, steroid, other solution), not including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substances, includes contrast for localization when performed, epidural or subarachnoid; lumbar or sacral (caudal)</w:t>
            </w:r>
          </w:p>
        </w:tc>
      </w:tr>
      <w:tr w:rsidR="00AE7438" w:rsidRPr="005662C7" w:rsidTr="00C60761">
        <w:trPr>
          <w:trHeight w:val="530"/>
        </w:trPr>
        <w:tc>
          <w:tcPr>
            <w:tcW w:w="8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64483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Injection(s), anesthetic agent and/or steroid,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transforaminal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epidural, with imaging guidance (fluoroscopy or CT); lumbar or sacral, single level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64484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Injection(s), anesthetic agent and/or steroid,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transforaminal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epidural, with imaging guidance (fluoroscopy or CT); lumbar or sacral, each additional level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20552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Injection(s); single or multiple trigger point(s), 1 or 2 muscle(s)</w:t>
            </w:r>
          </w:p>
        </w:tc>
      </w:tr>
      <w:tr w:rsidR="00AE7438" w:rsidRPr="005662C7" w:rsidTr="00C60761">
        <w:trPr>
          <w:trHeight w:val="287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20553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Injection(s); single or multiple trigger point(s), 3 or more muscle(s)</w:t>
            </w:r>
          </w:p>
        </w:tc>
      </w:tr>
      <w:tr w:rsidR="00AE7438" w:rsidRPr="005662C7" w:rsidTr="00C60761">
        <w:trPr>
          <w:trHeight w:val="44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27096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 procedure for sacroiliac joint, anesthetic/steroid, with image guidance (fluoroscopy or CT) including arthrography when performed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62264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Percutaneous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lysis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epidural adhesions using solution injection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hypertonic saline, enzyme) or mechanical means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catheter) including radiologic localization (includes contrast when administered), multiple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adhesiolysis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sessions; 1 day</w:t>
            </w:r>
          </w:p>
        </w:tc>
      </w:tr>
      <w:tr w:rsidR="00AE7438" w:rsidRPr="005662C7" w:rsidTr="00C60761">
        <w:trPr>
          <w:trHeight w:val="44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62282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Injection/infusion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substance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alcohol, phenol, iced saline solutions), with or without other therapeutic substance; epidural, lumbar, sacral (caudal)</w:t>
            </w:r>
          </w:p>
        </w:tc>
      </w:tr>
      <w:tr w:rsidR="00AE7438" w:rsidRPr="005662C7" w:rsidTr="00C60761">
        <w:trPr>
          <w:trHeight w:val="44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64475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Injection, anesthetic agent and/or steroid, paravertebral facet joint or facet joint nerve; lumbar or sacral, single level (changed to 64493)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64476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Injection, anesthetic agent and/or steroid, paravertebral facet joint or facet joint nerve; lumbar or sacral, each additional level (List separately in addition to code for primary procedure) (changed to 64494 and 64495)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64493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Injection(s), diagnostic or therapeutic agent, paravertebral facet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zygapophyseal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joint (or nerves innervating that joint) with image guidance (fluoroscopy or CT), lumbar or sacral; single level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64494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Injection(s), diagnostic or therapeutic agent, paravertebral facet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zygapophyseal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joint (or nerves innervating that joint) with image guidance (fluoroscopy or CT), lumbar or sacral; second level (List separately in addition to code for primary procedure)</w:t>
            </w:r>
          </w:p>
        </w:tc>
      </w:tr>
      <w:tr w:rsidR="00AE7438" w:rsidRPr="005662C7" w:rsidTr="00C60761">
        <w:trPr>
          <w:trHeight w:val="611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64495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Injection(s), diagnostic or therapeutic agent, paravertebral facet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zygapophyseal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joint (or nerves innervating that joint) with image guidance (fluoroscopy or CT), lumbar or sacral; third and any additional level(s) (List separately in addition to code for primary procedure)</w:t>
            </w:r>
          </w:p>
        </w:tc>
      </w:tr>
      <w:tr w:rsidR="00AE7438" w:rsidRPr="005662C7" w:rsidTr="00C60761">
        <w:trPr>
          <w:trHeight w:val="26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64520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Injection, anesthetic agent; lumbar or thoracic (paravertebral sympathetic)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64622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Destruction by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agent, paravertebral facet joint nerve; lumbar or sacral, single level (changed to 644635)</w:t>
            </w:r>
          </w:p>
        </w:tc>
      </w:tr>
      <w:tr w:rsidR="00AE7438" w:rsidRPr="005662C7" w:rsidTr="00C60761">
        <w:trPr>
          <w:trHeight w:val="67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64623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Destruction by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agent, paravertebral facet joint nerve; lumbar or sacral, each additional level (List separately in addition to code for primary procedure) (changed to 644636)</w:t>
            </w:r>
          </w:p>
        </w:tc>
      </w:tr>
      <w:tr w:rsidR="00AE7438" w:rsidRPr="005662C7" w:rsidTr="00C60761">
        <w:trPr>
          <w:trHeight w:val="467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64635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Destruction by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agent, paravertebral facet joint nerve(s), with imaging guidance (fluoroscopy or CT); lumbar or sacral, single facet joint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64636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Destruction by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neurolytic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agent, paravertebral facet joint nerve(s), with imaging guidance (fluoroscopy or CT); lumbar or sacral, each additional facet joint (List separately in addition to code for primary procedure)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22224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Osteotomy of spine, including discectomy, anterior approach, single vertebral segment; lumbar</w:t>
            </w:r>
          </w:p>
        </w:tc>
      </w:tr>
      <w:tr w:rsidR="00AE7438" w:rsidRPr="005662C7" w:rsidTr="00C60761">
        <w:trPr>
          <w:trHeight w:val="431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22226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Osteotomy of spine, including discectomy, anterior approach, single vertebral segment; each additional vertebral segment (List separately in addition to code for primary procedure)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22840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Posterior non-segmental instrumentation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Harrington rod technique, pedicle fixation across 1 interspace,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atlantoaxial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transarticular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screw fixation,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sublaminar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wiring at C1, facet screw fixation)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22841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Internal spinal fixation by wiring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spinous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processes</w:t>
            </w:r>
          </w:p>
        </w:tc>
      </w:tr>
      <w:tr w:rsidR="00AE7438" w:rsidRPr="005662C7" w:rsidTr="00C60761">
        <w:trPr>
          <w:trHeight w:val="656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22842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Posterior segmental instrumentation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pedicle fixation, dual rods with multiple hooks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sublaminar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wires); 3 to 6 vertebral segments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22899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Spine Surgery Procedure </w:t>
            </w:r>
            <w:r w:rsidRPr="00566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(unlisted)</w:t>
            </w:r>
          </w:p>
        </w:tc>
      </w:tr>
      <w:tr w:rsidR="00AE7438" w:rsidRPr="005662C7" w:rsidTr="00C60761">
        <w:trPr>
          <w:trHeight w:val="656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62287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Decompression procedure, percutaneous, of nucleus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pulposus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of intervertebral disc, any method, single or multiple levels, lumbar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manual or automated percutaneous discectomy, percutaneous laser discectomy)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63005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exploration and/or decompression of spinal cord and/or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without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or discectomy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spinal stenosis), 1 or 2 vertebral segments; lumbar, except for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spondylolisthesis</w:t>
            </w:r>
            <w:proofErr w:type="spellEnd"/>
          </w:p>
        </w:tc>
      </w:tr>
      <w:tr w:rsidR="00AE7438" w:rsidRPr="005662C7" w:rsidTr="00C60761">
        <w:trPr>
          <w:trHeight w:val="611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63011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exploration and/or decompression of spinal cord and/or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without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or discectomy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spinal stenosis), 1 or 2 vertebral segments; sacral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63012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Laminectomy with removal of abnormal facets and/or pars inter-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articularis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with decompression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 nerve roots for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spondylolisthesis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lumbar (Gill type procedure)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63017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exploration and/or decompression of spinal cord and/or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without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or discectomy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spinal stenosis), more than 2 vertebral segments; lumbar</w:t>
            </w:r>
          </w:p>
        </w:tc>
      </w:tr>
      <w:tr w:rsidR="00AE7438" w:rsidRPr="005662C7" w:rsidTr="00C60761">
        <w:trPr>
          <w:trHeight w:val="71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63030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Laminotomy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hemilaminectomy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), with decompression of nerve root(s), including partial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excision of herniated intervertebral disc, including open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endoscopically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-assisted approaches; 1 interspace, lumbar</w:t>
            </w:r>
          </w:p>
        </w:tc>
      </w:tr>
      <w:tr w:rsidR="00AE7438" w:rsidRPr="005662C7" w:rsidTr="00C60761">
        <w:trPr>
          <w:trHeight w:val="80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63035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Laminotomy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hemilaminectomy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), with decompression of nerve root(s), including partial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excision of herniated intervertebral disc, including open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endoscopically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-assisted approaches; each additional interspace, cervical or lumbar (List separately in addition to code for primary procedure)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63042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Laminotomy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hemilaminectomy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with decompression of nerve root(s), including partial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and/or excision of herniated intervertebral disc, </w:t>
            </w:r>
            <w:proofErr w:type="spellStart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reexploration</w:t>
            </w:r>
            <w:proofErr w:type="spellEnd"/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single interspace; lumbar</w:t>
            </w:r>
          </w:p>
        </w:tc>
      </w:tr>
      <w:tr w:rsidR="00AE7438" w:rsidRPr="005662C7" w:rsidTr="00C60761">
        <w:trPr>
          <w:trHeight w:val="80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63044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Laminotomy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hemilaminectomy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), with decompression of nerve root(s), including partial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excision of herniated intervertebral disc,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reexploration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single interspace; each additional lumbar interspace (List separately in addition to code for primary procedure)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63047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(unilateral or bilateral with decompression of spinal cord,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nerve root[s], [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spinal or lateral recess stenosis]), single vertebral segment; lumbar</w:t>
            </w:r>
          </w:p>
        </w:tc>
      </w:tr>
      <w:tr w:rsidR="00AE7438" w:rsidRPr="005662C7" w:rsidTr="00C60761">
        <w:trPr>
          <w:trHeight w:val="80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63048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facetectomy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foraminotomy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(unilateral or bilateral with decompression of spinal cord,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cauda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nerve root[s], [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spinal or lateral recess stenosis]), single vertebral segment; each additional segment, cervical, thoracic, or lumbar (List separately in addition to code for primary procedure)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63056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Transpedicular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approach with decompression of spinal cord,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equina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and/or nerve root(s)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herniated intervertebral disc), single segment; lumbar (including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transfacet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or lateral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extraforaminal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approach)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far lateral herniated intervertebral disc)</w:t>
            </w:r>
          </w:p>
        </w:tc>
      </w:tr>
      <w:tr w:rsidR="00AE7438" w:rsidRPr="005662C7" w:rsidTr="00C60761">
        <w:trPr>
          <w:trHeight w:val="26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63057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Transpedicular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approach with decompression, each additional segment, lumbar</w:t>
            </w:r>
          </w:p>
        </w:tc>
      </w:tr>
      <w:tr w:rsidR="00AE7438" w:rsidRPr="005662C7" w:rsidTr="00C60761">
        <w:trPr>
          <w:trHeight w:val="26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63170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myelotomy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Bischof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or DREZ type), cervical, thoracic, or thoracolumbar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63185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rhizotomy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1-2 segments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63190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with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rhizotomy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 more than 2 segments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63200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Laminectomy, with release of tethered spinal cord, lumbar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63267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for excision or evacuation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intraspinal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lesion other than neoplasm, extradural; lumbar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63268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for excision or evacuation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intraspinal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lesion other than neoplasm, extradural; sacral</w:t>
            </w:r>
          </w:p>
        </w:tc>
      </w:tr>
      <w:tr w:rsidR="00AE7438" w:rsidRPr="005662C7" w:rsidTr="00C60761">
        <w:trPr>
          <w:trHeight w:val="251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63272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for excision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intraspinal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lesion other than neoplasm,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intradural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; lumbar</w:t>
            </w:r>
          </w:p>
        </w:tc>
      </w:tr>
      <w:tr w:rsidR="00AE7438" w:rsidRPr="005662C7" w:rsidTr="00C60761">
        <w:trPr>
          <w:trHeight w:val="26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63273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Laminectomy for excision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intraspinal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lesion other than neoplasm,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intradural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; sacral</w:t>
            </w:r>
          </w:p>
        </w:tc>
      </w:tr>
      <w:tr w:rsidR="00AE7438" w:rsidRPr="005662C7" w:rsidTr="00C60761">
        <w:trPr>
          <w:trHeight w:val="45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69990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Microsurgical techniques, requiring use of operating microscope (List separately in addition to code for primary procedure)</w:t>
            </w:r>
          </w:p>
        </w:tc>
      </w:tr>
      <w:tr w:rsidR="00AE7438" w:rsidRPr="005662C7" w:rsidTr="00C60761">
        <w:trPr>
          <w:trHeight w:val="602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72291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Radiological supervision and interpretation, percutaneous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vertebroplasty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vertebral augmentation, or sacral augmentation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sacroplasty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), including cavity creation, per vertebral body or sacrum; under fluoroscopic guidance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Surgery (Fusions)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22632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Arthrodesis, posterior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interbody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technique, including laminectomy and/or discectomy to prepare interspace (other than for decompression), single interspace; each additional interspace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22650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deleted code, replaced by 22614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22820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Deleted, replaced with 20930-20938 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22830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Exploration of spinal fusion</w:t>
            </w:r>
          </w:p>
        </w:tc>
      </w:tr>
      <w:tr w:rsidR="00AE7438" w:rsidRPr="005662C7" w:rsidTr="00C60761">
        <w:trPr>
          <w:trHeight w:val="62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22840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Posterior non-segmental instrumentation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Harrington rod technique, pedicle fixation across 1 interspace,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atlantoaxial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transarticular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screw fixation,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sublaminar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wiring at C1, facet screw fixation)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22841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Internal spinal fixation by wiring of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spinous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processes</w:t>
            </w:r>
          </w:p>
        </w:tc>
      </w:tr>
      <w:tr w:rsidR="00AE7438" w:rsidRPr="005662C7" w:rsidTr="00C60761">
        <w:trPr>
          <w:trHeight w:val="656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22842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Posterior segmental instrumentation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pedicle fixation, dual rods with multiple hooks and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sublaminar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wires); 3 to 6 vertebral segments (List separately in addition to code for primary procedure)</w:t>
            </w:r>
          </w:p>
        </w:tc>
      </w:tr>
      <w:tr w:rsidR="00AE7438" w:rsidRPr="005662C7" w:rsidTr="00C60761">
        <w:trPr>
          <w:trHeight w:val="179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22849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Reinsertion of spinal fixation device</w:t>
            </w:r>
          </w:p>
        </w:tc>
      </w:tr>
      <w:tr w:rsidR="00AE7438" w:rsidRPr="005662C7" w:rsidTr="00C60761">
        <w:trPr>
          <w:trHeight w:val="206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22850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Removal of posterior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nonsegmental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 instrumentation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, Harrington rod)</w:t>
            </w:r>
          </w:p>
        </w:tc>
      </w:tr>
      <w:tr w:rsidR="00AE7438" w:rsidRPr="005662C7" w:rsidTr="00C60761">
        <w:trPr>
          <w:trHeight w:val="620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22851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Application of intervertebral biomechanical device(s) (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eg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 xml:space="preserve">, synthetic cage(s), threaded bone dowel(s), </w:t>
            </w:r>
            <w:proofErr w:type="spellStart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methylmethacrylate</w:t>
            </w:r>
            <w:proofErr w:type="spellEnd"/>
            <w:r w:rsidRPr="005662C7">
              <w:rPr>
                <w:rFonts w:ascii="Arial" w:eastAsia="Times New Roman" w:hAnsi="Arial" w:cs="Arial"/>
                <w:sz w:val="16"/>
                <w:szCs w:val="16"/>
              </w:rPr>
              <w:t>) to vertebral defect or interspace (List separately in addition to code for primary procedure)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22852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Removal of posterior segmental instrumentation</w:t>
            </w:r>
          </w:p>
        </w:tc>
      </w:tr>
      <w:tr w:rsidR="00AE7438" w:rsidRPr="005662C7" w:rsidTr="00C60761">
        <w:trPr>
          <w:trHeight w:val="225"/>
        </w:trPr>
        <w:tc>
          <w:tcPr>
            <w:tcW w:w="8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438" w:rsidRPr="005662C7" w:rsidRDefault="00AE7438" w:rsidP="00C6076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22855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38" w:rsidRPr="005662C7" w:rsidRDefault="00AE7438" w:rsidP="00C60761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5662C7">
              <w:rPr>
                <w:rFonts w:ascii="Arial" w:eastAsia="Times New Roman" w:hAnsi="Arial" w:cs="Arial"/>
                <w:sz w:val="16"/>
                <w:szCs w:val="16"/>
              </w:rPr>
              <w:t>Removal of anterior instrumentation</w:t>
            </w:r>
          </w:p>
        </w:tc>
      </w:tr>
    </w:tbl>
    <w:p w:rsidR="00AE7438" w:rsidRPr="00683D2A" w:rsidRDefault="00AE7438" w:rsidP="00AE7438">
      <w:pPr>
        <w:spacing w:after="0"/>
        <w:rPr>
          <w:rFonts w:ascii="Arial" w:hAnsi="Arial" w:cs="Arial"/>
        </w:rPr>
      </w:pPr>
    </w:p>
    <w:p w:rsidR="00D47515" w:rsidRDefault="00D47515">
      <w:pPr>
        <w:spacing w:after="0" w:line="240" w:lineRule="auto"/>
        <w:rPr>
          <w:rFonts w:ascii="Arial" w:hAnsi="Arial" w:cs="Arial"/>
        </w:rPr>
      </w:pPr>
    </w:p>
    <w:p w:rsidR="00BC1B93" w:rsidRDefault="00BC1B93" w:rsidP="008D6375">
      <w:pPr>
        <w:spacing w:after="0" w:line="480" w:lineRule="auto"/>
        <w:rPr>
          <w:rFonts w:ascii="Times New Roman" w:hAnsi="Times New Roman" w:cs="Times New Roman"/>
          <w:b/>
          <w:caps/>
        </w:rPr>
      </w:pPr>
    </w:p>
    <w:p w:rsidR="008D6375" w:rsidRPr="00ED25F6" w:rsidRDefault="008D6375" w:rsidP="008D6375">
      <w:pPr>
        <w:spacing w:after="0" w:line="480" w:lineRule="auto"/>
        <w:rPr>
          <w:rFonts w:ascii="Times New Roman" w:hAnsi="Times New Roman" w:cs="Times New Roman"/>
          <w:b/>
          <w:caps/>
        </w:rPr>
      </w:pPr>
      <w:r w:rsidRPr="00ED25F6">
        <w:rPr>
          <w:rFonts w:ascii="Times New Roman" w:hAnsi="Times New Roman" w:cs="Times New Roman"/>
          <w:b/>
          <w:caps/>
        </w:rPr>
        <w:t>Reference</w:t>
      </w:r>
      <w:r w:rsidR="00BC1B93">
        <w:rPr>
          <w:rFonts w:ascii="Times New Roman" w:hAnsi="Times New Roman" w:cs="Times New Roman"/>
          <w:b/>
          <w:caps/>
        </w:rPr>
        <w:t>s</w:t>
      </w:r>
    </w:p>
    <w:p w:rsidR="009F6EF8" w:rsidRPr="009F6EF8" w:rsidRDefault="009F6EF8" w:rsidP="009F6EF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 w:rsidRPr="009F6EF8">
        <w:rPr>
          <w:rFonts w:ascii="Times New Roman" w:hAnsi="Times New Roman" w:cs="Times New Roman"/>
          <w:noProof/>
        </w:rPr>
        <w:t xml:space="preserve">Commission on Professional and Hospital Activities. </w:t>
      </w:r>
      <w:r w:rsidRPr="009F6EF8">
        <w:rPr>
          <w:rFonts w:ascii="Times New Roman" w:hAnsi="Times New Roman" w:cs="Times New Roman"/>
          <w:i/>
          <w:noProof/>
        </w:rPr>
        <w:t>International Classification of Diseases, 9th Revision, Clinical Modification, ICD-9-CM</w:t>
      </w:r>
      <w:r w:rsidRPr="009F6EF8">
        <w:rPr>
          <w:rFonts w:ascii="Times New Roman" w:hAnsi="Times New Roman" w:cs="Times New Roman"/>
          <w:noProof/>
        </w:rPr>
        <w:t>. Ann Arbor, MI: Edwards Brothers, Inc., 1980.</w:t>
      </w:r>
    </w:p>
    <w:p w:rsidR="008D6375" w:rsidRPr="00617B72" w:rsidRDefault="008D6375" w:rsidP="00617B7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noProof/>
        </w:rPr>
      </w:pPr>
      <w:r w:rsidRPr="00617B72">
        <w:rPr>
          <w:rFonts w:ascii="Times New Roman" w:hAnsi="Times New Roman" w:cs="Times New Roman"/>
          <w:noProof/>
        </w:rPr>
        <w:t>American Medical Association</w:t>
      </w:r>
      <w:r w:rsidRPr="00617B72">
        <w:rPr>
          <w:rFonts w:ascii="Times New Roman" w:hAnsi="Times New Roman" w:cs="Times New Roman"/>
          <w:b/>
          <w:noProof/>
        </w:rPr>
        <w:t>.</w:t>
      </w:r>
      <w:r w:rsidRPr="00617B72">
        <w:rPr>
          <w:rFonts w:ascii="Times New Roman" w:hAnsi="Times New Roman" w:cs="Times New Roman"/>
          <w:noProof/>
        </w:rPr>
        <w:t xml:space="preserve"> </w:t>
      </w:r>
      <w:r w:rsidRPr="00617B72">
        <w:rPr>
          <w:rFonts w:ascii="Times New Roman" w:hAnsi="Times New Roman" w:cs="Times New Roman"/>
          <w:i/>
          <w:noProof/>
        </w:rPr>
        <w:t>Current Procedural Terminology (CPT)</w:t>
      </w:r>
      <w:r w:rsidRPr="00617B72">
        <w:rPr>
          <w:rFonts w:ascii="Times New Roman" w:hAnsi="Times New Roman" w:cs="Times New Roman"/>
          <w:noProof/>
        </w:rPr>
        <w:t>. Chicago: American Medical Association, 2002.</w:t>
      </w:r>
    </w:p>
    <w:p w:rsidR="006A2D84" w:rsidRDefault="006A2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D84" w:rsidRDefault="006A2D84" w:rsidP="00653449">
      <w:pPr>
        <w:spacing w:after="0"/>
        <w:rPr>
          <w:rFonts w:ascii="Arial" w:hAnsi="Arial" w:cs="Arial"/>
        </w:rPr>
        <w:sectPr w:rsidR="006A2D84" w:rsidSect="0080000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449" w:rsidRPr="00E04456" w:rsidRDefault="00106673" w:rsidP="0065344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Supplemental Digital Content</w:t>
      </w:r>
      <w:r w:rsidR="00653449" w:rsidRPr="00E04456">
        <w:rPr>
          <w:rFonts w:ascii="Arial" w:hAnsi="Arial" w:cs="Arial"/>
        </w:rPr>
        <w:t xml:space="preserve"> </w:t>
      </w:r>
      <w:r w:rsidR="00691253">
        <w:rPr>
          <w:rFonts w:ascii="Arial" w:hAnsi="Arial" w:cs="Arial"/>
        </w:rPr>
        <w:t>3</w:t>
      </w:r>
      <w:r w:rsidR="00653449" w:rsidRPr="00E04456">
        <w:rPr>
          <w:rFonts w:ascii="Arial" w:hAnsi="Arial" w:cs="Arial"/>
        </w:rPr>
        <w:t>.</w:t>
      </w:r>
      <w:proofErr w:type="gramEnd"/>
      <w:r w:rsidR="00653449" w:rsidRPr="00E04456">
        <w:rPr>
          <w:rFonts w:ascii="Arial" w:hAnsi="Arial" w:cs="Arial"/>
        </w:rPr>
        <w:t xml:space="preserve">  </w:t>
      </w:r>
      <w:r w:rsidR="00633835">
        <w:rPr>
          <w:rFonts w:ascii="Arial" w:hAnsi="Arial" w:cs="Arial"/>
        </w:rPr>
        <w:t xml:space="preserve">Severity </w:t>
      </w:r>
      <w:r w:rsidR="00653449" w:rsidRPr="00E04456">
        <w:rPr>
          <w:rFonts w:ascii="Arial" w:hAnsi="Arial" w:cs="Arial"/>
        </w:rPr>
        <w:t xml:space="preserve">Comparisons </w:t>
      </w:r>
      <w:proofErr w:type="gramStart"/>
      <w:r w:rsidR="00653449" w:rsidRPr="00E04456">
        <w:rPr>
          <w:rFonts w:ascii="Arial" w:hAnsi="Arial" w:cs="Arial"/>
        </w:rPr>
        <w:t>Within</w:t>
      </w:r>
      <w:proofErr w:type="gramEnd"/>
      <w:r w:rsidR="00653449" w:rsidRPr="00E04456">
        <w:rPr>
          <w:rFonts w:ascii="Arial" w:hAnsi="Arial" w:cs="Arial"/>
        </w:rPr>
        <w:t xml:space="preserve"> MRI Groups at 6 Months Post-MRI</w:t>
      </w:r>
    </w:p>
    <w:p w:rsidR="00653449" w:rsidRPr="00E04456" w:rsidRDefault="00653449" w:rsidP="00653449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01"/>
        <w:gridCol w:w="684"/>
        <w:gridCol w:w="1120"/>
        <w:gridCol w:w="980"/>
        <w:gridCol w:w="752"/>
        <w:gridCol w:w="1201"/>
        <w:gridCol w:w="901"/>
        <w:gridCol w:w="752"/>
        <w:gridCol w:w="1257"/>
        <w:gridCol w:w="901"/>
        <w:gridCol w:w="752"/>
        <w:gridCol w:w="1052"/>
        <w:gridCol w:w="915"/>
      </w:tblGrid>
      <w:tr w:rsidR="00653449" w:rsidRPr="00E04456" w:rsidTr="00353F0A">
        <w:trPr>
          <w:trHeight w:val="395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rPr>
                <w:rFonts w:ascii="Arial" w:hAnsi="Arial" w:cs="Arial"/>
              </w:rPr>
            </w:pPr>
            <w:r w:rsidRPr="00E04456">
              <w:rPr>
                <w:rFonts w:ascii="Arial" w:hAnsi="Arial" w:cs="Arial"/>
                <w:b/>
              </w:rPr>
              <w:t>More Severe vs. Less Severe (ref.)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04456">
              <w:rPr>
                <w:rFonts w:ascii="Arial" w:hAnsi="Arial" w:cs="Arial"/>
                <w:b/>
                <w:bCs/>
              </w:rPr>
              <w:t>Injections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04456">
              <w:rPr>
                <w:rFonts w:ascii="Arial" w:hAnsi="Arial" w:cs="Arial"/>
                <w:b/>
                <w:bCs/>
              </w:rPr>
              <w:t>EMG/NCV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04456">
              <w:rPr>
                <w:rFonts w:ascii="Arial" w:hAnsi="Arial" w:cs="Arial"/>
                <w:b/>
                <w:bCs/>
              </w:rPr>
              <w:t>Advanced Imaging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04456">
              <w:rPr>
                <w:rFonts w:ascii="Arial" w:hAnsi="Arial" w:cs="Arial"/>
                <w:b/>
                <w:bCs/>
              </w:rPr>
              <w:t>Surgery</w:t>
            </w:r>
          </w:p>
        </w:tc>
      </w:tr>
      <w:tr w:rsidR="00653449" w:rsidRPr="00E04456" w:rsidTr="00353F0A">
        <w:trPr>
          <w:trHeight w:val="330"/>
        </w:trPr>
        <w:tc>
          <w:tcPr>
            <w:tcW w:w="207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3449" w:rsidRPr="00E04456" w:rsidRDefault="00653449" w:rsidP="00353F0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RR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Sig.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RR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Sig.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Sig.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RR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Sig.</w:t>
            </w:r>
          </w:p>
        </w:tc>
      </w:tr>
      <w:tr w:rsidR="00653449" w:rsidRPr="00E04456" w:rsidTr="00353F0A">
        <w:trPr>
          <w:trHeight w:val="467"/>
        </w:trPr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>No MRI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(1.29, 5.67)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(1.24, 16.98)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(0.06, 3.66)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(0.34, 7.83)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0.54</w:t>
            </w:r>
          </w:p>
        </w:tc>
      </w:tr>
      <w:tr w:rsidR="00653449" w:rsidRPr="00E04456" w:rsidTr="00353F0A">
        <w:trPr>
          <w:trHeight w:val="450"/>
        </w:trPr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 xml:space="preserve">Early MRI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(1.02, 1.40)</w:t>
            </w:r>
          </w:p>
        </w:tc>
        <w:tc>
          <w:tcPr>
            <w:tcW w:w="1079" w:type="dxa"/>
            <w:tcBorders>
              <w:top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35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(1.03, 2.03)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(0.83, 1.60)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(0.85, 1.67)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0.31</w:t>
            </w:r>
          </w:p>
        </w:tc>
      </w:tr>
      <w:tr w:rsidR="00653449" w:rsidRPr="00E04456" w:rsidTr="00353F0A">
        <w:trPr>
          <w:trHeight w:val="450"/>
        </w:trPr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rPr>
                <w:rFonts w:ascii="Arial" w:hAnsi="Arial" w:cs="Arial"/>
                <w:b/>
              </w:rPr>
            </w:pPr>
            <w:r w:rsidRPr="00E04456">
              <w:rPr>
                <w:rFonts w:ascii="Arial" w:hAnsi="Arial" w:cs="Arial"/>
                <w:b/>
              </w:rPr>
              <w:t xml:space="preserve">Timely MRI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(0.81, 1.34)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0.75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(0.73, 2.03)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(0.46, 1.34)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0.37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sz w:val="18"/>
                <w:szCs w:val="18"/>
              </w:rPr>
              <w:t>(1.26, 7.65)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vAlign w:val="center"/>
          </w:tcPr>
          <w:p w:rsidR="00653449" w:rsidRPr="00E04456" w:rsidRDefault="00653449" w:rsidP="00353F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56">
              <w:rPr>
                <w:rFonts w:ascii="Arial" w:hAnsi="Arial" w:cs="Arial"/>
                <w:i/>
                <w:sz w:val="18"/>
                <w:szCs w:val="18"/>
              </w:rPr>
              <w:t xml:space="preserve">p </w:t>
            </w:r>
            <w:r w:rsidRPr="00E04456">
              <w:rPr>
                <w:rFonts w:ascii="Arial" w:hAnsi="Arial" w:cs="Arial"/>
                <w:sz w:val="18"/>
                <w:szCs w:val="18"/>
              </w:rPr>
              <w:t>= 0.01</w:t>
            </w:r>
          </w:p>
        </w:tc>
      </w:tr>
    </w:tbl>
    <w:p w:rsidR="00653449" w:rsidRPr="00E04456" w:rsidRDefault="00653449" w:rsidP="00653449">
      <w:pPr>
        <w:spacing w:after="0" w:line="240" w:lineRule="auto"/>
        <w:rPr>
          <w:rFonts w:ascii="Arial" w:hAnsi="Arial" w:cs="Arial"/>
        </w:rPr>
      </w:pPr>
    </w:p>
    <w:p w:rsidR="00256A0F" w:rsidRDefault="00653449" w:rsidP="006A2D84">
      <w:pPr>
        <w:spacing w:after="0"/>
      </w:pPr>
      <w:r>
        <w:rPr>
          <w:rFonts w:ascii="Arial" w:hAnsi="Arial" w:cs="Arial"/>
        </w:rPr>
        <w:t>Abbreviations: MRI, magnetic resonance imaging; EMG/NCV, electromyography/nerve conduction velocity; r</w:t>
      </w:r>
      <w:r w:rsidRPr="00E04456">
        <w:rPr>
          <w:rFonts w:ascii="Arial" w:hAnsi="Arial" w:cs="Arial"/>
        </w:rPr>
        <w:t>ef.</w:t>
      </w:r>
      <w:r>
        <w:rPr>
          <w:rFonts w:ascii="Arial" w:hAnsi="Arial" w:cs="Arial"/>
        </w:rPr>
        <w:t>, r</w:t>
      </w:r>
      <w:r w:rsidRPr="00E04456">
        <w:rPr>
          <w:rFonts w:ascii="Arial" w:hAnsi="Arial" w:cs="Arial"/>
        </w:rPr>
        <w:t xml:space="preserve">eference </w:t>
      </w:r>
      <w:r>
        <w:rPr>
          <w:rFonts w:ascii="Arial" w:hAnsi="Arial" w:cs="Arial"/>
        </w:rPr>
        <w:t>g</w:t>
      </w:r>
      <w:r w:rsidRPr="00E04456">
        <w:rPr>
          <w:rFonts w:ascii="Arial" w:hAnsi="Arial" w:cs="Arial"/>
        </w:rPr>
        <w:t>roup</w:t>
      </w:r>
      <w:r>
        <w:rPr>
          <w:rFonts w:ascii="Arial" w:hAnsi="Arial" w:cs="Arial"/>
        </w:rPr>
        <w:t>;</w:t>
      </w:r>
      <w:r w:rsidRPr="00E04456">
        <w:rPr>
          <w:rFonts w:ascii="Arial" w:hAnsi="Arial" w:cs="Arial"/>
        </w:rPr>
        <w:t xml:space="preserve"> RR</w:t>
      </w:r>
      <w:r>
        <w:rPr>
          <w:rFonts w:ascii="Arial" w:hAnsi="Arial" w:cs="Arial"/>
        </w:rPr>
        <w:t>,</w:t>
      </w:r>
      <w:r w:rsidRPr="00E04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E04456">
        <w:rPr>
          <w:rFonts w:ascii="Arial" w:hAnsi="Arial" w:cs="Arial"/>
        </w:rPr>
        <w:t>elative risk</w:t>
      </w:r>
      <w:r>
        <w:rPr>
          <w:rFonts w:ascii="Arial" w:hAnsi="Arial" w:cs="Arial"/>
        </w:rPr>
        <w:t>;</w:t>
      </w:r>
      <w:r w:rsidRPr="00E04456">
        <w:rPr>
          <w:rFonts w:ascii="Arial" w:hAnsi="Arial" w:cs="Arial"/>
        </w:rPr>
        <w:t xml:space="preserve"> Sig.</w:t>
      </w:r>
      <w:r>
        <w:rPr>
          <w:rFonts w:ascii="Arial" w:hAnsi="Arial" w:cs="Arial"/>
        </w:rPr>
        <w:t>,</w:t>
      </w:r>
      <w:r w:rsidRPr="00E04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04456">
        <w:rPr>
          <w:rFonts w:ascii="Arial" w:hAnsi="Arial" w:cs="Arial"/>
        </w:rPr>
        <w:t>ignificance of the estimate</w:t>
      </w:r>
      <w:r>
        <w:rPr>
          <w:rFonts w:ascii="Arial" w:hAnsi="Arial" w:cs="Arial"/>
        </w:rPr>
        <w:t>.</w:t>
      </w:r>
      <w:r w:rsidRPr="00E04456">
        <w:rPr>
          <w:rFonts w:ascii="Arial" w:hAnsi="Arial" w:cs="Arial"/>
        </w:rPr>
        <w:t xml:space="preserve"> </w:t>
      </w:r>
      <w:proofErr w:type="gramStart"/>
      <w:r w:rsidRPr="00E04456">
        <w:rPr>
          <w:rFonts w:ascii="Arial" w:hAnsi="Arial" w:cs="Arial"/>
        </w:rPr>
        <w:t>Multivariate log binomial model results comparing those with higher severity against those with low severity (as the reference group) within each MRI group.</w:t>
      </w:r>
      <w:proofErr w:type="gramEnd"/>
      <w:r w:rsidRPr="00E04456">
        <w:rPr>
          <w:rFonts w:ascii="Arial" w:hAnsi="Arial" w:cs="Arial"/>
        </w:rPr>
        <w:t xml:space="preserve"> Estimates of risk ratios (relative risk) are adjusted for age, gender, job tenure, and use of early opioids. </w:t>
      </w:r>
      <w:proofErr w:type="gramStart"/>
      <w:r w:rsidRPr="00E04456">
        <w:rPr>
          <w:rFonts w:ascii="Arial" w:hAnsi="Arial" w:cs="Arial"/>
        </w:rPr>
        <w:t xml:space="preserve">Wald 95% </w:t>
      </w:r>
      <w:r>
        <w:rPr>
          <w:rFonts w:ascii="Arial" w:hAnsi="Arial" w:cs="Arial"/>
        </w:rPr>
        <w:t>CI</w:t>
      </w:r>
      <w:r w:rsidRPr="00E04456">
        <w:rPr>
          <w:rFonts w:ascii="Arial" w:hAnsi="Arial" w:cs="Arial"/>
        </w:rPr>
        <w:t xml:space="preserve"> shown in parentheses.</w:t>
      </w:r>
      <w:proofErr w:type="gramEnd"/>
      <w:r w:rsidRPr="00E04456">
        <w:rPr>
          <w:rFonts w:ascii="Arial" w:hAnsi="Arial" w:cs="Arial"/>
        </w:rPr>
        <w:t xml:space="preserve"> </w:t>
      </w:r>
    </w:p>
    <w:sectPr w:rsidR="00256A0F" w:rsidSect="006A2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E6" w:rsidRDefault="00063EE6">
      <w:pPr>
        <w:spacing w:after="0" w:line="240" w:lineRule="auto"/>
      </w:pPr>
      <w:r>
        <w:separator/>
      </w:r>
    </w:p>
  </w:endnote>
  <w:endnote w:type="continuationSeparator" w:id="0">
    <w:p w:rsidR="00063EE6" w:rsidRDefault="000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A0" w:rsidRDefault="00AE7438" w:rsidP="006C4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BA0" w:rsidRDefault="00063EE6" w:rsidP="006C4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A0" w:rsidRDefault="00AE7438" w:rsidP="006C4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B93">
      <w:rPr>
        <w:rStyle w:val="PageNumber"/>
        <w:noProof/>
      </w:rPr>
      <w:t>7</w:t>
    </w:r>
    <w:r>
      <w:rPr>
        <w:rStyle w:val="PageNumber"/>
      </w:rPr>
      <w:fldChar w:fldCharType="end"/>
    </w:r>
  </w:p>
  <w:p w:rsidR="00CC0BA0" w:rsidRDefault="00063EE6" w:rsidP="006C4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E6" w:rsidRDefault="00063EE6">
      <w:pPr>
        <w:spacing w:after="0" w:line="240" w:lineRule="auto"/>
      </w:pPr>
      <w:r>
        <w:separator/>
      </w:r>
    </w:p>
  </w:footnote>
  <w:footnote w:type="continuationSeparator" w:id="0">
    <w:p w:rsidR="00063EE6" w:rsidRDefault="0006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1CA"/>
    <w:multiLevelType w:val="hybridMultilevel"/>
    <w:tmpl w:val="B56C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718"/>
    <w:multiLevelType w:val="hybridMultilevel"/>
    <w:tmpl w:val="9954C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8"/>
    <w:rsid w:val="000277BC"/>
    <w:rsid w:val="00063EE6"/>
    <w:rsid w:val="00090FB1"/>
    <w:rsid w:val="00106673"/>
    <w:rsid w:val="00123016"/>
    <w:rsid w:val="00256A0F"/>
    <w:rsid w:val="00273E86"/>
    <w:rsid w:val="00284537"/>
    <w:rsid w:val="003D46AF"/>
    <w:rsid w:val="004628B2"/>
    <w:rsid w:val="004A06C7"/>
    <w:rsid w:val="004E5436"/>
    <w:rsid w:val="00617B72"/>
    <w:rsid w:val="00633835"/>
    <w:rsid w:val="00653449"/>
    <w:rsid w:val="00691253"/>
    <w:rsid w:val="006969A6"/>
    <w:rsid w:val="006A2D84"/>
    <w:rsid w:val="0075366F"/>
    <w:rsid w:val="00793124"/>
    <w:rsid w:val="00800000"/>
    <w:rsid w:val="00847541"/>
    <w:rsid w:val="008A6BD0"/>
    <w:rsid w:val="008D6375"/>
    <w:rsid w:val="00913513"/>
    <w:rsid w:val="0096625D"/>
    <w:rsid w:val="009F6EF8"/>
    <w:rsid w:val="00A25CDA"/>
    <w:rsid w:val="00AE7438"/>
    <w:rsid w:val="00AF105A"/>
    <w:rsid w:val="00B80605"/>
    <w:rsid w:val="00BC1B93"/>
    <w:rsid w:val="00C9246C"/>
    <w:rsid w:val="00CF18E5"/>
    <w:rsid w:val="00CF1B7B"/>
    <w:rsid w:val="00D06FE2"/>
    <w:rsid w:val="00D47515"/>
    <w:rsid w:val="00D75265"/>
    <w:rsid w:val="00DB267D"/>
    <w:rsid w:val="00DB6989"/>
    <w:rsid w:val="00DC2B07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3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74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E743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E7438"/>
  </w:style>
  <w:style w:type="paragraph" w:styleId="ListParagraph">
    <w:name w:val="List Paragraph"/>
    <w:basedOn w:val="Normal"/>
    <w:uiPriority w:val="34"/>
    <w:qFormat/>
    <w:rsid w:val="0061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3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74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E743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E7438"/>
  </w:style>
  <w:style w:type="paragraph" w:styleId="ListParagraph">
    <w:name w:val="List Paragraph"/>
    <w:basedOn w:val="Normal"/>
    <w:uiPriority w:val="34"/>
    <w:qFormat/>
    <w:rsid w:val="0061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YoonSun Choi</dc:creator>
  <cp:lastModifiedBy>YoonSun Choi</cp:lastModifiedBy>
  <cp:revision>16</cp:revision>
  <dcterms:created xsi:type="dcterms:W3CDTF">2013-11-12T16:55:00Z</dcterms:created>
  <dcterms:modified xsi:type="dcterms:W3CDTF">2014-03-05T16:44:00Z</dcterms:modified>
</cp:coreProperties>
</file>