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B1" w:rsidRPr="0020560C" w:rsidRDefault="0020560C" w:rsidP="001715B1">
      <w:pPr>
        <w:rPr>
          <w:rFonts w:cs="Times New Roman"/>
          <w:b/>
          <w:sz w:val="20"/>
          <w:szCs w:val="20"/>
        </w:rPr>
      </w:pPr>
      <w:r>
        <w:rPr>
          <w:rFonts w:cs="Times New Roman"/>
          <w:b/>
          <w:sz w:val="20"/>
          <w:szCs w:val="20"/>
        </w:rPr>
        <w:t>SUPPLEMENTAL DIGITAL CONTENT</w:t>
      </w:r>
    </w:p>
    <w:p w:rsidR="0020560C" w:rsidRPr="0020560C" w:rsidRDefault="0020560C" w:rsidP="0020560C">
      <w:pPr>
        <w:rPr>
          <w:b/>
          <w:sz w:val="20"/>
          <w:szCs w:val="20"/>
        </w:rPr>
      </w:pPr>
      <w:r>
        <w:rPr>
          <w:b/>
          <w:sz w:val="20"/>
          <w:szCs w:val="20"/>
        </w:rPr>
        <w:t>Supplemental Material Section A: Search strategy</w:t>
      </w:r>
    </w:p>
    <w:p w:rsidR="00E41C72" w:rsidRPr="00672AD5" w:rsidRDefault="00E41C72" w:rsidP="00F9424F">
      <w:pPr>
        <w:rPr>
          <w:u w:val="single"/>
        </w:rPr>
      </w:pPr>
      <w:r w:rsidRPr="00672AD5">
        <w:rPr>
          <w:u w:val="single"/>
        </w:rPr>
        <w:t>PUBMED SEARCH</w:t>
      </w:r>
    </w:p>
    <w:p w:rsidR="00F9424F" w:rsidRPr="00B966BB" w:rsidRDefault="00F9424F" w:rsidP="00F9424F">
      <w:r w:rsidRPr="00B966BB">
        <w:t xml:space="preserve">Search Date: </w:t>
      </w:r>
      <w:r w:rsidR="00B02DA3">
        <w:t>12/20/2013</w:t>
      </w:r>
    </w:p>
    <w:p w:rsidR="00F9424F" w:rsidRPr="00B966BB" w:rsidRDefault="00F9424F" w:rsidP="00F9424F">
      <w:r w:rsidRPr="00B966BB">
        <w:t>Limits: Abstract, English, Humans</w:t>
      </w:r>
    </w:p>
    <w:tbl>
      <w:tblPr>
        <w:tblStyle w:val="TableGrid"/>
        <w:tblW w:w="5000" w:type="pct"/>
        <w:tblLook w:val="04A0" w:firstRow="1" w:lastRow="0" w:firstColumn="1" w:lastColumn="0" w:noHBand="0" w:noVBand="1"/>
      </w:tblPr>
      <w:tblGrid>
        <w:gridCol w:w="1595"/>
        <w:gridCol w:w="5543"/>
        <w:gridCol w:w="2438"/>
      </w:tblGrid>
      <w:tr w:rsidR="00F9424F" w:rsidRPr="00B966BB" w:rsidTr="004A70DF">
        <w:tc>
          <w:tcPr>
            <w:tcW w:w="833" w:type="pct"/>
          </w:tcPr>
          <w:p w:rsidR="00F9424F" w:rsidRPr="00B966BB" w:rsidRDefault="00F9424F" w:rsidP="0046104C"/>
        </w:tc>
        <w:tc>
          <w:tcPr>
            <w:tcW w:w="2894" w:type="pct"/>
          </w:tcPr>
          <w:p w:rsidR="00F9424F" w:rsidRPr="004A70DF" w:rsidRDefault="004A70DF" w:rsidP="0046104C">
            <w:pPr>
              <w:rPr>
                <w:b/>
              </w:rPr>
            </w:pPr>
            <w:r w:rsidRPr="004A70DF">
              <w:rPr>
                <w:b/>
              </w:rPr>
              <w:t>Search code</w:t>
            </w:r>
          </w:p>
        </w:tc>
        <w:tc>
          <w:tcPr>
            <w:tcW w:w="1273" w:type="pct"/>
          </w:tcPr>
          <w:p w:rsidR="00F9424F" w:rsidRPr="004A70DF" w:rsidRDefault="004A70DF" w:rsidP="0046104C">
            <w:pPr>
              <w:rPr>
                <w:b/>
              </w:rPr>
            </w:pPr>
            <w:r w:rsidRPr="004A70DF">
              <w:rPr>
                <w:b/>
              </w:rPr>
              <w:t>Articles</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Fusion[TIAB] OR “Spinal Fusion”[</w:t>
            </w:r>
            <w:proofErr w:type="spellStart"/>
            <w:r w:rsidRPr="00B966BB">
              <w:t>MeSH</w:t>
            </w:r>
            <w:proofErr w:type="spellEnd"/>
            <w:r w:rsidRPr="00B966BB">
              <w:t>] OR Arthrodesis[</w:t>
            </w:r>
            <w:proofErr w:type="spellStart"/>
            <w:r w:rsidRPr="00B966BB">
              <w:t>MeSH</w:t>
            </w:r>
            <w:proofErr w:type="spellEnd"/>
            <w:r w:rsidRPr="00B966BB">
              <w:t>]</w:t>
            </w:r>
          </w:p>
        </w:tc>
        <w:tc>
          <w:tcPr>
            <w:tcW w:w="1273" w:type="pct"/>
          </w:tcPr>
          <w:p w:rsidR="00F9424F" w:rsidRPr="004C2C40" w:rsidRDefault="00F9424F" w:rsidP="0046104C">
            <w:r w:rsidRPr="004C2C40">
              <w:t>65</w:t>
            </w:r>
            <w:r>
              <w:t>,181</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“Total Disc Replacement”[</w:t>
            </w:r>
            <w:proofErr w:type="spellStart"/>
            <w:r w:rsidRPr="00B966BB">
              <w:t>tw</w:t>
            </w:r>
            <w:proofErr w:type="spellEnd"/>
            <w:r w:rsidRPr="00B966BB">
              <w:t>] OR “Disc Replacement”[</w:t>
            </w:r>
            <w:proofErr w:type="spellStart"/>
            <w:r w:rsidRPr="00B966BB">
              <w:t>tw</w:t>
            </w:r>
            <w:proofErr w:type="spellEnd"/>
            <w:r w:rsidRPr="00B966BB">
              <w:t>] OR “Artificial Disc”[</w:t>
            </w:r>
            <w:proofErr w:type="spellStart"/>
            <w:r w:rsidRPr="00B966BB">
              <w:t>tw</w:t>
            </w:r>
            <w:proofErr w:type="spellEnd"/>
            <w:r w:rsidRPr="00B966BB">
              <w:t>] OR “Artificial Discs”[</w:t>
            </w:r>
            <w:proofErr w:type="spellStart"/>
            <w:r w:rsidRPr="00B966BB">
              <w:t>tw</w:t>
            </w:r>
            <w:proofErr w:type="spellEnd"/>
            <w:r w:rsidRPr="00B966BB">
              <w:t>] OR “Total Disc Replacement”[</w:t>
            </w:r>
            <w:proofErr w:type="spellStart"/>
            <w:r w:rsidRPr="00B966BB">
              <w:t>MeSH</w:t>
            </w:r>
            <w:proofErr w:type="spellEnd"/>
            <w:r w:rsidRPr="00B966BB">
              <w:t xml:space="preserve">] </w:t>
            </w:r>
          </w:p>
        </w:tc>
        <w:tc>
          <w:tcPr>
            <w:tcW w:w="1273" w:type="pct"/>
          </w:tcPr>
          <w:p w:rsidR="00F9424F" w:rsidRPr="004C2C40" w:rsidRDefault="00F9424F" w:rsidP="0046104C">
            <w:r>
              <w:t>601</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#1 NOT #2</w:t>
            </w:r>
          </w:p>
        </w:tc>
        <w:tc>
          <w:tcPr>
            <w:tcW w:w="1273" w:type="pct"/>
          </w:tcPr>
          <w:p w:rsidR="00F9424F" w:rsidRPr="004C2C40" w:rsidRDefault="00F9424F" w:rsidP="0046104C">
            <w:r>
              <w:t>64,832</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F9424F">
            <w:r w:rsidRPr="00B966BB">
              <w:rPr>
                <w:bCs/>
              </w:rPr>
              <w:t>lumbar</w:t>
            </w:r>
            <w:r w:rsidRPr="00B966BB">
              <w:t>[TIAB]</w:t>
            </w:r>
            <w:r w:rsidRPr="00B966BB">
              <w:rPr>
                <w:bCs/>
              </w:rPr>
              <w:t xml:space="preserve"> OR "Lumbar Vertebrae"[</w:t>
            </w:r>
            <w:proofErr w:type="spellStart"/>
            <w:r w:rsidRPr="00B966BB">
              <w:rPr>
                <w:bCs/>
              </w:rPr>
              <w:t>MeSH</w:t>
            </w:r>
            <w:proofErr w:type="spellEnd"/>
            <w:r w:rsidRPr="00B966BB">
              <w:rPr>
                <w:bCs/>
              </w:rPr>
              <w:t>] OR thoracolumbar</w:t>
            </w:r>
            <w:r w:rsidRPr="00B966BB">
              <w:t xml:space="preserve">[TIAB] OR </w:t>
            </w:r>
            <w:r w:rsidRPr="00B966BB">
              <w:rPr>
                <w:bCs/>
              </w:rPr>
              <w:t>Cervical[TIAB] OR Neck[TIAB] OR “Cervical Vertebrae”[</w:t>
            </w:r>
            <w:proofErr w:type="spellStart"/>
            <w:r w:rsidRPr="00B966BB">
              <w:rPr>
                <w:bCs/>
              </w:rPr>
              <w:t>MeSH</w:t>
            </w:r>
            <w:proofErr w:type="spellEnd"/>
            <w:r w:rsidRPr="00B966BB">
              <w:rPr>
                <w:bCs/>
              </w:rPr>
              <w:t>]</w:t>
            </w:r>
          </w:p>
        </w:tc>
        <w:tc>
          <w:tcPr>
            <w:tcW w:w="1273" w:type="pct"/>
          </w:tcPr>
          <w:p w:rsidR="00F9424F" w:rsidRPr="004C2C40" w:rsidRDefault="00F9424F" w:rsidP="0046104C">
            <w:r>
              <w:t>208,954</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#3 AND #4</w:t>
            </w:r>
          </w:p>
        </w:tc>
        <w:tc>
          <w:tcPr>
            <w:tcW w:w="1273" w:type="pct"/>
          </w:tcPr>
          <w:p w:rsidR="00F9424F" w:rsidRPr="004C2C40" w:rsidRDefault="00F9424F" w:rsidP="0046104C">
            <w:r>
              <w:t>11,017</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DD12B9" w:rsidRDefault="00F9424F" w:rsidP="0046104C">
            <w:r w:rsidRPr="00DD12B9">
              <w:t>“bone morphogene</w:t>
            </w:r>
            <w:r>
              <w:t xml:space="preserve">tic” OR BMP OR BMP-2 OR BMP2 </w:t>
            </w:r>
            <w:r w:rsidRPr="00DD12B9">
              <w:t xml:space="preserve">OR </w:t>
            </w:r>
            <w:proofErr w:type="spellStart"/>
            <w:r w:rsidRPr="00DD12B9">
              <w:t>rBMP</w:t>
            </w:r>
            <w:proofErr w:type="spellEnd"/>
            <w:r w:rsidRPr="00DD12B9">
              <w:t xml:space="preserve"> or rBMP-2 OR rBMP2 </w:t>
            </w:r>
            <w:r>
              <w:t>r</w:t>
            </w:r>
            <w:r w:rsidRPr="00DD12B9">
              <w:t xml:space="preserve">-BMP or r-BMP-2 OR r-BMP2 OR </w:t>
            </w:r>
            <w:proofErr w:type="spellStart"/>
            <w:r w:rsidRPr="00DD12B9">
              <w:t>rhBMP</w:t>
            </w:r>
            <w:proofErr w:type="spellEnd"/>
            <w:r w:rsidRPr="00DD12B9">
              <w:t xml:space="preserve"> or rhBMP-2 OR rhBMP2 OR </w:t>
            </w:r>
            <w:proofErr w:type="spellStart"/>
            <w:r w:rsidRPr="00DD12B9">
              <w:t>rh</w:t>
            </w:r>
            <w:proofErr w:type="spellEnd"/>
            <w:r w:rsidRPr="00DD12B9">
              <w:t xml:space="preserve">-BMP or rh-BMP-2 OR rh-BMP2 </w:t>
            </w:r>
          </w:p>
        </w:tc>
        <w:tc>
          <w:tcPr>
            <w:tcW w:w="1273" w:type="pct"/>
          </w:tcPr>
          <w:p w:rsidR="00F9424F" w:rsidRPr="004C2C40" w:rsidRDefault="00F9424F" w:rsidP="0046104C">
            <w:r>
              <w:t>8441</w:t>
            </w:r>
          </w:p>
        </w:tc>
      </w:tr>
      <w:tr w:rsidR="00F9424F" w:rsidRPr="00B966BB" w:rsidTr="004A70DF">
        <w:tc>
          <w:tcPr>
            <w:tcW w:w="833" w:type="pct"/>
          </w:tcPr>
          <w:p w:rsidR="00F9424F" w:rsidRPr="00B966BB" w:rsidRDefault="00F9424F" w:rsidP="00F9424F">
            <w:pPr>
              <w:pStyle w:val="ListParagraph"/>
              <w:numPr>
                <w:ilvl w:val="0"/>
                <w:numId w:val="7"/>
              </w:numPr>
            </w:pPr>
          </w:p>
          <w:p w:rsidR="00F9424F" w:rsidRPr="00B966BB" w:rsidRDefault="00F9424F" w:rsidP="0046104C"/>
          <w:p w:rsidR="00F9424F" w:rsidRPr="00B966BB" w:rsidRDefault="00F9424F" w:rsidP="0046104C"/>
          <w:p w:rsidR="00F9424F" w:rsidRPr="00B966BB" w:rsidRDefault="00F9424F" w:rsidP="0046104C"/>
          <w:p w:rsidR="00F9424F" w:rsidRPr="00B966BB" w:rsidRDefault="00F9424F" w:rsidP="0046104C"/>
        </w:tc>
        <w:tc>
          <w:tcPr>
            <w:tcW w:w="2894" w:type="pct"/>
          </w:tcPr>
          <w:p w:rsidR="00F9424F" w:rsidRPr="00B966BB" w:rsidRDefault="00F9424F" w:rsidP="0046104C">
            <w:r>
              <w:t>ceramic*[TIAB] OR “Ceramics”[</w:t>
            </w:r>
            <w:proofErr w:type="spellStart"/>
            <w:r>
              <w:t>MeSH</w:t>
            </w:r>
            <w:proofErr w:type="spellEnd"/>
            <w:r>
              <w:t xml:space="preserve">] OR cement*[TIAB] OR Silicon[TIAB] OR Composite*[TIAB] OR “calcium phosphate”[TIAB] OR “calcium phosphates”[TIAB] OR “phosphate”[TIAB] OR “phosphates”[TIAB] OR “pyrophosphate”[TIAB] OR “pyrophosphates”[TIAB] “calcium sulfate”[TIAB] OR “calcium sulfates”[TIAB] OR “calcium </w:t>
            </w:r>
            <w:proofErr w:type="spellStart"/>
            <w:r>
              <w:t>sulphate</w:t>
            </w:r>
            <w:proofErr w:type="spellEnd"/>
            <w:r>
              <w:t xml:space="preserve">”[TIAB] OR “calcium </w:t>
            </w:r>
            <w:proofErr w:type="spellStart"/>
            <w:r>
              <w:t>sulphates</w:t>
            </w:r>
            <w:proofErr w:type="spellEnd"/>
            <w:r>
              <w:t xml:space="preserve">”[TIAB] OR hydroxyapatite[TIAB] OR Synthetic*[TIAB] OR PMMA[TIAB] OR </w:t>
            </w:r>
            <w:proofErr w:type="spellStart"/>
            <w:r>
              <w:t>polymethylmethacrylate</w:t>
            </w:r>
            <w:proofErr w:type="spellEnd"/>
            <w:r>
              <w:t xml:space="preserve">[TIAB] </w:t>
            </w:r>
          </w:p>
        </w:tc>
        <w:tc>
          <w:tcPr>
            <w:tcW w:w="1273" w:type="pct"/>
          </w:tcPr>
          <w:p w:rsidR="00F9424F" w:rsidRPr="004C2C40" w:rsidRDefault="00F9424F" w:rsidP="0046104C">
            <w:r>
              <w:t>70,859</w:t>
            </w:r>
          </w:p>
        </w:tc>
      </w:tr>
      <w:tr w:rsidR="00F9424F" w:rsidRPr="00B966BB" w:rsidTr="004A70DF">
        <w:trPr>
          <w:trHeight w:val="1322"/>
        </w:trPr>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“demineralized bone matrix”[TIAB] OR DBM[TIAB] OR “demineralized bone”[TIAB]</w:t>
            </w:r>
            <w:r>
              <w:t xml:space="preserve"> </w:t>
            </w:r>
          </w:p>
        </w:tc>
        <w:tc>
          <w:tcPr>
            <w:tcW w:w="1273" w:type="pct"/>
          </w:tcPr>
          <w:p w:rsidR="00F9424F" w:rsidRPr="004C2C40" w:rsidRDefault="00F9424F" w:rsidP="0046104C">
            <w:r>
              <w:t>702</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t>Allograft*[TIAB] OR “Transplantation, Homologous”[</w:t>
            </w:r>
            <w:proofErr w:type="spellStart"/>
            <w:r>
              <w:t>MeSH</w:t>
            </w:r>
            <w:proofErr w:type="spellEnd"/>
            <w:r>
              <w:t>] OR “</w:t>
            </w:r>
            <w:proofErr w:type="spellStart"/>
            <w:r>
              <w:t>Allogenic</w:t>
            </w:r>
            <w:proofErr w:type="spellEnd"/>
            <w:r>
              <w:t>”[TIAB] OR (“Homologous”[TIAB] AND (“graft”[TIAB] AND “bone”[TIAB])) OR “stem cell”[TIAB] OR “stem cells”[TIAB] OR “</w:t>
            </w:r>
            <w:proofErr w:type="spellStart"/>
            <w:r>
              <w:t>allogenic</w:t>
            </w:r>
            <w:proofErr w:type="spellEnd"/>
            <w:r>
              <w:t xml:space="preserve"> stem cell”[TIAB] OR “</w:t>
            </w:r>
            <w:proofErr w:type="spellStart"/>
            <w:r>
              <w:t>allogenic</w:t>
            </w:r>
            <w:proofErr w:type="spellEnd"/>
            <w:r>
              <w:t xml:space="preserve"> stem cells”[TIAB] OR “Trinity”[TIAB] OR “</w:t>
            </w:r>
            <w:proofErr w:type="spellStart"/>
            <w:r>
              <w:t>Osteocel</w:t>
            </w:r>
            <w:proofErr w:type="spellEnd"/>
            <w:r>
              <w:t>”[TIAB]</w:t>
            </w:r>
          </w:p>
        </w:tc>
        <w:tc>
          <w:tcPr>
            <w:tcW w:w="1273" w:type="pct"/>
          </w:tcPr>
          <w:p w:rsidR="00F9424F" w:rsidRPr="004C2C40" w:rsidRDefault="00F9424F" w:rsidP="0046104C">
            <w:r>
              <w:t>112,757</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w:t>
            </w:r>
            <w:r>
              <w:t>6 OR #7 OR #8 OR #9</w:t>
            </w:r>
          </w:p>
        </w:tc>
        <w:tc>
          <w:tcPr>
            <w:tcW w:w="1273" w:type="pct"/>
          </w:tcPr>
          <w:p w:rsidR="00F9424F" w:rsidRPr="004C2C40" w:rsidRDefault="00F9424F" w:rsidP="0046104C">
            <w:r>
              <w:t>189,233</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E75D59" w:rsidRDefault="00F9424F" w:rsidP="0046104C">
            <w:pPr>
              <w:rPr>
                <w:rFonts w:ascii="AdvPTimes" w:hAnsi="AdvPTimes" w:cs="AdvPTimes"/>
                <w:color w:val="000000"/>
                <w:sz w:val="20"/>
                <w:szCs w:val="20"/>
              </w:rPr>
            </w:pPr>
            <w:r w:rsidRPr="00462DBF">
              <w:t xml:space="preserve">(“Cost” AND (“effectiveness” OR “utility” OR “minimization” OR “benefit”))[TIAB] OR “Economic”[TIAB] </w:t>
            </w:r>
            <w:r w:rsidRPr="00462DBF">
              <w:lastRenderedPageBreak/>
              <w:t>OR “Cost-Benefit Analysis”[</w:t>
            </w:r>
            <w:proofErr w:type="spellStart"/>
            <w:r w:rsidRPr="00462DBF">
              <w:t>MeSH</w:t>
            </w:r>
            <w:proofErr w:type="spellEnd"/>
            <w:r w:rsidRPr="00462DBF">
              <w:t xml:space="preserve">] OR </w:t>
            </w:r>
            <w:r w:rsidRPr="00462DBF">
              <w:rPr>
                <w:color w:val="000000" w:themeColor="text1"/>
              </w:rPr>
              <w:t>"Quality-Adjusted Life Years"[Mesh] OR</w:t>
            </w:r>
            <w:r w:rsidRPr="00462DBF">
              <w:t xml:space="preserve"> “Quality-Adjusted Life Years”[</w:t>
            </w:r>
            <w:proofErr w:type="spellStart"/>
            <w:r w:rsidRPr="00462DBF">
              <w:t>MeSH</w:t>
            </w:r>
            <w:proofErr w:type="spellEnd"/>
            <w:r w:rsidRPr="00462DBF">
              <w:t>] OR “Models, Economic”[</w:t>
            </w:r>
            <w:proofErr w:type="spellStart"/>
            <w:r w:rsidRPr="00462DBF">
              <w:t>MeSH</w:t>
            </w:r>
            <w:proofErr w:type="spellEnd"/>
            <w:r w:rsidRPr="00462DBF">
              <w:t>]</w:t>
            </w:r>
            <w:r>
              <w:t xml:space="preserve"> OR “Economic, medical”[</w:t>
            </w:r>
            <w:proofErr w:type="spellStart"/>
            <w:r>
              <w:t>MeSH</w:t>
            </w:r>
            <w:proofErr w:type="spellEnd"/>
            <w:r>
              <w:t>]</w:t>
            </w:r>
          </w:p>
        </w:tc>
        <w:tc>
          <w:tcPr>
            <w:tcW w:w="1273" w:type="pct"/>
          </w:tcPr>
          <w:p w:rsidR="00F9424F" w:rsidRPr="004C2C40" w:rsidRDefault="00F9424F" w:rsidP="0046104C">
            <w:r>
              <w:lastRenderedPageBreak/>
              <w:t>92,663</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Default="00F9424F" w:rsidP="0046104C">
            <w:r>
              <w:t>#5 AND #10 AND #11</w:t>
            </w:r>
          </w:p>
        </w:tc>
        <w:tc>
          <w:tcPr>
            <w:tcW w:w="1273" w:type="pct"/>
          </w:tcPr>
          <w:p w:rsidR="00F9424F" w:rsidRPr="004C2C40" w:rsidRDefault="00F9424F" w:rsidP="0046104C">
            <w:r>
              <w:t>19</w:t>
            </w:r>
          </w:p>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pPr>
              <w:ind w:left="10"/>
            </w:pPr>
            <w:r>
              <w:t xml:space="preserve">(In Vitro[Publication Type] </w:t>
            </w:r>
            <w:r w:rsidRPr="00B966BB">
              <w:t xml:space="preserve">OR </w:t>
            </w:r>
            <w:r>
              <w:t>primate[</w:t>
            </w:r>
            <w:proofErr w:type="spellStart"/>
            <w:r>
              <w:t>tw</w:t>
            </w:r>
            <w:proofErr w:type="spellEnd"/>
            <w:r>
              <w:t xml:space="preserve">] OR </w:t>
            </w:r>
            <w:r w:rsidRPr="00B966BB">
              <w:t>Case Reports[Publication Type] OR cancer[</w:t>
            </w:r>
            <w:proofErr w:type="spellStart"/>
            <w:r w:rsidRPr="00B966BB">
              <w:t>tw</w:t>
            </w:r>
            <w:proofErr w:type="spellEnd"/>
            <w:r w:rsidRPr="00B966BB">
              <w:t>] OR cancers[</w:t>
            </w:r>
            <w:proofErr w:type="spellStart"/>
            <w:r w:rsidRPr="00B966BB">
              <w:t>tw</w:t>
            </w:r>
            <w:proofErr w:type="spellEnd"/>
            <w:r w:rsidRPr="00B966BB">
              <w:t>] OR cancerous[</w:t>
            </w:r>
            <w:proofErr w:type="spellStart"/>
            <w:r w:rsidRPr="00B966BB">
              <w:t>tw</w:t>
            </w:r>
            <w:proofErr w:type="spellEnd"/>
            <w:r w:rsidRPr="00B966BB">
              <w:t>] OR tumor[</w:t>
            </w:r>
            <w:proofErr w:type="spellStart"/>
            <w:r w:rsidRPr="00B966BB">
              <w:t>tw</w:t>
            </w:r>
            <w:proofErr w:type="spellEnd"/>
            <w:r w:rsidRPr="00B966BB">
              <w:t>] OR tumors[</w:t>
            </w:r>
            <w:proofErr w:type="spellStart"/>
            <w:r w:rsidRPr="00B966BB">
              <w:t>tw</w:t>
            </w:r>
            <w:proofErr w:type="spellEnd"/>
            <w:r w:rsidRPr="00B966BB">
              <w:t>] OR metastatic[</w:t>
            </w:r>
            <w:proofErr w:type="spellStart"/>
            <w:r w:rsidRPr="00B966BB">
              <w:t>tw</w:t>
            </w:r>
            <w:proofErr w:type="spellEnd"/>
            <w:r w:rsidRPr="00B966BB">
              <w:t xml:space="preserve">] OR </w:t>
            </w:r>
            <w:r>
              <w:t>metastases[</w:t>
            </w:r>
            <w:proofErr w:type="spellStart"/>
            <w:r>
              <w:t>tw</w:t>
            </w:r>
            <w:proofErr w:type="spellEnd"/>
            <w:r>
              <w:t>] OR infection[</w:t>
            </w:r>
            <w:proofErr w:type="spellStart"/>
            <w:r>
              <w:t>tw</w:t>
            </w:r>
            <w:proofErr w:type="spellEnd"/>
            <w:r>
              <w:t>])</w:t>
            </w:r>
          </w:p>
        </w:tc>
        <w:tc>
          <w:tcPr>
            <w:tcW w:w="1273" w:type="pct"/>
          </w:tcPr>
          <w:p w:rsidR="00F9424F" w:rsidRPr="004C2C40" w:rsidRDefault="00F9424F" w:rsidP="0046104C"/>
        </w:tc>
      </w:tr>
      <w:tr w:rsidR="00F9424F" w:rsidRPr="00B966BB" w:rsidTr="004A70DF">
        <w:tc>
          <w:tcPr>
            <w:tcW w:w="833" w:type="pct"/>
          </w:tcPr>
          <w:p w:rsidR="00F9424F" w:rsidRPr="00B966BB" w:rsidRDefault="00F9424F" w:rsidP="00F9424F">
            <w:pPr>
              <w:pStyle w:val="ListParagraph"/>
              <w:numPr>
                <w:ilvl w:val="0"/>
                <w:numId w:val="7"/>
              </w:numPr>
            </w:pPr>
          </w:p>
        </w:tc>
        <w:tc>
          <w:tcPr>
            <w:tcW w:w="2894" w:type="pct"/>
          </w:tcPr>
          <w:p w:rsidR="00F9424F" w:rsidRPr="00B966BB" w:rsidRDefault="00F9424F" w:rsidP="0046104C">
            <w:r w:rsidRPr="00B966BB">
              <w:t>#</w:t>
            </w:r>
            <w:r>
              <w:t>12</w:t>
            </w:r>
            <w:r w:rsidRPr="00B966BB">
              <w:t xml:space="preserve"> NOT #</w:t>
            </w:r>
            <w:r>
              <w:t>13</w:t>
            </w:r>
          </w:p>
        </w:tc>
        <w:tc>
          <w:tcPr>
            <w:tcW w:w="1273" w:type="pct"/>
          </w:tcPr>
          <w:p w:rsidR="00F9424F" w:rsidRPr="004C2C40" w:rsidRDefault="00F9424F" w:rsidP="0046104C">
            <w:r>
              <w:t>19</w:t>
            </w:r>
          </w:p>
        </w:tc>
      </w:tr>
    </w:tbl>
    <w:p w:rsidR="00F9424F" w:rsidRDefault="00F9424F" w:rsidP="00F9424F"/>
    <w:p w:rsidR="00FF358F" w:rsidRDefault="00FF358F" w:rsidP="00FF358F">
      <w:pPr>
        <w:rPr>
          <w:u w:val="single"/>
        </w:rPr>
      </w:pPr>
      <w:r>
        <w:rPr>
          <w:u w:val="single"/>
        </w:rPr>
        <w:t>EMBASE</w:t>
      </w:r>
      <w:r w:rsidRPr="00672AD5">
        <w:rPr>
          <w:u w:val="single"/>
        </w:rPr>
        <w:t xml:space="preserve"> SEARCH</w:t>
      </w:r>
    </w:p>
    <w:p w:rsidR="00B02DA3" w:rsidRPr="00672AD5" w:rsidRDefault="00B02DA3" w:rsidP="00FF358F">
      <w:pPr>
        <w:rPr>
          <w:u w:val="single"/>
        </w:rPr>
      </w:pPr>
      <w:r w:rsidRPr="00B966BB">
        <w:t xml:space="preserve">Search Date: </w:t>
      </w:r>
      <w:r>
        <w:t>12/18/2013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5"/>
        <w:gridCol w:w="5543"/>
        <w:gridCol w:w="2438"/>
      </w:tblGrid>
      <w:tr w:rsidR="004A70DF" w:rsidTr="004A70DF">
        <w:trPr>
          <w:trHeight w:val="323"/>
        </w:trPr>
        <w:tc>
          <w:tcPr>
            <w:tcW w:w="833" w:type="pct"/>
            <w:tcMar>
              <w:top w:w="0" w:type="dxa"/>
              <w:left w:w="108" w:type="dxa"/>
              <w:bottom w:w="0" w:type="dxa"/>
              <w:right w:w="108" w:type="dxa"/>
            </w:tcMar>
          </w:tcPr>
          <w:p w:rsidR="004A70DF" w:rsidRDefault="004A70DF" w:rsidP="00B02DA3">
            <w:pPr>
              <w:pStyle w:val="listparagraph0"/>
              <w:ind w:left="720" w:hanging="360"/>
              <w:contextualSpacing/>
              <w:rPr>
                <w:rFonts w:ascii="Calibri" w:hAnsi="Calibri"/>
              </w:rPr>
            </w:pPr>
          </w:p>
        </w:tc>
        <w:tc>
          <w:tcPr>
            <w:tcW w:w="2894" w:type="pct"/>
            <w:tcMar>
              <w:top w:w="0" w:type="dxa"/>
              <w:left w:w="108" w:type="dxa"/>
              <w:bottom w:w="0" w:type="dxa"/>
              <w:right w:w="108" w:type="dxa"/>
            </w:tcMar>
          </w:tcPr>
          <w:p w:rsidR="004A70DF" w:rsidRPr="004A70DF" w:rsidRDefault="004A70DF" w:rsidP="000950E2">
            <w:pPr>
              <w:rPr>
                <w:b/>
              </w:rPr>
            </w:pPr>
            <w:r w:rsidRPr="004A70DF">
              <w:rPr>
                <w:b/>
              </w:rPr>
              <w:t>Search code</w:t>
            </w:r>
          </w:p>
        </w:tc>
        <w:tc>
          <w:tcPr>
            <w:tcW w:w="1273" w:type="pct"/>
            <w:tcMar>
              <w:top w:w="0" w:type="dxa"/>
              <w:left w:w="108" w:type="dxa"/>
              <w:bottom w:w="0" w:type="dxa"/>
              <w:right w:w="108" w:type="dxa"/>
            </w:tcMar>
          </w:tcPr>
          <w:p w:rsidR="004A70DF" w:rsidRPr="004A70DF" w:rsidRDefault="004A70DF" w:rsidP="000950E2">
            <w:pPr>
              <w:rPr>
                <w:b/>
              </w:rPr>
            </w:pPr>
            <w:r w:rsidRPr="004A70DF">
              <w:rPr>
                <w:b/>
              </w:rPr>
              <w:t>Articles</w:t>
            </w:r>
          </w:p>
        </w:tc>
      </w:tr>
      <w:tr w:rsidR="00B02DA3" w:rsidTr="004A70DF">
        <w:trPr>
          <w:trHeight w:val="818"/>
        </w:trPr>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1.</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pPr>
            <w:r>
              <w:rPr>
                <w:rStyle w:val="term"/>
              </w:rPr>
              <w:t>'spine fusion'</w:t>
            </w:r>
            <w:r>
              <w:t>/</w:t>
            </w:r>
            <w:proofErr w:type="spellStart"/>
            <w:r>
              <w:t>exp</w:t>
            </w:r>
            <w:proofErr w:type="spellEnd"/>
            <w:r>
              <w:t xml:space="preserve"> OR </w:t>
            </w:r>
            <w:r>
              <w:rPr>
                <w:rStyle w:val="term"/>
              </w:rPr>
              <w:t>'arthrodesis'</w:t>
            </w:r>
            <w:r>
              <w:t>/</w:t>
            </w:r>
            <w:proofErr w:type="spellStart"/>
            <w:r>
              <w:t>exp</w:t>
            </w:r>
            <w:proofErr w:type="spellEnd"/>
            <w:r>
              <w:t xml:space="preserve"> AND [humans]/</w:t>
            </w:r>
            <w:proofErr w:type="spellStart"/>
            <w:r>
              <w:t>lim</w:t>
            </w:r>
            <w:proofErr w:type="spellEnd"/>
            <w:r>
              <w:t xml:space="preserve"> AND [</w:t>
            </w:r>
            <w:proofErr w:type="spellStart"/>
            <w:r>
              <w:t>english</w:t>
            </w:r>
            <w:proofErr w:type="spellEnd"/>
            <w:r>
              <w:t>]/</w:t>
            </w:r>
            <w:proofErr w:type="spellStart"/>
            <w:r>
              <w:t>lim</w:t>
            </w:r>
            <w:proofErr w:type="spellEnd"/>
            <w:r>
              <w:t xml:space="preserve"> AND [abstracts]/</w:t>
            </w:r>
            <w:proofErr w:type="spellStart"/>
            <w: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16,153</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2.</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pPr>
            <w:r>
              <w:rPr>
                <w:rStyle w:val="term"/>
                <w:rFonts w:ascii="Calibri" w:hAnsi="Calibri"/>
              </w:rPr>
              <w:t>'total disc replacement'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'disk prosthesis'</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'spine non fusion implant'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'fracture'</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93,479</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3.</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#1 NOT #2</w:t>
            </w:r>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13,550</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4.</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'lumbar spine'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'lumbar disk'</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'lumbar vertebra'</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'cervical spine'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'intervertebral disk'</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'thoracolumbar spine'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'vertebra'</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'vertebra body'</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46,622</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5.</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#3 AND #4</w:t>
            </w:r>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4,461</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6.</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'bone morphogenetic protein'</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'bone morphogenetic protein 2'</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w:t>
            </w:r>
            <w:proofErr w:type="spellStart"/>
            <w:r>
              <w:rPr>
                <w:rStyle w:val="term"/>
                <w:rFonts w:ascii="Calibri" w:hAnsi="Calibri"/>
              </w:rPr>
              <w:t>osteogenic</w:t>
            </w:r>
            <w:proofErr w:type="spellEnd"/>
            <w:r>
              <w:rPr>
                <w:rStyle w:val="term"/>
                <w:rFonts w:ascii="Calibri" w:hAnsi="Calibri"/>
              </w:rPr>
              <w:t xml:space="preserve"> protein 1'</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 xml:space="preserve">'recombinant </w:t>
            </w:r>
            <w:proofErr w:type="spellStart"/>
            <w:r>
              <w:rPr>
                <w:rStyle w:val="term"/>
                <w:rFonts w:ascii="Calibri" w:hAnsi="Calibri"/>
              </w:rPr>
              <w:t>osteogenic</w:t>
            </w:r>
            <w:proofErr w:type="spellEnd"/>
            <w:r>
              <w:rPr>
                <w:rStyle w:val="term"/>
                <w:rFonts w:ascii="Calibri" w:hAnsi="Calibri"/>
              </w:rPr>
              <w:t xml:space="preserve"> protein 1'</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'recombinant bone morphogenetic protein 2'</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7,864</w:t>
            </w:r>
          </w:p>
        </w:tc>
      </w:tr>
      <w:tr w:rsidR="00B02DA3" w:rsidTr="004A70DF">
        <w:tc>
          <w:tcPr>
            <w:tcW w:w="833" w:type="pct"/>
            <w:tcMar>
              <w:top w:w="0" w:type="dxa"/>
              <w:left w:w="108" w:type="dxa"/>
              <w:bottom w:w="0" w:type="dxa"/>
              <w:right w:w="108" w:type="dxa"/>
            </w:tcMar>
          </w:tcPr>
          <w:p w:rsidR="00B02DA3" w:rsidRDefault="00B02DA3" w:rsidP="00B02DA3">
            <w:pPr>
              <w:pStyle w:val="listparagraph0"/>
              <w:ind w:left="720" w:hanging="360"/>
              <w:contextualSpacing/>
            </w:pPr>
            <w:r>
              <w:rPr>
                <w:rFonts w:ascii="Calibri" w:hAnsi="Calibri"/>
              </w:rPr>
              <w:t>7.</w:t>
            </w:r>
            <w:r>
              <w:rPr>
                <w:sz w:val="14"/>
                <w:szCs w:val="14"/>
              </w:rPr>
              <w:t xml:space="preserve">       </w:t>
            </w:r>
          </w:p>
          <w:p w:rsidR="00B02DA3" w:rsidRDefault="00B02DA3" w:rsidP="00B02DA3">
            <w:pPr>
              <w:spacing w:after="0" w:line="240" w:lineRule="auto"/>
            </w:pPr>
          </w:p>
          <w:p w:rsidR="00B02DA3" w:rsidRDefault="00B02DA3" w:rsidP="00B02DA3">
            <w:pPr>
              <w:spacing w:after="0" w:line="240" w:lineRule="auto"/>
            </w:pPr>
          </w:p>
          <w:p w:rsidR="00B02DA3" w:rsidRDefault="00B02DA3" w:rsidP="00B02DA3">
            <w:pPr>
              <w:spacing w:after="0" w:line="240" w:lineRule="auto"/>
            </w:pPr>
          </w:p>
          <w:p w:rsidR="00B02DA3" w:rsidRDefault="00B02DA3" w:rsidP="00B02DA3">
            <w:pPr>
              <w:spacing w:after="0" w:line="240" w:lineRule="auto"/>
            </w:pP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'ceramic prosthesis'</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'calcium phosphate ceramic'</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w:t>
            </w:r>
            <w:proofErr w:type="spellStart"/>
            <w:r>
              <w:rPr>
                <w:rStyle w:val="term"/>
                <w:rFonts w:ascii="Calibri" w:hAnsi="Calibri"/>
              </w:rPr>
              <w:t>bioprosthesis</w:t>
            </w:r>
            <w:proofErr w:type="spellEnd"/>
            <w:r>
              <w:rPr>
                <w:rStyle w:val="term"/>
                <w:rFonts w:ascii="Calibri" w:hAnsi="Calibri"/>
              </w:rPr>
              <w: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'bone cement'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'silicone prosthesis'</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'composite graft'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'calcium phosphate'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'phosphate'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'pyrophosphate'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'calcium sulfate'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'hydroxyapatite'</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'poly(methyl methacrylate)'</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36,606</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8.</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'bone matrix'</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2,344</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9.</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'allograft'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w:t>
            </w:r>
            <w:proofErr w:type="spellStart"/>
            <w:r>
              <w:rPr>
                <w:rStyle w:val="term"/>
                <w:rFonts w:ascii="Calibri" w:hAnsi="Calibri"/>
              </w:rPr>
              <w:t>allotransplantation</w:t>
            </w:r>
            <w:proofErr w:type="spellEnd"/>
            <w:r>
              <w:rPr>
                <w:rStyle w:val="term"/>
                <w:rFonts w:ascii="Calibri" w:hAnsi="Calibri"/>
              </w:rPr>
              <w: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w:t>
            </w:r>
            <w:proofErr w:type="spellStart"/>
            <w:r>
              <w:rPr>
                <w:rStyle w:val="term"/>
                <w:rFonts w:ascii="Calibri" w:hAnsi="Calibri"/>
              </w:rPr>
              <w:t>allogenic</w:t>
            </w:r>
            <w:proofErr w:type="spellEnd"/>
            <w:r>
              <w:rPr>
                <w:rStyle w:val="term"/>
                <w:rFonts w:ascii="Calibri" w:hAnsi="Calibri"/>
              </w:rPr>
              <w:t xml:space="preserve"> bone marrow transplantation'</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'stem cell'</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lastRenderedPageBreak/>
              <w:t>'platelet derived growth factor'</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'recombinant platelet derived growth factor'</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lastRenderedPageBreak/>
              <w:t>112,959</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lastRenderedPageBreak/>
              <w:t>10.</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#6 OR #7 OR #8 OR #9</w:t>
            </w:r>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154,897</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11.</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'health care cost'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'cost effectiveness analysis'</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'economic evaluation'</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'quality adjusted life year'</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'economic aspect'</w:t>
            </w:r>
            <w:r>
              <w:rPr>
                <w:rFonts w:ascii="Calibri" w:hAnsi="Calibri"/>
              </w:rPr>
              <w:t>/</w:t>
            </w:r>
            <w:proofErr w:type="spellStart"/>
            <w:r>
              <w:rPr>
                <w:rFonts w:ascii="Calibri" w:hAnsi="Calibri"/>
              </w:rPr>
              <w:t>exp</w:t>
            </w:r>
            <w:proofErr w:type="spellEnd"/>
            <w:r>
              <w:rPr>
                <w:rFonts w:ascii="Calibri" w:hAnsi="Calibri"/>
              </w:rPr>
              <w:t xml:space="preserve"> AND [humans]/</w:t>
            </w:r>
            <w:proofErr w:type="spellStart"/>
            <w:r>
              <w:rPr>
                <w:rFonts w:ascii="Calibri" w:hAnsi="Calibri"/>
              </w:rPr>
              <w:t>lim</w:t>
            </w:r>
            <w:proofErr w:type="spellEnd"/>
            <w:r>
              <w:rPr>
                <w:rFonts w:ascii="Calibri" w:hAnsi="Calibri"/>
              </w:rPr>
              <w:t xml:space="preserve"> AND [</w:t>
            </w:r>
            <w:proofErr w:type="spellStart"/>
            <w:r>
              <w:rPr>
                <w:rFonts w:ascii="Calibri" w:hAnsi="Calibri"/>
              </w:rPr>
              <w:t>english</w:t>
            </w:r>
            <w:proofErr w:type="spellEnd"/>
            <w:r>
              <w:rPr>
                <w:rFonts w:ascii="Calibri" w:hAnsi="Calibri"/>
              </w:rPr>
              <w:t>]/</w:t>
            </w:r>
            <w:proofErr w:type="spellStart"/>
            <w:r>
              <w:rPr>
                <w:rFonts w:ascii="Calibri" w:hAnsi="Calibri"/>
              </w:rPr>
              <w:t>lim</w:t>
            </w:r>
            <w:proofErr w:type="spellEnd"/>
            <w:r>
              <w:rPr>
                <w:rFonts w:ascii="Calibri" w:hAnsi="Calibri"/>
              </w:rPr>
              <w:t xml:space="preserve"> AND [abstracts]/</w:t>
            </w:r>
            <w:proofErr w:type="spellStart"/>
            <w:r>
              <w:rPr>
                <w:rFonts w:ascii="Calibri" w:hAnsi="Calibri"/>
              </w:rPr>
              <w:t>lim</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393,841</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12.</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#5 AND #10 AND #11</w:t>
            </w:r>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81</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13.</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Style w:val="term"/>
                <w:rFonts w:ascii="Calibri" w:hAnsi="Calibri"/>
              </w:rPr>
              <w:t>'in vitro study'</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'primate model'</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'case report'</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'neoplasm'</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'metastasis'</w:t>
            </w:r>
            <w:r>
              <w:rPr>
                <w:rFonts w:ascii="Calibri" w:hAnsi="Calibri"/>
              </w:rPr>
              <w:t>/</w:t>
            </w:r>
            <w:proofErr w:type="spellStart"/>
            <w:r>
              <w:rPr>
                <w:rFonts w:ascii="Calibri" w:hAnsi="Calibri"/>
              </w:rPr>
              <w:t>exp</w:t>
            </w:r>
            <w:proofErr w:type="spellEnd"/>
            <w:r>
              <w:rPr>
                <w:rFonts w:ascii="Calibri" w:hAnsi="Calibri"/>
              </w:rPr>
              <w:t xml:space="preserve"> OR </w:t>
            </w:r>
            <w:r>
              <w:rPr>
                <w:rStyle w:val="term"/>
                <w:rFonts w:ascii="Calibri" w:hAnsi="Calibri"/>
              </w:rPr>
              <w:t>'infection'</w:t>
            </w:r>
            <w:r>
              <w:rPr>
                <w:rFonts w:ascii="Calibri" w:hAnsi="Calibri"/>
              </w:rPr>
              <w:t>/</w:t>
            </w:r>
            <w:proofErr w:type="spellStart"/>
            <w:r>
              <w:rPr>
                <w:rFonts w:ascii="Calibri" w:hAnsi="Calibri"/>
              </w:rPr>
              <w:t>exp</w:t>
            </w:r>
            <w:proofErr w:type="spellEnd"/>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9,563,228</w:t>
            </w:r>
          </w:p>
        </w:tc>
      </w:tr>
      <w:tr w:rsidR="00B02DA3" w:rsidTr="004A70DF">
        <w:tc>
          <w:tcPr>
            <w:tcW w:w="833" w:type="pct"/>
            <w:tcMar>
              <w:top w:w="0" w:type="dxa"/>
              <w:left w:w="108" w:type="dxa"/>
              <w:bottom w:w="0" w:type="dxa"/>
              <w:right w:w="108" w:type="dxa"/>
            </w:tcMar>
            <w:hideMark/>
          </w:tcPr>
          <w:p w:rsidR="00B02DA3" w:rsidRDefault="00B02DA3" w:rsidP="00B02DA3">
            <w:pPr>
              <w:pStyle w:val="listparagraph0"/>
              <w:ind w:left="720" w:hanging="360"/>
              <w:contextualSpacing/>
            </w:pPr>
            <w:r>
              <w:rPr>
                <w:rFonts w:ascii="Calibri" w:hAnsi="Calibri"/>
              </w:rPr>
              <w:t>14.</w:t>
            </w:r>
            <w:r>
              <w:rPr>
                <w:sz w:val="14"/>
                <w:szCs w:val="14"/>
              </w:rPr>
              <w:t xml:space="preserve">   </w:t>
            </w:r>
          </w:p>
        </w:tc>
        <w:tc>
          <w:tcPr>
            <w:tcW w:w="2894" w:type="pct"/>
            <w:tcMar>
              <w:top w:w="0" w:type="dxa"/>
              <w:left w:w="108" w:type="dxa"/>
              <w:bottom w:w="0" w:type="dxa"/>
              <w:right w:w="108" w:type="dxa"/>
            </w:tcMar>
            <w:hideMark/>
          </w:tcPr>
          <w:p w:rsidR="00B02DA3" w:rsidRDefault="00B02DA3" w:rsidP="00B02DA3">
            <w:pPr>
              <w:spacing w:after="0" w:line="240" w:lineRule="auto"/>
              <w:rPr>
                <w:rFonts w:ascii="Calibri" w:hAnsi="Calibri"/>
              </w:rPr>
            </w:pPr>
            <w:r>
              <w:rPr>
                <w:rFonts w:ascii="Calibri" w:hAnsi="Calibri"/>
              </w:rPr>
              <w:t>#12 NOT #13</w:t>
            </w:r>
          </w:p>
        </w:tc>
        <w:tc>
          <w:tcPr>
            <w:tcW w:w="1273" w:type="pct"/>
            <w:tcMar>
              <w:top w:w="0" w:type="dxa"/>
              <w:left w:w="108" w:type="dxa"/>
              <w:bottom w:w="0" w:type="dxa"/>
              <w:right w:w="108" w:type="dxa"/>
            </w:tcMar>
            <w:hideMark/>
          </w:tcPr>
          <w:p w:rsidR="00B02DA3" w:rsidRDefault="00B02DA3" w:rsidP="00B02DA3">
            <w:pPr>
              <w:spacing w:after="0" w:line="240" w:lineRule="auto"/>
            </w:pPr>
            <w:r>
              <w:rPr>
                <w:rFonts w:ascii="Calibri" w:hAnsi="Calibri"/>
              </w:rPr>
              <w:t>56</w:t>
            </w:r>
          </w:p>
        </w:tc>
      </w:tr>
    </w:tbl>
    <w:p w:rsidR="00B02DA3" w:rsidRDefault="00B02DA3" w:rsidP="00B02DA3"/>
    <w:p w:rsidR="003F76EB" w:rsidRDefault="003F76EB" w:rsidP="003F76EB">
      <w:pPr>
        <w:rPr>
          <w:u w:val="single"/>
        </w:rPr>
      </w:pPr>
      <w:r>
        <w:rPr>
          <w:u w:val="single"/>
        </w:rPr>
        <w:t>COCHRANE</w:t>
      </w:r>
      <w:r w:rsidRPr="00672AD5">
        <w:rPr>
          <w:u w:val="single"/>
        </w:rPr>
        <w:t xml:space="preserve"> SEARCH</w:t>
      </w:r>
    </w:p>
    <w:p w:rsidR="003F76EB" w:rsidRPr="00672AD5" w:rsidRDefault="003F76EB" w:rsidP="003F76EB">
      <w:pPr>
        <w:rPr>
          <w:u w:val="single"/>
        </w:rPr>
      </w:pPr>
      <w:r w:rsidRPr="00B966BB">
        <w:t xml:space="preserve">Search Date: </w:t>
      </w:r>
      <w:r>
        <w:t>12/18/2013</w:t>
      </w:r>
    </w:p>
    <w:p w:rsidR="003F76EB" w:rsidRPr="00201CF4" w:rsidRDefault="003F76EB" w:rsidP="003F76EB">
      <w:pPr>
        <w:spacing w:after="0" w:line="240" w:lineRule="auto"/>
      </w:pPr>
      <w:r w:rsidRPr="00201CF4">
        <w:t>ID            Search</w:t>
      </w:r>
      <w:proofErr w:type="gramStart"/>
      <w:r w:rsidRPr="00201CF4">
        <w:t>  Hits</w:t>
      </w:r>
      <w:proofErr w:type="gramEnd"/>
    </w:p>
    <w:p w:rsidR="003F76EB" w:rsidRPr="00201CF4" w:rsidRDefault="003F76EB" w:rsidP="003F76EB">
      <w:pPr>
        <w:spacing w:after="0" w:line="240" w:lineRule="auto"/>
      </w:pPr>
      <w:r w:rsidRPr="00201CF4">
        <w:t xml:space="preserve">#1           </w:t>
      </w:r>
      <w:proofErr w:type="spellStart"/>
      <w:r w:rsidRPr="00201CF4">
        <w:t>MeSH</w:t>
      </w:r>
      <w:proofErr w:type="spellEnd"/>
      <w:r w:rsidRPr="00201CF4">
        <w:t xml:space="preserve"> descriptor: [Spinal Fusion] explode all trees           693</w:t>
      </w:r>
    </w:p>
    <w:p w:rsidR="003F76EB" w:rsidRPr="00201CF4" w:rsidRDefault="003F76EB" w:rsidP="003F76EB">
      <w:pPr>
        <w:spacing w:after="0" w:line="240" w:lineRule="auto"/>
      </w:pPr>
      <w:r w:rsidRPr="00201CF4">
        <w:t xml:space="preserve">#2           </w:t>
      </w:r>
      <w:proofErr w:type="spellStart"/>
      <w:r w:rsidRPr="00201CF4">
        <w:t>MeSH</w:t>
      </w:r>
      <w:proofErr w:type="spellEnd"/>
      <w:r w:rsidRPr="00201CF4">
        <w:t xml:space="preserve"> descriptor: [Arthrodesis] explode all trees              751</w:t>
      </w:r>
    </w:p>
    <w:p w:rsidR="003F76EB" w:rsidRPr="00201CF4" w:rsidRDefault="003F76EB" w:rsidP="003F76EB">
      <w:pPr>
        <w:spacing w:after="0" w:line="240" w:lineRule="auto"/>
      </w:pPr>
      <w:r w:rsidRPr="00201CF4">
        <w:t>#3           #1 or #2                751</w:t>
      </w:r>
    </w:p>
    <w:p w:rsidR="003F76EB" w:rsidRPr="00201CF4" w:rsidRDefault="003F76EB" w:rsidP="003F76EB">
      <w:pPr>
        <w:spacing w:after="0" w:line="240" w:lineRule="auto"/>
      </w:pPr>
      <w:r w:rsidRPr="00201CF4">
        <w:t xml:space="preserve">#4           </w:t>
      </w:r>
      <w:proofErr w:type="spellStart"/>
      <w:r w:rsidRPr="00201CF4">
        <w:t>MeSH</w:t>
      </w:r>
      <w:proofErr w:type="spellEnd"/>
      <w:r w:rsidRPr="00201CF4">
        <w:t xml:space="preserve"> descriptor: [Total Disc Replacement] explode all trees       13</w:t>
      </w:r>
    </w:p>
    <w:p w:rsidR="003F76EB" w:rsidRPr="00201CF4" w:rsidRDefault="003F76EB" w:rsidP="003F76EB">
      <w:pPr>
        <w:spacing w:after="0" w:line="240" w:lineRule="auto"/>
      </w:pPr>
      <w:r w:rsidRPr="00201CF4">
        <w:t xml:space="preserve">#5           </w:t>
      </w:r>
      <w:proofErr w:type="spellStart"/>
      <w:r w:rsidRPr="00201CF4">
        <w:t>MeSH</w:t>
      </w:r>
      <w:proofErr w:type="spellEnd"/>
      <w:r w:rsidRPr="00201CF4">
        <w:t xml:space="preserve"> descriptor: [Spinal Fractures] explode all trees      578</w:t>
      </w:r>
    </w:p>
    <w:p w:rsidR="003F76EB" w:rsidRPr="00201CF4" w:rsidRDefault="003F76EB" w:rsidP="003F76EB">
      <w:pPr>
        <w:spacing w:after="0" w:line="240" w:lineRule="auto"/>
      </w:pPr>
      <w:r w:rsidRPr="00201CF4">
        <w:t>#6           #4 or #5                591</w:t>
      </w:r>
    </w:p>
    <w:p w:rsidR="003F76EB" w:rsidRPr="00201CF4" w:rsidRDefault="003F76EB" w:rsidP="003F76EB">
      <w:pPr>
        <w:spacing w:after="0" w:line="240" w:lineRule="auto"/>
      </w:pPr>
      <w:r w:rsidRPr="00201CF4">
        <w:t>#7           #3 not #6             713</w:t>
      </w:r>
    </w:p>
    <w:p w:rsidR="003F76EB" w:rsidRPr="00201CF4" w:rsidRDefault="003F76EB" w:rsidP="003F76EB">
      <w:pPr>
        <w:spacing w:after="0" w:line="240" w:lineRule="auto"/>
      </w:pPr>
      <w:proofErr w:type="gramStart"/>
      <w:r w:rsidRPr="00201CF4">
        <w:t xml:space="preserve">#8           </w:t>
      </w:r>
      <w:proofErr w:type="spellStart"/>
      <w:r w:rsidRPr="00201CF4">
        <w:t>MeSH</w:t>
      </w:r>
      <w:proofErr w:type="spellEnd"/>
      <w:r w:rsidRPr="00201CF4">
        <w:t xml:space="preserve"> descriptor:</w:t>
      </w:r>
      <w:proofErr w:type="gramEnd"/>
      <w:r w:rsidRPr="00201CF4">
        <w:t xml:space="preserve"> [Lumbar Vertebrae] explode all trees 1885</w:t>
      </w:r>
    </w:p>
    <w:p w:rsidR="003F76EB" w:rsidRPr="00201CF4" w:rsidRDefault="003F76EB" w:rsidP="003F76EB">
      <w:pPr>
        <w:spacing w:after="0" w:line="240" w:lineRule="auto"/>
      </w:pPr>
      <w:r w:rsidRPr="00201CF4">
        <w:t xml:space="preserve">#9           </w:t>
      </w:r>
      <w:proofErr w:type="spellStart"/>
      <w:r w:rsidRPr="00201CF4">
        <w:t>MeSH</w:t>
      </w:r>
      <w:proofErr w:type="spellEnd"/>
      <w:r w:rsidRPr="00201CF4">
        <w:t xml:space="preserve"> descriptor: [Cervical Vertebrae] explode all trees                662</w:t>
      </w:r>
    </w:p>
    <w:p w:rsidR="003F76EB" w:rsidRPr="00201CF4" w:rsidRDefault="003F76EB" w:rsidP="003F76EB">
      <w:pPr>
        <w:spacing w:after="0" w:line="240" w:lineRule="auto"/>
      </w:pPr>
      <w:r w:rsidRPr="00201CF4">
        <w:t xml:space="preserve">#10         </w:t>
      </w:r>
      <w:proofErr w:type="spellStart"/>
      <w:r w:rsidRPr="00201CF4">
        <w:t>MeSH</w:t>
      </w:r>
      <w:proofErr w:type="spellEnd"/>
      <w:r w:rsidRPr="00201CF4">
        <w:t xml:space="preserve"> descriptor: [Neck] explode all trees           373</w:t>
      </w:r>
    </w:p>
    <w:p w:rsidR="003F76EB" w:rsidRPr="00201CF4" w:rsidRDefault="003F76EB" w:rsidP="003F76EB">
      <w:pPr>
        <w:spacing w:after="0" w:line="240" w:lineRule="auto"/>
      </w:pPr>
      <w:r w:rsidRPr="00201CF4">
        <w:t>#11         #8 or #9 or #10 2858</w:t>
      </w:r>
    </w:p>
    <w:p w:rsidR="003F76EB" w:rsidRPr="00201CF4" w:rsidRDefault="003F76EB" w:rsidP="003F76EB">
      <w:pPr>
        <w:spacing w:after="0" w:line="240" w:lineRule="auto"/>
      </w:pPr>
      <w:r w:rsidRPr="00201CF4">
        <w:t>#12         #7 and #11          437</w:t>
      </w:r>
    </w:p>
    <w:p w:rsidR="003F76EB" w:rsidRPr="00201CF4" w:rsidRDefault="003F76EB" w:rsidP="003F76EB">
      <w:pPr>
        <w:spacing w:after="0" w:line="240" w:lineRule="auto"/>
      </w:pPr>
      <w:r w:rsidRPr="00201CF4">
        <w:t xml:space="preserve">#13         </w:t>
      </w:r>
      <w:proofErr w:type="spellStart"/>
      <w:r w:rsidRPr="00201CF4">
        <w:t>MeSH</w:t>
      </w:r>
      <w:proofErr w:type="spellEnd"/>
      <w:r w:rsidRPr="00201CF4">
        <w:t xml:space="preserve"> descriptor: [Bone Morphogenetic Proteins] explode all trees        121</w:t>
      </w:r>
    </w:p>
    <w:p w:rsidR="003F76EB" w:rsidRPr="00201CF4" w:rsidRDefault="003F76EB" w:rsidP="003F76EB">
      <w:pPr>
        <w:spacing w:after="0" w:line="240" w:lineRule="auto"/>
      </w:pPr>
      <w:r w:rsidRPr="00201CF4">
        <w:t xml:space="preserve">#14         </w:t>
      </w:r>
      <w:proofErr w:type="spellStart"/>
      <w:r w:rsidRPr="00201CF4">
        <w:t>MeSH</w:t>
      </w:r>
      <w:proofErr w:type="spellEnd"/>
      <w:r w:rsidRPr="00201CF4">
        <w:t xml:space="preserve"> descriptor: [Bone Morphogenetic Protein 7] explode all trees       17</w:t>
      </w:r>
    </w:p>
    <w:p w:rsidR="003F76EB" w:rsidRPr="00201CF4" w:rsidRDefault="003F76EB" w:rsidP="003F76EB">
      <w:pPr>
        <w:spacing w:after="0" w:line="240" w:lineRule="auto"/>
      </w:pPr>
      <w:r w:rsidRPr="00201CF4">
        <w:t>#15         #13 or #14           121</w:t>
      </w:r>
    </w:p>
    <w:p w:rsidR="003F76EB" w:rsidRPr="00201CF4" w:rsidRDefault="003F76EB" w:rsidP="003F76EB">
      <w:pPr>
        <w:spacing w:after="0" w:line="240" w:lineRule="auto"/>
      </w:pPr>
      <w:r w:rsidRPr="00201CF4">
        <w:t>#16         #12 and #15        38</w:t>
      </w:r>
    </w:p>
    <w:p w:rsidR="003F76EB" w:rsidRPr="00201CF4" w:rsidRDefault="003F76EB" w:rsidP="003F76EB">
      <w:pPr>
        <w:spacing w:after="0" w:line="240" w:lineRule="auto"/>
      </w:pPr>
      <w:r w:rsidRPr="00201CF4">
        <w:t xml:space="preserve">#17         </w:t>
      </w:r>
      <w:proofErr w:type="spellStart"/>
      <w:r w:rsidRPr="00201CF4">
        <w:t>MeSH</w:t>
      </w:r>
      <w:proofErr w:type="spellEnd"/>
      <w:r w:rsidRPr="00201CF4">
        <w:t xml:space="preserve"> descriptor: [Bone Cements] explode all trees        297</w:t>
      </w:r>
    </w:p>
    <w:p w:rsidR="003F76EB" w:rsidRPr="00201CF4" w:rsidRDefault="003F76EB" w:rsidP="003F76EB">
      <w:pPr>
        <w:spacing w:after="0" w:line="240" w:lineRule="auto"/>
      </w:pPr>
      <w:r w:rsidRPr="00201CF4">
        <w:t xml:space="preserve">#18         </w:t>
      </w:r>
      <w:proofErr w:type="spellStart"/>
      <w:r w:rsidRPr="00201CF4">
        <w:t>MeSH</w:t>
      </w:r>
      <w:proofErr w:type="spellEnd"/>
      <w:r w:rsidRPr="00201CF4">
        <w:t xml:space="preserve"> descriptor: [</w:t>
      </w:r>
      <w:proofErr w:type="spellStart"/>
      <w:r w:rsidRPr="00201CF4">
        <w:t>Polymethyl</w:t>
      </w:r>
      <w:proofErr w:type="spellEnd"/>
      <w:r w:rsidRPr="00201CF4">
        <w:t xml:space="preserve"> Methacrylate] explode all trees</w:t>
      </w:r>
      <w:proofErr w:type="gramStart"/>
      <w:r w:rsidRPr="00201CF4">
        <w:t>  161</w:t>
      </w:r>
      <w:proofErr w:type="gramEnd"/>
    </w:p>
    <w:p w:rsidR="003F76EB" w:rsidRPr="00201CF4" w:rsidRDefault="003F76EB" w:rsidP="003F76EB">
      <w:pPr>
        <w:spacing w:after="0" w:line="240" w:lineRule="auto"/>
      </w:pPr>
      <w:r w:rsidRPr="00201CF4">
        <w:t xml:space="preserve">#19         </w:t>
      </w:r>
      <w:proofErr w:type="spellStart"/>
      <w:r w:rsidRPr="00201CF4">
        <w:t>MeSH</w:t>
      </w:r>
      <w:proofErr w:type="spellEnd"/>
      <w:r w:rsidRPr="00201CF4">
        <w:t xml:space="preserve"> descriptor: [Ceramics] explode all trees   431</w:t>
      </w:r>
    </w:p>
    <w:p w:rsidR="003F76EB" w:rsidRPr="00201CF4" w:rsidRDefault="003F76EB" w:rsidP="003F76EB">
      <w:pPr>
        <w:spacing w:after="0" w:line="240" w:lineRule="auto"/>
      </w:pPr>
      <w:r w:rsidRPr="00201CF4">
        <w:t xml:space="preserve">#20         </w:t>
      </w:r>
      <w:proofErr w:type="spellStart"/>
      <w:r w:rsidRPr="00201CF4">
        <w:t>MeSH</w:t>
      </w:r>
      <w:proofErr w:type="spellEnd"/>
      <w:r w:rsidRPr="00201CF4">
        <w:t xml:space="preserve"> descriptor: [Calcium Phosphates] explode all trees             513</w:t>
      </w:r>
    </w:p>
    <w:p w:rsidR="003F76EB" w:rsidRPr="00201CF4" w:rsidRDefault="003F76EB" w:rsidP="003F76EB">
      <w:pPr>
        <w:spacing w:after="0" w:line="240" w:lineRule="auto"/>
      </w:pPr>
      <w:r w:rsidRPr="00201CF4">
        <w:t xml:space="preserve">#21         </w:t>
      </w:r>
      <w:proofErr w:type="spellStart"/>
      <w:r w:rsidRPr="00201CF4">
        <w:t>MeSH</w:t>
      </w:r>
      <w:proofErr w:type="spellEnd"/>
      <w:r w:rsidRPr="00201CF4">
        <w:t xml:space="preserve"> descriptor: [</w:t>
      </w:r>
      <w:proofErr w:type="spellStart"/>
      <w:r w:rsidRPr="00201CF4">
        <w:t>Durapatite</w:t>
      </w:r>
      <w:proofErr w:type="spellEnd"/>
      <w:r w:rsidRPr="00201CF4">
        <w:t>] explode all trees                251</w:t>
      </w:r>
    </w:p>
    <w:p w:rsidR="003F76EB" w:rsidRPr="00201CF4" w:rsidRDefault="003F76EB" w:rsidP="003F76EB">
      <w:pPr>
        <w:spacing w:after="0" w:line="240" w:lineRule="auto"/>
      </w:pPr>
      <w:r w:rsidRPr="00201CF4">
        <w:t xml:space="preserve">#22         </w:t>
      </w:r>
      <w:proofErr w:type="spellStart"/>
      <w:r w:rsidRPr="00201CF4">
        <w:t>MeSH</w:t>
      </w:r>
      <w:proofErr w:type="spellEnd"/>
      <w:r w:rsidRPr="00201CF4">
        <w:t xml:space="preserve"> descriptor: [</w:t>
      </w:r>
      <w:proofErr w:type="spellStart"/>
      <w:r w:rsidRPr="00201CF4">
        <w:t>Polymethyl</w:t>
      </w:r>
      <w:proofErr w:type="spellEnd"/>
      <w:r w:rsidRPr="00201CF4">
        <w:t xml:space="preserve"> Methacrylate] explode all trees</w:t>
      </w:r>
      <w:proofErr w:type="gramStart"/>
      <w:r w:rsidRPr="00201CF4">
        <w:t>  161</w:t>
      </w:r>
      <w:proofErr w:type="gramEnd"/>
    </w:p>
    <w:p w:rsidR="003F76EB" w:rsidRPr="00201CF4" w:rsidRDefault="003F76EB" w:rsidP="003F76EB">
      <w:pPr>
        <w:spacing w:after="0" w:line="240" w:lineRule="auto"/>
      </w:pPr>
      <w:r w:rsidRPr="00201CF4">
        <w:t>#23         #17 or #18 or #19 or #20 or #21 or #22    1317</w:t>
      </w:r>
    </w:p>
    <w:p w:rsidR="003F76EB" w:rsidRPr="00201CF4" w:rsidRDefault="003F76EB" w:rsidP="003F76EB">
      <w:pPr>
        <w:spacing w:after="0" w:line="240" w:lineRule="auto"/>
      </w:pPr>
      <w:r w:rsidRPr="00201CF4">
        <w:t xml:space="preserve">#24         </w:t>
      </w:r>
      <w:proofErr w:type="spellStart"/>
      <w:r w:rsidRPr="00201CF4">
        <w:t>MeSH</w:t>
      </w:r>
      <w:proofErr w:type="spellEnd"/>
      <w:r w:rsidRPr="00201CF4">
        <w:t xml:space="preserve"> descriptor: [Bone Matrix] explode all trees             125</w:t>
      </w:r>
    </w:p>
    <w:p w:rsidR="003F76EB" w:rsidRPr="00201CF4" w:rsidRDefault="003F76EB" w:rsidP="003F76EB">
      <w:pPr>
        <w:spacing w:after="0" w:line="240" w:lineRule="auto"/>
      </w:pPr>
      <w:r w:rsidRPr="00201CF4">
        <w:t xml:space="preserve">#25         </w:t>
      </w:r>
      <w:proofErr w:type="spellStart"/>
      <w:r w:rsidRPr="00201CF4">
        <w:t>MeSH</w:t>
      </w:r>
      <w:proofErr w:type="spellEnd"/>
      <w:r w:rsidRPr="00201CF4">
        <w:t xml:space="preserve"> descriptor: [Transplantation, Homologous] explode all trees          1144</w:t>
      </w:r>
    </w:p>
    <w:p w:rsidR="003F76EB" w:rsidRPr="00201CF4" w:rsidRDefault="003F76EB" w:rsidP="003F76EB">
      <w:pPr>
        <w:spacing w:after="0" w:line="240" w:lineRule="auto"/>
      </w:pPr>
      <w:proofErr w:type="gramStart"/>
      <w:r w:rsidRPr="00201CF4">
        <w:t xml:space="preserve">#26         </w:t>
      </w:r>
      <w:proofErr w:type="spellStart"/>
      <w:r w:rsidRPr="00201CF4">
        <w:t>MeSH</w:t>
      </w:r>
      <w:proofErr w:type="spellEnd"/>
      <w:r w:rsidRPr="00201CF4">
        <w:t xml:space="preserve"> descriptor:</w:t>
      </w:r>
      <w:proofErr w:type="gramEnd"/>
      <w:r w:rsidRPr="00201CF4">
        <w:t xml:space="preserve"> [Stem Cells] explode all trees 505</w:t>
      </w:r>
    </w:p>
    <w:p w:rsidR="003F76EB" w:rsidRPr="00201CF4" w:rsidRDefault="003F76EB" w:rsidP="003F76EB">
      <w:pPr>
        <w:spacing w:after="0" w:line="240" w:lineRule="auto"/>
      </w:pPr>
      <w:r w:rsidRPr="00201CF4">
        <w:t xml:space="preserve">#27         </w:t>
      </w:r>
      <w:proofErr w:type="spellStart"/>
      <w:r w:rsidRPr="00201CF4">
        <w:t>MeSH</w:t>
      </w:r>
      <w:proofErr w:type="spellEnd"/>
      <w:r w:rsidRPr="00201CF4">
        <w:t xml:space="preserve"> descriptor: [Platelet Activating Factor] explode all trees   145</w:t>
      </w:r>
    </w:p>
    <w:p w:rsidR="003F76EB" w:rsidRPr="00201CF4" w:rsidRDefault="003F76EB" w:rsidP="003F76EB">
      <w:pPr>
        <w:spacing w:after="0" w:line="240" w:lineRule="auto"/>
      </w:pPr>
      <w:r w:rsidRPr="00201CF4">
        <w:t>#28         #23 or #24 or #25 or #26 or #27 3183</w:t>
      </w:r>
    </w:p>
    <w:p w:rsidR="003F76EB" w:rsidRPr="00201CF4" w:rsidRDefault="003F76EB" w:rsidP="003F76EB">
      <w:pPr>
        <w:spacing w:after="0" w:line="240" w:lineRule="auto"/>
      </w:pPr>
      <w:r w:rsidRPr="00201CF4">
        <w:lastRenderedPageBreak/>
        <w:t xml:space="preserve">#29         </w:t>
      </w:r>
      <w:proofErr w:type="spellStart"/>
      <w:r w:rsidRPr="00201CF4">
        <w:t>MeSH</w:t>
      </w:r>
      <w:proofErr w:type="spellEnd"/>
      <w:r w:rsidRPr="00201CF4">
        <w:t xml:space="preserve"> descriptor: [Cost-Benefit Analysis] explode all trees           14660</w:t>
      </w:r>
    </w:p>
    <w:p w:rsidR="003F76EB" w:rsidRPr="00201CF4" w:rsidRDefault="003F76EB" w:rsidP="003F76EB">
      <w:pPr>
        <w:spacing w:after="0" w:line="240" w:lineRule="auto"/>
      </w:pPr>
      <w:proofErr w:type="gramStart"/>
      <w:r w:rsidRPr="00201CF4">
        <w:t xml:space="preserve">#30         </w:t>
      </w:r>
      <w:proofErr w:type="spellStart"/>
      <w:r w:rsidRPr="00201CF4">
        <w:t>MeSH</w:t>
      </w:r>
      <w:proofErr w:type="spellEnd"/>
      <w:r w:rsidRPr="00201CF4">
        <w:t xml:space="preserve"> descriptor:</w:t>
      </w:r>
      <w:proofErr w:type="gramEnd"/>
      <w:r w:rsidRPr="00201CF4">
        <w:t xml:space="preserve"> [Models, Economic] explode all trees 1746</w:t>
      </w:r>
    </w:p>
    <w:p w:rsidR="003F76EB" w:rsidRPr="00201CF4" w:rsidRDefault="003F76EB" w:rsidP="003F76EB">
      <w:pPr>
        <w:spacing w:after="0" w:line="240" w:lineRule="auto"/>
      </w:pPr>
      <w:r w:rsidRPr="00201CF4">
        <w:t xml:space="preserve">#31         </w:t>
      </w:r>
      <w:proofErr w:type="spellStart"/>
      <w:r w:rsidRPr="00201CF4">
        <w:t>MeSH</w:t>
      </w:r>
      <w:proofErr w:type="spellEnd"/>
      <w:r w:rsidRPr="00201CF4">
        <w:t xml:space="preserve"> descriptor: [Quality-Adjusted Life Years] explode all trees               3329</w:t>
      </w:r>
    </w:p>
    <w:p w:rsidR="003F76EB" w:rsidRPr="00201CF4" w:rsidRDefault="003F76EB" w:rsidP="003F76EB">
      <w:pPr>
        <w:spacing w:after="0" w:line="240" w:lineRule="auto"/>
      </w:pPr>
      <w:r w:rsidRPr="00201CF4">
        <w:t>#32         #29 or #30 or #31             15159</w:t>
      </w:r>
    </w:p>
    <w:p w:rsidR="003F76EB" w:rsidRPr="00201CF4" w:rsidRDefault="003F76EB" w:rsidP="003F76EB">
      <w:pPr>
        <w:spacing w:after="0" w:line="240" w:lineRule="auto"/>
      </w:pPr>
      <w:r w:rsidRPr="00201CF4">
        <w:t>#33         #15 or #23 or #28             3289</w:t>
      </w:r>
    </w:p>
    <w:p w:rsidR="003F76EB" w:rsidRPr="00540174" w:rsidRDefault="003F76EB" w:rsidP="003F76EB">
      <w:pPr>
        <w:spacing w:after="0" w:line="240" w:lineRule="auto"/>
        <w:rPr>
          <w:b/>
        </w:rPr>
      </w:pPr>
      <w:r w:rsidRPr="00540174">
        <w:rPr>
          <w:b/>
        </w:rPr>
        <w:t>#34         #12 and #32 and #33       4</w:t>
      </w:r>
    </w:p>
    <w:p w:rsidR="003F76EB" w:rsidRPr="00201CF4" w:rsidRDefault="003F76EB" w:rsidP="003F76EB"/>
    <w:p w:rsidR="001715B1" w:rsidRPr="0020560C" w:rsidRDefault="00E519F0">
      <w:pPr>
        <w:rPr>
          <w:rFonts w:cs="Times New Roman"/>
          <w:sz w:val="20"/>
          <w:szCs w:val="20"/>
        </w:rPr>
      </w:pPr>
      <w:r w:rsidRPr="0020560C">
        <w:rPr>
          <w:rFonts w:cs="Times New Roman"/>
          <w:b/>
          <w:sz w:val="20"/>
          <w:szCs w:val="20"/>
        </w:rPr>
        <w:br w:type="page"/>
      </w:r>
      <w:r w:rsidR="0020560C">
        <w:rPr>
          <w:b/>
          <w:sz w:val="20"/>
          <w:szCs w:val="20"/>
        </w:rPr>
        <w:lastRenderedPageBreak/>
        <w:t>Supplemental Material Section B:</w:t>
      </w:r>
      <w:r w:rsidRPr="0020560C">
        <w:rPr>
          <w:rFonts w:cs="Times New Roman"/>
          <w:b/>
          <w:sz w:val="20"/>
          <w:szCs w:val="20"/>
        </w:rPr>
        <w:t xml:space="preserve"> Studies excluded after full text review with reason for exclusion.</w:t>
      </w:r>
    </w:p>
    <w:tbl>
      <w:tblPr>
        <w:tblStyle w:val="TableGrid"/>
        <w:tblW w:w="5000" w:type="pct"/>
        <w:tblLook w:val="04A0" w:firstRow="1" w:lastRow="0" w:firstColumn="1" w:lastColumn="0" w:noHBand="0" w:noVBand="1"/>
      </w:tblPr>
      <w:tblGrid>
        <w:gridCol w:w="6588"/>
        <w:gridCol w:w="2988"/>
      </w:tblGrid>
      <w:tr w:rsidR="00D549B7" w:rsidRPr="0020560C" w:rsidTr="00714FD0">
        <w:tc>
          <w:tcPr>
            <w:tcW w:w="3440" w:type="pct"/>
          </w:tcPr>
          <w:p w:rsidR="00D549B7" w:rsidRPr="0020560C" w:rsidRDefault="00D549B7">
            <w:pPr>
              <w:rPr>
                <w:rFonts w:cs="Times New Roman"/>
                <w:b/>
                <w:sz w:val="20"/>
                <w:szCs w:val="20"/>
              </w:rPr>
            </w:pPr>
            <w:r w:rsidRPr="0020560C">
              <w:rPr>
                <w:rFonts w:cs="Times New Roman"/>
                <w:b/>
                <w:sz w:val="20"/>
                <w:szCs w:val="20"/>
              </w:rPr>
              <w:t xml:space="preserve">Study </w:t>
            </w:r>
          </w:p>
        </w:tc>
        <w:tc>
          <w:tcPr>
            <w:tcW w:w="1560" w:type="pct"/>
          </w:tcPr>
          <w:p w:rsidR="00D549B7" w:rsidRPr="0020560C" w:rsidRDefault="00D549B7">
            <w:pPr>
              <w:rPr>
                <w:rFonts w:cs="Times New Roman"/>
                <w:b/>
                <w:sz w:val="20"/>
                <w:szCs w:val="20"/>
              </w:rPr>
            </w:pPr>
            <w:r w:rsidRPr="0020560C">
              <w:rPr>
                <w:rFonts w:cs="Times New Roman"/>
                <w:b/>
                <w:sz w:val="20"/>
                <w:szCs w:val="20"/>
              </w:rPr>
              <w:t>Reason for exclusion</w:t>
            </w:r>
          </w:p>
        </w:tc>
      </w:tr>
      <w:tr w:rsidR="00D549B7" w:rsidRPr="0020560C" w:rsidTr="00714FD0">
        <w:tc>
          <w:tcPr>
            <w:tcW w:w="3440" w:type="pct"/>
          </w:tcPr>
          <w:p w:rsidR="00D549B7" w:rsidRPr="0020560C" w:rsidRDefault="00D549B7" w:rsidP="00897DC9">
            <w:pPr>
              <w:pStyle w:val="ListParagraph"/>
              <w:numPr>
                <w:ilvl w:val="0"/>
                <w:numId w:val="1"/>
              </w:numPr>
              <w:tabs>
                <w:tab w:val="left" w:pos="2244"/>
              </w:tabs>
              <w:rPr>
                <w:rFonts w:cs="Times New Roman"/>
                <w:sz w:val="20"/>
                <w:szCs w:val="20"/>
              </w:rPr>
            </w:pPr>
            <w:r w:rsidRPr="0020560C">
              <w:rPr>
                <w:rFonts w:cs="Times New Roman"/>
                <w:sz w:val="20"/>
                <w:szCs w:val="20"/>
              </w:rPr>
              <w:t xml:space="preserve">Ackerman SJ, </w:t>
            </w:r>
            <w:proofErr w:type="spellStart"/>
            <w:r w:rsidRPr="0020560C">
              <w:rPr>
                <w:rFonts w:cs="Times New Roman"/>
                <w:sz w:val="20"/>
                <w:szCs w:val="20"/>
              </w:rPr>
              <w:t>Mafilios</w:t>
            </w:r>
            <w:proofErr w:type="spellEnd"/>
            <w:r w:rsidRPr="0020560C">
              <w:rPr>
                <w:rFonts w:cs="Times New Roman"/>
                <w:sz w:val="20"/>
                <w:szCs w:val="20"/>
              </w:rPr>
              <w:t xml:space="preserve"> MS, Polly DW, Jr. Economic evaluation of bone morphogenetic protein versus </w:t>
            </w:r>
            <w:proofErr w:type="spellStart"/>
            <w:r w:rsidRPr="0020560C">
              <w:rPr>
                <w:rFonts w:cs="Times New Roman"/>
                <w:sz w:val="20"/>
                <w:szCs w:val="20"/>
              </w:rPr>
              <w:t>autogenous</w:t>
            </w:r>
            <w:proofErr w:type="spellEnd"/>
            <w:r w:rsidRPr="0020560C">
              <w:rPr>
                <w:rFonts w:cs="Times New Roman"/>
                <w:sz w:val="20"/>
                <w:szCs w:val="20"/>
              </w:rPr>
              <w:t xml:space="preserve"> iliac crest bone graft in single-level anterior lumbar fusion: an evidence-based modeling approach. Spine (</w:t>
            </w:r>
            <w:proofErr w:type="spellStart"/>
            <w:r w:rsidRPr="0020560C">
              <w:rPr>
                <w:rFonts w:cs="Times New Roman"/>
                <w:sz w:val="20"/>
                <w:szCs w:val="20"/>
              </w:rPr>
              <w:t>Phila</w:t>
            </w:r>
            <w:proofErr w:type="spellEnd"/>
            <w:r w:rsidRPr="0020560C">
              <w:rPr>
                <w:rFonts w:cs="Times New Roman"/>
                <w:sz w:val="20"/>
                <w:szCs w:val="20"/>
              </w:rPr>
              <w:t xml:space="preserve"> Pa 1976) 2002</w:t>
            </w:r>
            <w:proofErr w:type="gramStart"/>
            <w:r w:rsidRPr="0020560C">
              <w:rPr>
                <w:rFonts w:cs="Times New Roman"/>
                <w:sz w:val="20"/>
                <w:szCs w:val="20"/>
              </w:rPr>
              <w:t>;27:S94</w:t>
            </w:r>
            <w:proofErr w:type="gramEnd"/>
            <w:r w:rsidRPr="0020560C">
              <w:rPr>
                <w:rFonts w:cs="Times New Roman"/>
                <w:sz w:val="20"/>
                <w:szCs w:val="20"/>
              </w:rPr>
              <w:t>-9.</w:t>
            </w:r>
          </w:p>
        </w:tc>
        <w:tc>
          <w:tcPr>
            <w:tcW w:w="1560" w:type="pct"/>
          </w:tcPr>
          <w:p w:rsidR="00D549B7" w:rsidRPr="0020560C" w:rsidRDefault="00C52AFB">
            <w:pPr>
              <w:rPr>
                <w:rFonts w:cs="Times New Roman"/>
                <w:sz w:val="20"/>
                <w:szCs w:val="20"/>
              </w:rPr>
            </w:pPr>
            <w:r>
              <w:rPr>
                <w:rFonts w:cs="Times New Roman"/>
                <w:sz w:val="20"/>
                <w:szCs w:val="20"/>
              </w:rPr>
              <w:t xml:space="preserve">Costing only, not a full economic analysis; </w:t>
            </w:r>
            <w:r w:rsidR="00D549B7" w:rsidRPr="0020560C">
              <w:rPr>
                <w:rFonts w:cs="Times New Roman"/>
                <w:sz w:val="20"/>
                <w:szCs w:val="20"/>
              </w:rPr>
              <w:t>preliminary study only.</w:t>
            </w:r>
          </w:p>
        </w:tc>
      </w:tr>
      <w:tr w:rsidR="00D549B7" w:rsidRPr="0020560C" w:rsidTr="00714FD0">
        <w:tc>
          <w:tcPr>
            <w:tcW w:w="3440" w:type="pct"/>
          </w:tcPr>
          <w:p w:rsidR="00D549B7" w:rsidRPr="0020560C" w:rsidRDefault="00D549B7" w:rsidP="00897DC9">
            <w:pPr>
              <w:pStyle w:val="ListParagraph"/>
              <w:numPr>
                <w:ilvl w:val="0"/>
                <w:numId w:val="1"/>
              </w:numPr>
              <w:rPr>
                <w:rFonts w:cs="Times New Roman"/>
                <w:sz w:val="20"/>
                <w:szCs w:val="20"/>
              </w:rPr>
            </w:pPr>
            <w:proofErr w:type="spellStart"/>
            <w:r w:rsidRPr="0020560C">
              <w:rPr>
                <w:rFonts w:cs="Times New Roman"/>
                <w:sz w:val="20"/>
                <w:szCs w:val="20"/>
              </w:rPr>
              <w:t>Bhadra</w:t>
            </w:r>
            <w:proofErr w:type="spellEnd"/>
            <w:r w:rsidRPr="0020560C">
              <w:rPr>
                <w:rFonts w:cs="Times New Roman"/>
                <w:sz w:val="20"/>
                <w:szCs w:val="20"/>
              </w:rPr>
              <w:t xml:space="preserve"> AK, Raman AS, Casey AT, Crawford RJ. Single-level cervical radiculopathy: clinical outcome and cost-effectiveness of four techniques of anterior cervical discectomy and fusion and disc arthroplasty. European spine </w:t>
            </w:r>
            <w:proofErr w:type="gramStart"/>
            <w:r w:rsidRPr="0020560C">
              <w:rPr>
                <w:rFonts w:cs="Times New Roman"/>
                <w:sz w:val="20"/>
                <w:szCs w:val="20"/>
              </w:rPr>
              <w:t>journal :</w:t>
            </w:r>
            <w:proofErr w:type="gramEnd"/>
            <w:r w:rsidRPr="0020560C">
              <w:rPr>
                <w:rFonts w:cs="Times New Roman"/>
                <w:sz w:val="20"/>
                <w:szCs w:val="20"/>
              </w:rPr>
              <w:t xml:space="preserve"> official publication of the European Spine Society, the European Spinal Deformity Society, and the European Section of the Cervical Spine Research Society 2009;18:232-7.</w:t>
            </w:r>
          </w:p>
        </w:tc>
        <w:tc>
          <w:tcPr>
            <w:tcW w:w="1560" w:type="pct"/>
          </w:tcPr>
          <w:p w:rsidR="00D549B7" w:rsidRPr="0020560C" w:rsidRDefault="00C52AFB">
            <w:pPr>
              <w:rPr>
                <w:rFonts w:cs="Times New Roman"/>
                <w:sz w:val="20"/>
                <w:szCs w:val="20"/>
              </w:rPr>
            </w:pPr>
            <w:r>
              <w:rPr>
                <w:rFonts w:cs="Times New Roman"/>
                <w:sz w:val="20"/>
                <w:szCs w:val="20"/>
              </w:rPr>
              <w:t>Costing only, not a full economic analysis.</w:t>
            </w:r>
          </w:p>
        </w:tc>
      </w:tr>
      <w:tr w:rsidR="00C52AFB" w:rsidRPr="0020560C" w:rsidTr="00714FD0">
        <w:tc>
          <w:tcPr>
            <w:tcW w:w="3440" w:type="pct"/>
          </w:tcPr>
          <w:p w:rsidR="00C52AFB" w:rsidRPr="0020560C" w:rsidRDefault="00C52AFB" w:rsidP="00897DC9">
            <w:pPr>
              <w:pStyle w:val="ListParagraph"/>
              <w:numPr>
                <w:ilvl w:val="0"/>
                <w:numId w:val="1"/>
              </w:numPr>
              <w:autoSpaceDE w:val="0"/>
              <w:autoSpaceDN w:val="0"/>
              <w:adjustRightInd w:val="0"/>
              <w:rPr>
                <w:rFonts w:cs="Times New Roman"/>
                <w:sz w:val="20"/>
                <w:szCs w:val="20"/>
              </w:rPr>
            </w:pPr>
            <w:r w:rsidRPr="0020560C">
              <w:rPr>
                <w:rFonts w:cs="Times New Roman"/>
                <w:sz w:val="20"/>
                <w:szCs w:val="20"/>
              </w:rPr>
              <w:t>Cahill KS, Chi JH, Day A, Claus EB. Prevalence, complications, and hospital charges associated with use of bone-morphogenetic proteins in spinal fusion procedures. JAMA 2009</w:t>
            </w:r>
            <w:proofErr w:type="gramStart"/>
            <w:r w:rsidRPr="0020560C">
              <w:rPr>
                <w:rFonts w:cs="Times New Roman"/>
                <w:sz w:val="20"/>
                <w:szCs w:val="20"/>
              </w:rPr>
              <w:t>;302:58</w:t>
            </w:r>
            <w:proofErr w:type="gramEnd"/>
            <w:r w:rsidRPr="0020560C">
              <w:rPr>
                <w:rFonts w:cs="Times New Roman"/>
                <w:sz w:val="20"/>
                <w:szCs w:val="20"/>
              </w:rPr>
              <w:t>-66.</w:t>
            </w:r>
          </w:p>
          <w:p w:rsidR="00C52AFB" w:rsidRPr="0020560C" w:rsidRDefault="00C52AFB">
            <w:pPr>
              <w:rPr>
                <w:rFonts w:cs="Times New Roman"/>
                <w:sz w:val="20"/>
                <w:szCs w:val="20"/>
              </w:rPr>
            </w:pPr>
          </w:p>
        </w:tc>
        <w:tc>
          <w:tcPr>
            <w:tcW w:w="1560" w:type="pct"/>
          </w:tcPr>
          <w:p w:rsidR="00C52AFB" w:rsidRPr="0020560C" w:rsidRDefault="00C52AFB" w:rsidP="000950E2">
            <w:pPr>
              <w:rPr>
                <w:rFonts w:cs="Times New Roman"/>
                <w:sz w:val="20"/>
                <w:szCs w:val="20"/>
              </w:rPr>
            </w:pPr>
            <w:r>
              <w:rPr>
                <w:rFonts w:cs="Times New Roman"/>
                <w:sz w:val="20"/>
                <w:szCs w:val="20"/>
              </w:rPr>
              <w:t>Costing only, not a full economic analysis.</w:t>
            </w:r>
          </w:p>
        </w:tc>
      </w:tr>
      <w:tr w:rsidR="00C52AFB" w:rsidRPr="0020560C" w:rsidTr="00714FD0">
        <w:tc>
          <w:tcPr>
            <w:tcW w:w="3440" w:type="pct"/>
          </w:tcPr>
          <w:p w:rsidR="00C52AFB" w:rsidRPr="0020560C" w:rsidRDefault="00C52AFB" w:rsidP="00897DC9">
            <w:pPr>
              <w:pStyle w:val="ListParagraph"/>
              <w:numPr>
                <w:ilvl w:val="0"/>
                <w:numId w:val="1"/>
              </w:numPr>
              <w:rPr>
                <w:rFonts w:cs="Times New Roman"/>
                <w:sz w:val="20"/>
                <w:szCs w:val="20"/>
              </w:rPr>
            </w:pPr>
            <w:r w:rsidRPr="0020560C">
              <w:rPr>
                <w:rFonts w:cs="Times New Roman"/>
                <w:sz w:val="20"/>
                <w:szCs w:val="20"/>
              </w:rPr>
              <w:t xml:space="preserve">Cahill KS, Chi JH, Groff MW, McGuire K, </w:t>
            </w:r>
            <w:proofErr w:type="spellStart"/>
            <w:r w:rsidRPr="0020560C">
              <w:rPr>
                <w:rFonts w:cs="Times New Roman"/>
                <w:sz w:val="20"/>
                <w:szCs w:val="20"/>
              </w:rPr>
              <w:t>Afendulis</w:t>
            </w:r>
            <w:proofErr w:type="spellEnd"/>
            <w:r w:rsidRPr="0020560C">
              <w:rPr>
                <w:rFonts w:cs="Times New Roman"/>
                <w:sz w:val="20"/>
                <w:szCs w:val="20"/>
              </w:rPr>
              <w:t xml:space="preserve"> CC, Claus EB. Outcomes for single-level lumbar fusion: the role of bone morphogenetic protein. Spine (</w:t>
            </w:r>
            <w:proofErr w:type="spellStart"/>
            <w:r w:rsidRPr="0020560C">
              <w:rPr>
                <w:rFonts w:cs="Times New Roman"/>
                <w:sz w:val="20"/>
                <w:szCs w:val="20"/>
              </w:rPr>
              <w:t>Phila</w:t>
            </w:r>
            <w:proofErr w:type="spellEnd"/>
            <w:r w:rsidRPr="0020560C">
              <w:rPr>
                <w:rFonts w:cs="Times New Roman"/>
                <w:sz w:val="20"/>
                <w:szCs w:val="20"/>
              </w:rPr>
              <w:t xml:space="preserve"> Pa 1976) 2011</w:t>
            </w:r>
            <w:proofErr w:type="gramStart"/>
            <w:r w:rsidRPr="0020560C">
              <w:rPr>
                <w:rFonts w:cs="Times New Roman"/>
                <w:sz w:val="20"/>
                <w:szCs w:val="20"/>
              </w:rPr>
              <w:t>;36:2354</w:t>
            </w:r>
            <w:proofErr w:type="gramEnd"/>
            <w:r w:rsidRPr="0020560C">
              <w:rPr>
                <w:rFonts w:cs="Times New Roman"/>
                <w:sz w:val="20"/>
                <w:szCs w:val="20"/>
              </w:rPr>
              <w:t>-62.</w:t>
            </w:r>
          </w:p>
        </w:tc>
        <w:tc>
          <w:tcPr>
            <w:tcW w:w="1560" w:type="pct"/>
          </w:tcPr>
          <w:p w:rsidR="00C52AFB" w:rsidRPr="0020560C" w:rsidRDefault="00C52AFB" w:rsidP="000950E2">
            <w:pPr>
              <w:rPr>
                <w:rFonts w:cs="Times New Roman"/>
                <w:sz w:val="20"/>
                <w:szCs w:val="20"/>
              </w:rPr>
            </w:pPr>
            <w:r>
              <w:rPr>
                <w:rFonts w:cs="Times New Roman"/>
                <w:sz w:val="20"/>
                <w:szCs w:val="20"/>
              </w:rPr>
              <w:t>Costing only, not a full economic analysis.</w:t>
            </w:r>
          </w:p>
        </w:tc>
      </w:tr>
      <w:tr w:rsidR="00D549B7" w:rsidRPr="0020560C" w:rsidTr="00714FD0">
        <w:tc>
          <w:tcPr>
            <w:tcW w:w="3440" w:type="pct"/>
          </w:tcPr>
          <w:p w:rsidR="00D549B7" w:rsidRPr="0020560C" w:rsidRDefault="00D549B7" w:rsidP="00897DC9">
            <w:pPr>
              <w:pStyle w:val="ListParagraph"/>
              <w:numPr>
                <w:ilvl w:val="0"/>
                <w:numId w:val="1"/>
              </w:numPr>
              <w:rPr>
                <w:rFonts w:cs="Times New Roman"/>
                <w:sz w:val="20"/>
                <w:szCs w:val="20"/>
              </w:rPr>
            </w:pPr>
            <w:proofErr w:type="spellStart"/>
            <w:r w:rsidRPr="0020560C">
              <w:rPr>
                <w:rFonts w:cs="Times New Roman"/>
                <w:sz w:val="20"/>
                <w:szCs w:val="20"/>
              </w:rPr>
              <w:t>Carlqvist</w:t>
            </w:r>
            <w:proofErr w:type="spellEnd"/>
            <w:r w:rsidRPr="0020560C">
              <w:rPr>
                <w:rFonts w:cs="Times New Roman"/>
                <w:sz w:val="20"/>
                <w:szCs w:val="20"/>
              </w:rPr>
              <w:t xml:space="preserve"> P, Dawson S, </w:t>
            </w:r>
            <w:proofErr w:type="spellStart"/>
            <w:r w:rsidRPr="0020560C">
              <w:rPr>
                <w:rFonts w:cs="Times New Roman"/>
                <w:sz w:val="20"/>
                <w:szCs w:val="20"/>
              </w:rPr>
              <w:t>Jeppsson</w:t>
            </w:r>
            <w:proofErr w:type="spellEnd"/>
            <w:r w:rsidRPr="0020560C">
              <w:rPr>
                <w:rFonts w:cs="Times New Roman"/>
                <w:sz w:val="20"/>
                <w:szCs w:val="20"/>
              </w:rPr>
              <w:t xml:space="preserve"> K, </w:t>
            </w:r>
            <w:proofErr w:type="spellStart"/>
            <w:r w:rsidRPr="0020560C">
              <w:rPr>
                <w:rFonts w:cs="Times New Roman"/>
                <w:sz w:val="20"/>
                <w:szCs w:val="20"/>
              </w:rPr>
              <w:t>Borgman</w:t>
            </w:r>
            <w:proofErr w:type="spellEnd"/>
            <w:r w:rsidRPr="0020560C">
              <w:rPr>
                <w:rFonts w:cs="Times New Roman"/>
                <w:sz w:val="20"/>
                <w:szCs w:val="20"/>
              </w:rPr>
              <w:t xml:space="preserve"> B. </w:t>
            </w:r>
            <w:proofErr w:type="spellStart"/>
            <w:r w:rsidRPr="0020560C">
              <w:rPr>
                <w:rFonts w:cs="Times New Roman"/>
                <w:sz w:val="20"/>
                <w:szCs w:val="20"/>
              </w:rPr>
              <w:t>Demineralised</w:t>
            </w:r>
            <w:proofErr w:type="spellEnd"/>
            <w:r w:rsidRPr="0020560C">
              <w:rPr>
                <w:rFonts w:cs="Times New Roman"/>
                <w:sz w:val="20"/>
                <w:szCs w:val="20"/>
              </w:rPr>
              <w:t xml:space="preserve"> bone matrix (DBM) versus iliac crest bone graft (ICBG) for lumbar spinal fusion procedures in the United Kingdom; A budget-impact analysis. Value in Health 2013</w:t>
            </w:r>
            <w:proofErr w:type="gramStart"/>
            <w:r w:rsidRPr="0020560C">
              <w:rPr>
                <w:rFonts w:cs="Times New Roman"/>
                <w:sz w:val="20"/>
                <w:szCs w:val="20"/>
              </w:rPr>
              <w:t>;16:A558</w:t>
            </w:r>
            <w:proofErr w:type="gramEnd"/>
            <w:r w:rsidRPr="0020560C">
              <w:rPr>
                <w:rFonts w:cs="Times New Roman"/>
                <w:sz w:val="20"/>
                <w:szCs w:val="20"/>
              </w:rPr>
              <w:t>.</w:t>
            </w:r>
          </w:p>
        </w:tc>
        <w:tc>
          <w:tcPr>
            <w:tcW w:w="1560" w:type="pct"/>
          </w:tcPr>
          <w:p w:rsidR="00D549B7" w:rsidRPr="0020560C" w:rsidRDefault="00D549B7" w:rsidP="0046104C">
            <w:pPr>
              <w:rPr>
                <w:rFonts w:cs="Times New Roman"/>
                <w:sz w:val="20"/>
                <w:szCs w:val="20"/>
              </w:rPr>
            </w:pPr>
            <w:r w:rsidRPr="0020560C">
              <w:rPr>
                <w:rFonts w:cs="Times New Roman"/>
                <w:sz w:val="20"/>
                <w:szCs w:val="20"/>
              </w:rPr>
              <w:t>Abstract only.</w:t>
            </w:r>
          </w:p>
        </w:tc>
      </w:tr>
      <w:tr w:rsidR="00C52AFB" w:rsidRPr="0020560C" w:rsidTr="00714FD0">
        <w:tc>
          <w:tcPr>
            <w:tcW w:w="3440" w:type="pct"/>
          </w:tcPr>
          <w:p w:rsidR="00C52AFB" w:rsidRPr="0020560C" w:rsidRDefault="00C52AFB" w:rsidP="00897DC9">
            <w:pPr>
              <w:pStyle w:val="ListParagraph"/>
              <w:numPr>
                <w:ilvl w:val="0"/>
                <w:numId w:val="1"/>
              </w:numPr>
              <w:autoSpaceDE w:val="0"/>
              <w:autoSpaceDN w:val="0"/>
              <w:adjustRightInd w:val="0"/>
              <w:rPr>
                <w:rFonts w:cs="Times New Roman"/>
                <w:sz w:val="20"/>
                <w:szCs w:val="20"/>
              </w:rPr>
            </w:pPr>
            <w:r w:rsidRPr="0020560C">
              <w:rPr>
                <w:rFonts w:cs="Times New Roman"/>
                <w:sz w:val="20"/>
                <w:szCs w:val="20"/>
              </w:rPr>
              <w:t xml:space="preserve">Deyo RA, </w:t>
            </w:r>
            <w:proofErr w:type="spellStart"/>
            <w:r w:rsidRPr="0020560C">
              <w:rPr>
                <w:rFonts w:cs="Times New Roman"/>
                <w:sz w:val="20"/>
                <w:szCs w:val="20"/>
              </w:rPr>
              <w:t>Ching</w:t>
            </w:r>
            <w:proofErr w:type="spellEnd"/>
            <w:r w:rsidRPr="0020560C">
              <w:rPr>
                <w:rFonts w:cs="Times New Roman"/>
                <w:sz w:val="20"/>
                <w:szCs w:val="20"/>
              </w:rPr>
              <w:t xml:space="preserve"> A, </w:t>
            </w:r>
            <w:proofErr w:type="spellStart"/>
            <w:proofErr w:type="gramStart"/>
            <w:r w:rsidRPr="0020560C">
              <w:rPr>
                <w:rFonts w:cs="Times New Roman"/>
                <w:sz w:val="20"/>
                <w:szCs w:val="20"/>
              </w:rPr>
              <w:t>Matsen</w:t>
            </w:r>
            <w:proofErr w:type="spellEnd"/>
            <w:proofErr w:type="gramEnd"/>
            <w:r w:rsidRPr="0020560C">
              <w:rPr>
                <w:rFonts w:cs="Times New Roman"/>
                <w:sz w:val="20"/>
                <w:szCs w:val="20"/>
              </w:rPr>
              <w:t xml:space="preserve"> L, et al. Use of bone morphogenetic proteins in spinal fusion surgery for older adults with lumbar stenosis: Trends, complications, repeat surgery, and charges. Spine 2012</w:t>
            </w:r>
            <w:proofErr w:type="gramStart"/>
            <w:r w:rsidRPr="0020560C">
              <w:rPr>
                <w:rFonts w:cs="Times New Roman"/>
                <w:sz w:val="20"/>
                <w:szCs w:val="20"/>
              </w:rPr>
              <w:t>;37:222</w:t>
            </w:r>
            <w:proofErr w:type="gramEnd"/>
            <w:r w:rsidRPr="0020560C">
              <w:rPr>
                <w:rFonts w:cs="Times New Roman"/>
                <w:sz w:val="20"/>
                <w:szCs w:val="20"/>
              </w:rPr>
              <w:t>-30.</w:t>
            </w:r>
          </w:p>
          <w:p w:rsidR="00C52AFB" w:rsidRPr="0020560C" w:rsidRDefault="00C52AFB">
            <w:pPr>
              <w:rPr>
                <w:rFonts w:cs="Times New Roman"/>
                <w:sz w:val="20"/>
                <w:szCs w:val="20"/>
              </w:rPr>
            </w:pPr>
          </w:p>
        </w:tc>
        <w:tc>
          <w:tcPr>
            <w:tcW w:w="1560" w:type="pct"/>
          </w:tcPr>
          <w:p w:rsidR="00C52AFB" w:rsidRPr="0020560C" w:rsidRDefault="00C52AFB" w:rsidP="000950E2">
            <w:pPr>
              <w:rPr>
                <w:rFonts w:cs="Times New Roman"/>
                <w:sz w:val="20"/>
                <w:szCs w:val="20"/>
              </w:rPr>
            </w:pPr>
            <w:r>
              <w:rPr>
                <w:rFonts w:cs="Times New Roman"/>
                <w:sz w:val="20"/>
                <w:szCs w:val="20"/>
              </w:rPr>
              <w:t>Costing only, not a full economic analysis.</w:t>
            </w:r>
          </w:p>
        </w:tc>
      </w:tr>
      <w:tr w:rsidR="00C52AFB" w:rsidRPr="0020560C" w:rsidTr="00714FD0">
        <w:tc>
          <w:tcPr>
            <w:tcW w:w="3440" w:type="pct"/>
          </w:tcPr>
          <w:p w:rsidR="00C52AFB" w:rsidRPr="0020560C" w:rsidRDefault="00C52AFB" w:rsidP="00897DC9">
            <w:pPr>
              <w:pStyle w:val="ListParagraph"/>
              <w:numPr>
                <w:ilvl w:val="0"/>
                <w:numId w:val="1"/>
              </w:numPr>
              <w:rPr>
                <w:rFonts w:cs="Times New Roman"/>
                <w:sz w:val="20"/>
                <w:szCs w:val="20"/>
              </w:rPr>
            </w:pPr>
            <w:r w:rsidRPr="0020560C">
              <w:rPr>
                <w:rFonts w:cs="Times New Roman"/>
                <w:sz w:val="20"/>
                <w:szCs w:val="20"/>
              </w:rPr>
              <w:t xml:space="preserve">Glassman SD, Carreon LY, Campbell MJ, et al. The perioperative cost of Infuse bone graft in </w:t>
            </w:r>
            <w:proofErr w:type="spellStart"/>
            <w:r w:rsidRPr="0020560C">
              <w:rPr>
                <w:rFonts w:cs="Times New Roman"/>
                <w:sz w:val="20"/>
                <w:szCs w:val="20"/>
              </w:rPr>
              <w:t>posterolateral</w:t>
            </w:r>
            <w:proofErr w:type="spellEnd"/>
            <w:r w:rsidRPr="0020560C">
              <w:rPr>
                <w:rFonts w:cs="Times New Roman"/>
                <w:sz w:val="20"/>
                <w:szCs w:val="20"/>
              </w:rPr>
              <w:t xml:space="preserve"> lumbar spine fusion. Spine Journal 2008</w:t>
            </w:r>
            <w:proofErr w:type="gramStart"/>
            <w:r w:rsidRPr="0020560C">
              <w:rPr>
                <w:rFonts w:cs="Times New Roman"/>
                <w:sz w:val="20"/>
                <w:szCs w:val="20"/>
              </w:rPr>
              <w:t>;8:443</w:t>
            </w:r>
            <w:proofErr w:type="gramEnd"/>
            <w:r w:rsidRPr="0020560C">
              <w:rPr>
                <w:rFonts w:cs="Times New Roman"/>
                <w:sz w:val="20"/>
                <w:szCs w:val="20"/>
              </w:rPr>
              <w:t>-8.</w:t>
            </w:r>
          </w:p>
        </w:tc>
        <w:tc>
          <w:tcPr>
            <w:tcW w:w="1560" w:type="pct"/>
          </w:tcPr>
          <w:p w:rsidR="00C52AFB" w:rsidRPr="0020560C" w:rsidRDefault="00C52AFB" w:rsidP="000950E2">
            <w:pPr>
              <w:rPr>
                <w:rFonts w:cs="Times New Roman"/>
                <w:sz w:val="20"/>
                <w:szCs w:val="20"/>
              </w:rPr>
            </w:pPr>
            <w:r>
              <w:rPr>
                <w:rFonts w:cs="Times New Roman"/>
                <w:sz w:val="20"/>
                <w:szCs w:val="20"/>
              </w:rPr>
              <w:t>Costing only, not a full economic analysis.</w:t>
            </w:r>
          </w:p>
        </w:tc>
      </w:tr>
      <w:tr w:rsidR="00C52AFB" w:rsidRPr="0020560C" w:rsidTr="00714FD0">
        <w:tc>
          <w:tcPr>
            <w:tcW w:w="3440" w:type="pct"/>
          </w:tcPr>
          <w:p w:rsidR="00C52AFB" w:rsidRPr="0020560C" w:rsidRDefault="00C52AFB" w:rsidP="00897DC9">
            <w:pPr>
              <w:pStyle w:val="ListParagraph"/>
              <w:numPr>
                <w:ilvl w:val="0"/>
                <w:numId w:val="1"/>
              </w:numPr>
              <w:autoSpaceDE w:val="0"/>
              <w:autoSpaceDN w:val="0"/>
              <w:adjustRightInd w:val="0"/>
              <w:rPr>
                <w:rFonts w:cs="Times New Roman"/>
                <w:sz w:val="20"/>
                <w:szCs w:val="20"/>
              </w:rPr>
            </w:pPr>
            <w:r w:rsidRPr="0020560C">
              <w:rPr>
                <w:rFonts w:cs="Times New Roman"/>
                <w:sz w:val="20"/>
                <w:szCs w:val="20"/>
              </w:rPr>
              <w:t xml:space="preserve">Glassman SD, Carreon LY, </w:t>
            </w:r>
            <w:proofErr w:type="spellStart"/>
            <w:r w:rsidRPr="0020560C">
              <w:rPr>
                <w:rFonts w:cs="Times New Roman"/>
                <w:sz w:val="20"/>
                <w:szCs w:val="20"/>
              </w:rPr>
              <w:t>Djurasovic</w:t>
            </w:r>
            <w:proofErr w:type="spellEnd"/>
            <w:r w:rsidRPr="0020560C">
              <w:rPr>
                <w:rFonts w:cs="Times New Roman"/>
                <w:sz w:val="20"/>
                <w:szCs w:val="20"/>
              </w:rPr>
              <w:t xml:space="preserve"> M, et al. RhBMP-2 versus iliac crest bone graft for lumbar spine fusion: a randomized, controlled trial in patients over sixty years of age. Spine (</w:t>
            </w:r>
            <w:proofErr w:type="spellStart"/>
            <w:r w:rsidRPr="0020560C">
              <w:rPr>
                <w:rFonts w:cs="Times New Roman"/>
                <w:sz w:val="20"/>
                <w:szCs w:val="20"/>
              </w:rPr>
              <w:t>Phila</w:t>
            </w:r>
            <w:proofErr w:type="spellEnd"/>
            <w:r w:rsidRPr="0020560C">
              <w:rPr>
                <w:rFonts w:cs="Times New Roman"/>
                <w:sz w:val="20"/>
                <w:szCs w:val="20"/>
              </w:rPr>
              <w:t xml:space="preserve"> Pa 1976) 2008</w:t>
            </w:r>
            <w:proofErr w:type="gramStart"/>
            <w:r w:rsidRPr="0020560C">
              <w:rPr>
                <w:rFonts w:cs="Times New Roman"/>
                <w:sz w:val="20"/>
                <w:szCs w:val="20"/>
              </w:rPr>
              <w:t>;33:2843</w:t>
            </w:r>
            <w:proofErr w:type="gramEnd"/>
            <w:r w:rsidRPr="0020560C">
              <w:rPr>
                <w:rFonts w:cs="Times New Roman"/>
                <w:sz w:val="20"/>
                <w:szCs w:val="20"/>
              </w:rPr>
              <w:t>-9.</w:t>
            </w:r>
          </w:p>
          <w:p w:rsidR="00C52AFB" w:rsidRPr="0020560C" w:rsidRDefault="00C52AFB">
            <w:pPr>
              <w:rPr>
                <w:rFonts w:cs="Times New Roman"/>
                <w:sz w:val="20"/>
                <w:szCs w:val="20"/>
              </w:rPr>
            </w:pPr>
          </w:p>
        </w:tc>
        <w:tc>
          <w:tcPr>
            <w:tcW w:w="1560" w:type="pct"/>
          </w:tcPr>
          <w:p w:rsidR="00C52AFB" w:rsidRPr="0020560C" w:rsidRDefault="00C52AFB" w:rsidP="000950E2">
            <w:pPr>
              <w:rPr>
                <w:rFonts w:cs="Times New Roman"/>
                <w:sz w:val="20"/>
                <w:szCs w:val="20"/>
              </w:rPr>
            </w:pPr>
            <w:r>
              <w:rPr>
                <w:rFonts w:cs="Times New Roman"/>
                <w:sz w:val="20"/>
                <w:szCs w:val="20"/>
              </w:rPr>
              <w:t>Costing only, not a full economic analysis.</w:t>
            </w:r>
          </w:p>
        </w:tc>
      </w:tr>
      <w:tr w:rsidR="00D549B7" w:rsidRPr="0020560C" w:rsidTr="00714FD0">
        <w:tc>
          <w:tcPr>
            <w:tcW w:w="3440" w:type="pct"/>
          </w:tcPr>
          <w:p w:rsidR="00D549B7" w:rsidRPr="0020560C" w:rsidRDefault="00D549B7" w:rsidP="00897DC9">
            <w:pPr>
              <w:pStyle w:val="ListParagraph"/>
              <w:numPr>
                <w:ilvl w:val="0"/>
                <w:numId w:val="1"/>
              </w:numPr>
              <w:autoSpaceDE w:val="0"/>
              <w:autoSpaceDN w:val="0"/>
              <w:adjustRightInd w:val="0"/>
              <w:rPr>
                <w:rFonts w:cs="Times New Roman"/>
                <w:sz w:val="20"/>
                <w:szCs w:val="20"/>
              </w:rPr>
            </w:pPr>
            <w:proofErr w:type="spellStart"/>
            <w:r w:rsidRPr="0020560C">
              <w:rPr>
                <w:rFonts w:cs="Times New Roman"/>
                <w:sz w:val="20"/>
                <w:szCs w:val="20"/>
              </w:rPr>
              <w:t>Guyer</w:t>
            </w:r>
            <w:proofErr w:type="spellEnd"/>
            <w:r w:rsidRPr="0020560C">
              <w:rPr>
                <w:rFonts w:cs="Times New Roman"/>
                <w:sz w:val="20"/>
                <w:szCs w:val="20"/>
              </w:rPr>
              <w:t xml:space="preserve"> RD, </w:t>
            </w:r>
            <w:proofErr w:type="spellStart"/>
            <w:r w:rsidRPr="0020560C">
              <w:rPr>
                <w:rFonts w:cs="Times New Roman"/>
                <w:sz w:val="20"/>
                <w:szCs w:val="20"/>
              </w:rPr>
              <w:t>Tromanhauser</w:t>
            </w:r>
            <w:proofErr w:type="spellEnd"/>
            <w:r w:rsidRPr="0020560C">
              <w:rPr>
                <w:rFonts w:cs="Times New Roman"/>
                <w:sz w:val="20"/>
                <w:szCs w:val="20"/>
              </w:rPr>
              <w:t xml:space="preserve"> SG, Regan JJ. An economic model of one-level lumbar arthroplasty versus fusion. The spine </w:t>
            </w:r>
            <w:proofErr w:type="gramStart"/>
            <w:r w:rsidRPr="0020560C">
              <w:rPr>
                <w:rFonts w:cs="Times New Roman"/>
                <w:sz w:val="20"/>
                <w:szCs w:val="20"/>
              </w:rPr>
              <w:t>journal :</w:t>
            </w:r>
            <w:proofErr w:type="gramEnd"/>
            <w:r w:rsidRPr="0020560C">
              <w:rPr>
                <w:rFonts w:cs="Times New Roman"/>
                <w:sz w:val="20"/>
                <w:szCs w:val="20"/>
              </w:rPr>
              <w:t xml:space="preserve"> official journal of the North American Spine Society 2007;7:558-62.</w:t>
            </w:r>
          </w:p>
          <w:p w:rsidR="00D549B7" w:rsidRPr="0020560C" w:rsidRDefault="00D549B7">
            <w:pPr>
              <w:rPr>
                <w:rFonts w:cs="Times New Roman"/>
                <w:sz w:val="20"/>
                <w:szCs w:val="20"/>
              </w:rPr>
            </w:pPr>
          </w:p>
        </w:tc>
        <w:tc>
          <w:tcPr>
            <w:tcW w:w="1560" w:type="pct"/>
          </w:tcPr>
          <w:p w:rsidR="00D549B7" w:rsidRPr="0020560C" w:rsidRDefault="00C61BAC" w:rsidP="0046104C">
            <w:pPr>
              <w:shd w:val="clear" w:color="auto" w:fill="FFFFFF" w:themeFill="background1"/>
              <w:rPr>
                <w:rFonts w:cs="Times New Roman"/>
                <w:sz w:val="20"/>
                <w:szCs w:val="20"/>
              </w:rPr>
            </w:pPr>
            <w:r>
              <w:rPr>
                <w:rFonts w:cs="Times New Roman"/>
                <w:sz w:val="20"/>
                <w:szCs w:val="20"/>
              </w:rPr>
              <w:t xml:space="preserve">Not a full economic analysis. </w:t>
            </w:r>
            <w:r w:rsidR="00D549B7" w:rsidRPr="0020560C">
              <w:rPr>
                <w:rFonts w:cs="Times New Roman"/>
                <w:sz w:val="20"/>
                <w:szCs w:val="20"/>
              </w:rPr>
              <w:t>Authors claim this to be a cost minimization but there is no info regarding therapeutic equivalence. Therapeutic equivalence must be referenced by the author conducting the study and should have been done prior to the cost-minimization work.</w:t>
            </w:r>
          </w:p>
        </w:tc>
      </w:tr>
      <w:tr w:rsidR="00D549B7" w:rsidRPr="0020560C" w:rsidTr="00714FD0">
        <w:tc>
          <w:tcPr>
            <w:tcW w:w="3440" w:type="pct"/>
          </w:tcPr>
          <w:p w:rsidR="00D549B7" w:rsidRPr="0020560C" w:rsidRDefault="00D549B7" w:rsidP="00897DC9">
            <w:pPr>
              <w:pStyle w:val="ListParagraph"/>
              <w:numPr>
                <w:ilvl w:val="0"/>
                <w:numId w:val="1"/>
              </w:numPr>
              <w:rPr>
                <w:rFonts w:cs="Times New Roman"/>
                <w:sz w:val="20"/>
                <w:szCs w:val="20"/>
              </w:rPr>
            </w:pPr>
            <w:r w:rsidRPr="0020560C">
              <w:rPr>
                <w:rFonts w:cs="Times New Roman"/>
                <w:sz w:val="20"/>
                <w:szCs w:val="20"/>
              </w:rPr>
              <w:t xml:space="preserve">Virk S, Sandhu HS, Khan SN. Cost effectiveness analysis of graft options in spinal fusion surgery using a Markov model. J Spinal </w:t>
            </w:r>
            <w:proofErr w:type="spellStart"/>
            <w:r w:rsidRPr="0020560C">
              <w:rPr>
                <w:rFonts w:cs="Times New Roman"/>
                <w:sz w:val="20"/>
                <w:szCs w:val="20"/>
              </w:rPr>
              <w:t>Disord</w:t>
            </w:r>
            <w:proofErr w:type="spellEnd"/>
            <w:r w:rsidRPr="0020560C">
              <w:rPr>
                <w:rFonts w:cs="Times New Roman"/>
                <w:sz w:val="20"/>
                <w:szCs w:val="20"/>
              </w:rPr>
              <w:t xml:space="preserve"> Tech 2012</w:t>
            </w:r>
            <w:proofErr w:type="gramStart"/>
            <w:r w:rsidRPr="0020560C">
              <w:rPr>
                <w:rFonts w:cs="Times New Roman"/>
                <w:sz w:val="20"/>
                <w:szCs w:val="20"/>
              </w:rPr>
              <w:t>;25:E204</w:t>
            </w:r>
            <w:proofErr w:type="gramEnd"/>
            <w:r w:rsidRPr="0020560C">
              <w:rPr>
                <w:rFonts w:cs="Times New Roman"/>
                <w:sz w:val="20"/>
                <w:szCs w:val="20"/>
              </w:rPr>
              <w:t>-10.</w:t>
            </w:r>
          </w:p>
        </w:tc>
        <w:tc>
          <w:tcPr>
            <w:tcW w:w="1560" w:type="pct"/>
          </w:tcPr>
          <w:p w:rsidR="00D549B7" w:rsidRPr="0020560C" w:rsidRDefault="00D549B7" w:rsidP="0046104C">
            <w:pPr>
              <w:shd w:val="clear" w:color="auto" w:fill="FFFFFF" w:themeFill="background1"/>
              <w:rPr>
                <w:rFonts w:cs="Times New Roman"/>
                <w:sz w:val="20"/>
                <w:szCs w:val="20"/>
              </w:rPr>
            </w:pPr>
            <w:r w:rsidRPr="0020560C">
              <w:rPr>
                <w:rFonts w:cs="Times New Roman"/>
                <w:sz w:val="20"/>
                <w:szCs w:val="20"/>
              </w:rPr>
              <w:t>Study compares fusion with living with chronic LBP, not fusion.</w:t>
            </w:r>
          </w:p>
        </w:tc>
      </w:tr>
    </w:tbl>
    <w:p w:rsidR="008836D0" w:rsidRDefault="008836D0" w:rsidP="0020560C">
      <w:pPr>
        <w:rPr>
          <w:rFonts w:cs="Times New Roman"/>
          <w:sz w:val="20"/>
          <w:szCs w:val="20"/>
        </w:rPr>
      </w:pPr>
      <w:r>
        <w:rPr>
          <w:rFonts w:cs="Times New Roman"/>
          <w:sz w:val="20"/>
          <w:szCs w:val="20"/>
        </w:rPr>
        <w:br w:type="page"/>
      </w:r>
    </w:p>
    <w:p w:rsidR="008836D0" w:rsidRDefault="008836D0" w:rsidP="008836D0">
      <w:r>
        <w:rPr>
          <w:i/>
        </w:rPr>
        <w:lastRenderedPageBreak/>
        <w:t>Critical appraisal</w:t>
      </w:r>
    </w:p>
    <w:p w:rsidR="008836D0" w:rsidRDefault="008836D0" w:rsidP="008836D0">
      <w:pPr>
        <w:ind w:firstLine="720"/>
      </w:pPr>
      <w:r>
        <w:t xml:space="preserve">The Quality of Health Economic Studies (QHES) instrument developed by </w:t>
      </w:r>
      <w:proofErr w:type="spellStart"/>
      <w:r>
        <w:t>Ofman</w:t>
      </w:r>
      <w:proofErr w:type="spellEnd"/>
      <w:r>
        <w:t>, et al.</w:t>
      </w:r>
      <w:hyperlink w:anchor="_ENREF_1" w:tooltip="Ofman, 2003 #99" w:history="1">
        <w:r w:rsidR="003E042C">
          <w:fldChar w:fldCharType="begin"/>
        </w:r>
        <w:r w:rsidR="003E042C">
          <w:instrText xml:space="preserve"> ADDIN EN.CITE &lt;EndNote&gt;&lt;Cite&gt;&lt;Author&gt;Ofman&lt;/Author&gt;&lt;Year&gt;2003&lt;/Year&gt;&lt;RecNum&gt;99&lt;/RecNum&gt;&lt;DisplayText&gt;&lt;style face="superscript"&gt;1&lt;/style&gt;&lt;/DisplayText&gt;&lt;record&gt;&lt;rec-number&gt;99&lt;/rec-number&gt;&lt;foreign-keys&gt;&lt;key app="EN" db-id="dz55d55s2zf2rie9tzlvv22e0wa55fxftz2w"&gt;99&lt;/key&gt;&lt;/foreign-keys&gt;&lt;ref-type name="Journal Article"&gt;17&lt;/ref-type&gt;&lt;contributors&gt;&lt;authors&gt;&lt;author&gt;Ofman, J. J.&lt;/author&gt;&lt;author&gt;Sullivan, S. D.&lt;/author&gt;&lt;author&gt;Neumann, P. J.&lt;/author&gt;&lt;author&gt;Chiou, C. F.&lt;/author&gt;&lt;author&gt;Henning, J. M.&lt;/author&gt;&lt;author&gt;Wade, S. W.&lt;/author&gt;&lt;author&gt;Hay, J. W.&lt;/author&gt;&lt;/authors&gt;&lt;/contributors&gt;&lt;auth-address&gt;Zynx Health Inc., 9100 Wilshire Blvd, East Tower, Suite 655, Beverly Hills, CA 90212, USA. jofman@cerner.com&lt;/auth-address&gt;&lt;titles&gt;&lt;title&gt;Examining the value and quality of health economic analyses: implications of utilizing the QHES&lt;/title&gt;&lt;secondary-title&gt;Journal of managed care pharmacy : JMCP&lt;/secondary-title&gt;&lt;alt-title&gt;J Manag Care Pharm&lt;/alt-title&gt;&lt;/titles&gt;&lt;periodical&gt;&lt;full-title&gt;Journal of managed care pharmacy : JMCP&lt;/full-title&gt;&lt;abbr-1&gt;J Manag Care Pharm&lt;/abbr-1&gt;&lt;/periodical&gt;&lt;alt-periodical&gt;&lt;full-title&gt;Journal of managed care pharmacy : JMCP&lt;/full-title&gt;&lt;abbr-1&gt;J Manag Care Pharm&lt;/abbr-1&gt;&lt;/alt-periodical&gt;&lt;pages&gt;53-61&lt;/pages&gt;&lt;volume&gt;9&lt;/volume&gt;&lt;number&gt;1&lt;/number&gt;&lt;edition&gt;2003/11/14&lt;/edition&gt;&lt;keywords&gt;&lt;keyword&gt;*Cost-Benefit Analysis&lt;/keyword&gt;&lt;keyword&gt;Delivery of Health Care/*economics&lt;/keyword&gt;&lt;keyword&gt;Economics, Pharmaceutical&lt;/keyword&gt;&lt;keyword&gt;Humans&lt;/keyword&gt;&lt;keyword&gt;United States&lt;/keyword&gt;&lt;/keywords&gt;&lt;dates&gt;&lt;year&gt;2003&lt;/year&gt;&lt;pub-dates&gt;&lt;date&gt;Jan-Feb&lt;/date&gt;&lt;/pub-dates&gt;&lt;/dates&gt;&lt;isbn&gt;1083-4087 (Print)&amp;#xD;1083-4087 (Linking)&lt;/isbn&gt;&lt;accession-num&gt;14613362&lt;/accession-num&gt;&lt;work-type&gt;Research Support, Non-U.S. Gov&amp;apos;t&amp;#xD;Review&lt;/work-type&gt;&lt;urls&gt;&lt;related-urls&gt;&lt;url&gt;http://www.ncbi.nlm.nih.gov/pubmed/14613362&lt;/url&gt;&lt;/related-urls&gt;&lt;/urls&gt;&lt;language&gt;eng&lt;/language&gt;&lt;/record&gt;&lt;/Cite&gt;&lt;/EndNote&gt;</w:instrText>
        </w:r>
        <w:r w:rsidR="003E042C">
          <w:fldChar w:fldCharType="separate"/>
        </w:r>
        <w:r w:rsidR="003E042C" w:rsidRPr="003E042C">
          <w:rPr>
            <w:noProof/>
            <w:vertAlign w:val="superscript"/>
          </w:rPr>
          <w:t>1</w:t>
        </w:r>
        <w:r w:rsidR="003E042C">
          <w:fldChar w:fldCharType="end"/>
        </w:r>
      </w:hyperlink>
      <w:r>
        <w:t xml:space="preserve"> </w:t>
      </w:r>
      <w:proofErr w:type="gramStart"/>
      <w:r>
        <w:t>was</w:t>
      </w:r>
      <w:proofErr w:type="gramEnd"/>
      <w:r>
        <w:t xml:space="preserve"> used to provide an initial basis for critical appraisa</w:t>
      </w:r>
      <w:r>
        <w:t>l of included economic studies.</w:t>
      </w:r>
      <w:r>
        <w:fldChar w:fldCharType="begin"/>
      </w:r>
      <w:r>
        <w:instrText xml:space="preserve"> </w:instrText>
      </w:r>
      <w:r>
        <w:fldChar w:fldCharType="separate"/>
      </w:r>
      <w:r>
        <w:t>{Ofman, 2003 #99}</w:t>
      </w:r>
      <w:r>
        <w:fldChar w:fldCharType="end"/>
      </w:r>
      <w:r>
        <w:t xml:space="preserve"> </w:t>
      </w:r>
      <w:r>
        <w:t>QHES is a sixteen 'yes' or 'no' question instrument that assesses multiple aspects of economic study design, modeling and reporting to determine internal validity (See Supplemental Digital Material). QHES was assessed prospectively</w:t>
      </w:r>
      <w:r w:rsidR="003E042C">
        <w:fldChar w:fldCharType="begin">
          <w:fldData xml:space="preserve">PEVuZE5vdGU+PENpdGU+PEF1dGhvcj5DaGlvdTwvQXV0aG9yPjxZZWFyPjIwMDM8L1llYXI+PFJl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</w:fldData>
        </w:fldChar>
      </w:r>
      <w:r w:rsidR="003E042C">
        <w:instrText xml:space="preserve"> ADDIN EN.CITE </w:instrText>
      </w:r>
      <w:r w:rsidR="003E042C">
        <w:fldChar w:fldCharType="begin">
          <w:fldData xml:space="preserve">PEVuZE5vdGU+PENpdGU+PEF1dGhvcj5DaGlvdTwvQXV0aG9yPjxZZWFyPjIwMDM8L1llYXI+PFJl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</w:fldData>
        </w:fldChar>
      </w:r>
      <w:r w:rsidR="003E042C">
        <w:instrText xml:space="preserve"> ADDIN EN.CITE.DATA </w:instrText>
      </w:r>
      <w:r w:rsidR="003E042C">
        <w:fldChar w:fldCharType="end"/>
      </w:r>
      <w:r w:rsidR="003E042C">
        <w:fldChar w:fldCharType="separate"/>
      </w:r>
      <w:hyperlink w:anchor="_ENREF_1" w:tooltip="Ofman, 2003 #99" w:history="1">
        <w:r w:rsidR="003E042C" w:rsidRPr="003E042C">
          <w:rPr>
            <w:noProof/>
            <w:vertAlign w:val="superscript"/>
          </w:rPr>
          <w:t>1</w:t>
        </w:r>
      </w:hyperlink>
      <w:r w:rsidR="003E042C" w:rsidRPr="003E042C">
        <w:rPr>
          <w:noProof/>
          <w:vertAlign w:val="superscript"/>
        </w:rPr>
        <w:t>,</w:t>
      </w:r>
      <w:hyperlink w:anchor="_ENREF_2" w:tooltip="Chiou, 2003 #100" w:history="1">
        <w:r w:rsidR="003E042C" w:rsidRPr="003E042C">
          <w:rPr>
            <w:noProof/>
            <w:vertAlign w:val="superscript"/>
          </w:rPr>
          <w:t>2</w:t>
        </w:r>
      </w:hyperlink>
      <w:r w:rsidR="003E042C">
        <w:fldChar w:fldCharType="end"/>
      </w:r>
      <w:r>
        <w:t xml:space="preserve"> for content and construct validity by the developers and has been evaluated externally as well.</w:t>
      </w:r>
      <w:hyperlink w:anchor="_ENREF_3" w:tooltip="Gerkens, 2008 #101" w:history="1">
        <w:r w:rsidR="003E042C">
          <w:fldChar w:fldCharType="begin">
            <w:fldData xml:space="preserve">PEVuZE5vdGU+PENpdGU+PEF1dGhvcj5HZXJrZW5zPC9BdXRob3I+PFllYXI+MjAwODwvWWVhcj48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</w:fldData>
          </w:fldChar>
        </w:r>
        <w:r w:rsidR="003E042C">
          <w:instrText xml:space="preserve"> ADDIN EN.CITE </w:instrText>
        </w:r>
        <w:r w:rsidR="003E042C">
          <w:fldChar w:fldCharType="begin">
            <w:fldData xml:space="preserve">PEVuZE5vdGU+PENpdGU+PEF1dGhvcj5HZXJrZW5zPC9BdXRob3I+PFllYXI+MjAwODwvWWVhcj48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</w:fldData>
          </w:fldChar>
        </w:r>
        <w:r w:rsidR="003E042C">
          <w:instrText xml:space="preserve"> ADDIN EN.CITE.DATA </w:instrText>
        </w:r>
        <w:r w:rsidR="003E042C">
          <w:fldChar w:fldCharType="end"/>
        </w:r>
        <w:r w:rsidR="003E042C">
          <w:fldChar w:fldCharType="separate"/>
        </w:r>
        <w:r w:rsidR="003E042C" w:rsidRPr="003E042C">
          <w:rPr>
            <w:noProof/>
            <w:vertAlign w:val="superscript"/>
          </w:rPr>
          <w:t>3</w:t>
        </w:r>
        <w:r w:rsidR="003E042C">
          <w:fldChar w:fldCharType="end"/>
        </w:r>
      </w:hyperlink>
      <w:r>
        <w:t xml:space="preserve"> </w:t>
      </w:r>
      <w:r>
        <w:t xml:space="preserve">Components are weighted by importance (as concluded by expert health economists) to yield a score from 0 (lowest quality) to 100 (highest quality). Items that are considered most important (based on their weighting) include </w:t>
      </w:r>
    </w:p>
    <w:p w:rsidR="008836D0" w:rsidRDefault="008836D0" w:rsidP="008836D0">
      <w:pPr>
        <w:pStyle w:val="ListParagraph"/>
        <w:numPr>
          <w:ilvl w:val="0"/>
          <w:numId w:val="14"/>
        </w:numPr>
        <w:spacing w:after="0" w:line="240" w:lineRule="auto"/>
      </w:pPr>
      <w:r>
        <w:t xml:space="preserve">use of data from best available sources (e.g. RCT), </w:t>
      </w:r>
    </w:p>
    <w:p w:rsidR="008836D0" w:rsidRDefault="008836D0" w:rsidP="008836D0">
      <w:pPr>
        <w:pStyle w:val="ListParagraph"/>
        <w:numPr>
          <w:ilvl w:val="0"/>
          <w:numId w:val="14"/>
        </w:numPr>
        <w:spacing w:after="0" w:line="240" w:lineRule="auto"/>
      </w:pPr>
      <w:r>
        <w:t xml:space="preserve">statistical analysis to address random events and use of sensitivity analysis to explore model, </w:t>
      </w:r>
    </w:p>
    <w:p w:rsidR="008836D0" w:rsidRDefault="008836D0" w:rsidP="008836D0">
      <w:pPr>
        <w:pStyle w:val="ListParagraph"/>
        <w:numPr>
          <w:ilvl w:val="0"/>
          <w:numId w:val="14"/>
        </w:numPr>
        <w:spacing w:after="0" w:line="240" w:lineRule="auto"/>
      </w:pPr>
      <w:r>
        <w:t>use of appropriate sources and methodologies for measuring and estimating costs,</w:t>
      </w:r>
    </w:p>
    <w:p w:rsidR="008836D0" w:rsidRDefault="008836D0" w:rsidP="008836D0">
      <w:pPr>
        <w:pStyle w:val="ListParagraph"/>
        <w:numPr>
          <w:ilvl w:val="0"/>
          <w:numId w:val="14"/>
        </w:numPr>
        <w:spacing w:after="0" w:line="240" w:lineRule="auto"/>
      </w:pPr>
      <w:r>
        <w:t>use of valid and reliable outcomes measures</w:t>
      </w:r>
    </w:p>
    <w:p w:rsidR="008836D0" w:rsidRDefault="008836D0" w:rsidP="008836D0">
      <w:pPr>
        <w:pStyle w:val="ListParagraph"/>
        <w:numPr>
          <w:ilvl w:val="0"/>
          <w:numId w:val="14"/>
        </w:numPr>
        <w:spacing w:after="0" w:line="240" w:lineRule="auto"/>
      </w:pPr>
      <w:r>
        <w:t>transparent description of economic modeling used including delineation and justification of main assumptions and limitations of the model</w:t>
      </w:r>
    </w:p>
    <w:p w:rsidR="008836D0" w:rsidRDefault="008836D0" w:rsidP="008836D0">
      <w:pPr>
        <w:pStyle w:val="ListParagraph"/>
        <w:numPr>
          <w:ilvl w:val="0"/>
          <w:numId w:val="14"/>
        </w:numPr>
        <w:spacing w:after="0" w:line="240" w:lineRule="auto"/>
      </w:pPr>
      <w:proofErr w:type="gramStart"/>
      <w:r>
        <w:t>extent</w:t>
      </w:r>
      <w:proofErr w:type="gramEnd"/>
      <w:r>
        <w:t xml:space="preserve"> to which conclusions and recommendations were justified and based on study results.  </w:t>
      </w:r>
    </w:p>
    <w:p w:rsidR="008836D0" w:rsidRDefault="008836D0" w:rsidP="008836D0">
      <w:pPr>
        <w:pStyle w:val="ListParagraph"/>
        <w:ind w:left="1440"/>
      </w:pPr>
    </w:p>
    <w:p w:rsidR="008836D0" w:rsidRDefault="008836D0" w:rsidP="008836D0">
      <w:r>
        <w:t xml:space="preserve"> Some have suggested that a score of 75-100 points indicates</w:t>
      </w:r>
      <w:r>
        <w:t xml:space="preserve"> a high quality economic study.</w:t>
      </w:r>
      <w:hyperlink w:anchor="_ENREF_4" w:tooltip="Spiegel, 2004 #98" w:history="1">
        <w:r w:rsidR="003E042C">
          <w:fldChar w:fldCharType="begin">
            <w:fldData xml:space="preserve">PEVuZE5vdGU+PENpdGU+PEF1dGhvcj5TcGllZ2VsPC9BdXRob3I+PFllYXI+MjAwNDwvWWVhcj48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b2xvZ3k8L2FiYnItMT48L2FsdC1wZXJpb2RpY2FsPjxwYWdlcz40MDMtMTE8L3BhZ2VzPjx2b2x1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</w:fldData>
          </w:fldChar>
        </w:r>
        <w:r w:rsidR="003E042C">
          <w:instrText xml:space="preserve"> ADDIN EN.CITE </w:instrText>
        </w:r>
        <w:r w:rsidR="003E042C">
          <w:fldChar w:fldCharType="begin">
            <w:fldData xml:space="preserve">PEVuZE5vdGU+PENpdGU+PEF1dGhvcj5TcGllZ2VsPC9BdXRob3I+PFllYXI+MjAwNDwvWWVhcj48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b2xvZ3k8L2FiYnItMT48L2FsdC1wZXJpb2RpY2FsPjxwYWdlcz40MDMtMTE8L3BhZ2VzPjx2b2x1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</w:fldData>
          </w:fldChar>
        </w:r>
        <w:r w:rsidR="003E042C">
          <w:instrText xml:space="preserve"> ADDIN EN.CITE.DATA </w:instrText>
        </w:r>
        <w:r w:rsidR="003E042C">
          <w:fldChar w:fldCharType="end"/>
        </w:r>
        <w:r w:rsidR="003E042C">
          <w:fldChar w:fldCharType="separate"/>
        </w:r>
        <w:r w:rsidR="003E042C" w:rsidRPr="003E042C">
          <w:rPr>
            <w:noProof/>
            <w:vertAlign w:val="superscript"/>
          </w:rPr>
          <w:t>4</w:t>
        </w:r>
        <w:r w:rsidR="003E042C">
          <w:fldChar w:fldCharType="end"/>
        </w:r>
      </w:hyperlink>
      <w:r>
        <w:t xml:space="preserve"> The QHES does not provide insight into study external validity (generalizability) nor does it directly assess the validity of clinical assumptions and inputs.  A study may receive a high score based on factors assessed in QHES, but ultimately may not be applicable to a broader range of clinical populations. Thus, in addition to assessment of criteria in the QHES, other factors are important in critical appraisal of studies from an epidemiologic perspective to assist in evaluation of generalizability and consideration of potential sources of bias related to clinical inputs into the economic model. </w:t>
      </w:r>
    </w:p>
    <w:p w:rsidR="008836D0" w:rsidRDefault="008836D0" w:rsidP="008836D0"/>
    <w:p w:rsidR="008836D0" w:rsidRDefault="008836D0" w:rsidP="008836D0">
      <w:r>
        <w:t xml:space="preserve">Two reviewers independently applied the QHES to included studies. Discrepancies in ratings were discussed so that consensus could be reached and a final score obtained. </w:t>
      </w:r>
    </w:p>
    <w:p w:rsidR="00E31EC3" w:rsidRPr="00D85D8E" w:rsidRDefault="003F05FF" w:rsidP="0020560C">
      <w:pPr>
        <w:rPr>
          <w:rFonts w:cs="Times New Roman"/>
          <w:sz w:val="20"/>
          <w:szCs w:val="20"/>
        </w:rPr>
        <w:sectPr w:rsidR="00E31EC3" w:rsidRPr="00D85D8E">
          <w:pgSz w:w="12240" w:h="15840"/>
          <w:pgMar w:top="1440" w:right="1440" w:bottom="1440" w:left="1440" w:header="720" w:footer="720" w:gutter="0"/>
          <w:cols w:space="720"/>
          <w:docGrid w:linePitch="360"/>
        </w:sectPr>
      </w:pPr>
      <w:r w:rsidRPr="0020560C">
        <w:rPr>
          <w:rFonts w:cs="Times New Roman"/>
          <w:sz w:val="20"/>
          <w:szCs w:val="20"/>
        </w:rPr>
        <w:br w:type="page"/>
      </w:r>
    </w:p>
    <w:p w:rsidR="00234140" w:rsidRPr="0020560C" w:rsidRDefault="0020560C" w:rsidP="0020560C">
      <w:pPr>
        <w:rPr>
          <w:b/>
          <w:sz w:val="20"/>
          <w:szCs w:val="20"/>
        </w:rPr>
      </w:pPr>
      <w:r>
        <w:rPr>
          <w:b/>
          <w:sz w:val="20"/>
          <w:szCs w:val="20"/>
        </w:rPr>
        <w:lastRenderedPageBreak/>
        <w:t xml:space="preserve">Supplemental Material Section </w:t>
      </w:r>
      <w:r w:rsidR="00BE4C96">
        <w:rPr>
          <w:b/>
          <w:sz w:val="20"/>
          <w:szCs w:val="20"/>
        </w:rPr>
        <w:t>C</w:t>
      </w:r>
      <w:r>
        <w:rPr>
          <w:b/>
          <w:sz w:val="20"/>
          <w:szCs w:val="20"/>
        </w:rPr>
        <w:t>: QHES.</w:t>
      </w:r>
      <w:bookmarkStart w:id="0" w:name="_GoBack"/>
      <w:bookmarkEnd w:id="0"/>
    </w:p>
    <w:tbl>
      <w:tblPr>
        <w:tblStyle w:val="TableGrid"/>
        <w:tblW w:w="4901" w:type="pct"/>
        <w:tblLayout w:type="fixed"/>
        <w:tblLook w:val="04A0" w:firstRow="1" w:lastRow="0" w:firstColumn="1" w:lastColumn="0" w:noHBand="0" w:noVBand="1"/>
      </w:tblPr>
      <w:tblGrid>
        <w:gridCol w:w="7399"/>
        <w:gridCol w:w="905"/>
        <w:gridCol w:w="897"/>
        <w:gridCol w:w="808"/>
        <w:gridCol w:w="989"/>
        <w:gridCol w:w="1441"/>
        <w:gridCol w:w="808"/>
        <w:gridCol w:w="1080"/>
      </w:tblGrid>
      <w:tr w:rsidR="005B152D" w:rsidTr="005B152D">
        <w:tc>
          <w:tcPr>
            <w:tcW w:w="2582" w:type="pct"/>
            <w:vMerge w:val="restart"/>
          </w:tcPr>
          <w:p w:rsidR="00E31EC3" w:rsidRPr="00234140" w:rsidRDefault="00E31EC3" w:rsidP="00642050">
            <w:pPr>
              <w:rPr>
                <w:rFonts w:cs="Times New Roman"/>
                <w:b/>
                <w:sz w:val="20"/>
                <w:szCs w:val="20"/>
              </w:rPr>
            </w:pPr>
            <w:r w:rsidRPr="00234140">
              <w:rPr>
                <w:rFonts w:cs="Times New Roman"/>
                <w:b/>
                <w:sz w:val="20"/>
                <w:szCs w:val="20"/>
              </w:rPr>
              <w:t>QHES Question</w:t>
            </w:r>
          </w:p>
        </w:tc>
        <w:tc>
          <w:tcPr>
            <w:tcW w:w="316" w:type="pct"/>
            <w:vMerge w:val="restart"/>
          </w:tcPr>
          <w:p w:rsidR="00E31EC3" w:rsidRPr="00234140" w:rsidRDefault="00E31EC3" w:rsidP="00E31EC3">
            <w:pPr>
              <w:jc w:val="center"/>
              <w:rPr>
                <w:rFonts w:cs="Times New Roman"/>
                <w:b/>
                <w:sz w:val="20"/>
                <w:szCs w:val="20"/>
              </w:rPr>
            </w:pPr>
            <w:r w:rsidRPr="00234140">
              <w:rPr>
                <w:rFonts w:cs="Times New Roman"/>
                <w:b/>
                <w:sz w:val="20"/>
                <w:szCs w:val="20"/>
              </w:rPr>
              <w:t>Possible Points</w:t>
            </w:r>
          </w:p>
        </w:tc>
        <w:tc>
          <w:tcPr>
            <w:tcW w:w="2102" w:type="pct"/>
            <w:gridSpan w:val="6"/>
          </w:tcPr>
          <w:p w:rsidR="00E31EC3" w:rsidRPr="00234140" w:rsidRDefault="00E31EC3" w:rsidP="00E31EC3">
            <w:pPr>
              <w:jc w:val="center"/>
              <w:rPr>
                <w:rFonts w:cs="Times New Roman"/>
                <w:b/>
                <w:sz w:val="20"/>
                <w:szCs w:val="20"/>
              </w:rPr>
            </w:pPr>
            <w:r w:rsidRPr="00234140">
              <w:rPr>
                <w:rFonts w:cs="Times New Roman"/>
                <w:b/>
                <w:sz w:val="20"/>
                <w:szCs w:val="20"/>
              </w:rPr>
              <w:t>Points awarded</w:t>
            </w:r>
            <w:r>
              <w:rPr>
                <w:rFonts w:cs="Times New Roman"/>
                <w:b/>
                <w:sz w:val="20"/>
                <w:szCs w:val="20"/>
              </w:rPr>
              <w:t>:</w:t>
            </w:r>
          </w:p>
        </w:tc>
      </w:tr>
      <w:tr w:rsidR="005B152D" w:rsidTr="005B152D">
        <w:tc>
          <w:tcPr>
            <w:tcW w:w="2582" w:type="pct"/>
            <w:vMerge/>
          </w:tcPr>
          <w:p w:rsidR="00E31EC3" w:rsidRPr="00234140" w:rsidRDefault="00E31EC3" w:rsidP="00A61499">
            <w:pPr>
              <w:ind w:left="360"/>
              <w:rPr>
                <w:rFonts w:cs="Times New Roman"/>
                <w:b/>
                <w:sz w:val="20"/>
                <w:szCs w:val="20"/>
              </w:rPr>
            </w:pPr>
          </w:p>
        </w:tc>
        <w:tc>
          <w:tcPr>
            <w:tcW w:w="316" w:type="pct"/>
            <w:vMerge/>
          </w:tcPr>
          <w:p w:rsidR="00E31EC3" w:rsidRPr="00234140" w:rsidRDefault="00E31EC3">
            <w:pPr>
              <w:rPr>
                <w:rFonts w:cs="Times New Roman"/>
                <w:b/>
                <w:sz w:val="20"/>
                <w:szCs w:val="20"/>
              </w:rPr>
            </w:pPr>
          </w:p>
        </w:tc>
        <w:tc>
          <w:tcPr>
            <w:tcW w:w="313" w:type="pct"/>
          </w:tcPr>
          <w:p w:rsidR="00E31EC3" w:rsidRPr="00234140" w:rsidRDefault="00E31EC3" w:rsidP="00E31EC3">
            <w:pPr>
              <w:jc w:val="center"/>
              <w:rPr>
                <w:rFonts w:cs="Times New Roman"/>
                <w:b/>
                <w:sz w:val="20"/>
                <w:szCs w:val="20"/>
              </w:rPr>
            </w:pPr>
            <w:r>
              <w:rPr>
                <w:rFonts w:cs="Times New Roman"/>
                <w:b/>
                <w:sz w:val="20"/>
                <w:szCs w:val="20"/>
              </w:rPr>
              <w:t>AHRQ</w:t>
            </w:r>
          </w:p>
        </w:tc>
        <w:tc>
          <w:tcPr>
            <w:tcW w:w="282" w:type="pct"/>
          </w:tcPr>
          <w:p w:rsidR="00E31EC3" w:rsidRPr="00234140" w:rsidRDefault="00E31EC3" w:rsidP="00E31EC3">
            <w:pPr>
              <w:jc w:val="center"/>
              <w:rPr>
                <w:rFonts w:cs="Times New Roman"/>
                <w:b/>
                <w:sz w:val="20"/>
                <w:szCs w:val="20"/>
              </w:rPr>
            </w:pPr>
            <w:r>
              <w:rPr>
                <w:rFonts w:cs="Times New Roman"/>
                <w:b/>
                <w:sz w:val="20"/>
                <w:szCs w:val="20"/>
              </w:rPr>
              <w:t>Alt</w:t>
            </w:r>
          </w:p>
        </w:tc>
        <w:tc>
          <w:tcPr>
            <w:tcW w:w="345" w:type="pct"/>
          </w:tcPr>
          <w:p w:rsidR="00E31EC3" w:rsidRPr="00234140" w:rsidRDefault="00E31EC3" w:rsidP="00E31EC3">
            <w:pPr>
              <w:jc w:val="center"/>
              <w:rPr>
                <w:rFonts w:cs="Times New Roman"/>
                <w:b/>
                <w:sz w:val="20"/>
                <w:szCs w:val="20"/>
              </w:rPr>
            </w:pPr>
            <w:r>
              <w:rPr>
                <w:rFonts w:cs="Times New Roman"/>
                <w:b/>
                <w:sz w:val="20"/>
                <w:szCs w:val="20"/>
              </w:rPr>
              <w:t>Carreon</w:t>
            </w:r>
          </w:p>
        </w:tc>
        <w:tc>
          <w:tcPr>
            <w:tcW w:w="503" w:type="pct"/>
          </w:tcPr>
          <w:p w:rsidR="00E31EC3" w:rsidRPr="00234140" w:rsidRDefault="00A61499" w:rsidP="00A61499">
            <w:pPr>
              <w:jc w:val="center"/>
              <w:rPr>
                <w:rFonts w:cs="Times New Roman"/>
                <w:b/>
                <w:sz w:val="20"/>
                <w:szCs w:val="20"/>
              </w:rPr>
            </w:pPr>
            <w:r>
              <w:rPr>
                <w:rFonts w:cs="Times New Roman"/>
                <w:b/>
                <w:sz w:val="20"/>
                <w:szCs w:val="20"/>
              </w:rPr>
              <w:t>Garrison/</w:t>
            </w:r>
            <w:r w:rsidR="00044C79">
              <w:rPr>
                <w:rFonts w:cs="Times New Roman"/>
                <w:b/>
                <w:sz w:val="20"/>
                <w:szCs w:val="20"/>
              </w:rPr>
              <w:t>NHS</w:t>
            </w:r>
          </w:p>
        </w:tc>
        <w:tc>
          <w:tcPr>
            <w:tcW w:w="282" w:type="pct"/>
          </w:tcPr>
          <w:p w:rsidR="00E31EC3" w:rsidRPr="00234140" w:rsidRDefault="00896B89" w:rsidP="00E31EC3">
            <w:pPr>
              <w:jc w:val="center"/>
              <w:rPr>
                <w:rFonts w:cs="Times New Roman"/>
                <w:b/>
                <w:sz w:val="20"/>
                <w:szCs w:val="20"/>
              </w:rPr>
            </w:pPr>
            <w:r>
              <w:rPr>
                <w:rFonts w:cs="Times New Roman"/>
                <w:b/>
                <w:sz w:val="20"/>
                <w:szCs w:val="20"/>
              </w:rPr>
              <w:t>Polly</w:t>
            </w:r>
          </w:p>
        </w:tc>
        <w:tc>
          <w:tcPr>
            <w:tcW w:w="377" w:type="pct"/>
          </w:tcPr>
          <w:p w:rsidR="00E31EC3" w:rsidRPr="00234140" w:rsidRDefault="00896B89" w:rsidP="00E31EC3">
            <w:pPr>
              <w:jc w:val="center"/>
              <w:rPr>
                <w:rFonts w:cs="Times New Roman"/>
                <w:b/>
                <w:sz w:val="20"/>
                <w:szCs w:val="20"/>
              </w:rPr>
            </w:pPr>
            <w:proofErr w:type="spellStart"/>
            <w:r>
              <w:rPr>
                <w:rFonts w:cs="Times New Roman"/>
                <w:b/>
                <w:sz w:val="20"/>
                <w:szCs w:val="20"/>
              </w:rPr>
              <w:t>Angevine</w:t>
            </w:r>
            <w:proofErr w:type="spellEnd"/>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the </w:t>
            </w:r>
            <w:r w:rsidRPr="00F15F93">
              <w:rPr>
                <w:rFonts w:ascii="Calibri" w:hAnsi="Calibri"/>
                <w:b/>
                <w:bCs/>
                <w:color w:val="000000"/>
                <w:sz w:val="20"/>
                <w:szCs w:val="20"/>
              </w:rPr>
              <w:t>study</w:t>
            </w:r>
            <w:r w:rsidRPr="00F15F93">
              <w:rPr>
                <w:rFonts w:ascii="Calibri" w:hAnsi="Calibri"/>
                <w:color w:val="000000"/>
                <w:sz w:val="20"/>
                <w:szCs w:val="20"/>
              </w:rPr>
              <w:t xml:space="preserve"> </w:t>
            </w:r>
            <w:r w:rsidRPr="00F15F93">
              <w:rPr>
                <w:rFonts w:ascii="Calibri" w:hAnsi="Calibri"/>
                <w:b/>
                <w:bCs/>
                <w:color w:val="000000"/>
                <w:sz w:val="20"/>
                <w:szCs w:val="20"/>
              </w:rPr>
              <w:t>objective</w:t>
            </w:r>
            <w:r w:rsidRPr="00F15F93">
              <w:rPr>
                <w:rFonts w:ascii="Calibri" w:hAnsi="Calibri"/>
                <w:color w:val="000000"/>
                <w:sz w:val="20"/>
                <w:szCs w:val="20"/>
              </w:rPr>
              <w:t xml:space="preserve"> presented in a clear, specific, and measurable manner?</w:t>
            </w:r>
          </w:p>
        </w:tc>
        <w:tc>
          <w:tcPr>
            <w:tcW w:w="316" w:type="pct"/>
          </w:tcPr>
          <w:p w:rsidR="00896B89" w:rsidRDefault="00896B89">
            <w:pPr>
              <w:jc w:val="center"/>
              <w:rPr>
                <w:rFonts w:ascii="Calibri" w:hAnsi="Calibri"/>
                <w:sz w:val="20"/>
                <w:szCs w:val="20"/>
              </w:rPr>
            </w:pPr>
            <w:r>
              <w:rPr>
                <w:rFonts w:ascii="Calibri" w:hAnsi="Calibri"/>
                <w:sz w:val="20"/>
                <w:szCs w:val="20"/>
              </w:rPr>
              <w:t>7</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7</w:t>
            </w:r>
          </w:p>
        </w:tc>
        <w:tc>
          <w:tcPr>
            <w:tcW w:w="282" w:type="pct"/>
          </w:tcPr>
          <w:p w:rsidR="00896B89" w:rsidRDefault="00896B89" w:rsidP="00453304">
            <w:pPr>
              <w:jc w:val="center"/>
              <w:rPr>
                <w:rFonts w:ascii="Calibri" w:hAnsi="Calibri"/>
                <w:sz w:val="20"/>
                <w:szCs w:val="20"/>
              </w:rPr>
            </w:pPr>
            <w:r>
              <w:rPr>
                <w:rFonts w:ascii="Calibri" w:hAnsi="Calibri"/>
                <w:sz w:val="20"/>
                <w:szCs w:val="20"/>
              </w:rPr>
              <w:t>7</w:t>
            </w:r>
          </w:p>
        </w:tc>
        <w:tc>
          <w:tcPr>
            <w:tcW w:w="345" w:type="pct"/>
          </w:tcPr>
          <w:p w:rsidR="00896B89" w:rsidRDefault="00896B89" w:rsidP="00453304">
            <w:pPr>
              <w:jc w:val="center"/>
              <w:rPr>
                <w:rFonts w:ascii="Calibri" w:hAnsi="Calibri"/>
                <w:sz w:val="20"/>
                <w:szCs w:val="20"/>
              </w:rPr>
            </w:pPr>
            <w:r>
              <w:rPr>
                <w:rFonts w:ascii="Calibri" w:hAnsi="Calibri"/>
                <w:sz w:val="20"/>
                <w:szCs w:val="20"/>
              </w:rPr>
              <w:t>7</w:t>
            </w:r>
          </w:p>
        </w:tc>
        <w:tc>
          <w:tcPr>
            <w:tcW w:w="503" w:type="pct"/>
          </w:tcPr>
          <w:p w:rsidR="00896B89" w:rsidRDefault="00896B89" w:rsidP="00453304">
            <w:pPr>
              <w:jc w:val="center"/>
              <w:rPr>
                <w:rFonts w:ascii="Calibri" w:hAnsi="Calibri"/>
                <w:sz w:val="20"/>
                <w:szCs w:val="20"/>
              </w:rPr>
            </w:pPr>
            <w:r>
              <w:rPr>
                <w:rFonts w:ascii="Calibri" w:hAnsi="Calibri"/>
                <w:sz w:val="20"/>
                <w:szCs w:val="20"/>
              </w:rPr>
              <w:t>7</w:t>
            </w:r>
          </w:p>
        </w:tc>
        <w:tc>
          <w:tcPr>
            <w:tcW w:w="282" w:type="pct"/>
          </w:tcPr>
          <w:p w:rsidR="00896B89" w:rsidRDefault="00896B89" w:rsidP="00453304">
            <w:pPr>
              <w:jc w:val="center"/>
              <w:rPr>
                <w:rFonts w:ascii="Calibri" w:hAnsi="Calibri"/>
                <w:sz w:val="20"/>
                <w:szCs w:val="20"/>
              </w:rPr>
            </w:pPr>
            <w:r>
              <w:rPr>
                <w:rFonts w:ascii="Calibri" w:hAnsi="Calibri"/>
                <w:sz w:val="20"/>
                <w:szCs w:val="20"/>
              </w:rPr>
              <w:t>7</w:t>
            </w:r>
          </w:p>
        </w:tc>
        <w:tc>
          <w:tcPr>
            <w:tcW w:w="377" w:type="pct"/>
          </w:tcPr>
          <w:p w:rsidR="00896B89" w:rsidRDefault="00896B89" w:rsidP="00453304">
            <w:pPr>
              <w:jc w:val="center"/>
              <w:rPr>
                <w:rFonts w:ascii="Calibri" w:hAnsi="Calibri"/>
                <w:sz w:val="20"/>
                <w:szCs w:val="20"/>
              </w:rPr>
            </w:pPr>
            <w:r>
              <w:rPr>
                <w:rFonts w:ascii="Calibri" w:hAnsi="Calibri"/>
                <w:sz w:val="20"/>
                <w:szCs w:val="20"/>
              </w:rPr>
              <w:t>7</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the </w:t>
            </w:r>
            <w:r w:rsidRPr="00F15F93">
              <w:rPr>
                <w:rFonts w:ascii="Calibri" w:hAnsi="Calibri"/>
                <w:b/>
                <w:bCs/>
                <w:color w:val="000000"/>
                <w:sz w:val="20"/>
                <w:szCs w:val="20"/>
              </w:rPr>
              <w:t>perspective</w:t>
            </w:r>
            <w:r w:rsidRPr="00F15F93">
              <w:rPr>
                <w:rFonts w:ascii="Calibri" w:hAnsi="Calibri"/>
                <w:color w:val="000000"/>
                <w:sz w:val="20"/>
                <w:szCs w:val="20"/>
              </w:rPr>
              <w:t xml:space="preserve"> of the analysis (societal, third-party payer, etc.) and reasons for its selection stated?</w:t>
            </w:r>
          </w:p>
        </w:tc>
        <w:tc>
          <w:tcPr>
            <w:tcW w:w="316" w:type="pct"/>
          </w:tcPr>
          <w:p w:rsidR="00896B89" w:rsidRDefault="00896B89">
            <w:pPr>
              <w:jc w:val="center"/>
              <w:rPr>
                <w:rFonts w:ascii="Calibri" w:hAnsi="Calibri"/>
                <w:sz w:val="20"/>
                <w:szCs w:val="20"/>
              </w:rPr>
            </w:pPr>
            <w:r>
              <w:rPr>
                <w:rFonts w:ascii="Calibri" w:hAnsi="Calibri"/>
                <w:sz w:val="20"/>
                <w:szCs w:val="20"/>
              </w:rPr>
              <w:t>4</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4</w:t>
            </w:r>
          </w:p>
        </w:tc>
        <w:tc>
          <w:tcPr>
            <w:tcW w:w="282" w:type="pct"/>
          </w:tcPr>
          <w:p w:rsidR="00896B89" w:rsidRDefault="00896B89" w:rsidP="00453304">
            <w:pPr>
              <w:jc w:val="center"/>
              <w:rPr>
                <w:rFonts w:ascii="Calibri" w:hAnsi="Calibri"/>
                <w:sz w:val="20"/>
                <w:szCs w:val="20"/>
              </w:rPr>
            </w:pPr>
            <w:r>
              <w:rPr>
                <w:rFonts w:ascii="Calibri" w:hAnsi="Calibri"/>
                <w:sz w:val="20"/>
                <w:szCs w:val="20"/>
              </w:rPr>
              <w:t>4</w:t>
            </w:r>
          </w:p>
        </w:tc>
        <w:tc>
          <w:tcPr>
            <w:tcW w:w="345" w:type="pct"/>
          </w:tcPr>
          <w:p w:rsidR="00896B89" w:rsidRDefault="00896B89" w:rsidP="00453304">
            <w:pPr>
              <w:jc w:val="center"/>
              <w:rPr>
                <w:rFonts w:ascii="Calibri" w:hAnsi="Calibri"/>
                <w:sz w:val="20"/>
                <w:szCs w:val="20"/>
              </w:rPr>
            </w:pPr>
            <w:r>
              <w:rPr>
                <w:rFonts w:ascii="Calibri" w:hAnsi="Calibri"/>
                <w:sz w:val="20"/>
                <w:szCs w:val="20"/>
              </w:rPr>
              <w:t>0</w:t>
            </w:r>
          </w:p>
        </w:tc>
        <w:tc>
          <w:tcPr>
            <w:tcW w:w="503" w:type="pct"/>
          </w:tcPr>
          <w:p w:rsidR="00896B89" w:rsidRDefault="00896B89" w:rsidP="00453304">
            <w:pPr>
              <w:jc w:val="center"/>
              <w:rPr>
                <w:rFonts w:ascii="Calibri" w:hAnsi="Calibri"/>
                <w:sz w:val="20"/>
                <w:szCs w:val="20"/>
              </w:rPr>
            </w:pPr>
            <w:r>
              <w:rPr>
                <w:rFonts w:ascii="Calibri" w:hAnsi="Calibri"/>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77" w:type="pct"/>
          </w:tcPr>
          <w:p w:rsidR="00896B89" w:rsidRDefault="00896B89" w:rsidP="00453304">
            <w:pPr>
              <w:jc w:val="center"/>
              <w:rPr>
                <w:rFonts w:ascii="Calibri" w:hAnsi="Calibri"/>
                <w:sz w:val="20"/>
                <w:szCs w:val="20"/>
              </w:rPr>
            </w:pPr>
            <w:r>
              <w:rPr>
                <w:rFonts w:ascii="Calibri" w:hAnsi="Calibri"/>
                <w:sz w:val="20"/>
                <w:szCs w:val="20"/>
              </w:rPr>
              <w:t>0</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w:t>
            </w:r>
            <w:r w:rsidRPr="00F15F93">
              <w:rPr>
                <w:rFonts w:ascii="Calibri" w:hAnsi="Calibri"/>
                <w:b/>
                <w:bCs/>
                <w:color w:val="000000"/>
                <w:sz w:val="20"/>
                <w:szCs w:val="20"/>
              </w:rPr>
              <w:t>variable estimates</w:t>
            </w:r>
            <w:r w:rsidRPr="00F15F93">
              <w:rPr>
                <w:rFonts w:ascii="Calibri" w:hAnsi="Calibri"/>
                <w:color w:val="000000"/>
                <w:sz w:val="20"/>
                <w:szCs w:val="20"/>
              </w:rPr>
              <w:t xml:space="preserve"> used in the analysis</w:t>
            </w:r>
            <w:r w:rsidRPr="00F15F93">
              <w:rPr>
                <w:rFonts w:ascii="Calibri" w:hAnsi="Calibri"/>
                <w:b/>
                <w:bCs/>
                <w:color w:val="000000"/>
                <w:sz w:val="20"/>
                <w:szCs w:val="20"/>
              </w:rPr>
              <w:t xml:space="preserve"> from the best available source</w:t>
            </w:r>
            <w:r w:rsidRPr="00F15F93">
              <w:rPr>
                <w:rFonts w:ascii="Calibri" w:hAnsi="Calibri"/>
                <w:color w:val="000000"/>
                <w:sz w:val="20"/>
                <w:szCs w:val="20"/>
              </w:rPr>
              <w:t xml:space="preserve"> (i.e., randomized controlled trial - best, expert opinion - worst)?</w:t>
            </w:r>
          </w:p>
        </w:tc>
        <w:tc>
          <w:tcPr>
            <w:tcW w:w="316" w:type="pct"/>
          </w:tcPr>
          <w:p w:rsidR="00896B89" w:rsidRDefault="00896B89">
            <w:pPr>
              <w:jc w:val="center"/>
              <w:rPr>
                <w:rFonts w:ascii="Calibri" w:hAnsi="Calibri"/>
                <w:sz w:val="20"/>
                <w:szCs w:val="20"/>
              </w:rPr>
            </w:pPr>
            <w:r>
              <w:rPr>
                <w:rFonts w:ascii="Calibri" w:hAnsi="Calibri"/>
                <w:sz w:val="20"/>
                <w:szCs w:val="20"/>
              </w:rPr>
              <w:t>8</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45" w:type="pct"/>
          </w:tcPr>
          <w:p w:rsidR="00896B89" w:rsidRDefault="00896B89" w:rsidP="00453304">
            <w:pPr>
              <w:jc w:val="center"/>
              <w:rPr>
                <w:rFonts w:ascii="Calibri" w:hAnsi="Calibri"/>
                <w:sz w:val="20"/>
                <w:szCs w:val="20"/>
              </w:rPr>
            </w:pPr>
            <w:r>
              <w:rPr>
                <w:rFonts w:ascii="Calibri" w:hAnsi="Calibri"/>
                <w:sz w:val="20"/>
                <w:szCs w:val="20"/>
              </w:rPr>
              <w:t>8</w:t>
            </w:r>
          </w:p>
        </w:tc>
        <w:tc>
          <w:tcPr>
            <w:tcW w:w="503" w:type="pct"/>
          </w:tcPr>
          <w:p w:rsidR="00896B89" w:rsidRDefault="00896B89" w:rsidP="00453304">
            <w:pPr>
              <w:jc w:val="center"/>
              <w:rPr>
                <w:rFonts w:ascii="Calibri" w:hAnsi="Calibri"/>
                <w:sz w:val="20"/>
                <w:szCs w:val="20"/>
              </w:rPr>
            </w:pPr>
            <w:r>
              <w:rPr>
                <w:rFonts w:ascii="Calibri" w:hAnsi="Calibri"/>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77" w:type="pct"/>
          </w:tcPr>
          <w:p w:rsidR="00896B89" w:rsidRDefault="00896B89" w:rsidP="00453304">
            <w:pPr>
              <w:jc w:val="center"/>
              <w:rPr>
                <w:rFonts w:ascii="Calibri" w:hAnsi="Calibri"/>
                <w:sz w:val="20"/>
                <w:szCs w:val="20"/>
              </w:rPr>
            </w:pPr>
            <w:r>
              <w:rPr>
                <w:rFonts w:ascii="Calibri" w:hAnsi="Calibri"/>
                <w:sz w:val="20"/>
                <w:szCs w:val="20"/>
              </w:rPr>
              <w:t>0</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If estimates came from a </w:t>
            </w:r>
            <w:r w:rsidRPr="00F15F93">
              <w:rPr>
                <w:rFonts w:ascii="Calibri" w:hAnsi="Calibri"/>
                <w:b/>
                <w:bCs/>
                <w:color w:val="000000"/>
                <w:sz w:val="20"/>
                <w:szCs w:val="20"/>
              </w:rPr>
              <w:t>subgroup analysis</w:t>
            </w:r>
            <w:r w:rsidRPr="00F15F93">
              <w:rPr>
                <w:rFonts w:ascii="Calibri" w:hAnsi="Calibri"/>
                <w:color w:val="000000"/>
                <w:sz w:val="20"/>
                <w:szCs w:val="20"/>
              </w:rPr>
              <w:t xml:space="preserve">, were the groups </w:t>
            </w:r>
            <w:proofErr w:type="spellStart"/>
            <w:r w:rsidRPr="00F15F93">
              <w:rPr>
                <w:rFonts w:ascii="Calibri" w:hAnsi="Calibri"/>
                <w:color w:val="000000"/>
                <w:sz w:val="20"/>
                <w:szCs w:val="20"/>
              </w:rPr>
              <w:t>prespecified</w:t>
            </w:r>
            <w:proofErr w:type="spellEnd"/>
            <w:r w:rsidRPr="00F15F93">
              <w:rPr>
                <w:rFonts w:ascii="Calibri" w:hAnsi="Calibri"/>
                <w:color w:val="000000"/>
                <w:sz w:val="20"/>
                <w:szCs w:val="20"/>
              </w:rPr>
              <w:t xml:space="preserve"> at the beginning of the study?</w:t>
            </w:r>
          </w:p>
        </w:tc>
        <w:tc>
          <w:tcPr>
            <w:tcW w:w="316" w:type="pct"/>
          </w:tcPr>
          <w:p w:rsidR="00896B89" w:rsidRDefault="00896B89">
            <w:pPr>
              <w:jc w:val="center"/>
              <w:rPr>
                <w:rFonts w:ascii="Calibri" w:hAnsi="Calibri"/>
                <w:sz w:val="20"/>
                <w:szCs w:val="20"/>
              </w:rPr>
            </w:pPr>
            <w:r>
              <w:rPr>
                <w:rFonts w:ascii="Calibri" w:hAnsi="Calibri"/>
                <w:sz w:val="20"/>
                <w:szCs w:val="20"/>
              </w:rPr>
              <w:t>1</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1</w:t>
            </w:r>
          </w:p>
        </w:tc>
        <w:tc>
          <w:tcPr>
            <w:tcW w:w="282" w:type="pct"/>
          </w:tcPr>
          <w:p w:rsidR="00896B89" w:rsidRDefault="00896B89" w:rsidP="00453304">
            <w:pPr>
              <w:jc w:val="center"/>
              <w:rPr>
                <w:rFonts w:ascii="Calibri" w:hAnsi="Calibri"/>
                <w:sz w:val="20"/>
                <w:szCs w:val="20"/>
              </w:rPr>
            </w:pPr>
            <w:r>
              <w:rPr>
                <w:rFonts w:ascii="Calibri" w:hAnsi="Calibri"/>
                <w:sz w:val="20"/>
                <w:szCs w:val="20"/>
              </w:rPr>
              <w:t>1</w:t>
            </w:r>
          </w:p>
        </w:tc>
        <w:tc>
          <w:tcPr>
            <w:tcW w:w="345" w:type="pct"/>
          </w:tcPr>
          <w:p w:rsidR="00896B89" w:rsidRDefault="00896B89" w:rsidP="00453304">
            <w:pPr>
              <w:jc w:val="center"/>
              <w:rPr>
                <w:rFonts w:ascii="Calibri" w:hAnsi="Calibri"/>
                <w:sz w:val="20"/>
                <w:szCs w:val="20"/>
              </w:rPr>
            </w:pPr>
            <w:r>
              <w:rPr>
                <w:rFonts w:ascii="Calibri" w:hAnsi="Calibri"/>
                <w:sz w:val="20"/>
                <w:szCs w:val="20"/>
              </w:rPr>
              <w:t>0</w:t>
            </w:r>
          </w:p>
        </w:tc>
        <w:tc>
          <w:tcPr>
            <w:tcW w:w="503" w:type="pct"/>
          </w:tcPr>
          <w:p w:rsidR="00896B89" w:rsidRDefault="00896B89" w:rsidP="00453304">
            <w:pPr>
              <w:jc w:val="center"/>
              <w:rPr>
                <w:rFonts w:ascii="Calibri" w:hAnsi="Calibri"/>
                <w:sz w:val="20"/>
                <w:szCs w:val="20"/>
              </w:rPr>
            </w:pPr>
            <w:r>
              <w:rPr>
                <w:rFonts w:ascii="Calibri" w:hAnsi="Calibri"/>
                <w:sz w:val="20"/>
                <w:szCs w:val="20"/>
              </w:rPr>
              <w:t>1</w:t>
            </w:r>
          </w:p>
        </w:tc>
        <w:tc>
          <w:tcPr>
            <w:tcW w:w="282" w:type="pct"/>
          </w:tcPr>
          <w:p w:rsidR="00896B89" w:rsidRDefault="00896B89" w:rsidP="00453304">
            <w:pPr>
              <w:jc w:val="center"/>
              <w:rPr>
                <w:rFonts w:ascii="Calibri" w:hAnsi="Calibri"/>
                <w:sz w:val="20"/>
                <w:szCs w:val="20"/>
              </w:rPr>
            </w:pPr>
            <w:r>
              <w:rPr>
                <w:rFonts w:ascii="Calibri" w:hAnsi="Calibri"/>
                <w:sz w:val="20"/>
                <w:szCs w:val="20"/>
              </w:rPr>
              <w:t>1</w:t>
            </w:r>
          </w:p>
        </w:tc>
        <w:tc>
          <w:tcPr>
            <w:tcW w:w="377" w:type="pct"/>
          </w:tcPr>
          <w:p w:rsidR="00896B89" w:rsidRDefault="00896B89" w:rsidP="00453304">
            <w:pPr>
              <w:jc w:val="center"/>
              <w:rPr>
                <w:rFonts w:ascii="Calibri" w:hAnsi="Calibri"/>
                <w:sz w:val="20"/>
                <w:szCs w:val="20"/>
              </w:rPr>
            </w:pPr>
            <w:r>
              <w:rPr>
                <w:rFonts w:ascii="Calibri" w:hAnsi="Calibri"/>
                <w:sz w:val="20"/>
                <w:szCs w:val="20"/>
              </w:rPr>
              <w:t>1</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w:t>
            </w:r>
            <w:r w:rsidRPr="00F15F93">
              <w:rPr>
                <w:rFonts w:ascii="Calibri" w:hAnsi="Calibri"/>
                <w:b/>
                <w:bCs/>
                <w:color w:val="000000"/>
                <w:sz w:val="20"/>
                <w:szCs w:val="20"/>
              </w:rPr>
              <w:t>uncertainty</w:t>
            </w:r>
            <w:r w:rsidRPr="00F15F93">
              <w:rPr>
                <w:rFonts w:ascii="Calibri" w:hAnsi="Calibri"/>
                <w:color w:val="000000"/>
                <w:sz w:val="20"/>
                <w:szCs w:val="20"/>
              </w:rPr>
              <w:t xml:space="preserve"> handled by (1) statistical analysis to address random events, (2) sensitivity analysis to cover a range of assumptions?</w:t>
            </w:r>
          </w:p>
        </w:tc>
        <w:tc>
          <w:tcPr>
            <w:tcW w:w="316" w:type="pct"/>
          </w:tcPr>
          <w:p w:rsidR="00896B89" w:rsidRDefault="00896B89">
            <w:pPr>
              <w:jc w:val="center"/>
              <w:rPr>
                <w:rFonts w:ascii="Calibri" w:hAnsi="Calibri"/>
                <w:sz w:val="20"/>
                <w:szCs w:val="20"/>
              </w:rPr>
            </w:pPr>
            <w:r>
              <w:rPr>
                <w:rFonts w:ascii="Calibri" w:hAnsi="Calibri"/>
                <w:sz w:val="20"/>
                <w:szCs w:val="20"/>
              </w:rPr>
              <w:t>9</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9</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45" w:type="pct"/>
          </w:tcPr>
          <w:p w:rsidR="00896B89" w:rsidRDefault="00896B89" w:rsidP="00453304">
            <w:pPr>
              <w:jc w:val="center"/>
              <w:rPr>
                <w:rFonts w:ascii="Calibri" w:hAnsi="Calibri"/>
                <w:sz w:val="20"/>
                <w:szCs w:val="20"/>
              </w:rPr>
            </w:pPr>
            <w:r>
              <w:rPr>
                <w:rFonts w:ascii="Calibri" w:hAnsi="Calibri"/>
                <w:sz w:val="20"/>
                <w:szCs w:val="20"/>
              </w:rPr>
              <w:t>0</w:t>
            </w:r>
          </w:p>
        </w:tc>
        <w:tc>
          <w:tcPr>
            <w:tcW w:w="503" w:type="pct"/>
          </w:tcPr>
          <w:p w:rsidR="00896B89" w:rsidRDefault="00896B89" w:rsidP="00453304">
            <w:pPr>
              <w:jc w:val="center"/>
              <w:rPr>
                <w:rFonts w:ascii="Calibri" w:hAnsi="Calibri"/>
                <w:sz w:val="20"/>
                <w:szCs w:val="20"/>
              </w:rPr>
            </w:pPr>
            <w:r>
              <w:rPr>
                <w:rFonts w:ascii="Calibri" w:hAnsi="Calibri"/>
                <w:sz w:val="20"/>
                <w:szCs w:val="20"/>
              </w:rPr>
              <w:t>9</w:t>
            </w:r>
          </w:p>
        </w:tc>
        <w:tc>
          <w:tcPr>
            <w:tcW w:w="282" w:type="pct"/>
          </w:tcPr>
          <w:p w:rsidR="00896B89" w:rsidRDefault="00896B89" w:rsidP="00453304">
            <w:pPr>
              <w:jc w:val="center"/>
              <w:rPr>
                <w:rFonts w:ascii="Calibri" w:hAnsi="Calibri"/>
                <w:sz w:val="20"/>
                <w:szCs w:val="20"/>
              </w:rPr>
            </w:pPr>
            <w:r>
              <w:rPr>
                <w:rFonts w:ascii="Calibri" w:hAnsi="Calibri"/>
                <w:sz w:val="20"/>
                <w:szCs w:val="20"/>
              </w:rPr>
              <w:t>9</w:t>
            </w:r>
          </w:p>
        </w:tc>
        <w:tc>
          <w:tcPr>
            <w:tcW w:w="377" w:type="pct"/>
          </w:tcPr>
          <w:p w:rsidR="00896B89" w:rsidRDefault="00896B89" w:rsidP="00453304">
            <w:pPr>
              <w:jc w:val="center"/>
              <w:rPr>
                <w:rFonts w:ascii="Calibri" w:hAnsi="Calibri"/>
                <w:sz w:val="20"/>
                <w:szCs w:val="20"/>
              </w:rPr>
            </w:pPr>
            <w:r>
              <w:rPr>
                <w:rFonts w:ascii="Calibri" w:hAnsi="Calibri"/>
                <w:sz w:val="20"/>
                <w:szCs w:val="20"/>
              </w:rPr>
              <w:t>9</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w:t>
            </w:r>
            <w:r w:rsidRPr="00F15F93">
              <w:rPr>
                <w:rFonts w:ascii="Calibri" w:hAnsi="Calibri"/>
                <w:b/>
                <w:bCs/>
                <w:color w:val="000000"/>
                <w:sz w:val="20"/>
                <w:szCs w:val="20"/>
              </w:rPr>
              <w:t>incremental analysis</w:t>
            </w:r>
            <w:r w:rsidRPr="00F15F93">
              <w:rPr>
                <w:rFonts w:ascii="Calibri" w:hAnsi="Calibri"/>
                <w:color w:val="000000"/>
                <w:sz w:val="20"/>
                <w:szCs w:val="20"/>
              </w:rPr>
              <w:t xml:space="preserve"> performed between alternatives for resources and costs?</w:t>
            </w:r>
          </w:p>
        </w:tc>
        <w:tc>
          <w:tcPr>
            <w:tcW w:w="316" w:type="pct"/>
          </w:tcPr>
          <w:p w:rsidR="00896B89" w:rsidRDefault="00896B89">
            <w:pPr>
              <w:jc w:val="center"/>
              <w:rPr>
                <w:rFonts w:ascii="Calibri" w:hAnsi="Calibri"/>
                <w:sz w:val="20"/>
                <w:szCs w:val="20"/>
              </w:rPr>
            </w:pPr>
            <w:r>
              <w:rPr>
                <w:rFonts w:ascii="Calibri" w:hAnsi="Calibri"/>
                <w:sz w:val="20"/>
                <w:szCs w:val="20"/>
              </w:rPr>
              <w:t>6</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6</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45" w:type="pct"/>
          </w:tcPr>
          <w:p w:rsidR="00896B89" w:rsidRDefault="00896B89" w:rsidP="00453304">
            <w:pPr>
              <w:jc w:val="center"/>
              <w:rPr>
                <w:rFonts w:ascii="Calibri" w:hAnsi="Calibri"/>
                <w:sz w:val="20"/>
                <w:szCs w:val="20"/>
              </w:rPr>
            </w:pPr>
            <w:r>
              <w:rPr>
                <w:rFonts w:ascii="Calibri" w:hAnsi="Calibri"/>
                <w:sz w:val="20"/>
                <w:szCs w:val="20"/>
              </w:rPr>
              <w:t>6</w:t>
            </w:r>
          </w:p>
        </w:tc>
        <w:tc>
          <w:tcPr>
            <w:tcW w:w="503" w:type="pct"/>
          </w:tcPr>
          <w:p w:rsidR="00896B89" w:rsidRDefault="00896B89" w:rsidP="00453304">
            <w:pPr>
              <w:jc w:val="center"/>
              <w:rPr>
                <w:rFonts w:ascii="Calibri" w:hAnsi="Calibri"/>
                <w:sz w:val="20"/>
                <w:szCs w:val="20"/>
              </w:rPr>
            </w:pPr>
            <w:r>
              <w:rPr>
                <w:rFonts w:ascii="Calibri" w:hAnsi="Calibri"/>
                <w:sz w:val="20"/>
                <w:szCs w:val="20"/>
              </w:rPr>
              <w:t>6</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77" w:type="pct"/>
          </w:tcPr>
          <w:p w:rsidR="00896B89" w:rsidRDefault="00896B89" w:rsidP="00453304">
            <w:pPr>
              <w:jc w:val="center"/>
              <w:rPr>
                <w:rFonts w:ascii="Calibri" w:hAnsi="Calibri"/>
                <w:sz w:val="20"/>
                <w:szCs w:val="20"/>
              </w:rPr>
            </w:pPr>
            <w:r>
              <w:rPr>
                <w:rFonts w:ascii="Calibri" w:hAnsi="Calibri"/>
                <w:sz w:val="20"/>
                <w:szCs w:val="20"/>
              </w:rPr>
              <w:t>6</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the methodology for </w:t>
            </w:r>
            <w:r w:rsidRPr="00F15F93">
              <w:rPr>
                <w:rFonts w:ascii="Calibri" w:hAnsi="Calibri"/>
                <w:b/>
                <w:bCs/>
                <w:color w:val="000000"/>
                <w:sz w:val="20"/>
                <w:szCs w:val="20"/>
              </w:rPr>
              <w:t>data abstraction</w:t>
            </w:r>
            <w:r w:rsidRPr="00F15F93">
              <w:rPr>
                <w:rFonts w:ascii="Calibri" w:hAnsi="Calibri"/>
                <w:color w:val="000000"/>
                <w:sz w:val="20"/>
                <w:szCs w:val="20"/>
              </w:rPr>
              <w:t xml:space="preserve"> (including the value of health states and other benefits) stated?</w:t>
            </w:r>
          </w:p>
        </w:tc>
        <w:tc>
          <w:tcPr>
            <w:tcW w:w="316" w:type="pct"/>
          </w:tcPr>
          <w:p w:rsidR="00896B89" w:rsidRDefault="00896B89">
            <w:pPr>
              <w:jc w:val="center"/>
              <w:rPr>
                <w:rFonts w:ascii="Calibri" w:hAnsi="Calibri"/>
                <w:sz w:val="20"/>
                <w:szCs w:val="20"/>
              </w:rPr>
            </w:pPr>
            <w:r>
              <w:rPr>
                <w:rFonts w:ascii="Calibri" w:hAnsi="Calibri"/>
                <w:sz w:val="20"/>
                <w:szCs w:val="20"/>
              </w:rPr>
              <w:t>5</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5</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45" w:type="pct"/>
          </w:tcPr>
          <w:p w:rsidR="00896B89" w:rsidRDefault="00896B89" w:rsidP="00453304">
            <w:pPr>
              <w:jc w:val="center"/>
              <w:rPr>
                <w:rFonts w:ascii="Calibri" w:hAnsi="Calibri"/>
                <w:sz w:val="20"/>
                <w:szCs w:val="20"/>
              </w:rPr>
            </w:pPr>
            <w:r>
              <w:rPr>
                <w:rFonts w:ascii="Calibri" w:hAnsi="Calibri"/>
                <w:sz w:val="20"/>
                <w:szCs w:val="20"/>
              </w:rPr>
              <w:t>5</w:t>
            </w:r>
          </w:p>
        </w:tc>
        <w:tc>
          <w:tcPr>
            <w:tcW w:w="503" w:type="pct"/>
          </w:tcPr>
          <w:p w:rsidR="00896B89" w:rsidRDefault="00896B89" w:rsidP="00453304">
            <w:pPr>
              <w:jc w:val="center"/>
              <w:rPr>
                <w:rFonts w:ascii="Calibri" w:hAnsi="Calibri"/>
                <w:sz w:val="20"/>
                <w:szCs w:val="20"/>
              </w:rPr>
            </w:pPr>
            <w:r>
              <w:rPr>
                <w:rFonts w:ascii="Calibri" w:hAnsi="Calibri"/>
                <w:sz w:val="20"/>
                <w:szCs w:val="20"/>
              </w:rPr>
              <w:t>5</w:t>
            </w:r>
          </w:p>
        </w:tc>
        <w:tc>
          <w:tcPr>
            <w:tcW w:w="282" w:type="pct"/>
          </w:tcPr>
          <w:p w:rsidR="00896B89" w:rsidRDefault="00896B89" w:rsidP="00453304">
            <w:pPr>
              <w:jc w:val="center"/>
              <w:rPr>
                <w:rFonts w:ascii="Calibri" w:hAnsi="Calibri"/>
                <w:sz w:val="20"/>
                <w:szCs w:val="20"/>
              </w:rPr>
            </w:pPr>
            <w:r>
              <w:rPr>
                <w:rFonts w:ascii="Calibri" w:hAnsi="Calibri"/>
                <w:sz w:val="20"/>
                <w:szCs w:val="20"/>
              </w:rPr>
              <w:t>5</w:t>
            </w:r>
          </w:p>
        </w:tc>
        <w:tc>
          <w:tcPr>
            <w:tcW w:w="377" w:type="pct"/>
          </w:tcPr>
          <w:p w:rsidR="00896B89" w:rsidRDefault="00896B89" w:rsidP="00453304">
            <w:pPr>
              <w:jc w:val="center"/>
              <w:rPr>
                <w:rFonts w:ascii="Calibri" w:hAnsi="Calibri"/>
                <w:sz w:val="20"/>
                <w:szCs w:val="20"/>
              </w:rPr>
            </w:pPr>
            <w:r>
              <w:rPr>
                <w:rFonts w:ascii="Calibri" w:hAnsi="Calibri"/>
                <w:sz w:val="20"/>
                <w:szCs w:val="20"/>
              </w:rPr>
              <w:t>5</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Did the </w:t>
            </w:r>
            <w:r w:rsidRPr="00F15F93">
              <w:rPr>
                <w:rFonts w:ascii="Calibri" w:hAnsi="Calibri"/>
                <w:b/>
                <w:bCs/>
                <w:color w:val="000000"/>
                <w:sz w:val="20"/>
                <w:szCs w:val="20"/>
              </w:rPr>
              <w:t xml:space="preserve">analytic horizon allow time </w:t>
            </w:r>
            <w:r w:rsidRPr="00F15F93">
              <w:rPr>
                <w:rFonts w:ascii="Calibri" w:hAnsi="Calibri"/>
                <w:color w:val="000000"/>
                <w:sz w:val="20"/>
                <w:szCs w:val="20"/>
              </w:rPr>
              <w:t>for all relevant and important outcomes? Were benefits and costs that went beyond 1 year discounted (3% to 5%) and justification given for the discount rate?</w:t>
            </w:r>
          </w:p>
        </w:tc>
        <w:tc>
          <w:tcPr>
            <w:tcW w:w="316" w:type="pct"/>
          </w:tcPr>
          <w:p w:rsidR="00896B89" w:rsidRDefault="00896B89">
            <w:pPr>
              <w:jc w:val="center"/>
              <w:rPr>
                <w:rFonts w:ascii="Calibri" w:hAnsi="Calibri"/>
                <w:sz w:val="20"/>
                <w:szCs w:val="20"/>
              </w:rPr>
            </w:pPr>
            <w:r>
              <w:rPr>
                <w:rFonts w:ascii="Calibri" w:hAnsi="Calibri"/>
                <w:sz w:val="20"/>
                <w:szCs w:val="20"/>
              </w:rPr>
              <w:t>7</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45" w:type="pct"/>
          </w:tcPr>
          <w:p w:rsidR="00896B89" w:rsidRDefault="00896B89" w:rsidP="00453304">
            <w:pPr>
              <w:jc w:val="center"/>
              <w:rPr>
                <w:rFonts w:ascii="Calibri" w:hAnsi="Calibri"/>
                <w:sz w:val="20"/>
                <w:szCs w:val="20"/>
              </w:rPr>
            </w:pPr>
            <w:r>
              <w:rPr>
                <w:rFonts w:ascii="Calibri" w:hAnsi="Calibri"/>
                <w:sz w:val="20"/>
                <w:szCs w:val="20"/>
              </w:rPr>
              <w:t>0</w:t>
            </w:r>
          </w:p>
        </w:tc>
        <w:tc>
          <w:tcPr>
            <w:tcW w:w="503" w:type="pct"/>
          </w:tcPr>
          <w:p w:rsidR="00896B89" w:rsidRDefault="00896B89" w:rsidP="00453304">
            <w:pPr>
              <w:jc w:val="center"/>
              <w:rPr>
                <w:rFonts w:ascii="Calibri" w:hAnsi="Calibri"/>
                <w:sz w:val="20"/>
                <w:szCs w:val="20"/>
              </w:rPr>
            </w:pPr>
            <w:r>
              <w:rPr>
                <w:rFonts w:ascii="Calibri" w:hAnsi="Calibri"/>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77" w:type="pct"/>
          </w:tcPr>
          <w:p w:rsidR="00896B89" w:rsidRDefault="00896B89" w:rsidP="00453304">
            <w:pPr>
              <w:jc w:val="center"/>
              <w:rPr>
                <w:rFonts w:ascii="Calibri" w:hAnsi="Calibri"/>
                <w:sz w:val="20"/>
                <w:szCs w:val="20"/>
              </w:rPr>
            </w:pPr>
            <w:r>
              <w:rPr>
                <w:rFonts w:ascii="Calibri" w:hAnsi="Calibri"/>
                <w:sz w:val="20"/>
                <w:szCs w:val="20"/>
              </w:rPr>
              <w:t>7</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the </w:t>
            </w:r>
            <w:r w:rsidRPr="00F15F93">
              <w:rPr>
                <w:rFonts w:ascii="Calibri" w:hAnsi="Calibri"/>
                <w:b/>
                <w:bCs/>
                <w:color w:val="000000"/>
                <w:sz w:val="20"/>
                <w:szCs w:val="20"/>
              </w:rPr>
              <w:t>measurement of costs</w:t>
            </w:r>
            <w:r w:rsidRPr="00F15F93">
              <w:rPr>
                <w:rFonts w:ascii="Calibri" w:hAnsi="Calibri"/>
                <w:color w:val="000000"/>
                <w:sz w:val="20"/>
                <w:szCs w:val="20"/>
              </w:rPr>
              <w:t xml:space="preserve"> appropriate and the methodology for the estimation of quantities and unit costs clearly described?</w:t>
            </w:r>
          </w:p>
        </w:tc>
        <w:tc>
          <w:tcPr>
            <w:tcW w:w="316" w:type="pct"/>
          </w:tcPr>
          <w:p w:rsidR="00896B89" w:rsidRDefault="00896B89">
            <w:pPr>
              <w:jc w:val="center"/>
              <w:rPr>
                <w:rFonts w:ascii="Calibri" w:hAnsi="Calibri"/>
                <w:sz w:val="20"/>
                <w:szCs w:val="20"/>
              </w:rPr>
            </w:pPr>
            <w:r>
              <w:rPr>
                <w:rFonts w:ascii="Calibri" w:hAnsi="Calibri"/>
                <w:sz w:val="20"/>
                <w:szCs w:val="20"/>
              </w:rPr>
              <w:t>8</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45" w:type="pct"/>
          </w:tcPr>
          <w:p w:rsidR="00896B89" w:rsidRDefault="00896B89" w:rsidP="00453304">
            <w:pPr>
              <w:jc w:val="center"/>
              <w:rPr>
                <w:rFonts w:ascii="Calibri" w:hAnsi="Calibri"/>
                <w:sz w:val="20"/>
                <w:szCs w:val="20"/>
              </w:rPr>
            </w:pPr>
            <w:r>
              <w:rPr>
                <w:rFonts w:ascii="Calibri" w:hAnsi="Calibri"/>
                <w:sz w:val="20"/>
                <w:szCs w:val="20"/>
              </w:rPr>
              <w:t>8</w:t>
            </w:r>
          </w:p>
        </w:tc>
        <w:tc>
          <w:tcPr>
            <w:tcW w:w="503" w:type="pct"/>
          </w:tcPr>
          <w:p w:rsidR="00896B89" w:rsidRDefault="00896B89" w:rsidP="00453304">
            <w:pPr>
              <w:jc w:val="center"/>
              <w:rPr>
                <w:rFonts w:ascii="Calibri" w:hAnsi="Calibri"/>
                <w:sz w:val="20"/>
                <w:szCs w:val="20"/>
              </w:rPr>
            </w:pPr>
            <w:r>
              <w:rPr>
                <w:rFonts w:ascii="Calibri" w:hAnsi="Calibri"/>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77" w:type="pct"/>
          </w:tcPr>
          <w:p w:rsidR="00896B89" w:rsidRDefault="00896B89" w:rsidP="00453304">
            <w:pPr>
              <w:jc w:val="center"/>
              <w:rPr>
                <w:rFonts w:ascii="Calibri" w:hAnsi="Calibri"/>
                <w:sz w:val="20"/>
                <w:szCs w:val="20"/>
              </w:rPr>
            </w:pPr>
            <w:r>
              <w:rPr>
                <w:rFonts w:ascii="Calibri" w:hAnsi="Calibri"/>
                <w:sz w:val="20"/>
                <w:szCs w:val="20"/>
              </w:rPr>
              <w:t>8</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proofErr w:type="gramStart"/>
            <w:r w:rsidRPr="00F15F93">
              <w:rPr>
                <w:rFonts w:ascii="Calibri" w:hAnsi="Calibri"/>
                <w:color w:val="000000"/>
                <w:sz w:val="20"/>
                <w:szCs w:val="20"/>
              </w:rPr>
              <w:t>Were</w:t>
            </w:r>
            <w:proofErr w:type="gramEnd"/>
            <w:r w:rsidRPr="00F15F93">
              <w:rPr>
                <w:rFonts w:ascii="Calibri" w:hAnsi="Calibri"/>
                <w:color w:val="000000"/>
                <w:sz w:val="20"/>
                <w:szCs w:val="20"/>
              </w:rPr>
              <w:t xml:space="preserve"> the primary</w:t>
            </w:r>
            <w:r w:rsidRPr="00F15F93">
              <w:rPr>
                <w:rFonts w:ascii="Calibri" w:hAnsi="Calibri"/>
                <w:b/>
                <w:bCs/>
                <w:color w:val="000000"/>
                <w:sz w:val="20"/>
                <w:szCs w:val="20"/>
              </w:rPr>
              <w:t xml:space="preserve"> outcome measure(s</w:t>
            </w:r>
            <w:r w:rsidRPr="00F15F93">
              <w:rPr>
                <w:rFonts w:ascii="Calibri" w:hAnsi="Calibri"/>
                <w:color w:val="000000"/>
                <w:sz w:val="20"/>
                <w:szCs w:val="20"/>
              </w:rPr>
              <w:t xml:space="preserve">) for the economic evaluation clearly stated and did they include the major short-term, long-term and negative outcomes included? </w:t>
            </w:r>
          </w:p>
        </w:tc>
        <w:tc>
          <w:tcPr>
            <w:tcW w:w="316" w:type="pct"/>
          </w:tcPr>
          <w:p w:rsidR="00896B89" w:rsidRDefault="00896B89">
            <w:pPr>
              <w:jc w:val="center"/>
              <w:rPr>
                <w:rFonts w:ascii="Calibri" w:hAnsi="Calibri"/>
                <w:sz w:val="20"/>
                <w:szCs w:val="20"/>
              </w:rPr>
            </w:pPr>
            <w:r>
              <w:rPr>
                <w:rFonts w:ascii="Calibri" w:hAnsi="Calibri"/>
                <w:sz w:val="20"/>
                <w:szCs w:val="20"/>
              </w:rPr>
              <w:t>6</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6</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45" w:type="pct"/>
          </w:tcPr>
          <w:p w:rsidR="00896B89" w:rsidRDefault="00896B89" w:rsidP="00453304">
            <w:pPr>
              <w:jc w:val="center"/>
              <w:rPr>
                <w:rFonts w:ascii="Calibri" w:hAnsi="Calibri"/>
                <w:sz w:val="20"/>
                <w:szCs w:val="20"/>
              </w:rPr>
            </w:pPr>
            <w:r>
              <w:rPr>
                <w:rFonts w:ascii="Calibri" w:hAnsi="Calibri"/>
                <w:sz w:val="20"/>
                <w:szCs w:val="20"/>
              </w:rPr>
              <w:t>6</w:t>
            </w:r>
          </w:p>
        </w:tc>
        <w:tc>
          <w:tcPr>
            <w:tcW w:w="503" w:type="pct"/>
          </w:tcPr>
          <w:p w:rsidR="00896B89" w:rsidRDefault="00896B89" w:rsidP="00453304">
            <w:pPr>
              <w:jc w:val="center"/>
              <w:rPr>
                <w:rFonts w:ascii="Calibri" w:hAnsi="Calibri"/>
                <w:sz w:val="20"/>
                <w:szCs w:val="20"/>
              </w:rPr>
            </w:pPr>
            <w:r>
              <w:rPr>
                <w:rFonts w:ascii="Calibri" w:hAnsi="Calibri"/>
                <w:sz w:val="20"/>
                <w:szCs w:val="20"/>
              </w:rPr>
              <w:t>6</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77" w:type="pct"/>
          </w:tcPr>
          <w:p w:rsidR="00896B89" w:rsidRDefault="00896B89" w:rsidP="00453304">
            <w:pPr>
              <w:jc w:val="center"/>
              <w:rPr>
                <w:rFonts w:ascii="Calibri" w:hAnsi="Calibri"/>
                <w:sz w:val="20"/>
                <w:szCs w:val="20"/>
              </w:rPr>
            </w:pPr>
            <w:r>
              <w:rPr>
                <w:rFonts w:ascii="Calibri" w:hAnsi="Calibri"/>
                <w:sz w:val="20"/>
                <w:szCs w:val="20"/>
              </w:rPr>
              <w:t>6</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the health outcomes </w:t>
            </w:r>
            <w:r w:rsidRPr="00F15F93">
              <w:rPr>
                <w:rFonts w:ascii="Calibri" w:hAnsi="Calibri"/>
                <w:b/>
                <w:bCs/>
                <w:color w:val="000000"/>
                <w:sz w:val="20"/>
                <w:szCs w:val="20"/>
              </w:rPr>
              <w:t xml:space="preserve">measures/scales valid </w:t>
            </w:r>
            <w:r w:rsidRPr="00F15F93">
              <w:rPr>
                <w:rFonts w:ascii="Calibri" w:hAnsi="Calibri"/>
                <w:color w:val="000000"/>
                <w:sz w:val="20"/>
                <w:szCs w:val="20"/>
              </w:rPr>
              <w:t>and reliable? If previously tested valid and reliable measures were not available, was justification given for the measures/scales used?</w:t>
            </w:r>
          </w:p>
        </w:tc>
        <w:tc>
          <w:tcPr>
            <w:tcW w:w="316" w:type="pct"/>
          </w:tcPr>
          <w:p w:rsidR="00896B89" w:rsidRDefault="00896B89">
            <w:pPr>
              <w:jc w:val="center"/>
              <w:rPr>
                <w:rFonts w:ascii="Calibri" w:hAnsi="Calibri"/>
                <w:sz w:val="20"/>
                <w:szCs w:val="20"/>
              </w:rPr>
            </w:pPr>
            <w:r>
              <w:rPr>
                <w:rFonts w:ascii="Calibri" w:hAnsi="Calibri"/>
                <w:sz w:val="20"/>
                <w:szCs w:val="20"/>
              </w:rPr>
              <w:t>7</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7</w:t>
            </w:r>
          </w:p>
        </w:tc>
        <w:tc>
          <w:tcPr>
            <w:tcW w:w="282" w:type="pct"/>
          </w:tcPr>
          <w:p w:rsidR="00896B89" w:rsidRDefault="00896B89" w:rsidP="00453304">
            <w:pPr>
              <w:jc w:val="center"/>
              <w:rPr>
                <w:rFonts w:ascii="Calibri" w:hAnsi="Calibri"/>
                <w:sz w:val="20"/>
                <w:szCs w:val="20"/>
              </w:rPr>
            </w:pPr>
            <w:r>
              <w:rPr>
                <w:rFonts w:ascii="Calibri" w:hAnsi="Calibri"/>
                <w:sz w:val="20"/>
                <w:szCs w:val="20"/>
              </w:rPr>
              <w:t>7</w:t>
            </w:r>
          </w:p>
        </w:tc>
        <w:tc>
          <w:tcPr>
            <w:tcW w:w="345" w:type="pct"/>
          </w:tcPr>
          <w:p w:rsidR="00896B89" w:rsidRDefault="00896B89" w:rsidP="00453304">
            <w:pPr>
              <w:jc w:val="center"/>
              <w:rPr>
                <w:rFonts w:ascii="Calibri" w:hAnsi="Calibri"/>
                <w:sz w:val="20"/>
                <w:szCs w:val="20"/>
              </w:rPr>
            </w:pPr>
            <w:r>
              <w:rPr>
                <w:rFonts w:ascii="Calibri" w:hAnsi="Calibri"/>
                <w:sz w:val="20"/>
                <w:szCs w:val="20"/>
              </w:rPr>
              <w:t>7</w:t>
            </w:r>
          </w:p>
        </w:tc>
        <w:tc>
          <w:tcPr>
            <w:tcW w:w="503" w:type="pct"/>
          </w:tcPr>
          <w:p w:rsidR="00896B89" w:rsidRDefault="00896B89" w:rsidP="00453304">
            <w:pPr>
              <w:jc w:val="center"/>
              <w:rPr>
                <w:rFonts w:ascii="Calibri" w:hAnsi="Calibri"/>
                <w:sz w:val="20"/>
                <w:szCs w:val="20"/>
              </w:rPr>
            </w:pPr>
            <w:r>
              <w:rPr>
                <w:rFonts w:ascii="Calibri" w:hAnsi="Calibri"/>
                <w:sz w:val="20"/>
                <w:szCs w:val="20"/>
              </w:rPr>
              <w:t>7</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77" w:type="pct"/>
          </w:tcPr>
          <w:p w:rsidR="00896B89" w:rsidRDefault="00896B89" w:rsidP="00453304">
            <w:pPr>
              <w:jc w:val="center"/>
              <w:rPr>
                <w:rFonts w:ascii="Calibri" w:hAnsi="Calibri"/>
                <w:sz w:val="20"/>
                <w:szCs w:val="20"/>
              </w:rPr>
            </w:pPr>
            <w:r>
              <w:rPr>
                <w:rFonts w:ascii="Calibri" w:hAnsi="Calibri"/>
                <w:sz w:val="20"/>
                <w:szCs w:val="20"/>
              </w:rPr>
              <w:t>7</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the </w:t>
            </w:r>
            <w:r w:rsidRPr="00F15F93">
              <w:rPr>
                <w:rFonts w:ascii="Calibri" w:hAnsi="Calibri"/>
                <w:b/>
                <w:bCs/>
                <w:color w:val="000000"/>
                <w:sz w:val="20"/>
                <w:szCs w:val="20"/>
              </w:rPr>
              <w:t xml:space="preserve">economic model </w:t>
            </w:r>
            <w:r w:rsidRPr="00F15F93">
              <w:rPr>
                <w:rFonts w:ascii="Calibri" w:hAnsi="Calibri"/>
                <w:color w:val="000000"/>
                <w:sz w:val="20"/>
                <w:szCs w:val="20"/>
              </w:rPr>
              <w:t>(including structure), study methods and analysis, and the components of the numerator and denominator displayed in a clear, transparent manner?</w:t>
            </w:r>
          </w:p>
        </w:tc>
        <w:tc>
          <w:tcPr>
            <w:tcW w:w="316" w:type="pct"/>
          </w:tcPr>
          <w:p w:rsidR="00896B89" w:rsidRDefault="00896B89">
            <w:pPr>
              <w:jc w:val="center"/>
              <w:rPr>
                <w:rFonts w:ascii="Calibri" w:hAnsi="Calibri"/>
                <w:sz w:val="20"/>
                <w:szCs w:val="20"/>
              </w:rPr>
            </w:pPr>
            <w:r>
              <w:rPr>
                <w:rFonts w:ascii="Calibri" w:hAnsi="Calibri"/>
                <w:sz w:val="20"/>
                <w:szCs w:val="20"/>
              </w:rPr>
              <w:t>8</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45" w:type="pct"/>
          </w:tcPr>
          <w:p w:rsidR="00896B89" w:rsidRDefault="00896B89" w:rsidP="00453304">
            <w:pPr>
              <w:jc w:val="center"/>
              <w:rPr>
                <w:rFonts w:ascii="Calibri" w:hAnsi="Calibri"/>
                <w:sz w:val="20"/>
                <w:szCs w:val="20"/>
              </w:rPr>
            </w:pPr>
            <w:r>
              <w:rPr>
                <w:rFonts w:ascii="Calibri" w:hAnsi="Calibri"/>
                <w:sz w:val="20"/>
                <w:szCs w:val="20"/>
              </w:rPr>
              <w:t>8</w:t>
            </w:r>
          </w:p>
        </w:tc>
        <w:tc>
          <w:tcPr>
            <w:tcW w:w="503" w:type="pct"/>
          </w:tcPr>
          <w:p w:rsidR="00896B89" w:rsidRDefault="00896B89" w:rsidP="00453304">
            <w:pPr>
              <w:jc w:val="center"/>
              <w:rPr>
                <w:rFonts w:ascii="Calibri" w:hAnsi="Calibri"/>
                <w:sz w:val="20"/>
                <w:szCs w:val="20"/>
              </w:rPr>
            </w:pPr>
            <w:r>
              <w:rPr>
                <w:rFonts w:ascii="Calibri" w:hAnsi="Calibri"/>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77" w:type="pct"/>
          </w:tcPr>
          <w:p w:rsidR="00896B89" w:rsidRDefault="00896B89" w:rsidP="00453304">
            <w:pPr>
              <w:jc w:val="center"/>
              <w:rPr>
                <w:rFonts w:ascii="Calibri" w:hAnsi="Calibri"/>
                <w:sz w:val="20"/>
                <w:szCs w:val="20"/>
              </w:rPr>
            </w:pPr>
            <w:r>
              <w:rPr>
                <w:rFonts w:ascii="Calibri" w:hAnsi="Calibri"/>
                <w:sz w:val="20"/>
                <w:szCs w:val="20"/>
              </w:rPr>
              <w:t>8</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the choice of economic model, main </w:t>
            </w:r>
            <w:r w:rsidRPr="00F15F93">
              <w:rPr>
                <w:rFonts w:ascii="Calibri" w:hAnsi="Calibri"/>
                <w:b/>
                <w:bCs/>
                <w:color w:val="000000"/>
                <w:sz w:val="20"/>
                <w:szCs w:val="20"/>
              </w:rPr>
              <w:t xml:space="preserve">assumptions, and limitations </w:t>
            </w:r>
            <w:r w:rsidRPr="00F15F93">
              <w:rPr>
                <w:rFonts w:ascii="Calibri" w:hAnsi="Calibri"/>
                <w:color w:val="000000"/>
                <w:sz w:val="20"/>
                <w:szCs w:val="20"/>
              </w:rPr>
              <w:t>of the study stated and justified?</w:t>
            </w:r>
          </w:p>
        </w:tc>
        <w:tc>
          <w:tcPr>
            <w:tcW w:w="316" w:type="pct"/>
          </w:tcPr>
          <w:p w:rsidR="00896B89" w:rsidRDefault="00896B89">
            <w:pPr>
              <w:jc w:val="center"/>
              <w:rPr>
                <w:rFonts w:ascii="Calibri" w:hAnsi="Calibri"/>
                <w:sz w:val="20"/>
                <w:szCs w:val="20"/>
              </w:rPr>
            </w:pPr>
            <w:r>
              <w:rPr>
                <w:rFonts w:ascii="Calibri" w:hAnsi="Calibri"/>
                <w:sz w:val="20"/>
                <w:szCs w:val="20"/>
              </w:rPr>
              <w:t>7</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7</w:t>
            </w:r>
          </w:p>
        </w:tc>
        <w:tc>
          <w:tcPr>
            <w:tcW w:w="282" w:type="pct"/>
          </w:tcPr>
          <w:p w:rsidR="00896B89" w:rsidRDefault="00896B89" w:rsidP="00453304">
            <w:pPr>
              <w:jc w:val="center"/>
              <w:rPr>
                <w:rFonts w:ascii="Calibri" w:hAnsi="Calibri"/>
                <w:sz w:val="20"/>
                <w:szCs w:val="20"/>
              </w:rPr>
            </w:pPr>
            <w:r>
              <w:rPr>
                <w:rFonts w:ascii="Calibri" w:hAnsi="Calibri"/>
                <w:sz w:val="20"/>
                <w:szCs w:val="20"/>
              </w:rPr>
              <w:t>7</w:t>
            </w:r>
          </w:p>
        </w:tc>
        <w:tc>
          <w:tcPr>
            <w:tcW w:w="345" w:type="pct"/>
          </w:tcPr>
          <w:p w:rsidR="00896B89" w:rsidRDefault="00896B89" w:rsidP="00453304">
            <w:pPr>
              <w:jc w:val="center"/>
              <w:rPr>
                <w:rFonts w:ascii="Calibri" w:hAnsi="Calibri"/>
                <w:sz w:val="20"/>
                <w:szCs w:val="20"/>
              </w:rPr>
            </w:pPr>
            <w:r>
              <w:rPr>
                <w:rFonts w:ascii="Calibri" w:hAnsi="Calibri"/>
                <w:sz w:val="20"/>
                <w:szCs w:val="20"/>
              </w:rPr>
              <w:t>7</w:t>
            </w:r>
          </w:p>
        </w:tc>
        <w:tc>
          <w:tcPr>
            <w:tcW w:w="503" w:type="pct"/>
          </w:tcPr>
          <w:p w:rsidR="00896B89" w:rsidRDefault="00896B89" w:rsidP="00453304">
            <w:pPr>
              <w:jc w:val="center"/>
              <w:rPr>
                <w:rFonts w:ascii="Calibri" w:hAnsi="Calibri"/>
                <w:sz w:val="20"/>
                <w:szCs w:val="20"/>
              </w:rPr>
            </w:pPr>
            <w:r>
              <w:rPr>
                <w:rFonts w:ascii="Calibri" w:hAnsi="Calibri"/>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7</w:t>
            </w:r>
          </w:p>
        </w:tc>
        <w:tc>
          <w:tcPr>
            <w:tcW w:w="377" w:type="pct"/>
          </w:tcPr>
          <w:p w:rsidR="00896B89" w:rsidRDefault="00896B89" w:rsidP="00453304">
            <w:pPr>
              <w:jc w:val="center"/>
              <w:rPr>
                <w:rFonts w:ascii="Calibri" w:hAnsi="Calibri"/>
                <w:sz w:val="20"/>
                <w:szCs w:val="20"/>
              </w:rPr>
            </w:pPr>
            <w:r>
              <w:rPr>
                <w:rFonts w:ascii="Calibri" w:hAnsi="Calibri"/>
                <w:sz w:val="20"/>
                <w:szCs w:val="20"/>
              </w:rPr>
              <w:t>7</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Did the author(s) explicitly discuss direction and magnitude of potential </w:t>
            </w:r>
            <w:r w:rsidRPr="00F15F93">
              <w:rPr>
                <w:rFonts w:ascii="Calibri" w:hAnsi="Calibri"/>
                <w:b/>
                <w:bCs/>
                <w:color w:val="000000"/>
                <w:sz w:val="20"/>
                <w:szCs w:val="20"/>
              </w:rPr>
              <w:t>biases?</w:t>
            </w:r>
          </w:p>
        </w:tc>
        <w:tc>
          <w:tcPr>
            <w:tcW w:w="316" w:type="pct"/>
          </w:tcPr>
          <w:p w:rsidR="00896B89" w:rsidRDefault="00896B89">
            <w:pPr>
              <w:jc w:val="center"/>
              <w:rPr>
                <w:rFonts w:ascii="Calibri" w:hAnsi="Calibri"/>
                <w:sz w:val="20"/>
                <w:szCs w:val="20"/>
              </w:rPr>
            </w:pPr>
            <w:r>
              <w:rPr>
                <w:rFonts w:ascii="Calibri" w:hAnsi="Calibri"/>
                <w:sz w:val="20"/>
                <w:szCs w:val="20"/>
              </w:rPr>
              <w:t>6</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45" w:type="pct"/>
          </w:tcPr>
          <w:p w:rsidR="00896B89" w:rsidRDefault="00896B89" w:rsidP="00453304">
            <w:pPr>
              <w:jc w:val="center"/>
              <w:rPr>
                <w:rFonts w:ascii="Calibri" w:hAnsi="Calibri"/>
                <w:sz w:val="20"/>
                <w:szCs w:val="20"/>
              </w:rPr>
            </w:pPr>
            <w:r>
              <w:rPr>
                <w:rFonts w:ascii="Calibri" w:hAnsi="Calibri"/>
                <w:sz w:val="20"/>
                <w:szCs w:val="20"/>
              </w:rPr>
              <w:t>6</w:t>
            </w:r>
          </w:p>
        </w:tc>
        <w:tc>
          <w:tcPr>
            <w:tcW w:w="503" w:type="pct"/>
          </w:tcPr>
          <w:p w:rsidR="00896B89" w:rsidRDefault="00896B89" w:rsidP="00453304">
            <w:pPr>
              <w:jc w:val="center"/>
              <w:rPr>
                <w:rFonts w:ascii="Calibri" w:hAnsi="Calibri"/>
                <w:sz w:val="20"/>
                <w:szCs w:val="20"/>
              </w:rPr>
            </w:pPr>
            <w:r>
              <w:rPr>
                <w:rFonts w:ascii="Calibri" w:hAnsi="Calibri"/>
                <w:sz w:val="20"/>
                <w:szCs w:val="20"/>
              </w:rPr>
              <w:t>0</w:t>
            </w:r>
          </w:p>
        </w:tc>
        <w:tc>
          <w:tcPr>
            <w:tcW w:w="282" w:type="pct"/>
          </w:tcPr>
          <w:p w:rsidR="00896B89" w:rsidRDefault="00896B89" w:rsidP="00453304">
            <w:pPr>
              <w:jc w:val="center"/>
              <w:rPr>
                <w:rFonts w:ascii="Calibri" w:hAnsi="Calibri"/>
                <w:sz w:val="20"/>
                <w:szCs w:val="20"/>
              </w:rPr>
            </w:pPr>
            <w:r>
              <w:rPr>
                <w:rFonts w:ascii="Calibri" w:hAnsi="Calibri"/>
                <w:sz w:val="20"/>
                <w:szCs w:val="20"/>
              </w:rPr>
              <w:t>6</w:t>
            </w:r>
          </w:p>
        </w:tc>
        <w:tc>
          <w:tcPr>
            <w:tcW w:w="377" w:type="pct"/>
          </w:tcPr>
          <w:p w:rsidR="00896B89" w:rsidRDefault="00896B89" w:rsidP="00453304">
            <w:pPr>
              <w:jc w:val="center"/>
              <w:rPr>
                <w:rFonts w:ascii="Calibri" w:hAnsi="Calibri"/>
                <w:sz w:val="20"/>
                <w:szCs w:val="20"/>
              </w:rPr>
            </w:pPr>
            <w:r>
              <w:rPr>
                <w:rFonts w:ascii="Calibri" w:hAnsi="Calibri"/>
                <w:sz w:val="20"/>
                <w:szCs w:val="20"/>
              </w:rPr>
              <w:t>6</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Were the </w:t>
            </w:r>
            <w:r w:rsidRPr="00F15F93">
              <w:rPr>
                <w:rFonts w:ascii="Calibri" w:hAnsi="Calibri"/>
                <w:b/>
                <w:bCs/>
                <w:color w:val="000000"/>
                <w:sz w:val="20"/>
                <w:szCs w:val="20"/>
              </w:rPr>
              <w:t>conclusions/recommendations</w:t>
            </w:r>
            <w:r w:rsidRPr="00F15F93">
              <w:rPr>
                <w:rFonts w:ascii="Calibri" w:hAnsi="Calibri"/>
                <w:color w:val="000000"/>
                <w:sz w:val="20"/>
                <w:szCs w:val="20"/>
              </w:rPr>
              <w:t xml:space="preserve"> of the study justified and based on the study results?</w:t>
            </w:r>
          </w:p>
        </w:tc>
        <w:tc>
          <w:tcPr>
            <w:tcW w:w="316" w:type="pct"/>
          </w:tcPr>
          <w:p w:rsidR="00896B89" w:rsidRDefault="00896B89">
            <w:pPr>
              <w:jc w:val="center"/>
              <w:rPr>
                <w:rFonts w:ascii="Calibri" w:hAnsi="Calibri"/>
                <w:sz w:val="20"/>
                <w:szCs w:val="20"/>
              </w:rPr>
            </w:pPr>
            <w:r>
              <w:rPr>
                <w:rFonts w:ascii="Calibri" w:hAnsi="Calibri"/>
                <w:sz w:val="20"/>
                <w:szCs w:val="20"/>
              </w:rPr>
              <w:t>8</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45" w:type="pct"/>
          </w:tcPr>
          <w:p w:rsidR="00896B89" w:rsidRDefault="00896B89" w:rsidP="00453304">
            <w:pPr>
              <w:jc w:val="center"/>
              <w:rPr>
                <w:rFonts w:ascii="Calibri" w:hAnsi="Calibri"/>
                <w:sz w:val="20"/>
                <w:szCs w:val="20"/>
              </w:rPr>
            </w:pPr>
            <w:r>
              <w:rPr>
                <w:rFonts w:ascii="Calibri" w:hAnsi="Calibri"/>
                <w:sz w:val="20"/>
                <w:szCs w:val="20"/>
              </w:rPr>
              <w:t>0</w:t>
            </w:r>
          </w:p>
        </w:tc>
        <w:tc>
          <w:tcPr>
            <w:tcW w:w="503" w:type="pct"/>
          </w:tcPr>
          <w:p w:rsidR="00896B89" w:rsidRDefault="00896B89" w:rsidP="00453304">
            <w:pPr>
              <w:jc w:val="center"/>
              <w:rPr>
                <w:rFonts w:ascii="Calibri" w:hAnsi="Calibri"/>
                <w:sz w:val="20"/>
                <w:szCs w:val="20"/>
              </w:rPr>
            </w:pPr>
            <w:r>
              <w:rPr>
                <w:rFonts w:ascii="Calibri" w:hAnsi="Calibri"/>
                <w:sz w:val="20"/>
                <w:szCs w:val="20"/>
              </w:rPr>
              <w:t>8</w:t>
            </w:r>
          </w:p>
        </w:tc>
        <w:tc>
          <w:tcPr>
            <w:tcW w:w="282" w:type="pct"/>
          </w:tcPr>
          <w:p w:rsidR="00896B89" w:rsidRDefault="00896B89" w:rsidP="00453304">
            <w:pPr>
              <w:jc w:val="center"/>
              <w:rPr>
                <w:rFonts w:ascii="Calibri" w:hAnsi="Calibri"/>
                <w:sz w:val="20"/>
                <w:szCs w:val="20"/>
              </w:rPr>
            </w:pPr>
            <w:r>
              <w:rPr>
                <w:rFonts w:ascii="Calibri" w:hAnsi="Calibri"/>
                <w:sz w:val="20"/>
                <w:szCs w:val="20"/>
              </w:rPr>
              <w:t>8</w:t>
            </w:r>
          </w:p>
        </w:tc>
        <w:tc>
          <w:tcPr>
            <w:tcW w:w="377" w:type="pct"/>
          </w:tcPr>
          <w:p w:rsidR="00896B89" w:rsidRDefault="00896B89" w:rsidP="00453304">
            <w:pPr>
              <w:jc w:val="center"/>
              <w:rPr>
                <w:rFonts w:ascii="Calibri" w:hAnsi="Calibri"/>
                <w:sz w:val="20"/>
                <w:szCs w:val="20"/>
              </w:rPr>
            </w:pPr>
            <w:r>
              <w:rPr>
                <w:rFonts w:ascii="Calibri" w:hAnsi="Calibri"/>
                <w:sz w:val="20"/>
                <w:szCs w:val="20"/>
              </w:rPr>
              <w:t>8</w:t>
            </w:r>
          </w:p>
        </w:tc>
      </w:tr>
      <w:tr w:rsidR="005B152D" w:rsidTr="005B152D">
        <w:tc>
          <w:tcPr>
            <w:tcW w:w="2582" w:type="pct"/>
          </w:tcPr>
          <w:p w:rsidR="00896B89" w:rsidRPr="00F15F93" w:rsidRDefault="00896B89" w:rsidP="00A61499">
            <w:pPr>
              <w:pStyle w:val="ListParagraph"/>
              <w:numPr>
                <w:ilvl w:val="0"/>
                <w:numId w:val="8"/>
              </w:numPr>
              <w:ind w:left="360"/>
              <w:rPr>
                <w:rFonts w:ascii="Calibri" w:hAnsi="Calibri"/>
                <w:color w:val="000000"/>
                <w:sz w:val="20"/>
                <w:szCs w:val="20"/>
              </w:rPr>
            </w:pPr>
            <w:r w:rsidRPr="00F15F93">
              <w:rPr>
                <w:rFonts w:ascii="Calibri" w:hAnsi="Calibri"/>
                <w:color w:val="000000"/>
                <w:sz w:val="20"/>
                <w:szCs w:val="20"/>
              </w:rPr>
              <w:t xml:space="preserve">Was there a statement disclosing the </w:t>
            </w:r>
            <w:r w:rsidRPr="00F15F93">
              <w:rPr>
                <w:rFonts w:ascii="Calibri" w:hAnsi="Calibri"/>
                <w:b/>
                <w:bCs/>
                <w:color w:val="000000"/>
                <w:sz w:val="20"/>
                <w:szCs w:val="20"/>
              </w:rPr>
              <w:t>source of funding</w:t>
            </w:r>
            <w:r w:rsidRPr="00F15F93">
              <w:rPr>
                <w:rFonts w:ascii="Calibri" w:hAnsi="Calibri"/>
                <w:color w:val="000000"/>
                <w:sz w:val="20"/>
                <w:szCs w:val="20"/>
              </w:rPr>
              <w:t xml:space="preserve"> for the study?</w:t>
            </w:r>
          </w:p>
        </w:tc>
        <w:tc>
          <w:tcPr>
            <w:tcW w:w="316" w:type="pct"/>
          </w:tcPr>
          <w:p w:rsidR="00896B89" w:rsidRDefault="00896B89">
            <w:pPr>
              <w:jc w:val="center"/>
              <w:rPr>
                <w:rFonts w:ascii="Calibri" w:hAnsi="Calibri"/>
                <w:sz w:val="20"/>
                <w:szCs w:val="20"/>
              </w:rPr>
            </w:pPr>
            <w:r>
              <w:rPr>
                <w:rFonts w:ascii="Calibri" w:hAnsi="Calibri"/>
                <w:sz w:val="20"/>
                <w:szCs w:val="20"/>
              </w:rPr>
              <w:t>3</w:t>
            </w:r>
          </w:p>
        </w:tc>
        <w:tc>
          <w:tcPr>
            <w:tcW w:w="313" w:type="pct"/>
          </w:tcPr>
          <w:p w:rsidR="00896B89" w:rsidRPr="004D4699" w:rsidRDefault="00896B89">
            <w:pPr>
              <w:jc w:val="center"/>
              <w:rPr>
                <w:rFonts w:ascii="Calibri" w:hAnsi="Calibri"/>
                <w:b/>
                <w:sz w:val="20"/>
                <w:szCs w:val="20"/>
              </w:rPr>
            </w:pPr>
            <w:r w:rsidRPr="004D4699">
              <w:rPr>
                <w:rFonts w:ascii="Calibri" w:hAnsi="Calibri"/>
                <w:b/>
                <w:sz w:val="20"/>
                <w:szCs w:val="20"/>
              </w:rPr>
              <w:t>3</w:t>
            </w:r>
          </w:p>
        </w:tc>
        <w:tc>
          <w:tcPr>
            <w:tcW w:w="282" w:type="pct"/>
          </w:tcPr>
          <w:p w:rsidR="00896B89" w:rsidRDefault="00896B89" w:rsidP="00453304">
            <w:pPr>
              <w:jc w:val="center"/>
              <w:rPr>
                <w:rFonts w:ascii="Calibri" w:hAnsi="Calibri"/>
                <w:sz w:val="20"/>
                <w:szCs w:val="20"/>
              </w:rPr>
            </w:pPr>
            <w:r>
              <w:rPr>
                <w:rFonts w:ascii="Calibri" w:hAnsi="Calibri"/>
                <w:sz w:val="20"/>
                <w:szCs w:val="20"/>
              </w:rPr>
              <w:t>0</w:t>
            </w:r>
          </w:p>
        </w:tc>
        <w:tc>
          <w:tcPr>
            <w:tcW w:w="345" w:type="pct"/>
          </w:tcPr>
          <w:p w:rsidR="00896B89" w:rsidRDefault="00896B89" w:rsidP="00453304">
            <w:pPr>
              <w:jc w:val="center"/>
              <w:rPr>
                <w:rFonts w:ascii="Calibri" w:hAnsi="Calibri"/>
                <w:sz w:val="20"/>
                <w:szCs w:val="20"/>
              </w:rPr>
            </w:pPr>
            <w:r>
              <w:rPr>
                <w:rFonts w:ascii="Calibri" w:hAnsi="Calibri"/>
                <w:sz w:val="20"/>
                <w:szCs w:val="20"/>
              </w:rPr>
              <w:t>3</w:t>
            </w:r>
          </w:p>
        </w:tc>
        <w:tc>
          <w:tcPr>
            <w:tcW w:w="503" w:type="pct"/>
          </w:tcPr>
          <w:p w:rsidR="00896B89" w:rsidRDefault="00896B89" w:rsidP="00453304">
            <w:pPr>
              <w:jc w:val="center"/>
              <w:rPr>
                <w:rFonts w:ascii="Calibri" w:hAnsi="Calibri"/>
                <w:sz w:val="20"/>
                <w:szCs w:val="20"/>
              </w:rPr>
            </w:pPr>
            <w:r>
              <w:rPr>
                <w:rFonts w:ascii="Calibri" w:hAnsi="Calibri"/>
                <w:sz w:val="20"/>
                <w:szCs w:val="20"/>
              </w:rPr>
              <w:t>3</w:t>
            </w:r>
          </w:p>
        </w:tc>
        <w:tc>
          <w:tcPr>
            <w:tcW w:w="282" w:type="pct"/>
          </w:tcPr>
          <w:p w:rsidR="00896B89" w:rsidRDefault="00896B89" w:rsidP="00453304">
            <w:pPr>
              <w:jc w:val="center"/>
              <w:rPr>
                <w:rFonts w:ascii="Calibri" w:hAnsi="Calibri"/>
                <w:sz w:val="20"/>
                <w:szCs w:val="20"/>
              </w:rPr>
            </w:pPr>
            <w:r>
              <w:rPr>
                <w:rFonts w:ascii="Calibri" w:hAnsi="Calibri"/>
                <w:sz w:val="20"/>
                <w:szCs w:val="20"/>
              </w:rPr>
              <w:t>3</w:t>
            </w:r>
          </w:p>
        </w:tc>
        <w:tc>
          <w:tcPr>
            <w:tcW w:w="377" w:type="pct"/>
          </w:tcPr>
          <w:p w:rsidR="00896B89" w:rsidRDefault="00896B89" w:rsidP="00453304">
            <w:pPr>
              <w:jc w:val="center"/>
              <w:rPr>
                <w:rFonts w:ascii="Calibri" w:hAnsi="Calibri"/>
                <w:sz w:val="20"/>
                <w:szCs w:val="20"/>
              </w:rPr>
            </w:pPr>
            <w:r>
              <w:rPr>
                <w:rFonts w:ascii="Calibri" w:hAnsi="Calibri"/>
                <w:sz w:val="20"/>
                <w:szCs w:val="20"/>
              </w:rPr>
              <w:t>3</w:t>
            </w:r>
          </w:p>
        </w:tc>
      </w:tr>
      <w:tr w:rsidR="005B152D" w:rsidTr="005B152D">
        <w:tc>
          <w:tcPr>
            <w:tcW w:w="2582" w:type="pct"/>
          </w:tcPr>
          <w:p w:rsidR="00896B89" w:rsidRPr="00C970EB" w:rsidRDefault="00896B89">
            <w:pPr>
              <w:rPr>
                <w:rFonts w:cs="Times New Roman"/>
                <w:b/>
                <w:sz w:val="20"/>
                <w:szCs w:val="20"/>
              </w:rPr>
            </w:pPr>
            <w:r w:rsidRPr="00C970EB">
              <w:rPr>
                <w:rFonts w:cs="Times New Roman"/>
                <w:b/>
                <w:sz w:val="20"/>
                <w:szCs w:val="20"/>
              </w:rPr>
              <w:t>TOTAL</w:t>
            </w:r>
          </w:p>
        </w:tc>
        <w:tc>
          <w:tcPr>
            <w:tcW w:w="316" w:type="pct"/>
          </w:tcPr>
          <w:p w:rsidR="00896B89" w:rsidRPr="00E10CB4" w:rsidRDefault="00896B89" w:rsidP="000950E2">
            <w:pPr>
              <w:jc w:val="center"/>
              <w:rPr>
                <w:rFonts w:ascii="Calibri" w:hAnsi="Calibri"/>
                <w:bCs/>
                <w:sz w:val="24"/>
                <w:szCs w:val="24"/>
              </w:rPr>
            </w:pPr>
            <w:r w:rsidRPr="00E10CB4">
              <w:rPr>
                <w:rFonts w:ascii="Calibri" w:hAnsi="Calibri"/>
                <w:bCs/>
                <w:sz w:val="24"/>
                <w:szCs w:val="24"/>
              </w:rPr>
              <w:t>100</w:t>
            </w:r>
          </w:p>
        </w:tc>
        <w:tc>
          <w:tcPr>
            <w:tcW w:w="313" w:type="pct"/>
          </w:tcPr>
          <w:p w:rsidR="00896B89" w:rsidRPr="00E10CB4" w:rsidRDefault="00896B89">
            <w:pPr>
              <w:jc w:val="center"/>
              <w:rPr>
                <w:rFonts w:ascii="Calibri" w:hAnsi="Calibri"/>
                <w:b/>
                <w:bCs/>
                <w:sz w:val="24"/>
                <w:szCs w:val="24"/>
              </w:rPr>
            </w:pPr>
            <w:r w:rsidRPr="00E10CB4">
              <w:rPr>
                <w:rFonts w:ascii="Calibri" w:hAnsi="Calibri"/>
                <w:b/>
                <w:bCs/>
                <w:sz w:val="24"/>
                <w:szCs w:val="24"/>
              </w:rPr>
              <w:t>87</w:t>
            </w:r>
          </w:p>
        </w:tc>
        <w:tc>
          <w:tcPr>
            <w:tcW w:w="282" w:type="pct"/>
          </w:tcPr>
          <w:p w:rsidR="00896B89" w:rsidRPr="00C77B4D" w:rsidRDefault="00896B89" w:rsidP="00453304">
            <w:pPr>
              <w:jc w:val="center"/>
              <w:rPr>
                <w:rFonts w:ascii="Calibri" w:hAnsi="Calibri"/>
                <w:b/>
                <w:bCs/>
                <w:sz w:val="24"/>
                <w:szCs w:val="24"/>
              </w:rPr>
            </w:pPr>
            <w:r w:rsidRPr="00C77B4D">
              <w:rPr>
                <w:rFonts w:ascii="Calibri" w:hAnsi="Calibri"/>
                <w:b/>
                <w:bCs/>
                <w:sz w:val="24"/>
                <w:szCs w:val="24"/>
              </w:rPr>
              <w:t>68</w:t>
            </w:r>
          </w:p>
        </w:tc>
        <w:tc>
          <w:tcPr>
            <w:tcW w:w="345" w:type="pct"/>
          </w:tcPr>
          <w:p w:rsidR="00896B89" w:rsidRPr="002F1CFF" w:rsidRDefault="00896B89" w:rsidP="00453304">
            <w:pPr>
              <w:jc w:val="center"/>
              <w:rPr>
                <w:rFonts w:ascii="Calibri" w:hAnsi="Calibri"/>
                <w:b/>
                <w:bCs/>
                <w:sz w:val="24"/>
                <w:szCs w:val="24"/>
              </w:rPr>
            </w:pPr>
            <w:r w:rsidRPr="002F1CFF">
              <w:rPr>
                <w:rFonts w:ascii="Calibri" w:hAnsi="Calibri"/>
                <w:b/>
                <w:bCs/>
                <w:sz w:val="24"/>
                <w:szCs w:val="24"/>
              </w:rPr>
              <w:t>71</w:t>
            </w:r>
          </w:p>
        </w:tc>
        <w:tc>
          <w:tcPr>
            <w:tcW w:w="503" w:type="pct"/>
          </w:tcPr>
          <w:p w:rsidR="00896B89" w:rsidRPr="00C751F7" w:rsidRDefault="00896B89" w:rsidP="00453304">
            <w:pPr>
              <w:jc w:val="center"/>
              <w:rPr>
                <w:rFonts w:ascii="Calibri" w:hAnsi="Calibri"/>
                <w:b/>
                <w:bCs/>
                <w:sz w:val="24"/>
                <w:szCs w:val="24"/>
              </w:rPr>
            </w:pPr>
            <w:r w:rsidRPr="00C751F7">
              <w:rPr>
                <w:rFonts w:ascii="Calibri" w:hAnsi="Calibri"/>
                <w:b/>
                <w:bCs/>
                <w:sz w:val="24"/>
                <w:szCs w:val="24"/>
              </w:rPr>
              <w:t>68</w:t>
            </w:r>
          </w:p>
        </w:tc>
        <w:tc>
          <w:tcPr>
            <w:tcW w:w="282" w:type="pct"/>
          </w:tcPr>
          <w:p w:rsidR="00896B89" w:rsidRPr="0085454A" w:rsidRDefault="00896B89" w:rsidP="00453304">
            <w:pPr>
              <w:jc w:val="center"/>
              <w:rPr>
                <w:rFonts w:ascii="Calibri" w:hAnsi="Calibri"/>
                <w:b/>
                <w:bCs/>
                <w:sz w:val="24"/>
                <w:szCs w:val="24"/>
              </w:rPr>
            </w:pPr>
            <w:r w:rsidRPr="0085454A">
              <w:rPr>
                <w:rFonts w:ascii="Calibri" w:hAnsi="Calibri"/>
                <w:b/>
                <w:bCs/>
                <w:sz w:val="24"/>
                <w:szCs w:val="24"/>
              </w:rPr>
              <w:t>74</w:t>
            </w:r>
          </w:p>
        </w:tc>
        <w:tc>
          <w:tcPr>
            <w:tcW w:w="377" w:type="pct"/>
          </w:tcPr>
          <w:p w:rsidR="00896B89" w:rsidRPr="00154E9A" w:rsidRDefault="00896B89" w:rsidP="00453304">
            <w:pPr>
              <w:jc w:val="center"/>
              <w:rPr>
                <w:rFonts w:ascii="Calibri" w:hAnsi="Calibri"/>
                <w:b/>
                <w:bCs/>
                <w:sz w:val="24"/>
                <w:szCs w:val="24"/>
              </w:rPr>
            </w:pPr>
            <w:r w:rsidRPr="00154E9A">
              <w:rPr>
                <w:rFonts w:ascii="Calibri" w:hAnsi="Calibri"/>
                <w:b/>
                <w:bCs/>
                <w:sz w:val="24"/>
                <w:szCs w:val="24"/>
              </w:rPr>
              <w:t>88</w:t>
            </w:r>
          </w:p>
        </w:tc>
      </w:tr>
    </w:tbl>
    <w:p w:rsidR="00E31EC3" w:rsidRDefault="00E31EC3">
      <w:pPr>
        <w:rPr>
          <w:rFonts w:cs="Times New Roman"/>
          <w:sz w:val="20"/>
          <w:szCs w:val="20"/>
        </w:rPr>
        <w:sectPr w:rsidR="00E31EC3" w:rsidSect="00A61499">
          <w:pgSz w:w="15840" w:h="12240" w:orient="landscape"/>
          <w:pgMar w:top="1440" w:right="720" w:bottom="1440" w:left="720" w:header="720" w:footer="720" w:gutter="0"/>
          <w:cols w:space="720"/>
          <w:docGrid w:linePitch="360"/>
        </w:sectPr>
      </w:pPr>
    </w:p>
    <w:p w:rsidR="005B5AFC" w:rsidRPr="0020560C" w:rsidRDefault="0020560C" w:rsidP="005B5AFC">
      <w:pPr>
        <w:rPr>
          <w:b/>
          <w:sz w:val="20"/>
          <w:szCs w:val="20"/>
        </w:rPr>
      </w:pPr>
      <w:r>
        <w:rPr>
          <w:b/>
          <w:sz w:val="20"/>
          <w:szCs w:val="20"/>
        </w:rPr>
        <w:lastRenderedPageBreak/>
        <w:t xml:space="preserve">Supplemental Material Section </w:t>
      </w:r>
      <w:r w:rsidR="00BE4C96">
        <w:rPr>
          <w:b/>
          <w:sz w:val="20"/>
          <w:szCs w:val="20"/>
        </w:rPr>
        <w:t>D</w:t>
      </w:r>
      <w:r>
        <w:rPr>
          <w:b/>
          <w:sz w:val="20"/>
          <w:szCs w:val="20"/>
        </w:rPr>
        <w:t>: Detailed abstraction tables.</w:t>
      </w:r>
    </w:p>
    <w:p w:rsidR="0020560C" w:rsidRPr="0020560C" w:rsidRDefault="007C1784" w:rsidP="0020560C">
      <w:pPr>
        <w:pStyle w:val="Heading1"/>
        <w:rPr>
          <w:rFonts w:asciiTheme="minorHAnsi" w:hAnsiTheme="minorHAnsi"/>
          <w:color w:val="auto"/>
          <w:sz w:val="20"/>
          <w:szCs w:val="20"/>
        </w:rPr>
      </w:pPr>
      <w:bookmarkStart w:id="1" w:name="_Toc380059792"/>
      <w:r>
        <w:rPr>
          <w:rFonts w:asciiTheme="minorHAnsi" w:hAnsiTheme="minorHAnsi"/>
          <w:color w:val="auto"/>
          <w:sz w:val="20"/>
          <w:szCs w:val="20"/>
        </w:rPr>
        <w:t xml:space="preserve">KQ1: </w:t>
      </w:r>
      <w:r w:rsidR="0020560C" w:rsidRPr="0020560C">
        <w:rPr>
          <w:rFonts w:asciiTheme="minorHAnsi" w:hAnsiTheme="minorHAnsi"/>
          <w:color w:val="auto"/>
          <w:sz w:val="20"/>
          <w:szCs w:val="20"/>
        </w:rPr>
        <w:t>AHRQ (2010)</w:t>
      </w:r>
      <w:hyperlink w:anchor="_ENREF_5" w:tooltip="AHRQ (Agency for Healthcare Research and Quality), 2010 #21" w:history="1">
        <w:r w:rsidR="003E042C">
          <w:rPr>
            <w:rFonts w:asciiTheme="minorHAnsi" w:hAnsiTheme="minorHAnsi"/>
            <w:color w:val="auto"/>
            <w:sz w:val="20"/>
            <w:szCs w:val="20"/>
          </w:rPr>
          <w:fldChar w:fldCharType="begin"/>
        </w:r>
        <w:r w:rsidR="003E042C">
          <w:rPr>
            <w:rFonts w:asciiTheme="minorHAnsi" w:hAnsiTheme="minorHAnsi"/>
            <w:color w:val="auto"/>
            <w:sz w:val="20"/>
            <w:szCs w:val="20"/>
          </w:rPr>
          <w:instrText xml:space="preserve"> ADDIN EN.CITE &lt;EndNote&gt;&lt;Cite&gt;&lt;Author&gt;AHRQ (Agency for Healthcare Research and Quality)&lt;/Author&gt;&lt;Year&gt;2010&lt;/Year&gt;&lt;RecNum&gt;21&lt;/RecNum&gt;&lt;DisplayText&gt;&lt;style face="superscript"&gt;5&lt;/style&gt;&lt;/DisplayText&gt;&lt;record&gt;&lt;rec-number&gt;21&lt;/rec-number&gt;&lt;foreign-keys&gt;&lt;key app="EN" db-id="dz55d55s2zf2rie9tzlvv22e0wa55fxftz2w"&gt;21&lt;/key&gt;&lt;/foreign-keys&gt;&lt;ref-type name="Report"&gt;27&lt;/ref-type&gt;&lt;contributors&gt;&lt;authors&gt;&lt;author&gt;AHRQ (Agency for Healthcare Research and Quality), &lt;/author&gt;&lt;/authors&gt;&lt;/contributors&gt;&lt;titles&gt;&lt;title&gt;Technology Assessment Report: Bone morphogenetic protein: the state of the evidence of on-label and off-label use&lt;/title&gt;&lt;/titles&gt;&lt;dates&gt;&lt;year&gt;2010&lt;/year&gt;&lt;/dates&gt;&lt;urls&gt;&lt;/urls&gt;&lt;/record&gt;&lt;/Cite&gt;&lt;/EndNote&gt;</w:instrText>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5</w:t>
        </w:r>
        <w:r w:rsidR="003E042C">
          <w:rPr>
            <w:rFonts w:asciiTheme="minorHAnsi" w:hAnsiTheme="minorHAnsi"/>
            <w:color w:val="auto"/>
            <w:sz w:val="20"/>
            <w:szCs w:val="20"/>
          </w:rPr>
          <w:fldChar w:fldCharType="end"/>
        </w:r>
      </w:hyperlink>
      <w:r w:rsidR="0020560C" w:rsidRPr="0020560C">
        <w:rPr>
          <w:rFonts w:asciiTheme="minorHAnsi" w:hAnsiTheme="minorHAnsi"/>
          <w:color w:val="auto"/>
          <w:sz w:val="20"/>
          <w:szCs w:val="20"/>
        </w:rPr>
        <w:t xml:space="preserve"> </w:t>
      </w:r>
      <w:bookmarkEnd w:id="1"/>
    </w:p>
    <w:tbl>
      <w:tblPr>
        <w:tblStyle w:val="TableGrid"/>
        <w:tblW w:w="9738" w:type="dxa"/>
        <w:tblLook w:val="04A0" w:firstRow="1" w:lastRow="0" w:firstColumn="1" w:lastColumn="0" w:noHBand="0" w:noVBand="1"/>
      </w:tblPr>
      <w:tblGrid>
        <w:gridCol w:w="2898"/>
        <w:gridCol w:w="6840"/>
      </w:tblGrid>
      <w:tr w:rsidR="0020560C" w:rsidRPr="0020560C" w:rsidTr="0046104C">
        <w:tc>
          <w:tcPr>
            <w:tcW w:w="2898" w:type="dxa"/>
          </w:tcPr>
          <w:p w:rsidR="0020560C" w:rsidRPr="0020560C" w:rsidRDefault="0020560C" w:rsidP="0046104C">
            <w:pPr>
              <w:rPr>
                <w:b/>
                <w:sz w:val="20"/>
                <w:szCs w:val="20"/>
              </w:rPr>
            </w:pPr>
            <w:r w:rsidRPr="0020560C">
              <w:rPr>
                <w:b/>
                <w:sz w:val="20"/>
                <w:szCs w:val="20"/>
              </w:rPr>
              <w:t>Type of economic evaluation</w:t>
            </w:r>
          </w:p>
        </w:tc>
        <w:tc>
          <w:tcPr>
            <w:tcW w:w="6840" w:type="dxa"/>
          </w:tcPr>
          <w:p w:rsidR="0020560C" w:rsidRPr="0020560C" w:rsidRDefault="0020560C" w:rsidP="0046104C">
            <w:pPr>
              <w:rPr>
                <w:sz w:val="20"/>
                <w:szCs w:val="20"/>
              </w:rPr>
            </w:pPr>
            <w:r w:rsidRPr="0020560C">
              <w:rPr>
                <w:sz w:val="20"/>
                <w:szCs w:val="20"/>
              </w:rPr>
              <w:t>Cost-utility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Funding</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Government</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QHES</w:t>
            </w:r>
          </w:p>
        </w:tc>
        <w:tc>
          <w:tcPr>
            <w:tcW w:w="6840" w:type="dxa"/>
            <w:shd w:val="clear" w:color="auto" w:fill="FFFFFF" w:themeFill="background1"/>
          </w:tcPr>
          <w:p w:rsidR="0020560C" w:rsidRPr="0020560C" w:rsidRDefault="0053588E" w:rsidP="0046104C">
            <w:pPr>
              <w:rPr>
                <w:sz w:val="20"/>
                <w:szCs w:val="20"/>
              </w:rPr>
            </w:pPr>
            <w:r>
              <w:rPr>
                <w:sz w:val="20"/>
                <w:szCs w:val="20"/>
              </w:rPr>
              <w:t>87/100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Objective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To determine the incremental cost effectiveness of the of BMP for spinal fusion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Model type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Stationary Markov models (cycle length 1 week)</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Analytic perspective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Payer perspective (CMS)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 horizon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 (short time horizon based on limited follow-up evidence)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Outcome(s) reported</w:t>
            </w:r>
          </w:p>
        </w:tc>
        <w:tc>
          <w:tcPr>
            <w:tcW w:w="6840" w:type="dxa"/>
          </w:tcPr>
          <w:p w:rsidR="0020560C" w:rsidRPr="0020560C" w:rsidRDefault="0020560C" w:rsidP="0046104C">
            <w:pPr>
              <w:rPr>
                <w:sz w:val="20"/>
                <w:szCs w:val="20"/>
              </w:rPr>
            </w:pPr>
            <w:r w:rsidRPr="0020560C">
              <w:rPr>
                <w:sz w:val="20"/>
                <w:szCs w:val="20"/>
              </w:rPr>
              <w:t>Cost per QALY, ICERs</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Data source(s) (CoE of data source)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RCT (</w:t>
            </w:r>
            <w:proofErr w:type="spellStart"/>
            <w:r w:rsidRPr="0020560C">
              <w:rPr>
                <w:sz w:val="20"/>
                <w:szCs w:val="20"/>
              </w:rPr>
              <w:t>Burkus</w:t>
            </w:r>
            <w:proofErr w:type="spellEnd"/>
            <w:r w:rsidRPr="0020560C">
              <w:rPr>
                <w:sz w:val="20"/>
                <w:szCs w:val="20"/>
              </w:rPr>
              <w:t xml:space="preserve"> et al. 2002 – pivotal trial for FDA approval of INFUSE (Medtronic))</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 = 279</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Diagnosis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Single-level DDD and disabling symptoms of ≥ 6 months duration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Interventions being compared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Single level open ALIF with an LT-Cage device filled with either:</w:t>
            </w:r>
          </w:p>
          <w:p w:rsidR="0020560C" w:rsidRPr="0020560C" w:rsidRDefault="0020560C" w:rsidP="0046104C">
            <w:pPr>
              <w:rPr>
                <w:sz w:val="20"/>
                <w:szCs w:val="20"/>
              </w:rPr>
            </w:pPr>
            <w:r w:rsidRPr="0020560C">
              <w:rPr>
                <w:sz w:val="20"/>
                <w:szCs w:val="20"/>
              </w:rPr>
              <w:t>INFUSE (absorbable collagen sponge infused with rhBMP-2) (n = 143)</w:t>
            </w:r>
          </w:p>
          <w:p w:rsidR="0020560C" w:rsidRPr="0020560C" w:rsidRDefault="0020560C" w:rsidP="0046104C">
            <w:pPr>
              <w:rPr>
                <w:sz w:val="20"/>
                <w:szCs w:val="20"/>
              </w:rPr>
            </w:pPr>
            <w:proofErr w:type="spellStart"/>
            <w:r w:rsidRPr="0020560C">
              <w:rPr>
                <w:sz w:val="20"/>
                <w:szCs w:val="20"/>
              </w:rPr>
              <w:t>Autogenous</w:t>
            </w:r>
            <w:proofErr w:type="spellEnd"/>
            <w:r w:rsidRPr="0020560C">
              <w:rPr>
                <w:sz w:val="20"/>
                <w:szCs w:val="20"/>
              </w:rPr>
              <w:t xml:space="preserve"> ICBG (n = 136)</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Mean age (range)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rhBMP-2: 43 years</w:t>
            </w:r>
          </w:p>
          <w:p w:rsidR="0020560C" w:rsidRPr="0020560C" w:rsidRDefault="0020560C" w:rsidP="0046104C">
            <w:pPr>
              <w:rPr>
                <w:sz w:val="20"/>
                <w:szCs w:val="20"/>
              </w:rPr>
            </w:pPr>
            <w:r w:rsidRPr="0020560C">
              <w:rPr>
                <w:sz w:val="20"/>
                <w:szCs w:val="20"/>
              </w:rPr>
              <w:t>ICBG: 42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Sex (% female)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rhBMP-2: 46%</w:t>
            </w:r>
          </w:p>
          <w:p w:rsidR="0020560C" w:rsidRPr="0020560C" w:rsidRDefault="0020560C" w:rsidP="0046104C">
            <w:pPr>
              <w:rPr>
                <w:sz w:val="20"/>
                <w:szCs w:val="20"/>
              </w:rPr>
            </w:pPr>
            <w:r w:rsidRPr="0020560C">
              <w:rPr>
                <w:sz w:val="20"/>
                <w:szCs w:val="20"/>
              </w:rPr>
              <w:t>ICBG: 50%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Health states:</w:t>
            </w:r>
          </w:p>
          <w:p w:rsidR="0020560C" w:rsidRPr="0020560C" w:rsidRDefault="0020560C" w:rsidP="0046104C">
            <w:pPr>
              <w:rPr>
                <w:sz w:val="20"/>
                <w:szCs w:val="20"/>
              </w:rPr>
            </w:pPr>
            <w:r w:rsidRPr="0020560C">
              <w:rPr>
                <w:sz w:val="20"/>
                <w:szCs w:val="20"/>
                <w:u w:val="single"/>
              </w:rPr>
              <w:t>rh-BMP-2 (2 states):</w:t>
            </w:r>
            <w:r w:rsidRPr="0020560C">
              <w:rPr>
                <w:sz w:val="20"/>
                <w:szCs w:val="20"/>
              </w:rPr>
              <w:t xml:space="preserve"> pre-fusion status (derived from radiographic fusion success probabilities); fusion rate</w:t>
            </w:r>
          </w:p>
          <w:p w:rsidR="0020560C" w:rsidRPr="0020560C" w:rsidRDefault="0020560C" w:rsidP="0046104C">
            <w:pPr>
              <w:rPr>
                <w:sz w:val="20"/>
                <w:szCs w:val="20"/>
              </w:rPr>
            </w:pPr>
            <w:r w:rsidRPr="0020560C">
              <w:rPr>
                <w:sz w:val="20"/>
                <w:szCs w:val="20"/>
                <w:u w:val="single"/>
              </w:rPr>
              <w:t>ICBG (4 states):</w:t>
            </w:r>
            <w:r w:rsidRPr="0020560C">
              <w:rPr>
                <w:sz w:val="20"/>
                <w:szCs w:val="20"/>
              </w:rPr>
              <w:t xml:space="preserve"> pre-fusion status (derived from radiographic fusion success probabilities); fusion rate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Complications used in model</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rhBMP-2 (1 state): secondary intervention</w:t>
            </w:r>
          </w:p>
          <w:p w:rsidR="0020560C" w:rsidRPr="0020560C" w:rsidRDefault="0020560C" w:rsidP="0046104C">
            <w:pPr>
              <w:rPr>
                <w:sz w:val="20"/>
                <w:szCs w:val="20"/>
              </w:rPr>
            </w:pPr>
            <w:r w:rsidRPr="0020560C">
              <w:rPr>
                <w:sz w:val="20"/>
                <w:szCs w:val="20"/>
              </w:rPr>
              <w:t>ICBG (2 states): secondary intervention combined with the presence or absence of donor site pain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Timeframe of outcomes included </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 of study</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organization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Government research organization</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Cost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Currency (type and year)</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US$ (2007)</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 source(s)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Direct health care costs reported as Medicare payments from free publicly available sources (Note: indirect costs were excluded)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Costs included in analysis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Initial hospitalization (hospital and physician costs); secondary interventions (including hospital/outpatient surgical center and physician costs, removals, supplemental fixations and reoperations)</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In a separate analyses, BMP was treated as a bundled part of diagnosis-related group (DRG) payments and as a separate added payment amount.</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costs included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Discount rate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Not used for either costs or utilities (short time horizons cited as reason)</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Utilities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Utility basis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Preoperative and 6-month unpublished SF-36 data (transformed into utilities using the Brazier et al. index)</w:t>
            </w:r>
          </w:p>
          <w:p w:rsidR="0020560C" w:rsidRPr="0020560C" w:rsidRDefault="0020560C" w:rsidP="0046104C">
            <w:pPr>
              <w:rPr>
                <w:sz w:val="20"/>
                <w:szCs w:val="20"/>
                <w:u w:val="single"/>
              </w:rPr>
            </w:pPr>
            <w:r w:rsidRPr="0020560C">
              <w:rPr>
                <w:sz w:val="20"/>
                <w:szCs w:val="20"/>
                <w:u w:val="single"/>
              </w:rPr>
              <w:t>Utility for each of the 6 health states:</w:t>
            </w:r>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2" w:name="_Toc187805827"/>
            <w:r w:rsidRPr="0020560C">
              <w:rPr>
                <w:sz w:val="20"/>
                <w:szCs w:val="20"/>
              </w:rPr>
              <w:t>S1: Pre-fusion without donor site pain (utility = 0.54) (source: unpublished data).</w:t>
            </w:r>
            <w:bookmarkEnd w:id="2"/>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3" w:name="_Toc187805828"/>
            <w:r w:rsidRPr="0020560C">
              <w:rPr>
                <w:sz w:val="20"/>
                <w:szCs w:val="20"/>
              </w:rPr>
              <w:t>S2: Pre-fusion with donor site pain (utility = 0.52) (source: S1 utility reduced by 0.02)</w:t>
            </w:r>
            <w:bookmarkEnd w:id="3"/>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4" w:name="_Toc187805829"/>
            <w:r w:rsidRPr="0020560C">
              <w:rPr>
                <w:sz w:val="20"/>
                <w:szCs w:val="20"/>
              </w:rPr>
              <w:t>S3: Secondary intervention without donor site pain (utility = 0.49) (source: S1 utility reduced by 0.05)</w:t>
            </w:r>
            <w:bookmarkEnd w:id="4"/>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5" w:name="_Toc187805830"/>
            <w:r w:rsidRPr="0020560C">
              <w:rPr>
                <w:sz w:val="20"/>
                <w:szCs w:val="20"/>
              </w:rPr>
              <w:t>S4: Secondary intervention with donor site pain (utility = 0.47) (source: S3 utility reduced by 0.02)</w:t>
            </w:r>
            <w:bookmarkEnd w:id="5"/>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6" w:name="_Toc187805831"/>
            <w:r w:rsidRPr="0020560C">
              <w:rPr>
                <w:sz w:val="20"/>
                <w:szCs w:val="20"/>
              </w:rPr>
              <w:t>S5: Fusion with donor site pain (utility = 0.60) (source: S6 utility reduced by 0.02)</w:t>
            </w:r>
            <w:bookmarkEnd w:id="6"/>
          </w:p>
          <w:p w:rsidR="0020560C" w:rsidRPr="0020560C" w:rsidRDefault="0020560C" w:rsidP="0020560C">
            <w:pPr>
              <w:pStyle w:val="ListParagraph"/>
              <w:numPr>
                <w:ilvl w:val="0"/>
                <w:numId w:val="2"/>
              </w:numPr>
              <w:tabs>
                <w:tab w:val="clear" w:pos="720"/>
                <w:tab w:val="num" w:pos="252"/>
              </w:tabs>
              <w:ind w:left="252" w:hanging="180"/>
              <w:rPr>
                <w:sz w:val="20"/>
                <w:szCs w:val="20"/>
              </w:rPr>
            </w:pPr>
            <w:bookmarkStart w:id="7" w:name="_Toc187805832"/>
            <w:r w:rsidRPr="0020560C">
              <w:rPr>
                <w:sz w:val="20"/>
                <w:szCs w:val="20"/>
              </w:rPr>
              <w:t>S6: Fusion without donor site pain (utility = 0.62) (source: unpublished data)</w:t>
            </w:r>
            <w:bookmarkEnd w:id="7"/>
          </w:p>
          <w:p w:rsidR="0020560C" w:rsidRPr="0020560C" w:rsidRDefault="0020560C" w:rsidP="0046104C">
            <w:pPr>
              <w:rPr>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6840" w:type="dxa"/>
            <w:shd w:val="clear" w:color="auto" w:fill="FFFFFF" w:themeFill="background1"/>
          </w:tcPr>
          <w:p w:rsidR="0020560C" w:rsidRPr="0020560C" w:rsidRDefault="0020560C" w:rsidP="0046104C">
            <w:pPr>
              <w:rPr>
                <w:rFonts w:cs="Syntax-Roman"/>
                <w:sz w:val="20"/>
                <w:szCs w:val="20"/>
              </w:rPr>
            </w:pPr>
            <w:r w:rsidRPr="0020560C">
              <w:rPr>
                <w:rFonts w:cs="Syntax-Roman"/>
                <w:sz w:val="20"/>
                <w:szCs w:val="20"/>
              </w:rPr>
              <w:t xml:space="preserve">General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utility measurements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Preoperative and 6 months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Same RCT used for clinical data</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Sensitivity analysis performed?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Yes</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Conducted with a larger disutility value for donor site pain (0.05 vs. 0.02 in base case) and with utilities that were 25% lower and 25% higher than base case values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sensitivity analysis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One-, two-, and three-way sensitivity analyses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Variables evaluated in sensitivity analysis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BMP added to costs; utilities; non-BMP costs; secondary intervention costs; HR of rates of achieving union/fusion; RR of having secondary interventions; BMP costs; probability of donor site pain in ICBG patients; disutility of health states with donor site pain</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6840" w:type="dxa"/>
          </w:tcPr>
          <w:p w:rsidR="0020560C" w:rsidRPr="0020560C" w:rsidRDefault="0020560C" w:rsidP="0046104C">
            <w:pPr>
              <w:tabs>
                <w:tab w:val="num" w:pos="252"/>
              </w:tabs>
              <w:rPr>
                <w:sz w:val="20"/>
                <w:szCs w:val="20"/>
              </w:rPr>
            </w:pPr>
            <w:r w:rsidRPr="0020560C">
              <w:rPr>
                <w:sz w:val="20"/>
                <w:szCs w:val="20"/>
              </w:rPr>
              <w:t>Assumes that initial hospital costs are identical in both groups (i.e., that rhBMP-2 cost was treated as a bundled part of the DRG payment system and thus incurred not additional cost)</w:t>
            </w:r>
          </w:p>
          <w:p w:rsidR="0020560C" w:rsidRPr="0020560C" w:rsidRDefault="0020560C" w:rsidP="0046104C">
            <w:pPr>
              <w:tabs>
                <w:tab w:val="num" w:pos="252"/>
              </w:tabs>
              <w:rPr>
                <w:sz w:val="20"/>
                <w:szCs w:val="20"/>
              </w:rPr>
            </w:pP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Total cost (2 years)</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rhBMP-2: $31,159</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ICBG: $31,253</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Difference (favors rhBMP-2) = $94 (attributed to the lower probability of secondary intervention with rhBMP-2)</w:t>
            </w:r>
          </w:p>
          <w:p w:rsidR="0020560C" w:rsidRPr="0020560C" w:rsidRDefault="0020560C" w:rsidP="0046104C">
            <w:pPr>
              <w:tabs>
                <w:tab w:val="num" w:pos="252"/>
              </w:tabs>
              <w:rPr>
                <w:sz w:val="20"/>
                <w:szCs w:val="20"/>
              </w:rPr>
            </w:pP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Total QALYs</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rhBMP-2 1.218</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ICBG: 1.194</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Difference (favors rhBMP-2) = 0.024 (attributed to donor site pain in the ICBG group)</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Results of sensitivity analysis</w:t>
            </w:r>
          </w:p>
        </w:tc>
        <w:tc>
          <w:tcPr>
            <w:tcW w:w="6840" w:type="dxa"/>
          </w:tcPr>
          <w:p w:rsidR="0020560C" w:rsidRPr="0020560C" w:rsidRDefault="0020560C" w:rsidP="0046104C">
            <w:pPr>
              <w:rPr>
                <w:sz w:val="20"/>
                <w:szCs w:val="20"/>
              </w:rPr>
            </w:pPr>
            <w:r w:rsidRPr="0020560C">
              <w:rPr>
                <w:b/>
                <w:sz w:val="20"/>
                <w:szCs w:val="20"/>
              </w:rPr>
              <w:t>One-way sensitivity analyses</w:t>
            </w:r>
            <w:r w:rsidRPr="0020560C">
              <w:rPr>
                <w:sz w:val="20"/>
                <w:szCs w:val="20"/>
              </w:rPr>
              <w:t>:</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In the majority of sensitivity analyses, rhBMP-2 remained the dominant strategy (see Table 53).</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If upper value of the RR for secondary interventions used:</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lastRenderedPageBreak/>
              <w:t>rhBMP-2 no longer the dominant strategy</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Associated with an increased cost of $2,153 (over ICBG) and an ICER of $89,765 per QALY gained</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If BMP treated as an added cost (mean estimate of $3000):</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rhBMP-2 no longer the dominant strategy</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Associated with an increased cost of $2,906 (over ICBG) and an ICER of $121,160 per QALY gained</w:t>
            </w:r>
          </w:p>
          <w:p w:rsidR="0020560C" w:rsidRPr="0020560C" w:rsidRDefault="0020560C" w:rsidP="0046104C">
            <w:pPr>
              <w:tabs>
                <w:tab w:val="num" w:pos="252"/>
                <w:tab w:val="num" w:pos="342"/>
                <w:tab w:val="num" w:pos="612"/>
              </w:tabs>
              <w:rPr>
                <w:sz w:val="20"/>
                <w:szCs w:val="20"/>
              </w:rPr>
            </w:pPr>
          </w:p>
          <w:p w:rsidR="0020560C" w:rsidRPr="0020560C" w:rsidRDefault="0020560C" w:rsidP="0046104C">
            <w:pPr>
              <w:tabs>
                <w:tab w:val="num" w:pos="252"/>
                <w:tab w:val="num" w:pos="342"/>
                <w:tab w:val="num" w:pos="612"/>
              </w:tabs>
              <w:rPr>
                <w:sz w:val="20"/>
                <w:szCs w:val="20"/>
              </w:rPr>
            </w:pPr>
            <w:r w:rsidRPr="0020560C">
              <w:rPr>
                <w:b/>
                <w:sz w:val="20"/>
                <w:szCs w:val="20"/>
              </w:rPr>
              <w:t xml:space="preserve">Two-way sensitivity analyses </w:t>
            </w:r>
            <w:r w:rsidRPr="0020560C">
              <w:rPr>
                <w:sz w:val="20"/>
                <w:szCs w:val="20"/>
              </w:rPr>
              <w:t xml:space="preserve">(performed by varying utility values as done in the one-way sensitivity analysis </w:t>
            </w:r>
            <w:r w:rsidRPr="0020560C">
              <w:rPr>
                <w:sz w:val="20"/>
                <w:szCs w:val="20"/>
                <w:u w:val="single"/>
              </w:rPr>
              <w:t>and</w:t>
            </w:r>
            <w:r w:rsidRPr="0020560C">
              <w:rPr>
                <w:sz w:val="20"/>
                <w:szCs w:val="20"/>
              </w:rPr>
              <w:t xml:space="preserve"> treating rhBMP-2 as an added cost of $3000)</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In no scenario was rhBMP-2 the dominant treatment (see Table 54)</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Assumed cost of BMP $1000: ICER = $37,785 ($17,763–$50,557)* per QALY gained</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Assumed cost of BMP $3000: ICER = $121,160 ($56,959–$162,714)* per QALY gained</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Assumed cost of BMP $5000: ICER = $204,536 ($96,155–$274,870)* per QALY gained</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Assumed cost of BMP $8000: ICER = $329,599 ($154,948–$443,385)* per QALY gained</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The lowest ICER occurred when the disutility of donor-site pain was assumed to be larger (decrease of utility value by 0.05 versus 0.02), and was associated with a cost of $56,959 per QALY gained, with an assumed cost of BMP of $3000.</w:t>
            </w:r>
          </w:p>
          <w:p w:rsidR="0020560C" w:rsidRPr="0020560C" w:rsidRDefault="0020560C" w:rsidP="0046104C">
            <w:pPr>
              <w:tabs>
                <w:tab w:val="num" w:pos="252"/>
                <w:tab w:val="num" w:pos="342"/>
                <w:tab w:val="num" w:pos="612"/>
              </w:tabs>
              <w:rPr>
                <w:b/>
                <w:sz w:val="20"/>
                <w:szCs w:val="20"/>
              </w:rPr>
            </w:pPr>
          </w:p>
          <w:p w:rsidR="0020560C" w:rsidRPr="0020560C" w:rsidRDefault="0020560C" w:rsidP="0046104C">
            <w:pPr>
              <w:tabs>
                <w:tab w:val="num" w:pos="252"/>
                <w:tab w:val="num" w:pos="342"/>
                <w:tab w:val="num" w:pos="612"/>
              </w:tabs>
              <w:rPr>
                <w:sz w:val="20"/>
                <w:szCs w:val="20"/>
              </w:rPr>
            </w:pPr>
            <w:r w:rsidRPr="0020560C">
              <w:rPr>
                <w:b/>
                <w:sz w:val="20"/>
                <w:szCs w:val="20"/>
              </w:rPr>
              <w:t xml:space="preserve">Three-way sensitivity analyses </w:t>
            </w:r>
            <w:r w:rsidRPr="0020560C">
              <w:rPr>
                <w:sz w:val="20"/>
                <w:szCs w:val="20"/>
              </w:rPr>
              <w:t>(level of BMP cost)</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In all but one scenarios rhBMP-2 was not the dominant treatment (see Table 55) (except when rhBMP-2 cost assumed to be $1000 and a low risk ration value of 0.52 (favoring the treatment group) was used).</w:t>
            </w:r>
          </w:p>
          <w:p w:rsidR="0020560C" w:rsidRPr="0020560C" w:rsidRDefault="0020560C" w:rsidP="0046104C">
            <w:pPr>
              <w:tabs>
                <w:tab w:val="num" w:pos="252"/>
                <w:tab w:val="num" w:pos="342"/>
                <w:tab w:val="num" w:pos="612"/>
              </w:tabs>
              <w:rPr>
                <w:sz w:val="20"/>
                <w:szCs w:val="20"/>
              </w:rPr>
            </w:pPr>
          </w:p>
          <w:p w:rsidR="0020560C" w:rsidRPr="0020560C" w:rsidRDefault="0020560C" w:rsidP="0046104C">
            <w:pPr>
              <w:tabs>
                <w:tab w:val="num" w:pos="252"/>
                <w:tab w:val="num" w:pos="342"/>
                <w:tab w:val="num" w:pos="612"/>
              </w:tabs>
              <w:rPr>
                <w:sz w:val="20"/>
                <w:szCs w:val="20"/>
              </w:rPr>
            </w:pPr>
            <w:r w:rsidRPr="0020560C">
              <w:rPr>
                <w:sz w:val="20"/>
                <w:szCs w:val="20"/>
              </w:rPr>
              <w:t>*range of ICERS across sensitivity analyses excluding the lower and upper risk ratios for secondary intervention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Study conclusion</w:t>
            </w:r>
          </w:p>
        </w:tc>
        <w:tc>
          <w:tcPr>
            <w:tcW w:w="6840" w:type="dxa"/>
          </w:tcPr>
          <w:p w:rsidR="0020560C" w:rsidRPr="0020560C" w:rsidRDefault="0020560C" w:rsidP="0046104C">
            <w:pPr>
              <w:rPr>
                <w:sz w:val="20"/>
                <w:szCs w:val="20"/>
              </w:rPr>
            </w:pPr>
            <w:r w:rsidRPr="0020560C">
              <w:rPr>
                <w:sz w:val="20"/>
                <w:szCs w:val="20"/>
              </w:rPr>
              <w:t>Authors recommend rhBMP-2 as a treatment strategy only when rhBMP-2 is not an added cost.  The majority of one-way sensitivity analyses of the base case similarly found that rhBMP-2 was associated with lower costs and increased QALYs. However, when treated as an additional cost, rhBMP-2 was no longer recommended due to the fact that the cost-effectiveness ratio is very sensitive to cost. The relatively low increase in QALYs (0.018–0.051) coupled with the increased costs meant that the ICERs for rhBMP-2 use were high (range: $37,785 – $329,599 per QALY gained, depending on the cost of BMP and the analysis done).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Comments</w:t>
            </w:r>
          </w:p>
        </w:tc>
        <w:tc>
          <w:tcPr>
            <w:tcW w:w="6840" w:type="dxa"/>
          </w:tcPr>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 xml:space="preserve">Limitations: </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Limited evidence base (1 RCT)</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Use of free publicly available cost estimates (likely not as accurate as more limited access sources)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Probabilistic sensitivity analyses not performed (but unlikely to affect the interpretation of these analyses)</w:t>
            </w:r>
          </w:p>
        </w:tc>
      </w:tr>
    </w:tbl>
    <w:p w:rsidR="0020560C" w:rsidRPr="0020560C" w:rsidRDefault="0020560C" w:rsidP="0020560C">
      <w:pPr>
        <w:rPr>
          <w:b/>
          <w:sz w:val="20"/>
          <w:szCs w:val="20"/>
        </w:rPr>
      </w:pPr>
      <w:r w:rsidRPr="0020560C">
        <w:rPr>
          <w:b/>
          <w:sz w:val="20"/>
          <w:szCs w:val="20"/>
        </w:rPr>
        <w:br w:type="page"/>
      </w:r>
    </w:p>
    <w:p w:rsidR="0020560C" w:rsidRPr="0020560C" w:rsidRDefault="008E6F7C" w:rsidP="0020560C">
      <w:pPr>
        <w:pStyle w:val="Heading1"/>
        <w:rPr>
          <w:rFonts w:asciiTheme="minorHAnsi" w:hAnsiTheme="minorHAnsi"/>
          <w:color w:val="auto"/>
          <w:sz w:val="20"/>
          <w:szCs w:val="20"/>
        </w:rPr>
      </w:pPr>
      <w:bookmarkStart w:id="8" w:name="_Toc380059793"/>
      <w:r>
        <w:rPr>
          <w:rFonts w:asciiTheme="minorHAnsi" w:hAnsiTheme="minorHAnsi"/>
          <w:color w:val="auto"/>
          <w:sz w:val="20"/>
          <w:szCs w:val="20"/>
        </w:rPr>
        <w:lastRenderedPageBreak/>
        <w:t xml:space="preserve">KQ1: </w:t>
      </w:r>
      <w:r w:rsidR="0020560C" w:rsidRPr="0020560C">
        <w:rPr>
          <w:rFonts w:asciiTheme="minorHAnsi" w:hAnsiTheme="minorHAnsi"/>
          <w:color w:val="auto"/>
          <w:sz w:val="20"/>
          <w:szCs w:val="20"/>
        </w:rPr>
        <w:t>Alt (2009)</w:t>
      </w:r>
      <w:hyperlink w:anchor="_ENREF_6" w:tooltip="Alt, 2009 #6" w:history="1">
        <w:r w:rsidR="003E042C">
          <w:rPr>
            <w:rFonts w:asciiTheme="minorHAnsi" w:hAnsiTheme="minorHAnsi"/>
            <w:color w:val="auto"/>
            <w:sz w:val="20"/>
            <w:szCs w:val="20"/>
          </w:rPr>
          <w:fldChar w:fldCharType="begin">
            <w:fldData xml:space="preserve">PEVuZE5vdGU+PENpdGU+PEF1dGhvcj5BbHQ8L0F1dGhvcj48WWVhcj4yMDA5PC9ZZWFyPjxSZWNO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</w:fldData>
          </w:fldChar>
        </w:r>
        <w:r w:rsidR="003E042C">
          <w:rPr>
            <w:rFonts w:asciiTheme="minorHAnsi" w:hAnsiTheme="minorHAnsi"/>
            <w:color w:val="auto"/>
            <w:sz w:val="20"/>
            <w:szCs w:val="20"/>
          </w:rPr>
          <w:instrText xml:space="preserve"> ADDIN EN.CITE </w:instrText>
        </w:r>
        <w:r w:rsidR="003E042C">
          <w:rPr>
            <w:rFonts w:asciiTheme="minorHAnsi" w:hAnsiTheme="minorHAnsi"/>
            <w:color w:val="auto"/>
            <w:sz w:val="20"/>
            <w:szCs w:val="20"/>
          </w:rPr>
          <w:fldChar w:fldCharType="begin">
            <w:fldData xml:space="preserve">PEVuZE5vdGU+PENpdGU+PEF1dGhvcj5BbHQ8L0F1dGhvcj48WWVhcj4yMDA5PC9ZZWFyPjxSZWNO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</w:fldData>
          </w:fldChar>
        </w:r>
        <w:r w:rsidR="003E042C">
          <w:rPr>
            <w:rFonts w:asciiTheme="minorHAnsi" w:hAnsiTheme="minorHAnsi"/>
            <w:color w:val="auto"/>
            <w:sz w:val="20"/>
            <w:szCs w:val="20"/>
          </w:rPr>
          <w:instrText xml:space="preserve"> ADDIN EN.CITE.DATA </w:instrText>
        </w:r>
        <w:r w:rsidR="003E042C">
          <w:rPr>
            <w:rFonts w:asciiTheme="minorHAnsi" w:hAnsiTheme="minorHAnsi"/>
            <w:color w:val="auto"/>
            <w:sz w:val="20"/>
            <w:szCs w:val="20"/>
          </w:rPr>
        </w:r>
        <w:r w:rsidR="003E042C">
          <w:rPr>
            <w:rFonts w:asciiTheme="minorHAnsi" w:hAnsiTheme="minorHAnsi"/>
            <w:color w:val="auto"/>
            <w:sz w:val="20"/>
            <w:szCs w:val="20"/>
          </w:rPr>
          <w:fldChar w:fldCharType="end"/>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6</w:t>
        </w:r>
        <w:r w:rsidR="003E042C">
          <w:rPr>
            <w:rFonts w:asciiTheme="minorHAnsi" w:hAnsiTheme="minorHAnsi"/>
            <w:color w:val="auto"/>
            <w:sz w:val="20"/>
            <w:szCs w:val="20"/>
          </w:rPr>
          <w:fldChar w:fldCharType="end"/>
        </w:r>
      </w:hyperlink>
      <w:r w:rsidR="0020560C" w:rsidRPr="0020560C">
        <w:rPr>
          <w:rFonts w:asciiTheme="minorHAnsi" w:hAnsiTheme="minorHAnsi"/>
          <w:color w:val="auto"/>
          <w:sz w:val="20"/>
          <w:szCs w:val="20"/>
        </w:rPr>
        <w:t xml:space="preserve"> </w:t>
      </w:r>
      <w:bookmarkEnd w:id="8"/>
    </w:p>
    <w:tbl>
      <w:tblPr>
        <w:tblStyle w:val="TableGrid"/>
        <w:tblW w:w="9738" w:type="dxa"/>
        <w:tblLook w:val="04A0" w:firstRow="1" w:lastRow="0" w:firstColumn="1" w:lastColumn="0" w:noHBand="0" w:noVBand="1"/>
      </w:tblPr>
      <w:tblGrid>
        <w:gridCol w:w="2898"/>
        <w:gridCol w:w="6840"/>
      </w:tblGrid>
      <w:tr w:rsidR="0020560C" w:rsidRPr="0020560C" w:rsidTr="0046104C">
        <w:tc>
          <w:tcPr>
            <w:tcW w:w="2898" w:type="dxa"/>
          </w:tcPr>
          <w:p w:rsidR="0020560C" w:rsidRPr="0020560C" w:rsidRDefault="0020560C" w:rsidP="0046104C">
            <w:pPr>
              <w:rPr>
                <w:b/>
                <w:sz w:val="20"/>
                <w:szCs w:val="20"/>
              </w:rPr>
            </w:pPr>
            <w:r w:rsidRPr="0020560C">
              <w:rPr>
                <w:b/>
                <w:sz w:val="20"/>
                <w:szCs w:val="20"/>
              </w:rPr>
              <w:t>Type of economic evaluation</w:t>
            </w:r>
          </w:p>
        </w:tc>
        <w:tc>
          <w:tcPr>
            <w:tcW w:w="6840" w:type="dxa"/>
          </w:tcPr>
          <w:p w:rsidR="0020560C" w:rsidRPr="0020560C" w:rsidRDefault="0020560C" w:rsidP="0046104C">
            <w:pPr>
              <w:rPr>
                <w:sz w:val="20"/>
                <w:szCs w:val="20"/>
              </w:rPr>
            </w:pPr>
            <w:r w:rsidRPr="0020560C">
              <w:rPr>
                <w:sz w:val="20"/>
                <w:szCs w:val="20"/>
              </w:rPr>
              <w:t>Cost effectiveness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Germany, France, and UK</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Funding</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NR –</w:t>
            </w:r>
          </w:p>
          <w:p w:rsidR="0020560C" w:rsidRPr="0020560C" w:rsidRDefault="0020560C" w:rsidP="0046104C">
            <w:pPr>
              <w:rPr>
                <w:sz w:val="20"/>
                <w:szCs w:val="20"/>
              </w:rPr>
            </w:pPr>
            <w:r w:rsidRPr="0020560C">
              <w:rPr>
                <w:sz w:val="20"/>
                <w:szCs w:val="20"/>
              </w:rPr>
              <w:t xml:space="preserve">Note: Volker Alt, </w:t>
            </w:r>
            <w:proofErr w:type="spellStart"/>
            <w:r w:rsidRPr="0020560C">
              <w:rPr>
                <w:sz w:val="20"/>
                <w:szCs w:val="20"/>
              </w:rPr>
              <w:t>Jorg</w:t>
            </w:r>
            <w:proofErr w:type="spellEnd"/>
            <w:r w:rsidRPr="0020560C">
              <w:rPr>
                <w:sz w:val="20"/>
                <w:szCs w:val="20"/>
              </w:rPr>
              <w:t xml:space="preserve"> </w:t>
            </w:r>
            <w:proofErr w:type="spellStart"/>
            <w:r w:rsidRPr="0020560C">
              <w:rPr>
                <w:sz w:val="20"/>
                <w:szCs w:val="20"/>
              </w:rPr>
              <w:t>Franke</w:t>
            </w:r>
            <w:proofErr w:type="spellEnd"/>
            <w:r w:rsidRPr="0020560C">
              <w:rPr>
                <w:sz w:val="20"/>
                <w:szCs w:val="20"/>
              </w:rPr>
              <w:t xml:space="preserve"> and Jean-Charles </w:t>
            </w:r>
            <w:proofErr w:type="spellStart"/>
            <w:r w:rsidRPr="0020560C">
              <w:rPr>
                <w:sz w:val="20"/>
                <w:szCs w:val="20"/>
              </w:rPr>
              <w:t>LeHuec</w:t>
            </w:r>
            <w:proofErr w:type="spellEnd"/>
            <w:r w:rsidRPr="0020560C">
              <w:rPr>
                <w:sz w:val="20"/>
                <w:szCs w:val="20"/>
              </w:rPr>
              <w:t xml:space="preserve"> are working as external independent consultant for Medtronic </w:t>
            </w:r>
            <w:proofErr w:type="spellStart"/>
            <w:r w:rsidRPr="0020560C">
              <w:rPr>
                <w:sz w:val="20"/>
                <w:szCs w:val="20"/>
              </w:rPr>
              <w:t>Sa`rl</w:t>
            </w:r>
            <w:proofErr w:type="spellEnd"/>
            <w:r w:rsidRPr="0020560C">
              <w:rPr>
                <w:sz w:val="20"/>
                <w:szCs w:val="20"/>
              </w:rPr>
              <w:t xml:space="preserve">, </w:t>
            </w:r>
            <w:proofErr w:type="spellStart"/>
            <w:r w:rsidRPr="0020560C">
              <w:rPr>
                <w:sz w:val="20"/>
                <w:szCs w:val="20"/>
              </w:rPr>
              <w:t>Tolochenaz</w:t>
            </w:r>
            <w:proofErr w:type="spellEnd"/>
            <w:r w:rsidRPr="0020560C">
              <w:rPr>
                <w:sz w:val="20"/>
                <w:szCs w:val="20"/>
              </w:rPr>
              <w:t>, Switzerland.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QHES</w:t>
            </w:r>
          </w:p>
        </w:tc>
        <w:tc>
          <w:tcPr>
            <w:tcW w:w="6840" w:type="dxa"/>
            <w:shd w:val="clear" w:color="auto" w:fill="FFFFFF" w:themeFill="background1"/>
          </w:tcPr>
          <w:p w:rsidR="0020560C" w:rsidRPr="0020560C" w:rsidRDefault="0053588E" w:rsidP="0046104C">
            <w:pPr>
              <w:rPr>
                <w:sz w:val="20"/>
                <w:szCs w:val="20"/>
              </w:rPr>
            </w:pPr>
            <w:r>
              <w:rPr>
                <w:sz w:val="20"/>
                <w:szCs w:val="20"/>
              </w:rPr>
              <w:t>68/100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Objective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 xml:space="preserve">To calculate the financial impact of rhBMP-2 treatment in Germany, UK and France from a societal perspective with a two-year time horizon by taking into consideration the possible savings from reduction of secondary treatment costs and faster return-to-work to offset the upfront price compared with </w:t>
            </w:r>
            <w:proofErr w:type="spellStart"/>
            <w:r w:rsidRPr="0020560C">
              <w:rPr>
                <w:sz w:val="20"/>
                <w:szCs w:val="20"/>
              </w:rPr>
              <w:t>autogenous</w:t>
            </w:r>
            <w:proofErr w:type="spellEnd"/>
            <w:r w:rsidRPr="0020560C">
              <w:rPr>
                <w:sz w:val="20"/>
                <w:szCs w:val="20"/>
              </w:rPr>
              <w:t xml:space="preserve"> ICBG</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Model type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Analytic perspective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Societal</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 horizon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Outcome(s) reported</w:t>
            </w:r>
          </w:p>
        </w:tc>
        <w:tc>
          <w:tcPr>
            <w:tcW w:w="6840" w:type="dxa"/>
          </w:tcPr>
          <w:p w:rsidR="0020560C" w:rsidRPr="0020560C" w:rsidRDefault="0020560C" w:rsidP="0046104C">
            <w:pPr>
              <w:rPr>
                <w:sz w:val="20"/>
                <w:szCs w:val="20"/>
              </w:rPr>
            </w:pPr>
            <w:r w:rsidRPr="0020560C">
              <w:rPr>
                <w:sz w:val="20"/>
                <w:szCs w:val="20"/>
              </w:rPr>
              <w:t>Cost per second surgery avoided</w:t>
            </w:r>
          </w:p>
          <w:p w:rsidR="0020560C" w:rsidRPr="0020560C" w:rsidRDefault="0020560C" w:rsidP="0046104C">
            <w:pPr>
              <w:rPr>
                <w:sz w:val="20"/>
                <w:szCs w:val="20"/>
              </w:rPr>
            </w:pPr>
            <w:r w:rsidRPr="0020560C">
              <w:rPr>
                <w:sz w:val="20"/>
                <w:szCs w:val="20"/>
              </w:rPr>
              <w:t>Cost per lost productivity</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Data source(s) (CoE of data source)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Pooled data analysis from 1 prospective RCT (I/II) and 2 prospective nonrandomized controlled trials (II/III)</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The inclusion and exclusion criteria for the nonrandomized trials were identical to those for the RCT with the minor exception of not having a minimum Oswestry low back pain disability score for entry in one of the studies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 xml:space="preserve">N = 679 (RCT, n = 279; nonrandomized trials, n = 400) </w:t>
            </w:r>
          </w:p>
          <w:p w:rsidR="0020560C" w:rsidRPr="0020560C" w:rsidRDefault="0020560C" w:rsidP="0046104C">
            <w:pPr>
              <w:rPr>
                <w:sz w:val="20"/>
                <w:szCs w:val="20"/>
              </w:rPr>
            </w:pPr>
            <w:r w:rsidRPr="0020560C">
              <w:rPr>
                <w:sz w:val="20"/>
                <w:szCs w:val="20"/>
              </w:rPr>
              <w:t>(% f/u 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Diagnosis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DDD and ≤ grade 1 spondylolisthesis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Interventions being compared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Single-level open or laparoscopic lumbar fusion using:</w:t>
            </w:r>
          </w:p>
          <w:p w:rsidR="0020560C" w:rsidRPr="0020560C" w:rsidRDefault="0020560C" w:rsidP="0046104C">
            <w:pPr>
              <w:rPr>
                <w:sz w:val="20"/>
                <w:szCs w:val="20"/>
              </w:rPr>
            </w:pPr>
            <w:r w:rsidRPr="0020560C">
              <w:rPr>
                <w:sz w:val="20"/>
                <w:szCs w:val="20"/>
              </w:rPr>
              <w:t>rhBMP-2 with the LT-CAGE device (n = 277)</w:t>
            </w:r>
          </w:p>
          <w:p w:rsidR="0020560C" w:rsidRPr="0020560C" w:rsidRDefault="0020560C" w:rsidP="0046104C">
            <w:pPr>
              <w:rPr>
                <w:sz w:val="20"/>
                <w:szCs w:val="20"/>
              </w:rPr>
            </w:pPr>
            <w:proofErr w:type="spellStart"/>
            <w:r w:rsidRPr="0020560C">
              <w:rPr>
                <w:sz w:val="20"/>
                <w:szCs w:val="20"/>
              </w:rPr>
              <w:t>Autogenous</w:t>
            </w:r>
            <w:proofErr w:type="spellEnd"/>
            <w:r w:rsidRPr="0020560C">
              <w:rPr>
                <w:sz w:val="20"/>
                <w:szCs w:val="20"/>
              </w:rPr>
              <w:t xml:space="preserve"> ICBG (n = 402)</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RCT (open surgery):</w:t>
            </w:r>
          </w:p>
          <w:p w:rsidR="0020560C" w:rsidRPr="0020560C" w:rsidRDefault="0020560C" w:rsidP="0046104C">
            <w:pPr>
              <w:rPr>
                <w:sz w:val="20"/>
                <w:szCs w:val="20"/>
              </w:rPr>
            </w:pPr>
            <w:r w:rsidRPr="0020560C">
              <w:rPr>
                <w:sz w:val="20"/>
                <w:szCs w:val="20"/>
              </w:rPr>
              <w:t>rhBMP-2: n = 143</w:t>
            </w:r>
          </w:p>
          <w:p w:rsidR="0020560C" w:rsidRPr="0020560C" w:rsidRDefault="0020560C" w:rsidP="0046104C">
            <w:pPr>
              <w:rPr>
                <w:sz w:val="20"/>
                <w:szCs w:val="20"/>
              </w:rPr>
            </w:pPr>
            <w:r w:rsidRPr="0020560C">
              <w:rPr>
                <w:sz w:val="20"/>
                <w:szCs w:val="20"/>
              </w:rPr>
              <w:t>ICBG: n = 136</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Nonrandomized trials (laparoscopic surgery):</w:t>
            </w:r>
          </w:p>
          <w:p w:rsidR="0020560C" w:rsidRPr="0020560C" w:rsidRDefault="0020560C" w:rsidP="0046104C">
            <w:pPr>
              <w:rPr>
                <w:sz w:val="20"/>
                <w:szCs w:val="20"/>
              </w:rPr>
            </w:pPr>
            <w:r w:rsidRPr="0020560C">
              <w:rPr>
                <w:sz w:val="20"/>
                <w:szCs w:val="20"/>
              </w:rPr>
              <w:t>rhBMP-2: n = 134</w:t>
            </w:r>
          </w:p>
          <w:p w:rsidR="0020560C" w:rsidRPr="0020560C" w:rsidRDefault="0020560C" w:rsidP="0046104C">
            <w:pPr>
              <w:rPr>
                <w:sz w:val="20"/>
                <w:szCs w:val="20"/>
              </w:rPr>
            </w:pPr>
            <w:r w:rsidRPr="0020560C">
              <w:rPr>
                <w:sz w:val="20"/>
                <w:szCs w:val="20"/>
              </w:rPr>
              <w:t>ICBG: n = 266</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Mean age (range)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rhBMP-2: 42.9 years</w:t>
            </w:r>
          </w:p>
          <w:p w:rsidR="0020560C" w:rsidRPr="0020560C" w:rsidRDefault="0020560C" w:rsidP="0046104C">
            <w:pPr>
              <w:rPr>
                <w:sz w:val="20"/>
                <w:szCs w:val="20"/>
              </w:rPr>
            </w:pPr>
            <w:r w:rsidRPr="0020560C">
              <w:rPr>
                <w:sz w:val="20"/>
                <w:szCs w:val="20"/>
              </w:rPr>
              <w:t>ICBG: 40.8 years</w:t>
            </w:r>
          </w:p>
          <w:p w:rsidR="0020560C" w:rsidRPr="0020560C" w:rsidRDefault="0020560C" w:rsidP="0046104C">
            <w:pPr>
              <w:rPr>
                <w:sz w:val="20"/>
                <w:szCs w:val="20"/>
              </w:rPr>
            </w:pPr>
            <w:r w:rsidRPr="0020560C">
              <w:rPr>
                <w:sz w:val="20"/>
                <w:szCs w:val="20"/>
              </w:rPr>
              <w:t>Age difference was statistically significant and thus adjusted for by covariate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Sex (% female)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Operating time, productivity loss (return-to-work)</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Complications used in model</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Secondary surgery (revision, removal, supplemental fixation, reoperations)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Timeframe of outcomes included </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 of study</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organization</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NR</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lastRenderedPageBreak/>
              <w:t>Cost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Currency (type and year)</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Euro</w:t>
            </w:r>
            <w:r w:rsidRPr="0020560C">
              <w:rPr>
                <w:rFonts w:cs="AdvTT5843c571"/>
                <w:sz w:val="20"/>
                <w:szCs w:val="20"/>
              </w:rPr>
              <w:t>€</w:t>
            </w:r>
            <w:r w:rsidRPr="0020560C">
              <w:rPr>
                <w:sz w:val="20"/>
                <w:szCs w:val="20"/>
              </w:rPr>
              <w:t xml:space="preserve"> (2008)</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UK costs in £ have been converted into € using an exchange rate of 0.79 £/€ (18 April 2008).</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 source(s)</w:t>
            </w:r>
          </w:p>
        </w:tc>
        <w:tc>
          <w:tcPr>
            <w:tcW w:w="6840" w:type="dxa"/>
            <w:shd w:val="clear" w:color="auto" w:fill="FFFFFF" w:themeFill="background1"/>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Procedure costs: </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ICBG: country specific costs of single-level spinal fusion </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rhBMP-2: country specific of rhBMP-2 added to ICBG cost to determine total initial treatment cost in rhBMP-2 patients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Operating room: NR</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Secondary surgery (revision, removal, supplemental fixation, reoperation): for each type of secondary surgery, respective costs determined by 2008 tariffs for each country</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Productivity loss: Country specific daily costs for productivity loss were estimated using national average gross wages per hour including employer-paid benefits; the estimated wage assumed an 8-h working day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Costs included in analysis</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Initial treatment, OR, secondary surgery, productivity loss (return-to-work)</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costs included</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Discount rate</w:t>
            </w:r>
          </w:p>
        </w:tc>
        <w:tc>
          <w:tcPr>
            <w:tcW w:w="6840" w:type="dxa"/>
            <w:shd w:val="clear" w:color="auto" w:fill="FFFFFF" w:themeFill="background1"/>
          </w:tcPr>
          <w:p w:rsidR="0020560C" w:rsidRPr="0020560C" w:rsidRDefault="0020560C" w:rsidP="0046104C">
            <w:pPr>
              <w:rPr>
                <w:sz w:val="20"/>
                <w:szCs w:val="20"/>
              </w:rPr>
            </w:pPr>
            <w:r w:rsidRPr="0020560C">
              <w:rPr>
                <w:sz w:val="20"/>
                <w:szCs w:val="20"/>
              </w:rPr>
              <w:t>NR</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Utilities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w:t>
            </w:r>
          </w:p>
        </w:tc>
        <w:tc>
          <w:tcPr>
            <w:tcW w:w="6840" w:type="dxa"/>
          </w:tcPr>
          <w:p w:rsidR="0020560C" w:rsidRPr="0020560C" w:rsidRDefault="0020560C" w:rsidP="0046104C">
            <w:pPr>
              <w:rPr>
                <w:sz w:val="20"/>
                <w:szCs w:val="20"/>
              </w:rPr>
            </w:pPr>
            <w:r w:rsidRPr="0020560C">
              <w:rPr>
                <w:sz w:val="20"/>
                <w:szCs w:val="20"/>
              </w:rPr>
              <w:t>None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6840" w:type="dxa"/>
          </w:tcPr>
          <w:p w:rsidR="0020560C" w:rsidRPr="0020560C" w:rsidRDefault="0020560C" w:rsidP="0046104C">
            <w:pPr>
              <w:rPr>
                <w:rFonts w:cs="Syntax-Roman"/>
                <w:sz w:val="20"/>
                <w:szCs w:val="20"/>
              </w:rPr>
            </w:pPr>
            <w:r w:rsidRPr="0020560C">
              <w:rPr>
                <w:rFonts w:cs="Syntax-Roman"/>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utility measurements</w:t>
            </w:r>
          </w:p>
        </w:tc>
        <w:tc>
          <w:tcPr>
            <w:tcW w:w="6840" w:type="dxa"/>
          </w:tcPr>
          <w:p w:rsidR="0020560C" w:rsidRPr="0020560C" w:rsidRDefault="0020560C" w:rsidP="0046104C">
            <w:pPr>
              <w:rPr>
                <w:rFonts w:cs="Syntax-Roman"/>
                <w:sz w:val="20"/>
                <w:szCs w:val="20"/>
              </w:rPr>
            </w:pPr>
            <w:r w:rsidRPr="0020560C">
              <w:rPr>
                <w:rFonts w:cs="Syntax-Roman"/>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6840" w:type="dxa"/>
          </w:tcPr>
          <w:p w:rsidR="0020560C" w:rsidRPr="0020560C" w:rsidRDefault="0020560C" w:rsidP="0046104C">
            <w:pPr>
              <w:rPr>
                <w:rFonts w:cs="Syntax-Roman"/>
                <w:sz w:val="20"/>
                <w:szCs w:val="20"/>
              </w:rPr>
            </w:pPr>
            <w:r w:rsidRPr="0020560C">
              <w:rPr>
                <w:rFonts w:cs="Syntax-Roman"/>
                <w:sz w:val="20"/>
                <w:szCs w:val="20"/>
              </w:rPr>
              <w:t>N/A</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Sensitivity analysis performed?</w:t>
            </w:r>
          </w:p>
        </w:tc>
        <w:tc>
          <w:tcPr>
            <w:tcW w:w="6840" w:type="dxa"/>
          </w:tcPr>
          <w:p w:rsidR="0020560C" w:rsidRPr="0020560C" w:rsidRDefault="0020560C" w:rsidP="0046104C">
            <w:pPr>
              <w:rPr>
                <w:sz w:val="20"/>
                <w:szCs w:val="20"/>
              </w:rPr>
            </w:pPr>
            <w:r w:rsidRPr="0020560C">
              <w:rPr>
                <w:sz w:val="20"/>
                <w:szCs w:val="20"/>
              </w:rPr>
              <w:t>No</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Goal of sensitivity analysis</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Variables evaluated in sensitivity analysis</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6840" w:type="dxa"/>
          </w:tcPr>
          <w:p w:rsidR="0020560C" w:rsidRPr="0020560C" w:rsidRDefault="0020560C" w:rsidP="0046104C">
            <w:pPr>
              <w:rPr>
                <w:b/>
                <w:sz w:val="20"/>
                <w:szCs w:val="20"/>
              </w:rPr>
            </w:pPr>
            <w:r w:rsidRPr="0020560C">
              <w:rPr>
                <w:b/>
                <w:sz w:val="20"/>
                <w:szCs w:val="20"/>
              </w:rPr>
              <w:t>Germany</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Overall savings with BMP-2 compared to ICBG:  8,483€ per case</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Reduced operating time (0.9 hours, 403€/hour):  363€ </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Reduced need for secondary surgery:  337€</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Revision (difference between ICBG and BMP-2, 1.63%; cost per procedure, 4,173€):  68€</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 xml:space="preserve">Removal (0.3%; 2,113€):  6€ </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Supplemental fixation (0.83%; 6,206€):  52€</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Reoperation (5.07%; 4,173€):  212€</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Average prevented lost productivity (faster return to work, 43 days; average daily wage, 181€):  7,783€ </w:t>
            </w:r>
          </w:p>
          <w:p w:rsidR="0020560C" w:rsidRPr="0020560C" w:rsidRDefault="0020560C" w:rsidP="0046104C">
            <w:pPr>
              <w:rPr>
                <w:sz w:val="20"/>
                <w:szCs w:val="20"/>
              </w:rPr>
            </w:pPr>
          </w:p>
          <w:p w:rsidR="0020560C" w:rsidRPr="0020560C" w:rsidRDefault="0020560C" w:rsidP="0046104C">
            <w:pPr>
              <w:rPr>
                <w:b/>
                <w:sz w:val="20"/>
                <w:szCs w:val="20"/>
              </w:rPr>
            </w:pPr>
            <w:r w:rsidRPr="0020560C">
              <w:rPr>
                <w:b/>
                <w:sz w:val="20"/>
                <w:szCs w:val="20"/>
              </w:rPr>
              <w:t>France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Overall savings with BMP-2 compared to ICBG:  9,191€ per case</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Reduced operating time (0.9 hours, 1,202€/hour):  1,082€ </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Reduced need for secondary surgery:  756€</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Revision (difference between ICBG and BMP-2, 1.63%; cost per procedure, 9,654€):  157€</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 xml:space="preserve">Removal (0.3%; 9,654€):  29€ </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lastRenderedPageBreak/>
              <w:t>Supplemental fixation (0.83%; 9,654€):  80€</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Reoperation (5.07%; 9,654€):  489€</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Average prevented lost productivity (faster return to work, 43 days; average daily wage, 171€):  7,353€ </w:t>
            </w:r>
          </w:p>
          <w:p w:rsidR="0020560C" w:rsidRPr="0020560C" w:rsidRDefault="0020560C" w:rsidP="0046104C">
            <w:pPr>
              <w:rPr>
                <w:sz w:val="20"/>
                <w:szCs w:val="20"/>
              </w:rPr>
            </w:pPr>
          </w:p>
          <w:p w:rsidR="0020560C" w:rsidRPr="0020560C" w:rsidRDefault="0020560C" w:rsidP="0046104C">
            <w:pPr>
              <w:rPr>
                <w:b/>
                <w:sz w:val="20"/>
                <w:szCs w:val="20"/>
              </w:rPr>
            </w:pPr>
            <w:r w:rsidRPr="0020560C">
              <w:rPr>
                <w:b/>
                <w:sz w:val="20"/>
                <w:szCs w:val="20"/>
              </w:rPr>
              <w:t>UK</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Overall savings with BMP-2 compared to ICBG:  8,567€ per case</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Reduced operating time (0.9 hours, 1,221€/hour):  1,099€ </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Reduced need for secondary surgery:  416€</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Revision (difference between ICBG and BMP-2, 1.63%; cost per procedure, 5,315€):  87€</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 xml:space="preserve">Removal (0.3%; 5,315€):  16€ </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Supplemental fixation (0.83%; 5,315€):  44€</w:t>
            </w:r>
          </w:p>
          <w:p w:rsidR="0020560C" w:rsidRPr="0020560C" w:rsidRDefault="0020560C" w:rsidP="0020560C">
            <w:pPr>
              <w:pStyle w:val="ListParagraph"/>
              <w:numPr>
                <w:ilvl w:val="2"/>
                <w:numId w:val="2"/>
              </w:numPr>
              <w:tabs>
                <w:tab w:val="clear" w:pos="2160"/>
              </w:tabs>
              <w:ind w:left="972" w:hanging="180"/>
              <w:rPr>
                <w:sz w:val="20"/>
                <w:szCs w:val="20"/>
              </w:rPr>
            </w:pPr>
            <w:r w:rsidRPr="0020560C">
              <w:rPr>
                <w:sz w:val="20"/>
                <w:szCs w:val="20"/>
              </w:rPr>
              <w:t>Reoperation (5.07%; 5,315€):  269€</w:t>
            </w:r>
          </w:p>
          <w:p w:rsidR="0020560C" w:rsidRPr="0020560C" w:rsidRDefault="0020560C" w:rsidP="0020560C">
            <w:pPr>
              <w:pStyle w:val="ListParagraph"/>
              <w:numPr>
                <w:ilvl w:val="1"/>
                <w:numId w:val="2"/>
              </w:numPr>
              <w:tabs>
                <w:tab w:val="clear" w:pos="1440"/>
              </w:tabs>
              <w:ind w:left="612" w:hanging="270"/>
              <w:rPr>
                <w:sz w:val="20"/>
                <w:szCs w:val="20"/>
              </w:rPr>
            </w:pPr>
            <w:r w:rsidRPr="0020560C">
              <w:rPr>
                <w:sz w:val="20"/>
                <w:szCs w:val="20"/>
              </w:rPr>
              <w:t xml:space="preserve">Average prevented lost productivity (faster return to work, 43 days; average daily wage, 164€):   7,052€ </w:t>
            </w:r>
          </w:p>
          <w:p w:rsidR="0020560C" w:rsidRPr="0020560C" w:rsidRDefault="0020560C" w:rsidP="0046104C">
            <w:pPr>
              <w:rPr>
                <w:sz w:val="20"/>
                <w:szCs w:val="20"/>
              </w:rPr>
            </w:pPr>
          </w:p>
          <w:p w:rsidR="0020560C" w:rsidRPr="0020560C" w:rsidRDefault="0020560C" w:rsidP="0046104C">
            <w:pPr>
              <w:rPr>
                <w:sz w:val="20"/>
                <w:szCs w:val="20"/>
              </w:rPr>
            </w:pPr>
            <w:r w:rsidRPr="0020560C">
              <w:rPr>
                <w:b/>
                <w:sz w:val="20"/>
                <w:szCs w:val="20"/>
              </w:rPr>
              <w:t>→</w:t>
            </w:r>
            <w:r w:rsidRPr="0020560C">
              <w:rPr>
                <w:sz w:val="20"/>
                <w:szCs w:val="20"/>
              </w:rPr>
              <w:t xml:space="preserve"> The savings from productivity gain or productivity loss avoided accounted for 91.7%, 80.0% and 82.3% of the overall savings to the society in Germany, France, and UK, respectively.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Results of sensitivity analysis</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Study conclusion</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In all the three countries, savings offset the upfront price of rhBMP-2, making rhBMP-2 a dominant strategy in ALIF surgery from a societal perspective</w:t>
            </w:r>
          </w:p>
          <w:p w:rsidR="0020560C" w:rsidRPr="0020560C" w:rsidRDefault="0020560C" w:rsidP="0020560C">
            <w:pPr>
              <w:pStyle w:val="ListParagraph"/>
              <w:numPr>
                <w:ilvl w:val="0"/>
                <w:numId w:val="2"/>
              </w:numPr>
              <w:tabs>
                <w:tab w:val="clear" w:pos="720"/>
                <w:tab w:val="num" w:pos="252"/>
              </w:tabs>
              <w:ind w:left="252" w:hanging="180"/>
              <w:rPr>
                <w:sz w:val="20"/>
                <w:szCs w:val="20"/>
              </w:rPr>
            </w:pPr>
            <w:proofErr w:type="gramStart"/>
            <w:r w:rsidRPr="0020560C">
              <w:rPr>
                <w:sz w:val="20"/>
                <w:szCs w:val="20"/>
              </w:rPr>
              <w:t>rhBMP-2</w:t>
            </w:r>
            <w:proofErr w:type="gramEnd"/>
            <w:r w:rsidRPr="0020560C">
              <w:rPr>
                <w:sz w:val="20"/>
                <w:szCs w:val="20"/>
              </w:rPr>
              <w:t xml:space="preserve"> therapy led to better clinical outcome for the patient and net cost savings for the society.</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The savings are mainly achieved by reduced productivity loss due to faster return-to-work time for patients treated with rhBMP-2.</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Comments</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Both direct (costs for index procedures, revision surgeries) and indirect (return-to-work time with productivity loss) costs included</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Difference in length of stay was not included in the cost analysis as the shorter average hospital stay reflects a US specific situation; in general, the current European health care systems require a minimum length of stay for each patient.</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Return-to-work status evaluated has limitations, e.g. not all patients may have been comparable in the nature of the work performed</w:t>
            </w:r>
          </w:p>
        </w:tc>
      </w:tr>
    </w:tbl>
    <w:p w:rsidR="0020560C" w:rsidRPr="0020560C" w:rsidRDefault="0020560C" w:rsidP="0020560C">
      <w:pPr>
        <w:rPr>
          <w:sz w:val="20"/>
          <w:szCs w:val="20"/>
        </w:rPr>
      </w:pPr>
    </w:p>
    <w:p w:rsidR="0020560C" w:rsidRPr="0020560C" w:rsidRDefault="0020560C" w:rsidP="0020560C">
      <w:pPr>
        <w:rPr>
          <w:b/>
          <w:sz w:val="20"/>
          <w:szCs w:val="20"/>
        </w:rPr>
      </w:pPr>
      <w:r w:rsidRPr="0020560C">
        <w:rPr>
          <w:b/>
          <w:sz w:val="20"/>
          <w:szCs w:val="20"/>
        </w:rPr>
        <w:br w:type="page"/>
      </w:r>
    </w:p>
    <w:p w:rsidR="0020560C" w:rsidRPr="0020560C" w:rsidRDefault="008E6F7C" w:rsidP="0020560C">
      <w:pPr>
        <w:pStyle w:val="Heading1"/>
        <w:rPr>
          <w:rFonts w:asciiTheme="minorHAnsi" w:hAnsiTheme="minorHAnsi"/>
          <w:color w:val="auto"/>
          <w:sz w:val="20"/>
          <w:szCs w:val="20"/>
        </w:rPr>
      </w:pPr>
      <w:bookmarkStart w:id="9" w:name="_Toc380059794"/>
      <w:r>
        <w:rPr>
          <w:rFonts w:asciiTheme="minorHAnsi" w:hAnsiTheme="minorHAnsi"/>
          <w:color w:val="auto"/>
          <w:sz w:val="20"/>
          <w:szCs w:val="20"/>
        </w:rPr>
        <w:lastRenderedPageBreak/>
        <w:t xml:space="preserve">KQ1: </w:t>
      </w:r>
      <w:r w:rsidR="0020560C" w:rsidRPr="0020560C">
        <w:rPr>
          <w:rFonts w:asciiTheme="minorHAnsi" w:hAnsiTheme="minorHAnsi"/>
          <w:color w:val="auto"/>
          <w:sz w:val="20"/>
          <w:szCs w:val="20"/>
        </w:rPr>
        <w:t>Carreon (2009)</w:t>
      </w:r>
      <w:hyperlink w:anchor="_ENREF_7" w:tooltip="Carreon, 2009 #8" w:history="1">
        <w:r w:rsidR="003E042C">
          <w:rPr>
            <w:rFonts w:asciiTheme="minorHAnsi" w:hAnsiTheme="minorHAnsi"/>
            <w:color w:val="auto"/>
            <w:sz w:val="20"/>
            <w:szCs w:val="20"/>
          </w:rPr>
          <w:fldChar w:fldCharType="begin">
            <w:fldData xml:space="preserve">PEVuZE5vdGU+PENpdGU+PEF1dGhvcj5DYXJyZW9uPC9BdXRob3I+PFllYXI+MjAwOTwvWWVhcj48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</w:fldData>
          </w:fldChar>
        </w:r>
        <w:r w:rsidR="003E042C">
          <w:rPr>
            <w:rFonts w:asciiTheme="minorHAnsi" w:hAnsiTheme="minorHAnsi"/>
            <w:color w:val="auto"/>
            <w:sz w:val="20"/>
            <w:szCs w:val="20"/>
          </w:rPr>
          <w:instrText xml:space="preserve"> ADDIN EN.CITE </w:instrText>
        </w:r>
        <w:r w:rsidR="003E042C">
          <w:rPr>
            <w:rFonts w:asciiTheme="minorHAnsi" w:hAnsiTheme="minorHAnsi"/>
            <w:color w:val="auto"/>
            <w:sz w:val="20"/>
            <w:szCs w:val="20"/>
          </w:rPr>
          <w:fldChar w:fldCharType="begin">
            <w:fldData xml:space="preserve">PEVuZE5vdGU+PENpdGU+PEF1dGhvcj5DYXJyZW9uPC9BdXRob3I+PFllYXI+MjAwOTwvWWVhcj48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</w:fldData>
          </w:fldChar>
        </w:r>
        <w:r w:rsidR="003E042C">
          <w:rPr>
            <w:rFonts w:asciiTheme="minorHAnsi" w:hAnsiTheme="minorHAnsi"/>
            <w:color w:val="auto"/>
            <w:sz w:val="20"/>
            <w:szCs w:val="20"/>
          </w:rPr>
          <w:instrText xml:space="preserve"> ADDIN EN.CITE.DATA </w:instrText>
        </w:r>
        <w:r w:rsidR="003E042C">
          <w:rPr>
            <w:rFonts w:asciiTheme="minorHAnsi" w:hAnsiTheme="minorHAnsi"/>
            <w:color w:val="auto"/>
            <w:sz w:val="20"/>
            <w:szCs w:val="20"/>
          </w:rPr>
        </w:r>
        <w:r w:rsidR="003E042C">
          <w:rPr>
            <w:rFonts w:asciiTheme="minorHAnsi" w:hAnsiTheme="minorHAnsi"/>
            <w:color w:val="auto"/>
            <w:sz w:val="20"/>
            <w:szCs w:val="20"/>
          </w:rPr>
          <w:fldChar w:fldCharType="end"/>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7</w:t>
        </w:r>
        <w:r w:rsidR="003E042C">
          <w:rPr>
            <w:rFonts w:asciiTheme="minorHAnsi" w:hAnsiTheme="minorHAnsi"/>
            <w:color w:val="auto"/>
            <w:sz w:val="20"/>
            <w:szCs w:val="20"/>
          </w:rPr>
          <w:fldChar w:fldCharType="end"/>
        </w:r>
      </w:hyperlink>
      <w:r w:rsidR="0020560C" w:rsidRPr="0020560C">
        <w:rPr>
          <w:rFonts w:asciiTheme="minorHAnsi" w:hAnsiTheme="minorHAnsi"/>
          <w:color w:val="auto"/>
          <w:sz w:val="20"/>
          <w:szCs w:val="20"/>
        </w:rPr>
        <w:t xml:space="preserve"> </w:t>
      </w:r>
      <w:bookmarkEnd w:id="9"/>
    </w:p>
    <w:tbl>
      <w:tblPr>
        <w:tblStyle w:val="TableGrid"/>
        <w:tblW w:w="9738" w:type="dxa"/>
        <w:tblLook w:val="04A0" w:firstRow="1" w:lastRow="0" w:firstColumn="1" w:lastColumn="0" w:noHBand="0" w:noVBand="1"/>
      </w:tblPr>
      <w:tblGrid>
        <w:gridCol w:w="2898"/>
        <w:gridCol w:w="6840"/>
      </w:tblGrid>
      <w:tr w:rsidR="0020560C" w:rsidRPr="0020560C" w:rsidTr="0046104C">
        <w:tc>
          <w:tcPr>
            <w:tcW w:w="2898" w:type="dxa"/>
          </w:tcPr>
          <w:p w:rsidR="0020560C" w:rsidRPr="0020560C" w:rsidRDefault="0020560C" w:rsidP="0046104C">
            <w:pPr>
              <w:rPr>
                <w:b/>
                <w:sz w:val="20"/>
                <w:szCs w:val="20"/>
              </w:rPr>
            </w:pPr>
            <w:r w:rsidRPr="0020560C">
              <w:rPr>
                <w:b/>
                <w:sz w:val="20"/>
                <w:szCs w:val="20"/>
              </w:rPr>
              <w:t>Type of economic evaluation</w:t>
            </w:r>
          </w:p>
        </w:tc>
        <w:tc>
          <w:tcPr>
            <w:tcW w:w="6840" w:type="dxa"/>
          </w:tcPr>
          <w:p w:rsidR="0020560C" w:rsidRPr="0020560C" w:rsidRDefault="0020560C" w:rsidP="0046104C">
            <w:pPr>
              <w:rPr>
                <w:sz w:val="20"/>
                <w:szCs w:val="20"/>
              </w:rPr>
            </w:pPr>
            <w:r w:rsidRPr="0020560C">
              <w:rPr>
                <w:sz w:val="20"/>
                <w:szCs w:val="20"/>
              </w:rPr>
              <w:t>Cost effectiveness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w:t>
            </w:r>
          </w:p>
        </w:tc>
        <w:tc>
          <w:tcPr>
            <w:tcW w:w="6840" w:type="dxa"/>
            <w:shd w:val="clear" w:color="auto" w:fill="auto"/>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Funding</w:t>
            </w:r>
          </w:p>
        </w:tc>
        <w:tc>
          <w:tcPr>
            <w:tcW w:w="6840" w:type="dxa"/>
            <w:shd w:val="clear" w:color="auto" w:fill="auto"/>
          </w:tcPr>
          <w:p w:rsidR="0020560C" w:rsidRPr="0020560C" w:rsidRDefault="0020560C" w:rsidP="0046104C">
            <w:pPr>
              <w:rPr>
                <w:sz w:val="20"/>
                <w:szCs w:val="20"/>
              </w:rPr>
            </w:pPr>
            <w:r w:rsidRPr="0020560C">
              <w:rPr>
                <w:sz w:val="20"/>
                <w:szCs w:val="20"/>
              </w:rPr>
              <w:t>Corporate/industry funds received; Supported by a grant from Norton Healthcare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QHES</w:t>
            </w:r>
          </w:p>
        </w:tc>
        <w:tc>
          <w:tcPr>
            <w:tcW w:w="6840" w:type="dxa"/>
            <w:shd w:val="clear" w:color="auto" w:fill="auto"/>
          </w:tcPr>
          <w:p w:rsidR="0020560C" w:rsidRPr="0020560C" w:rsidRDefault="0053588E" w:rsidP="0046104C">
            <w:pPr>
              <w:rPr>
                <w:sz w:val="20"/>
                <w:szCs w:val="20"/>
              </w:rPr>
            </w:pPr>
            <w:r>
              <w:rPr>
                <w:sz w:val="20"/>
                <w:szCs w:val="20"/>
              </w:rPr>
              <w:t>71/100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Objective</w:t>
            </w:r>
          </w:p>
        </w:tc>
        <w:tc>
          <w:tcPr>
            <w:tcW w:w="6840" w:type="dxa"/>
            <w:shd w:val="clear" w:color="auto" w:fill="auto"/>
          </w:tcPr>
          <w:p w:rsidR="0020560C" w:rsidRPr="0020560C" w:rsidRDefault="0020560C" w:rsidP="0046104C">
            <w:pPr>
              <w:rPr>
                <w:sz w:val="20"/>
                <w:szCs w:val="20"/>
              </w:rPr>
            </w:pPr>
            <w:r w:rsidRPr="0020560C">
              <w:rPr>
                <w:sz w:val="20"/>
                <w:szCs w:val="20"/>
              </w:rPr>
              <w:t xml:space="preserve">To perform a cost-utility analysis using actual cost data from a randomized clinical trial of patients over 60 years old who underwent </w:t>
            </w:r>
            <w:proofErr w:type="spellStart"/>
            <w:r w:rsidRPr="0020560C">
              <w:rPr>
                <w:sz w:val="20"/>
                <w:szCs w:val="20"/>
              </w:rPr>
              <w:t>posterolateral</w:t>
            </w:r>
            <w:proofErr w:type="spellEnd"/>
            <w:r w:rsidRPr="0020560C">
              <w:rPr>
                <w:sz w:val="20"/>
                <w:szCs w:val="20"/>
              </w:rPr>
              <w:t xml:space="preserve"> fusion using either rhBMP-2/ACS or iliac crest bone graft (ICBG).</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Model type</w:t>
            </w:r>
          </w:p>
        </w:tc>
        <w:tc>
          <w:tcPr>
            <w:tcW w:w="6840" w:type="dxa"/>
            <w:shd w:val="clear" w:color="auto" w:fill="auto"/>
          </w:tcPr>
          <w:p w:rsidR="0020560C" w:rsidRPr="0020560C" w:rsidRDefault="0020560C" w:rsidP="0046104C">
            <w:pPr>
              <w:rPr>
                <w:sz w:val="20"/>
                <w:szCs w:val="20"/>
              </w:rPr>
            </w:pPr>
            <w:r w:rsidRPr="0020560C">
              <w:rPr>
                <w:sz w:val="20"/>
                <w:szCs w:val="20"/>
              </w:rPr>
              <w:t>D</w:t>
            </w:r>
            <w:r w:rsidRPr="0020560C">
              <w:rPr>
                <w:rFonts w:cs="Syntax-Roman"/>
                <w:sz w:val="20"/>
                <w:szCs w:val="20"/>
              </w:rPr>
              <w:t>ecision tree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Analytic perspective</w:t>
            </w:r>
          </w:p>
        </w:tc>
        <w:tc>
          <w:tcPr>
            <w:tcW w:w="6840" w:type="dxa"/>
            <w:shd w:val="clear" w:color="auto" w:fill="auto"/>
          </w:tcPr>
          <w:p w:rsidR="0020560C" w:rsidRPr="0020560C" w:rsidRDefault="0020560C" w:rsidP="0046104C">
            <w:pPr>
              <w:rPr>
                <w:sz w:val="20"/>
                <w:szCs w:val="20"/>
              </w:rPr>
            </w:pPr>
            <w:r w:rsidRPr="0020560C">
              <w:rPr>
                <w:sz w:val="20"/>
                <w:szCs w:val="20"/>
              </w:rPr>
              <w:t>Healthcare system</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 horizon</w:t>
            </w:r>
          </w:p>
        </w:tc>
        <w:tc>
          <w:tcPr>
            <w:tcW w:w="6840" w:type="dxa"/>
            <w:shd w:val="clear" w:color="auto" w:fill="auto"/>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Outcome(s) reported</w:t>
            </w:r>
          </w:p>
        </w:tc>
        <w:tc>
          <w:tcPr>
            <w:tcW w:w="6840" w:type="dxa"/>
            <w:shd w:val="clear" w:color="auto" w:fill="auto"/>
          </w:tcPr>
          <w:p w:rsidR="0020560C" w:rsidRPr="0020560C" w:rsidRDefault="0020560C" w:rsidP="0046104C">
            <w:pPr>
              <w:rPr>
                <w:sz w:val="20"/>
                <w:szCs w:val="20"/>
              </w:rPr>
            </w:pPr>
            <w:r w:rsidRPr="0020560C">
              <w:rPr>
                <w:sz w:val="20"/>
                <w:szCs w:val="20"/>
              </w:rPr>
              <w:t>Cost (improved utility) at 2 years follow-up</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Data source(s) (CoE of data source)</w:t>
            </w:r>
          </w:p>
        </w:tc>
        <w:tc>
          <w:tcPr>
            <w:tcW w:w="6840" w:type="dxa"/>
            <w:shd w:val="clear" w:color="auto" w:fill="auto"/>
          </w:tcPr>
          <w:p w:rsidR="0020560C" w:rsidRPr="0020560C" w:rsidRDefault="0020560C" w:rsidP="0046104C">
            <w:pPr>
              <w:rPr>
                <w:sz w:val="20"/>
                <w:szCs w:val="20"/>
              </w:rPr>
            </w:pPr>
            <w:r w:rsidRPr="0020560C">
              <w:rPr>
                <w:sz w:val="20"/>
                <w:szCs w:val="20"/>
              </w:rPr>
              <w:t>RCT (single)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6840" w:type="dxa"/>
            <w:shd w:val="clear" w:color="auto" w:fill="auto"/>
          </w:tcPr>
          <w:p w:rsidR="0020560C" w:rsidRPr="0020560C" w:rsidRDefault="0020560C" w:rsidP="0046104C">
            <w:pPr>
              <w:rPr>
                <w:sz w:val="20"/>
                <w:szCs w:val="20"/>
              </w:rPr>
            </w:pPr>
            <w:r w:rsidRPr="0020560C">
              <w:rPr>
                <w:sz w:val="20"/>
                <w:szCs w:val="20"/>
              </w:rPr>
              <w:t xml:space="preserve">N = 106 </w:t>
            </w:r>
          </w:p>
          <w:p w:rsidR="0020560C" w:rsidRPr="0020560C" w:rsidRDefault="0020560C" w:rsidP="0046104C">
            <w:pPr>
              <w:rPr>
                <w:sz w:val="20"/>
                <w:szCs w:val="20"/>
              </w:rPr>
            </w:pPr>
            <w:r w:rsidRPr="0020560C">
              <w:rPr>
                <w:sz w:val="20"/>
                <w:szCs w:val="20"/>
              </w:rPr>
              <w:t>(96.2%, N = 102/106)</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Diagnosis</w:t>
            </w:r>
          </w:p>
        </w:tc>
        <w:tc>
          <w:tcPr>
            <w:tcW w:w="6840" w:type="dxa"/>
            <w:shd w:val="clear" w:color="auto" w:fill="auto"/>
          </w:tcPr>
          <w:p w:rsidR="0020560C" w:rsidRPr="0020560C" w:rsidRDefault="0020560C" w:rsidP="0046104C">
            <w:pPr>
              <w:rPr>
                <w:sz w:val="20"/>
                <w:szCs w:val="20"/>
              </w:rPr>
            </w:pPr>
            <w:r w:rsidRPr="0020560C">
              <w:rPr>
                <w:sz w:val="20"/>
                <w:szCs w:val="20"/>
              </w:rPr>
              <w:t>Stenosis, spondylolisthesis, adjacent level fusion, disc pathology, deformity, instability, post-decompression revision (first 3 diagnoses most common)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Interventions being compared</w:t>
            </w:r>
          </w:p>
        </w:tc>
        <w:tc>
          <w:tcPr>
            <w:tcW w:w="6840" w:type="dxa"/>
            <w:shd w:val="clear" w:color="auto" w:fill="auto"/>
          </w:tcPr>
          <w:p w:rsidR="0020560C" w:rsidRPr="0020560C" w:rsidRDefault="0020560C" w:rsidP="0046104C">
            <w:pPr>
              <w:rPr>
                <w:sz w:val="20"/>
                <w:szCs w:val="20"/>
              </w:rPr>
            </w:pPr>
            <w:r w:rsidRPr="0020560C">
              <w:rPr>
                <w:sz w:val="20"/>
                <w:szCs w:val="20"/>
              </w:rPr>
              <w:t xml:space="preserve">Single or multi-level decompression and instrumented </w:t>
            </w:r>
            <w:proofErr w:type="spellStart"/>
            <w:r w:rsidRPr="0020560C">
              <w:rPr>
                <w:sz w:val="20"/>
                <w:szCs w:val="20"/>
              </w:rPr>
              <w:t>posterolateral</w:t>
            </w:r>
            <w:proofErr w:type="spellEnd"/>
            <w:r w:rsidRPr="0020560C">
              <w:rPr>
                <w:sz w:val="20"/>
                <w:szCs w:val="20"/>
              </w:rPr>
              <w:t xml:space="preserve"> fusion with:</w:t>
            </w:r>
          </w:p>
          <w:p w:rsidR="0020560C" w:rsidRPr="0020560C" w:rsidRDefault="0020560C" w:rsidP="0046104C">
            <w:pPr>
              <w:rPr>
                <w:sz w:val="20"/>
                <w:szCs w:val="20"/>
              </w:rPr>
            </w:pPr>
            <w:r w:rsidRPr="0020560C">
              <w:rPr>
                <w:sz w:val="20"/>
                <w:szCs w:val="20"/>
              </w:rPr>
              <w:t>rhBMP-2/ACS (N = 50)</w:t>
            </w:r>
          </w:p>
          <w:p w:rsidR="0020560C" w:rsidRPr="0020560C" w:rsidRDefault="0020560C" w:rsidP="0046104C">
            <w:pPr>
              <w:rPr>
                <w:sz w:val="20"/>
                <w:szCs w:val="20"/>
              </w:rPr>
            </w:pPr>
            <w:r w:rsidRPr="0020560C">
              <w:rPr>
                <w:sz w:val="20"/>
                <w:szCs w:val="20"/>
              </w:rPr>
              <w:t>ICBG (N = 52)</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Mean age (range)</w:t>
            </w:r>
          </w:p>
        </w:tc>
        <w:tc>
          <w:tcPr>
            <w:tcW w:w="6840" w:type="dxa"/>
            <w:shd w:val="clear" w:color="auto" w:fill="auto"/>
          </w:tcPr>
          <w:p w:rsidR="0020560C" w:rsidRPr="0020560C" w:rsidRDefault="0020560C" w:rsidP="0046104C">
            <w:pPr>
              <w:rPr>
                <w:sz w:val="20"/>
                <w:szCs w:val="20"/>
              </w:rPr>
            </w:pPr>
            <w:r w:rsidRPr="0020560C">
              <w:rPr>
                <w:sz w:val="20"/>
                <w:szCs w:val="20"/>
              </w:rPr>
              <w:t>rhBMP-2/ACS:  69.2 ± 5.5 years (range NR)</w:t>
            </w:r>
          </w:p>
          <w:p w:rsidR="0020560C" w:rsidRPr="0020560C" w:rsidRDefault="0020560C" w:rsidP="0046104C">
            <w:pPr>
              <w:rPr>
                <w:sz w:val="20"/>
                <w:szCs w:val="20"/>
              </w:rPr>
            </w:pPr>
            <w:r w:rsidRPr="0020560C">
              <w:rPr>
                <w:sz w:val="20"/>
                <w:szCs w:val="20"/>
              </w:rPr>
              <w:t>ICBG:  69.9 ± 5.8 years (range 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Sex (% female)</w:t>
            </w:r>
          </w:p>
        </w:tc>
        <w:tc>
          <w:tcPr>
            <w:tcW w:w="6840" w:type="dxa"/>
            <w:shd w:val="clear" w:color="auto" w:fill="auto"/>
          </w:tcPr>
          <w:p w:rsidR="0020560C" w:rsidRPr="0020560C" w:rsidRDefault="0020560C" w:rsidP="0046104C">
            <w:pPr>
              <w:rPr>
                <w:sz w:val="20"/>
                <w:szCs w:val="20"/>
              </w:rPr>
            </w:pPr>
            <w:r w:rsidRPr="0020560C">
              <w:rPr>
                <w:sz w:val="20"/>
                <w:szCs w:val="20"/>
              </w:rPr>
              <w:t>rhBMP-2/ACS:  70.0%</w:t>
            </w:r>
          </w:p>
          <w:p w:rsidR="0020560C" w:rsidRPr="0020560C" w:rsidRDefault="0020560C" w:rsidP="0046104C">
            <w:pPr>
              <w:rPr>
                <w:sz w:val="20"/>
                <w:szCs w:val="20"/>
              </w:rPr>
            </w:pPr>
            <w:r w:rsidRPr="0020560C">
              <w:rPr>
                <w:sz w:val="20"/>
                <w:szCs w:val="20"/>
              </w:rPr>
              <w:t>ICBG:  67.3%</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6840" w:type="dxa"/>
            <w:shd w:val="clear" w:color="auto" w:fill="auto"/>
          </w:tcPr>
          <w:p w:rsidR="0020560C" w:rsidRPr="0020560C" w:rsidRDefault="0020560C" w:rsidP="0046104C">
            <w:pPr>
              <w:rPr>
                <w:sz w:val="20"/>
                <w:szCs w:val="20"/>
              </w:rPr>
            </w:pPr>
            <w:r w:rsidRPr="0020560C">
              <w:rPr>
                <w:sz w:val="20"/>
                <w:szCs w:val="20"/>
              </w:rPr>
              <w:t xml:space="preserve">Outcome measures included insofar as they affect cost: </w:t>
            </w:r>
          </w:p>
          <w:p w:rsidR="0020560C" w:rsidRPr="0020560C" w:rsidRDefault="0020560C" w:rsidP="0020560C">
            <w:pPr>
              <w:pStyle w:val="ListParagraph"/>
              <w:numPr>
                <w:ilvl w:val="0"/>
                <w:numId w:val="5"/>
              </w:numPr>
              <w:rPr>
                <w:sz w:val="20"/>
                <w:szCs w:val="20"/>
              </w:rPr>
            </w:pPr>
            <w:r w:rsidRPr="0020560C">
              <w:rPr>
                <w:sz w:val="20"/>
                <w:szCs w:val="20"/>
              </w:rPr>
              <w:t>whether patient was “better” (how this was defined was not clear)</w:t>
            </w:r>
          </w:p>
          <w:p w:rsidR="0020560C" w:rsidRPr="0020560C" w:rsidRDefault="0020560C" w:rsidP="0046104C">
            <w:pPr>
              <w:tabs>
                <w:tab w:val="num" w:pos="720"/>
              </w:tabs>
              <w:rPr>
                <w:sz w:val="20"/>
                <w:szCs w:val="20"/>
              </w:rPr>
            </w:pPr>
          </w:p>
          <w:p w:rsidR="0020560C" w:rsidRPr="0020560C" w:rsidRDefault="0020560C" w:rsidP="0046104C">
            <w:pPr>
              <w:rPr>
                <w:sz w:val="20"/>
                <w:szCs w:val="20"/>
              </w:rPr>
            </w:pPr>
            <w:r w:rsidRPr="0020560C">
              <w:rPr>
                <w:sz w:val="20"/>
                <w:szCs w:val="20"/>
              </w:rPr>
              <w:t>SF-36 scores used to determine utility values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Complications used in model </w:t>
            </w:r>
          </w:p>
        </w:tc>
        <w:tc>
          <w:tcPr>
            <w:tcW w:w="6840" w:type="dxa"/>
            <w:shd w:val="clear" w:color="auto" w:fill="auto"/>
          </w:tcPr>
          <w:p w:rsidR="0020560C" w:rsidRPr="0020560C" w:rsidRDefault="0020560C" w:rsidP="0046104C">
            <w:pPr>
              <w:rPr>
                <w:sz w:val="20"/>
                <w:szCs w:val="20"/>
              </w:rPr>
            </w:pPr>
            <w:r w:rsidRPr="0020560C">
              <w:rPr>
                <w:sz w:val="20"/>
                <w:szCs w:val="20"/>
              </w:rPr>
              <w:t>Complications included insofar as they affect cost:</w:t>
            </w:r>
          </w:p>
          <w:p w:rsidR="0020560C" w:rsidRPr="0020560C" w:rsidRDefault="0020560C" w:rsidP="0046104C">
            <w:pPr>
              <w:rPr>
                <w:sz w:val="20"/>
                <w:szCs w:val="20"/>
              </w:rPr>
            </w:pPr>
            <w:r w:rsidRPr="0020560C">
              <w:rPr>
                <w:sz w:val="20"/>
                <w:szCs w:val="20"/>
              </w:rPr>
              <w:t>Cardiac, wound infection, gastrointestinal, urinary, neurologic deficit, other (toe fracture, shingles, IV line sepsis), persistent symptoms requiring additional interventions, nonunion on CT scan, revision surgery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Timeframe of outcomes included </w:t>
            </w:r>
          </w:p>
        </w:tc>
        <w:tc>
          <w:tcPr>
            <w:tcW w:w="6840" w:type="dxa"/>
            <w:shd w:val="clear" w:color="auto" w:fill="auto"/>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 of study</w:t>
            </w:r>
          </w:p>
        </w:tc>
        <w:tc>
          <w:tcPr>
            <w:tcW w:w="6840" w:type="dxa"/>
            <w:shd w:val="clear" w:color="auto" w:fill="auto"/>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organization</w:t>
            </w:r>
          </w:p>
        </w:tc>
        <w:tc>
          <w:tcPr>
            <w:tcW w:w="6840" w:type="dxa"/>
            <w:shd w:val="clear" w:color="auto" w:fill="auto"/>
          </w:tcPr>
          <w:p w:rsidR="0020560C" w:rsidRPr="0020560C" w:rsidRDefault="0020560C" w:rsidP="0046104C">
            <w:pPr>
              <w:rPr>
                <w:sz w:val="20"/>
                <w:szCs w:val="20"/>
              </w:rPr>
            </w:pPr>
            <w:r w:rsidRPr="0020560C">
              <w:rPr>
                <w:sz w:val="20"/>
                <w:szCs w:val="20"/>
              </w:rPr>
              <w:t>Spine specialty clinic</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Costs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Currency (type and year)</w:t>
            </w:r>
          </w:p>
        </w:tc>
        <w:tc>
          <w:tcPr>
            <w:tcW w:w="6840" w:type="dxa"/>
            <w:shd w:val="clear" w:color="auto" w:fill="auto"/>
          </w:tcPr>
          <w:p w:rsidR="0020560C" w:rsidRPr="0020560C" w:rsidRDefault="0020560C" w:rsidP="0046104C">
            <w:pPr>
              <w:rPr>
                <w:sz w:val="20"/>
                <w:szCs w:val="20"/>
              </w:rPr>
            </w:pPr>
            <w:r w:rsidRPr="0020560C">
              <w:rPr>
                <w:sz w:val="20"/>
                <w:szCs w:val="20"/>
              </w:rPr>
              <w:t>US$ (year 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 source(s)</w:t>
            </w:r>
          </w:p>
        </w:tc>
        <w:tc>
          <w:tcPr>
            <w:tcW w:w="6840" w:type="dxa"/>
            <w:shd w:val="clear" w:color="auto" w:fill="auto"/>
          </w:tcPr>
          <w:p w:rsidR="0020560C" w:rsidRPr="0020560C" w:rsidRDefault="0020560C" w:rsidP="0046104C">
            <w:pPr>
              <w:rPr>
                <w:sz w:val="20"/>
                <w:szCs w:val="20"/>
              </w:rPr>
            </w:pPr>
            <w:r w:rsidRPr="0020560C">
              <w:rPr>
                <w:sz w:val="20"/>
                <w:szCs w:val="20"/>
              </w:rPr>
              <w:t>Direct costs (coder funded by Norton Healthcare; Medicare</w:t>
            </w:r>
            <w:r w:rsidRPr="0020560C">
              <w:rPr>
                <w:rFonts w:cs="Sabon-Roman"/>
                <w:sz w:val="20"/>
                <w:szCs w:val="20"/>
              </w:rPr>
              <w:t xml:space="preserve"> </w:t>
            </w:r>
            <w:r w:rsidRPr="0020560C">
              <w:rPr>
                <w:sz w:val="20"/>
                <w:szCs w:val="20"/>
              </w:rPr>
              <w:t>fee schedule</w:t>
            </w:r>
          </w:p>
          <w:p w:rsidR="0020560C" w:rsidRPr="0020560C" w:rsidRDefault="0020560C" w:rsidP="0046104C">
            <w:pPr>
              <w:rPr>
                <w:sz w:val="20"/>
                <w:szCs w:val="20"/>
              </w:rPr>
            </w:pPr>
            <w:r w:rsidRPr="0020560C">
              <w:rPr>
                <w:sz w:val="20"/>
                <w:szCs w:val="20"/>
              </w:rPr>
              <w:t>was used to assign cost or reimbursement for payments that could not be determined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Costs included in analysis</w:t>
            </w:r>
          </w:p>
        </w:tc>
        <w:tc>
          <w:tcPr>
            <w:tcW w:w="6840" w:type="dxa"/>
            <w:shd w:val="clear" w:color="auto" w:fill="auto"/>
          </w:tcPr>
          <w:p w:rsidR="0020560C" w:rsidRPr="0020560C" w:rsidRDefault="0020560C" w:rsidP="0046104C">
            <w:pPr>
              <w:rPr>
                <w:sz w:val="20"/>
                <w:szCs w:val="20"/>
              </w:rPr>
            </w:pPr>
            <w:r w:rsidRPr="0020560C">
              <w:rPr>
                <w:sz w:val="20"/>
                <w:szCs w:val="20"/>
              </w:rPr>
              <w:t>Note that analysis based on costs (rather than charges), and included actual reimbursements for all available hospital and physician components.</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Costs used in analysis: Total costs; inpatient hospital costs (operating room costs, implant costs, hospital level of service (ICU/TCU/floor), therapist visits, pharmacy costs, and radiology costs); inpatient physician services; outpatient facility costs (inpatient rehabilitation costs and any post-discharge emergency room visits</w:t>
            </w:r>
          </w:p>
          <w:p w:rsidR="0020560C" w:rsidRPr="0020560C" w:rsidRDefault="0020560C" w:rsidP="0046104C">
            <w:pPr>
              <w:rPr>
                <w:sz w:val="20"/>
                <w:szCs w:val="20"/>
              </w:rPr>
            </w:pPr>
            <w:r w:rsidRPr="0020560C">
              <w:rPr>
                <w:sz w:val="20"/>
                <w:szCs w:val="20"/>
              </w:rPr>
              <w:t>or readmissions); outpatient physician services; total payer expenditure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Timeframe of costs included</w:t>
            </w:r>
          </w:p>
        </w:tc>
        <w:tc>
          <w:tcPr>
            <w:tcW w:w="6840" w:type="dxa"/>
            <w:shd w:val="clear" w:color="auto" w:fill="auto"/>
          </w:tcPr>
          <w:p w:rsidR="0020560C" w:rsidRPr="0020560C" w:rsidRDefault="0020560C" w:rsidP="0046104C">
            <w:pPr>
              <w:rPr>
                <w:sz w:val="20"/>
                <w:szCs w:val="20"/>
              </w:rPr>
            </w:pPr>
            <w:r w:rsidRPr="0020560C">
              <w:rPr>
                <w:sz w:val="20"/>
                <w:szCs w:val="20"/>
              </w:rPr>
              <w:t>In-hospital up to 2 years post-surgery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Discount rate</w:t>
            </w:r>
          </w:p>
        </w:tc>
        <w:tc>
          <w:tcPr>
            <w:tcW w:w="6840" w:type="dxa"/>
            <w:shd w:val="clear" w:color="auto" w:fill="auto"/>
          </w:tcPr>
          <w:p w:rsidR="0020560C" w:rsidRPr="0020560C" w:rsidRDefault="0020560C" w:rsidP="0046104C">
            <w:pPr>
              <w:rPr>
                <w:sz w:val="20"/>
                <w:szCs w:val="20"/>
              </w:rPr>
            </w:pPr>
            <w:r w:rsidRPr="0020560C">
              <w:rPr>
                <w:sz w:val="20"/>
                <w:szCs w:val="20"/>
              </w:rPr>
              <w:t>Costs not discounted (authors cite 2-year study period as reason)</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w:t>
            </w:r>
          </w:p>
        </w:tc>
        <w:tc>
          <w:tcPr>
            <w:tcW w:w="6840" w:type="dxa"/>
            <w:shd w:val="clear" w:color="auto" w:fill="auto"/>
          </w:tcPr>
          <w:p w:rsidR="0020560C" w:rsidRPr="0020560C" w:rsidRDefault="0020560C" w:rsidP="0046104C">
            <w:pPr>
              <w:rPr>
                <w:sz w:val="20"/>
                <w:szCs w:val="20"/>
              </w:rPr>
            </w:pPr>
            <w:r w:rsidRPr="0020560C">
              <w:rPr>
                <w:rFonts w:cs="Syntax-Roman"/>
                <w:sz w:val="20"/>
                <w:szCs w:val="20"/>
              </w:rPr>
              <w:t xml:space="preserve">SF-36/ SF-6D  (Brazier method, which </w:t>
            </w:r>
            <w:r w:rsidRPr="0020560C">
              <w:rPr>
                <w:sz w:val="20"/>
                <w:szCs w:val="20"/>
              </w:rPr>
              <w:t>estimates utility via SF-6D classification system, which consists of 6 health dimensions</w:t>
            </w:r>
            <w:r w:rsidRPr="0020560C">
              <w:rPr>
                <w:rFonts w:cs="Syntax-Roman"/>
                <w:sz w:val="20"/>
                <w:szCs w:val="20"/>
              </w:rPr>
              <w:t>)</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6840" w:type="dxa"/>
            <w:shd w:val="clear" w:color="auto" w:fill="auto"/>
          </w:tcPr>
          <w:p w:rsidR="0020560C" w:rsidRPr="0020560C" w:rsidRDefault="0020560C" w:rsidP="0046104C">
            <w:pPr>
              <w:rPr>
                <w:rFonts w:cs="Syntax-Roman"/>
                <w:sz w:val="20"/>
                <w:szCs w:val="20"/>
              </w:rPr>
            </w:pPr>
            <w:r w:rsidRPr="0020560C">
              <w:rPr>
                <w:rFonts w:cs="Syntax-Roman"/>
                <w:sz w:val="20"/>
                <w:szCs w:val="20"/>
              </w:rPr>
              <w:t xml:space="preserve">General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utility measurements</w:t>
            </w:r>
          </w:p>
        </w:tc>
        <w:tc>
          <w:tcPr>
            <w:tcW w:w="6840" w:type="dxa"/>
            <w:shd w:val="clear" w:color="auto" w:fill="auto"/>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6840" w:type="dxa"/>
            <w:shd w:val="clear" w:color="auto" w:fill="auto"/>
          </w:tcPr>
          <w:p w:rsidR="0020560C" w:rsidRPr="0020560C" w:rsidRDefault="0020560C" w:rsidP="0046104C">
            <w:pPr>
              <w:rPr>
                <w:sz w:val="20"/>
                <w:szCs w:val="20"/>
              </w:rPr>
            </w:pPr>
            <w:r w:rsidRPr="0020560C">
              <w:rPr>
                <w:sz w:val="20"/>
                <w:szCs w:val="20"/>
              </w:rPr>
              <w:t>Same RCT used for clinical data</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Sensitivity analysis performed?</w:t>
            </w:r>
          </w:p>
        </w:tc>
        <w:tc>
          <w:tcPr>
            <w:tcW w:w="6840" w:type="dxa"/>
            <w:shd w:val="clear" w:color="auto" w:fill="auto"/>
          </w:tcPr>
          <w:p w:rsidR="0020560C" w:rsidRPr="0020560C" w:rsidRDefault="0020560C" w:rsidP="0046104C">
            <w:pPr>
              <w:rPr>
                <w:sz w:val="20"/>
                <w:szCs w:val="20"/>
              </w:rPr>
            </w:pPr>
            <w:r w:rsidRPr="0020560C">
              <w:rPr>
                <w:sz w:val="20"/>
                <w:szCs w:val="20"/>
              </w:rPr>
              <w:t>No</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sensitivity analysis</w:t>
            </w:r>
          </w:p>
        </w:tc>
        <w:tc>
          <w:tcPr>
            <w:tcW w:w="6840" w:type="dxa"/>
            <w:shd w:val="clear" w:color="auto" w:fill="auto"/>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Variables evaluated in sensitivity analysis</w:t>
            </w:r>
          </w:p>
        </w:tc>
        <w:tc>
          <w:tcPr>
            <w:tcW w:w="6840" w:type="dxa"/>
            <w:shd w:val="clear" w:color="auto" w:fill="auto"/>
          </w:tcPr>
          <w:p w:rsidR="0020560C" w:rsidRPr="0020560C" w:rsidRDefault="0020560C" w:rsidP="0046104C">
            <w:pPr>
              <w:rPr>
                <w:sz w:val="20"/>
                <w:szCs w:val="20"/>
              </w:rPr>
            </w:pPr>
            <w:r w:rsidRPr="0020560C">
              <w:rPr>
                <w:sz w:val="20"/>
                <w:szCs w:val="20"/>
              </w:rPr>
              <w:t>N/A</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6840" w:type="dxa"/>
          </w:tcPr>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b/>
                <w:sz w:val="20"/>
                <w:szCs w:val="20"/>
              </w:rPr>
              <w:t>Total cost (mean improvement in SF-6D) (2 years)</w:t>
            </w:r>
            <w:r w:rsidRPr="0020560C">
              <w:rPr>
                <w:sz w:val="20"/>
                <w:szCs w:val="20"/>
              </w:rPr>
              <w:t xml:space="preserve"> (per patient) (excludes costs of complications and additional spine treatments) </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rhBMP-2/ACS: $39, 967 (0.11)</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ICBG: $42,286 (0.10)</w:t>
            </w:r>
          </w:p>
          <w:p w:rsidR="0020560C" w:rsidRPr="0020560C" w:rsidRDefault="0020560C" w:rsidP="0020560C">
            <w:pPr>
              <w:numPr>
                <w:ilvl w:val="1"/>
                <w:numId w:val="2"/>
              </w:numPr>
              <w:tabs>
                <w:tab w:val="clear" w:pos="1440"/>
                <w:tab w:val="num" w:pos="252"/>
                <w:tab w:val="num" w:pos="342"/>
                <w:tab w:val="num" w:pos="612"/>
              </w:tabs>
              <w:ind w:hanging="1008"/>
              <w:rPr>
                <w:sz w:val="20"/>
                <w:szCs w:val="20"/>
              </w:rPr>
            </w:pPr>
            <w:r w:rsidRPr="0020560C">
              <w:rPr>
                <w:sz w:val="20"/>
                <w:szCs w:val="20"/>
              </w:rPr>
              <w:t>Difference = $2319 (0.01)</w:t>
            </w:r>
          </w:p>
          <w:p w:rsidR="0020560C" w:rsidRPr="0020560C" w:rsidRDefault="0020560C" w:rsidP="0046104C">
            <w:pPr>
              <w:tabs>
                <w:tab w:val="num" w:pos="612"/>
              </w:tabs>
              <w:ind w:left="1440"/>
              <w:rPr>
                <w:sz w:val="20"/>
                <w:szCs w:val="20"/>
              </w:rPr>
            </w:pP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Maximum cumulative mean cost (and utility) if complications require additional treatment and revision</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rhBMP-2/ACS:  $100,164 (0.08)</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ICBG:  $97, 868 (0.05)</w:t>
            </w:r>
          </w:p>
          <w:p w:rsidR="0020560C" w:rsidRPr="0020560C" w:rsidRDefault="0020560C" w:rsidP="0020560C">
            <w:pPr>
              <w:numPr>
                <w:ilvl w:val="1"/>
                <w:numId w:val="2"/>
              </w:numPr>
              <w:tabs>
                <w:tab w:val="clear" w:pos="1440"/>
                <w:tab w:val="num" w:pos="-108"/>
                <w:tab w:val="num" w:pos="252"/>
                <w:tab w:val="num" w:pos="342"/>
                <w:tab w:val="num" w:pos="612"/>
              </w:tabs>
              <w:ind w:hanging="1008"/>
              <w:rPr>
                <w:sz w:val="20"/>
                <w:szCs w:val="20"/>
              </w:rPr>
            </w:pPr>
            <w:r w:rsidRPr="0020560C">
              <w:rPr>
                <w:sz w:val="20"/>
                <w:szCs w:val="20"/>
              </w:rPr>
              <w:t>Difference = $2296 (0.03)</w:t>
            </w:r>
          </w:p>
          <w:p w:rsidR="0020560C" w:rsidRPr="0020560C" w:rsidRDefault="0020560C" w:rsidP="0046104C">
            <w:pPr>
              <w:rPr>
                <w:sz w:val="20"/>
                <w:szCs w:val="20"/>
              </w:rPr>
            </w:pPr>
          </w:p>
          <w:p w:rsidR="0020560C" w:rsidRPr="0020560C" w:rsidRDefault="0020560C" w:rsidP="0046104C">
            <w:pPr>
              <w:rPr>
                <w:b/>
                <w:sz w:val="20"/>
                <w:szCs w:val="20"/>
              </w:rPr>
            </w:pPr>
            <w:r w:rsidRPr="0020560C">
              <w:rPr>
                <w:b/>
                <w:sz w:val="20"/>
                <w:szCs w:val="20"/>
              </w:rPr>
              <w:t>Costs reported, mean (range)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Treatment (total 2 year cost) (excludes complications and additional spine treatment costs)</w:t>
            </w:r>
          </w:p>
          <w:p w:rsidR="0020560C" w:rsidRPr="0020560C" w:rsidRDefault="0020560C" w:rsidP="0020560C">
            <w:pPr>
              <w:numPr>
                <w:ilvl w:val="1"/>
                <w:numId w:val="2"/>
              </w:numPr>
              <w:tabs>
                <w:tab w:val="clear" w:pos="1440"/>
                <w:tab w:val="num" w:pos="252"/>
                <w:tab w:val="num" w:pos="612"/>
              </w:tabs>
              <w:ind w:hanging="1008"/>
              <w:rPr>
                <w:sz w:val="20"/>
                <w:szCs w:val="20"/>
              </w:rPr>
            </w:pPr>
            <w:r w:rsidRPr="0020560C">
              <w:rPr>
                <w:sz w:val="20"/>
                <w:szCs w:val="20"/>
              </w:rPr>
              <w:t>rhBMP-2/ACS:  $36,530 ($21,955–$109,027)</w:t>
            </w:r>
          </w:p>
          <w:p w:rsidR="0020560C" w:rsidRPr="0020560C" w:rsidRDefault="0020560C" w:rsidP="0020560C">
            <w:pPr>
              <w:numPr>
                <w:ilvl w:val="1"/>
                <w:numId w:val="2"/>
              </w:numPr>
              <w:tabs>
                <w:tab w:val="clear" w:pos="1440"/>
                <w:tab w:val="num" w:pos="252"/>
                <w:tab w:val="num" w:pos="612"/>
              </w:tabs>
              <w:ind w:hanging="1008"/>
              <w:rPr>
                <w:sz w:val="20"/>
                <w:szCs w:val="20"/>
              </w:rPr>
            </w:pPr>
            <w:r w:rsidRPr="0020560C">
              <w:rPr>
                <w:sz w:val="20"/>
                <w:szCs w:val="20"/>
              </w:rPr>
              <w:t>ICBG:  $34,235 ($19,988–$139,583</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Major complications: $10,888 ($2367–$47,289)</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Additional treatment for spine-related events: $5892 ($1137–$10,279)</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Revision surgery for nonunion: $46,852 ($19,408–$97,242)</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Results of sensitivity analysis</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Study conclusion</w:t>
            </w:r>
          </w:p>
        </w:tc>
        <w:tc>
          <w:tcPr>
            <w:tcW w:w="6840" w:type="dxa"/>
          </w:tcPr>
          <w:p w:rsidR="0020560C" w:rsidRPr="0020560C" w:rsidRDefault="0020560C" w:rsidP="0020560C">
            <w:pPr>
              <w:pStyle w:val="ListParagraph"/>
              <w:numPr>
                <w:ilvl w:val="0"/>
                <w:numId w:val="6"/>
              </w:numPr>
              <w:ind w:left="252" w:hanging="180"/>
              <w:rPr>
                <w:sz w:val="20"/>
                <w:szCs w:val="20"/>
              </w:rPr>
            </w:pPr>
            <w:r w:rsidRPr="0020560C">
              <w:rPr>
                <w:sz w:val="20"/>
                <w:szCs w:val="20"/>
              </w:rPr>
              <w:t xml:space="preserve">In patients over 60 years of age, </w:t>
            </w:r>
            <w:proofErr w:type="spellStart"/>
            <w:r w:rsidRPr="0020560C">
              <w:rPr>
                <w:sz w:val="20"/>
                <w:szCs w:val="20"/>
              </w:rPr>
              <w:t>posterolateral</w:t>
            </w:r>
            <w:proofErr w:type="spellEnd"/>
            <w:r w:rsidRPr="0020560C">
              <w:rPr>
                <w:sz w:val="20"/>
                <w:szCs w:val="20"/>
              </w:rPr>
              <w:t xml:space="preserve"> fusion with rhBMP-2/ACS was more cost-effective than that with ICBG.</w:t>
            </w:r>
          </w:p>
          <w:p w:rsidR="0020560C" w:rsidRPr="0020560C" w:rsidRDefault="0020560C" w:rsidP="0046104C">
            <w:pPr>
              <w:ind w:left="252" w:hanging="180"/>
              <w:rPr>
                <w:sz w:val="20"/>
                <w:szCs w:val="20"/>
              </w:rPr>
            </w:pPr>
          </w:p>
          <w:p w:rsidR="0020560C" w:rsidRPr="0020560C" w:rsidRDefault="0020560C" w:rsidP="0020560C">
            <w:pPr>
              <w:pStyle w:val="ListParagraph"/>
              <w:numPr>
                <w:ilvl w:val="0"/>
                <w:numId w:val="6"/>
              </w:numPr>
              <w:ind w:left="252" w:hanging="180"/>
              <w:rPr>
                <w:sz w:val="20"/>
                <w:szCs w:val="20"/>
              </w:rPr>
            </w:pPr>
            <w:r w:rsidRPr="0020560C">
              <w:rPr>
                <w:sz w:val="20"/>
                <w:szCs w:val="20"/>
              </w:rPr>
              <w:t>Patients who received ICBG had more complications, increased need for additional treatment and revision surgery compared with rhBMP-2/ACS. This may account for higher costs and lower improvements in utility seen in patients receiving ICBG compared with rhBMP-2/ACS in this study population.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Comments</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Assumption: single payer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Small sample size – potentially influences observed complication rates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Only patients &gt; 60 years included (limits external validity)</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Does not include direct non-health costs (e.g. travel to and from healthcare provider, hiring of care-takers) and indirect costs (e.g. time off work)</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Short-term follow-up (2 years)</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lastRenderedPageBreak/>
              <w:t>RCT not specifically designed as a cost-effectiveness study</w:t>
            </w:r>
          </w:p>
        </w:tc>
      </w:tr>
    </w:tbl>
    <w:p w:rsidR="0020560C" w:rsidRPr="0020560C" w:rsidRDefault="0020560C" w:rsidP="0020560C">
      <w:pPr>
        <w:rPr>
          <w:sz w:val="20"/>
          <w:szCs w:val="20"/>
        </w:rPr>
      </w:pPr>
    </w:p>
    <w:p w:rsidR="0020560C" w:rsidRPr="0020560C" w:rsidRDefault="0020560C" w:rsidP="0020560C">
      <w:pPr>
        <w:rPr>
          <w:b/>
          <w:sz w:val="20"/>
          <w:szCs w:val="20"/>
        </w:rPr>
      </w:pPr>
      <w:r w:rsidRPr="0020560C">
        <w:rPr>
          <w:b/>
          <w:sz w:val="20"/>
          <w:szCs w:val="20"/>
        </w:rPr>
        <w:br w:type="page"/>
      </w:r>
    </w:p>
    <w:p w:rsidR="0020560C" w:rsidRPr="0020560C" w:rsidRDefault="008E6F7C" w:rsidP="0020560C">
      <w:pPr>
        <w:pStyle w:val="Heading1"/>
        <w:rPr>
          <w:rFonts w:asciiTheme="minorHAnsi" w:hAnsiTheme="minorHAnsi"/>
          <w:color w:val="auto"/>
          <w:sz w:val="20"/>
          <w:szCs w:val="20"/>
        </w:rPr>
      </w:pPr>
      <w:bookmarkStart w:id="10" w:name="_Toc380059795"/>
      <w:r>
        <w:rPr>
          <w:rFonts w:asciiTheme="minorHAnsi" w:hAnsiTheme="minorHAnsi"/>
          <w:color w:val="auto"/>
          <w:sz w:val="20"/>
          <w:szCs w:val="20"/>
        </w:rPr>
        <w:lastRenderedPageBreak/>
        <w:t xml:space="preserve">KQ1: </w:t>
      </w:r>
      <w:r w:rsidR="0020560C" w:rsidRPr="0020560C">
        <w:rPr>
          <w:rFonts w:asciiTheme="minorHAnsi" w:hAnsiTheme="minorHAnsi"/>
          <w:color w:val="auto"/>
          <w:sz w:val="20"/>
          <w:szCs w:val="20"/>
        </w:rPr>
        <w:t>Garrison, National Health Services (NHS) HTA (2007)</w:t>
      </w:r>
      <w:bookmarkEnd w:id="10"/>
      <w:r w:rsidR="003E042C">
        <w:rPr>
          <w:rFonts w:asciiTheme="minorHAnsi" w:hAnsiTheme="minorHAnsi"/>
          <w:color w:val="auto"/>
          <w:sz w:val="20"/>
          <w:szCs w:val="20"/>
        </w:rPr>
        <w:fldChar w:fldCharType="begin"/>
      </w:r>
      <w:r w:rsidR="003E042C">
        <w:rPr>
          <w:rFonts w:asciiTheme="minorHAnsi" w:hAnsiTheme="minorHAnsi"/>
          <w:color w:val="auto"/>
          <w:sz w:val="20"/>
          <w:szCs w:val="20"/>
        </w:rPr>
        <w:instrText xml:space="preserve"> HYPERLINK \l "_ENREF_8" \o "Garrison, 2007 #22" </w:instrText>
      </w:r>
      <w:r w:rsidR="003E042C">
        <w:rPr>
          <w:rFonts w:asciiTheme="minorHAnsi" w:hAnsiTheme="minorHAnsi"/>
          <w:color w:val="auto"/>
          <w:sz w:val="20"/>
          <w:szCs w:val="20"/>
        </w:rPr>
      </w:r>
      <w:r w:rsidR="003E042C">
        <w:rPr>
          <w:rFonts w:asciiTheme="minorHAnsi" w:hAnsiTheme="minorHAnsi"/>
          <w:color w:val="auto"/>
          <w:sz w:val="20"/>
          <w:szCs w:val="20"/>
        </w:rPr>
        <w:fldChar w:fldCharType="separate"/>
      </w:r>
      <w:r w:rsidR="003E042C">
        <w:rPr>
          <w:rFonts w:asciiTheme="minorHAnsi" w:hAnsiTheme="minorHAnsi"/>
          <w:color w:val="auto"/>
          <w:sz w:val="20"/>
          <w:szCs w:val="20"/>
        </w:rPr>
        <w:fldChar w:fldCharType="begin"/>
      </w:r>
      <w:r w:rsidR="003E042C">
        <w:rPr>
          <w:rFonts w:asciiTheme="minorHAnsi" w:hAnsiTheme="minorHAnsi"/>
          <w:color w:val="auto"/>
          <w:sz w:val="20"/>
          <w:szCs w:val="20"/>
        </w:rPr>
        <w:instrText xml:space="preserve"> ADDIN EN.CITE &lt;EndNote&gt;&lt;Cite&gt;&lt;Author&gt;Garrison&lt;/Author&gt;&lt;Year&gt;2007&lt;/Year&gt;&lt;RecNum&gt;22&lt;/RecNum&gt;&lt;DisplayText&gt;&lt;style face="superscript"&gt;8&lt;/style&gt;&lt;/DisplayText&gt;&lt;record&gt;&lt;rec-number&gt;22&lt;/rec-number&gt;&lt;foreign-keys&gt;&lt;key app="EN" db-id="dz55d55s2zf2rie9tzlvv22e0wa55fxftz2w"&gt;22&lt;/key&gt;&lt;/foreign-keys&gt;&lt;ref-type name="Journal Article"&gt;17&lt;/ref-type&gt;&lt;contributors&gt;&lt;authors&gt;&lt;author&gt;Garrison, K. R.&lt;/author&gt;&lt;author&gt;Donell, S.&lt;/author&gt;&lt;author&gt;Ryder, J.&lt;/author&gt;&lt;author&gt;Shemilt, I.&lt;/author&gt;&lt;author&gt;Mugford, M.&lt;/author&gt;&lt;author&gt;Harvey, I.&lt;/author&gt;&lt;author&gt;Song, F.&lt;/author&gt;&lt;/authors&gt;&lt;/contributors&gt;&lt;auth-address&gt;School of Medicine, Health Policy and Practice, University of East Anglia, Norwich, UK.&lt;/auth-address&gt;&lt;titles&gt;&lt;title&gt;Clinical effectiveness and cost-effectiveness of bone morphogenetic proteins in the non-healing of fractures and spinal fusion: a systematic review&lt;/title&gt;&lt;secondary-title&gt;Health Technol Assess&lt;/secondary-title&gt;&lt;/titles&gt;&lt;periodical&gt;&lt;full-title&gt;Health Technol Assess&lt;/full-title&gt;&lt;/periodical&gt;&lt;pages&gt;1-150, iii-iv&lt;/pages&gt;&lt;volume&gt;11&lt;/volume&gt;&lt;number&gt;30&lt;/number&gt;&lt;edition&gt;2007/08/03&lt;/edition&gt;&lt;keywords&gt;&lt;keyword&gt;Bone Morphogenetic Proteins/*therapeutic use&lt;/keyword&gt;&lt;keyword&gt;Cost-Benefit Analysis&lt;/keyword&gt;&lt;keyword&gt;Data Interpretation, Statistical&lt;/keyword&gt;&lt;keyword&gt;Fracture Healing/drug effects/*physiology&lt;/keyword&gt;&lt;keyword&gt;Fractures, Bone/genetics/*therapy&lt;/keyword&gt;&lt;keyword&gt;Humans&lt;/keyword&gt;&lt;keyword&gt;Randomized Controlled Trials as Topic&lt;/keyword&gt;&lt;keyword&gt;*Spinal Fusion&lt;/keyword&gt;&lt;keyword&gt;*Treatment Outcome&lt;/keyword&gt;&lt;/keywords&gt;&lt;dates&gt;&lt;year&gt;2007&lt;/year&gt;&lt;pub-dates&gt;&lt;date&gt;Aug&lt;/date&gt;&lt;/pub-dates&gt;&lt;/dates&gt;&lt;isbn&gt;1366-5278 (Print)&amp;#xD;1366-5278 (Linking)&lt;/isbn&gt;&lt;accession-num&gt;17669279&lt;/accession-num&gt;&lt;urls&gt;&lt;related-urls&gt;&lt;url&gt;http://www.ncbi.nlm.nih.gov/entrez/query.fcgi?cmd=Retrieve&amp;amp;db=PubMed&amp;amp;dopt=Citation&amp;amp;list_uids=17669279&lt;/url&gt;&lt;/related-urls&gt;&lt;/urls&gt;&lt;electronic-resource-num&gt;04/34/02 [pii]&lt;/electronic-resource-num&gt;&lt;language&gt;eng&lt;/language&gt;&lt;/record&gt;&lt;/Cite&gt;&lt;/EndNote&gt;</w:instrText>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8</w:t>
      </w:r>
      <w:r w:rsidR="003E042C">
        <w:rPr>
          <w:rFonts w:asciiTheme="minorHAnsi" w:hAnsiTheme="minorHAnsi"/>
          <w:color w:val="auto"/>
          <w:sz w:val="20"/>
          <w:szCs w:val="20"/>
        </w:rPr>
        <w:fldChar w:fldCharType="end"/>
      </w:r>
      <w:r w:rsidR="003E042C">
        <w:rPr>
          <w:rFonts w:asciiTheme="minorHAnsi" w:hAnsiTheme="minorHAnsi"/>
          <w:color w:val="auto"/>
          <w:sz w:val="20"/>
          <w:szCs w:val="20"/>
        </w:rPr>
        <w:fldChar w:fldCharType="end"/>
      </w:r>
    </w:p>
    <w:tbl>
      <w:tblPr>
        <w:tblStyle w:val="TableGrid"/>
        <w:tblW w:w="10098" w:type="dxa"/>
        <w:tblLook w:val="04A0" w:firstRow="1" w:lastRow="0" w:firstColumn="1" w:lastColumn="0" w:noHBand="0" w:noVBand="1"/>
      </w:tblPr>
      <w:tblGrid>
        <w:gridCol w:w="2898"/>
        <w:gridCol w:w="3600"/>
        <w:gridCol w:w="3600"/>
      </w:tblGrid>
      <w:tr w:rsidR="0020560C" w:rsidRPr="0020560C" w:rsidTr="0046104C">
        <w:tc>
          <w:tcPr>
            <w:tcW w:w="2898" w:type="dxa"/>
          </w:tcPr>
          <w:p w:rsidR="0020560C" w:rsidRPr="0020560C" w:rsidRDefault="0020560C" w:rsidP="0046104C">
            <w:pPr>
              <w:rPr>
                <w:b/>
                <w:sz w:val="20"/>
                <w:szCs w:val="20"/>
              </w:rPr>
            </w:pPr>
          </w:p>
        </w:tc>
        <w:tc>
          <w:tcPr>
            <w:tcW w:w="3600" w:type="dxa"/>
            <w:shd w:val="clear" w:color="auto" w:fill="BFBFBF" w:themeFill="background1" w:themeFillShade="BF"/>
          </w:tcPr>
          <w:p w:rsidR="0020560C" w:rsidRPr="0020560C" w:rsidRDefault="0020560C" w:rsidP="0046104C">
            <w:pPr>
              <w:rPr>
                <w:b/>
                <w:sz w:val="20"/>
                <w:szCs w:val="20"/>
              </w:rPr>
            </w:pPr>
            <w:r w:rsidRPr="0020560C">
              <w:rPr>
                <w:b/>
                <w:sz w:val="20"/>
                <w:szCs w:val="20"/>
              </w:rPr>
              <w:t xml:space="preserve">Original ABACUS model (2005/2006) </w:t>
            </w:r>
          </w:p>
        </w:tc>
        <w:tc>
          <w:tcPr>
            <w:tcW w:w="3600" w:type="dxa"/>
            <w:shd w:val="clear" w:color="auto" w:fill="BFBFBF" w:themeFill="background1" w:themeFillShade="BF"/>
          </w:tcPr>
          <w:p w:rsidR="0020560C" w:rsidRPr="0020560C" w:rsidRDefault="0020560C" w:rsidP="0046104C">
            <w:pPr>
              <w:rPr>
                <w:b/>
                <w:sz w:val="20"/>
                <w:szCs w:val="20"/>
              </w:rPr>
            </w:pPr>
            <w:r w:rsidRPr="0020560C">
              <w:rPr>
                <w:b/>
                <w:sz w:val="20"/>
                <w:szCs w:val="20"/>
              </w:rPr>
              <w:t>Modified ABACUS model</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economic evaluation</w:t>
            </w:r>
          </w:p>
        </w:tc>
        <w:tc>
          <w:tcPr>
            <w:tcW w:w="3600" w:type="dxa"/>
          </w:tcPr>
          <w:p w:rsidR="0020560C" w:rsidRPr="0020560C" w:rsidRDefault="0020560C" w:rsidP="0046104C">
            <w:pPr>
              <w:rPr>
                <w:sz w:val="20"/>
                <w:szCs w:val="20"/>
              </w:rPr>
            </w:pPr>
            <w:r w:rsidRPr="0020560C">
              <w:rPr>
                <w:sz w:val="20"/>
                <w:szCs w:val="20"/>
              </w:rPr>
              <w:t>Cost effectiveness (or just costing?)</w:t>
            </w:r>
          </w:p>
        </w:tc>
        <w:tc>
          <w:tcPr>
            <w:tcW w:w="3600" w:type="dxa"/>
          </w:tcPr>
          <w:p w:rsidR="0020560C" w:rsidRPr="0020560C" w:rsidRDefault="0020560C" w:rsidP="0046104C">
            <w:pPr>
              <w:rPr>
                <w:sz w:val="20"/>
                <w:szCs w:val="20"/>
              </w:rPr>
            </w:pPr>
            <w:r w:rsidRPr="0020560C">
              <w:rPr>
                <w:sz w:val="20"/>
                <w:szCs w:val="20"/>
              </w:rPr>
              <w:t>Cost-utility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w:t>
            </w:r>
          </w:p>
        </w:tc>
        <w:tc>
          <w:tcPr>
            <w:tcW w:w="3600" w:type="dxa"/>
          </w:tcPr>
          <w:p w:rsidR="0020560C" w:rsidRPr="0020560C" w:rsidRDefault="0020560C" w:rsidP="0046104C">
            <w:pPr>
              <w:rPr>
                <w:sz w:val="20"/>
                <w:szCs w:val="20"/>
              </w:rPr>
            </w:pPr>
            <w:r w:rsidRPr="0020560C">
              <w:rPr>
                <w:sz w:val="20"/>
                <w:szCs w:val="20"/>
              </w:rPr>
              <w:t>UK</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Funding</w:t>
            </w:r>
          </w:p>
        </w:tc>
        <w:tc>
          <w:tcPr>
            <w:tcW w:w="3600" w:type="dxa"/>
          </w:tcPr>
          <w:p w:rsidR="0020560C" w:rsidRPr="0020560C" w:rsidRDefault="0020560C" w:rsidP="0046104C">
            <w:pPr>
              <w:rPr>
                <w:sz w:val="20"/>
                <w:szCs w:val="20"/>
              </w:rPr>
            </w:pPr>
            <w:r w:rsidRPr="0020560C">
              <w:rPr>
                <w:sz w:val="20"/>
                <w:szCs w:val="20"/>
              </w:rPr>
              <w:t>ABACUS International sent the NHS (UK) the cost-effectiveness mode (2005). The model was funded by Medtronic.</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 xml:space="preserve">The report was conducted by the Health Technology Assessment (HTA) </w:t>
            </w:r>
            <w:proofErr w:type="spellStart"/>
            <w:r w:rsidRPr="0020560C">
              <w:rPr>
                <w:sz w:val="20"/>
                <w:szCs w:val="20"/>
              </w:rPr>
              <w:t>programme</w:t>
            </w:r>
            <w:proofErr w:type="spellEnd"/>
            <w:r w:rsidRPr="0020560C">
              <w:rPr>
                <w:sz w:val="20"/>
                <w:szCs w:val="20"/>
              </w:rPr>
              <w:t>/National Institute for Health Research (NIHR); one author has been involved in a trial of BMP for Wyeth, otherwise members of the review team have no economic relationship with sponsors</w:t>
            </w:r>
          </w:p>
        </w:tc>
        <w:tc>
          <w:tcPr>
            <w:tcW w:w="3600" w:type="dxa"/>
          </w:tcPr>
          <w:p w:rsidR="0020560C" w:rsidRPr="0020560C" w:rsidRDefault="0020560C" w:rsidP="0046104C">
            <w:pPr>
              <w:rPr>
                <w:sz w:val="20"/>
                <w:szCs w:val="20"/>
              </w:rPr>
            </w:pPr>
            <w:r w:rsidRPr="0020560C">
              <w:rPr>
                <w:sz w:val="20"/>
                <w:szCs w:val="20"/>
              </w:rPr>
              <w:t>Same</w:t>
            </w:r>
          </w:p>
          <w:p w:rsidR="0020560C" w:rsidRPr="0020560C" w:rsidRDefault="0020560C" w:rsidP="0046104C">
            <w:pPr>
              <w:rPr>
                <w:sz w:val="20"/>
                <w:szCs w:val="20"/>
              </w:rPr>
            </w:pPr>
            <w:r w:rsidRPr="0020560C">
              <w:rPr>
                <w:sz w:val="20"/>
                <w:szCs w:val="20"/>
              </w:rPr>
              <w:t>(Modified ABACUS model received in 2006).</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QHES</w:t>
            </w:r>
          </w:p>
        </w:tc>
        <w:tc>
          <w:tcPr>
            <w:tcW w:w="3600" w:type="dxa"/>
          </w:tcPr>
          <w:p w:rsidR="0020560C" w:rsidRPr="0020560C" w:rsidRDefault="0053588E" w:rsidP="0046104C">
            <w:pPr>
              <w:rPr>
                <w:sz w:val="20"/>
                <w:szCs w:val="20"/>
              </w:rPr>
            </w:pPr>
            <w:r>
              <w:rPr>
                <w:sz w:val="20"/>
                <w:szCs w:val="20"/>
              </w:rPr>
              <w:t>n/a</w:t>
            </w:r>
          </w:p>
        </w:tc>
        <w:tc>
          <w:tcPr>
            <w:tcW w:w="3600" w:type="dxa"/>
          </w:tcPr>
          <w:p w:rsidR="0020560C" w:rsidRPr="0020560C" w:rsidRDefault="0053588E" w:rsidP="0046104C">
            <w:pPr>
              <w:rPr>
                <w:sz w:val="20"/>
                <w:szCs w:val="20"/>
              </w:rPr>
            </w:pPr>
            <w:r>
              <w:rPr>
                <w:sz w:val="20"/>
                <w:szCs w:val="20"/>
              </w:rPr>
              <w:t>68/100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Objective</w:t>
            </w:r>
          </w:p>
        </w:tc>
        <w:tc>
          <w:tcPr>
            <w:tcW w:w="3600" w:type="dxa"/>
          </w:tcPr>
          <w:p w:rsidR="0020560C" w:rsidRPr="0020560C" w:rsidRDefault="0020560C" w:rsidP="0046104C">
            <w:pPr>
              <w:rPr>
                <w:sz w:val="20"/>
                <w:szCs w:val="20"/>
              </w:rPr>
            </w:pPr>
            <w:r w:rsidRPr="0020560C">
              <w:rPr>
                <w:sz w:val="20"/>
                <w:szCs w:val="20"/>
              </w:rPr>
              <w:t>To assess the clinical effectiveness and cost-effectiveness of bone morphogenetic protein (BMP) for the treatment of spinal fusions compared with the current standards of care.</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Model type</w:t>
            </w:r>
          </w:p>
        </w:tc>
        <w:tc>
          <w:tcPr>
            <w:tcW w:w="3600" w:type="dxa"/>
          </w:tcPr>
          <w:p w:rsidR="0020560C" w:rsidRPr="0020560C" w:rsidRDefault="0020560C" w:rsidP="0046104C">
            <w:pPr>
              <w:rPr>
                <w:sz w:val="20"/>
                <w:szCs w:val="20"/>
              </w:rPr>
            </w:pPr>
          </w:p>
        </w:tc>
        <w:tc>
          <w:tcPr>
            <w:tcW w:w="3600" w:type="dxa"/>
          </w:tcPr>
          <w:p w:rsidR="0020560C" w:rsidRPr="0020560C" w:rsidRDefault="0020560C" w:rsidP="0046104C">
            <w:pPr>
              <w:rPr>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Analytic perspective</w:t>
            </w:r>
          </w:p>
        </w:tc>
        <w:tc>
          <w:tcPr>
            <w:tcW w:w="3600" w:type="dxa"/>
          </w:tcPr>
          <w:p w:rsidR="0020560C" w:rsidRPr="0020560C" w:rsidRDefault="0020560C" w:rsidP="00547C5E">
            <w:pPr>
              <w:rPr>
                <w:sz w:val="20"/>
                <w:szCs w:val="20"/>
              </w:rPr>
            </w:pPr>
            <w:r w:rsidRPr="0020560C">
              <w:rPr>
                <w:sz w:val="20"/>
                <w:szCs w:val="20"/>
              </w:rPr>
              <w:t xml:space="preserve">NR, but appears to be from </w:t>
            </w:r>
            <w:r w:rsidR="00547C5E">
              <w:rPr>
                <w:sz w:val="20"/>
                <w:szCs w:val="20"/>
              </w:rPr>
              <w:t>payer</w:t>
            </w:r>
            <w:r w:rsidRPr="0020560C">
              <w:rPr>
                <w:sz w:val="20"/>
                <w:szCs w:val="20"/>
              </w:rPr>
              <w:t xml:space="preserve"> perspective</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 horizon</w:t>
            </w:r>
          </w:p>
        </w:tc>
        <w:tc>
          <w:tcPr>
            <w:tcW w:w="3600" w:type="dxa"/>
          </w:tcPr>
          <w:p w:rsidR="0020560C" w:rsidRPr="0020560C" w:rsidRDefault="0020560C" w:rsidP="0046104C">
            <w:pPr>
              <w:rPr>
                <w:sz w:val="20"/>
                <w:szCs w:val="20"/>
              </w:rPr>
            </w:pPr>
            <w:r w:rsidRPr="0020560C">
              <w:rPr>
                <w:sz w:val="20"/>
                <w:szCs w:val="20"/>
              </w:rPr>
              <w:t>2 years</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Outcome(s) reported</w:t>
            </w:r>
          </w:p>
        </w:tc>
        <w:tc>
          <w:tcPr>
            <w:tcW w:w="3600" w:type="dxa"/>
          </w:tcPr>
          <w:p w:rsidR="0020560C" w:rsidRPr="0020560C" w:rsidRDefault="0020560C" w:rsidP="0046104C">
            <w:pPr>
              <w:rPr>
                <w:sz w:val="20"/>
                <w:szCs w:val="20"/>
              </w:rPr>
            </w:pPr>
            <w:r w:rsidRPr="0020560C">
              <w:rPr>
                <w:sz w:val="20"/>
                <w:szCs w:val="20"/>
              </w:rPr>
              <w:t xml:space="preserve">Cost per reduced revision </w:t>
            </w:r>
          </w:p>
        </w:tc>
        <w:tc>
          <w:tcPr>
            <w:tcW w:w="3600" w:type="dxa"/>
          </w:tcPr>
          <w:p w:rsidR="0020560C" w:rsidRPr="0020560C" w:rsidRDefault="0020560C" w:rsidP="0046104C">
            <w:pPr>
              <w:rPr>
                <w:sz w:val="20"/>
                <w:szCs w:val="20"/>
              </w:rPr>
            </w:pPr>
            <w:r w:rsidRPr="0020560C">
              <w:rPr>
                <w:sz w:val="20"/>
                <w:szCs w:val="20"/>
              </w:rPr>
              <w:t>Cost per QALY</w:t>
            </w:r>
          </w:p>
        </w:tc>
      </w:tr>
      <w:tr w:rsidR="0020560C" w:rsidRPr="0020560C" w:rsidTr="0046104C">
        <w:tc>
          <w:tcPr>
            <w:tcW w:w="649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c>
          <w:tcPr>
            <w:tcW w:w="3600" w:type="dxa"/>
            <w:shd w:val="clear" w:color="auto" w:fill="D9D9D9" w:themeFill="background1" w:themeFillShade="D9"/>
          </w:tcPr>
          <w:p w:rsidR="0020560C" w:rsidRPr="0020560C" w:rsidRDefault="0020560C" w:rsidP="0046104C">
            <w:pPr>
              <w:rPr>
                <w:b/>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Data source(s) (CoE of data source)</w:t>
            </w:r>
          </w:p>
        </w:tc>
        <w:tc>
          <w:tcPr>
            <w:tcW w:w="3600" w:type="dxa"/>
          </w:tcPr>
          <w:p w:rsidR="0020560C" w:rsidRPr="0020560C" w:rsidRDefault="0020560C" w:rsidP="0046104C">
            <w:pPr>
              <w:rPr>
                <w:sz w:val="20"/>
                <w:szCs w:val="20"/>
              </w:rPr>
            </w:pPr>
            <w:r w:rsidRPr="0020560C">
              <w:rPr>
                <w:sz w:val="20"/>
                <w:szCs w:val="20"/>
              </w:rPr>
              <w:t xml:space="preserve">Integrated analysis including: </w:t>
            </w:r>
          </w:p>
          <w:p w:rsidR="0020560C" w:rsidRPr="0020560C" w:rsidRDefault="0020560C" w:rsidP="0046104C">
            <w:pPr>
              <w:rPr>
                <w:sz w:val="20"/>
                <w:szCs w:val="20"/>
              </w:rPr>
            </w:pPr>
            <w:r w:rsidRPr="0020560C">
              <w:rPr>
                <w:sz w:val="20"/>
                <w:szCs w:val="20"/>
              </w:rPr>
              <w:t xml:space="preserve">1 published RCT and 2 unpublished nonrandomized studies </w:t>
            </w:r>
          </w:p>
          <w:p w:rsidR="0020560C" w:rsidRPr="0020560C" w:rsidRDefault="0020560C" w:rsidP="0046104C">
            <w:pPr>
              <w:rPr>
                <w:sz w:val="20"/>
                <w:szCs w:val="20"/>
              </w:rPr>
            </w:pPr>
            <w:r w:rsidRPr="0020560C">
              <w:rPr>
                <w:sz w:val="20"/>
                <w:szCs w:val="20"/>
              </w:rPr>
              <w:t>(same data as AHRQ)</w:t>
            </w:r>
          </w:p>
        </w:tc>
        <w:tc>
          <w:tcPr>
            <w:tcW w:w="3600" w:type="dxa"/>
          </w:tcPr>
          <w:p w:rsidR="0020560C" w:rsidRPr="0020560C" w:rsidRDefault="0020560C" w:rsidP="0046104C">
            <w:pPr>
              <w:rPr>
                <w:sz w:val="20"/>
                <w:szCs w:val="20"/>
              </w:rPr>
            </w:pPr>
            <w:r w:rsidRPr="0020560C">
              <w:rPr>
                <w:sz w:val="20"/>
                <w:szCs w:val="20"/>
              </w:rPr>
              <w:t>Single RCT (same data as AHRQ)</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3600" w:type="dxa"/>
          </w:tcPr>
          <w:p w:rsidR="0020560C" w:rsidRPr="0020560C" w:rsidRDefault="0020560C" w:rsidP="0046104C">
            <w:pPr>
              <w:rPr>
                <w:sz w:val="20"/>
                <w:szCs w:val="20"/>
              </w:rPr>
            </w:pPr>
            <w:r w:rsidRPr="0020560C">
              <w:rPr>
                <w:sz w:val="20"/>
                <w:szCs w:val="20"/>
              </w:rPr>
              <w:t xml:space="preserve">N = 679  </w:t>
            </w:r>
          </w:p>
          <w:p w:rsidR="0020560C" w:rsidRPr="0020560C" w:rsidRDefault="0020560C" w:rsidP="0046104C">
            <w:pPr>
              <w:rPr>
                <w:sz w:val="20"/>
                <w:szCs w:val="20"/>
              </w:rPr>
            </w:pPr>
            <w:r w:rsidRPr="0020560C">
              <w:rPr>
                <w:sz w:val="20"/>
                <w:szCs w:val="20"/>
              </w:rPr>
              <w:t>(N = 279 from RCT; N = 400 from nonrandomized studies)</w:t>
            </w:r>
          </w:p>
        </w:tc>
        <w:tc>
          <w:tcPr>
            <w:tcW w:w="3600" w:type="dxa"/>
          </w:tcPr>
          <w:p w:rsidR="0020560C" w:rsidRPr="0020560C" w:rsidRDefault="0020560C" w:rsidP="0046104C">
            <w:pPr>
              <w:rPr>
                <w:sz w:val="20"/>
                <w:szCs w:val="20"/>
              </w:rPr>
            </w:pPr>
            <w:r w:rsidRPr="0020560C">
              <w:rPr>
                <w:sz w:val="20"/>
                <w:szCs w:val="20"/>
              </w:rPr>
              <w:t>N = 279</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Diagnosis</w:t>
            </w:r>
          </w:p>
        </w:tc>
        <w:tc>
          <w:tcPr>
            <w:tcW w:w="3600" w:type="dxa"/>
          </w:tcPr>
          <w:p w:rsidR="0020560C" w:rsidRPr="0020560C" w:rsidRDefault="0020560C" w:rsidP="0046104C">
            <w:pPr>
              <w:rPr>
                <w:sz w:val="20"/>
                <w:szCs w:val="20"/>
              </w:rPr>
            </w:pPr>
            <w:r w:rsidRPr="0020560C">
              <w:rPr>
                <w:sz w:val="20"/>
                <w:szCs w:val="20"/>
              </w:rPr>
              <w:t>NR</w:t>
            </w:r>
          </w:p>
        </w:tc>
        <w:tc>
          <w:tcPr>
            <w:tcW w:w="3600" w:type="dxa"/>
          </w:tcPr>
          <w:p w:rsidR="0020560C" w:rsidRPr="0020560C" w:rsidRDefault="0020560C" w:rsidP="0046104C">
            <w:pPr>
              <w:rPr>
                <w:sz w:val="20"/>
                <w:szCs w:val="20"/>
              </w:rPr>
            </w:pPr>
            <w:r w:rsidRPr="0020560C">
              <w:rPr>
                <w:sz w:val="20"/>
                <w:szCs w:val="20"/>
              </w:rPr>
              <w:t>Single-level DDD and disabling symptoms of ≥ 6 months duration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Interventions being compared</w:t>
            </w:r>
          </w:p>
        </w:tc>
        <w:tc>
          <w:tcPr>
            <w:tcW w:w="3600" w:type="dxa"/>
          </w:tcPr>
          <w:p w:rsidR="0020560C" w:rsidRPr="0020560C" w:rsidRDefault="0020560C" w:rsidP="0046104C">
            <w:pPr>
              <w:rPr>
                <w:sz w:val="20"/>
                <w:szCs w:val="20"/>
              </w:rPr>
            </w:pPr>
            <w:r w:rsidRPr="0020560C">
              <w:rPr>
                <w:sz w:val="20"/>
                <w:szCs w:val="20"/>
              </w:rPr>
              <w:t>Anterior open (RCT) or laparoscopic (cohort studies) spinal fusion using:</w:t>
            </w:r>
          </w:p>
          <w:p w:rsidR="0020560C" w:rsidRPr="0020560C" w:rsidRDefault="0020560C" w:rsidP="0046104C">
            <w:pPr>
              <w:rPr>
                <w:sz w:val="20"/>
                <w:szCs w:val="20"/>
              </w:rPr>
            </w:pPr>
            <w:r w:rsidRPr="0020560C">
              <w:rPr>
                <w:sz w:val="20"/>
                <w:szCs w:val="20"/>
              </w:rPr>
              <w:t>INFUSE (rhBMP-2) (n = NR)</w:t>
            </w:r>
          </w:p>
          <w:p w:rsidR="0020560C" w:rsidRPr="0020560C" w:rsidRDefault="0020560C" w:rsidP="0046104C">
            <w:pPr>
              <w:rPr>
                <w:sz w:val="20"/>
                <w:szCs w:val="20"/>
              </w:rPr>
            </w:pPr>
            <w:proofErr w:type="spellStart"/>
            <w:r w:rsidRPr="0020560C">
              <w:rPr>
                <w:sz w:val="20"/>
                <w:szCs w:val="20"/>
              </w:rPr>
              <w:t>Autogenous</w:t>
            </w:r>
            <w:proofErr w:type="spellEnd"/>
            <w:r w:rsidRPr="0020560C">
              <w:rPr>
                <w:sz w:val="20"/>
                <w:szCs w:val="20"/>
              </w:rPr>
              <w:t xml:space="preserve"> ICBG (n = NR)</w:t>
            </w:r>
          </w:p>
        </w:tc>
        <w:tc>
          <w:tcPr>
            <w:tcW w:w="3600" w:type="dxa"/>
          </w:tcPr>
          <w:p w:rsidR="0020560C" w:rsidRPr="0020560C" w:rsidRDefault="0020560C" w:rsidP="0046104C">
            <w:pPr>
              <w:rPr>
                <w:sz w:val="20"/>
                <w:szCs w:val="20"/>
              </w:rPr>
            </w:pPr>
            <w:r w:rsidRPr="0020560C">
              <w:rPr>
                <w:sz w:val="20"/>
                <w:szCs w:val="20"/>
              </w:rPr>
              <w:t>Single level open ALIF with an LT-Cage device filled with either:</w:t>
            </w:r>
          </w:p>
          <w:p w:rsidR="0020560C" w:rsidRPr="0020560C" w:rsidRDefault="0020560C" w:rsidP="0046104C">
            <w:pPr>
              <w:rPr>
                <w:sz w:val="20"/>
                <w:szCs w:val="20"/>
              </w:rPr>
            </w:pPr>
            <w:r w:rsidRPr="0020560C">
              <w:rPr>
                <w:sz w:val="20"/>
                <w:szCs w:val="20"/>
              </w:rPr>
              <w:t>INFUSE (rhBMP-2) (n = 143)</w:t>
            </w:r>
          </w:p>
          <w:p w:rsidR="0020560C" w:rsidRPr="0020560C" w:rsidRDefault="0020560C" w:rsidP="0046104C">
            <w:pPr>
              <w:rPr>
                <w:sz w:val="20"/>
                <w:szCs w:val="20"/>
              </w:rPr>
            </w:pPr>
            <w:proofErr w:type="spellStart"/>
            <w:r w:rsidRPr="0020560C">
              <w:rPr>
                <w:sz w:val="20"/>
                <w:szCs w:val="20"/>
              </w:rPr>
              <w:t>Autogenous</w:t>
            </w:r>
            <w:proofErr w:type="spellEnd"/>
            <w:r w:rsidRPr="0020560C">
              <w:rPr>
                <w:sz w:val="20"/>
                <w:szCs w:val="20"/>
              </w:rPr>
              <w:t xml:space="preserve"> ICBG (n = 136)</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Mean age (range)</w:t>
            </w:r>
          </w:p>
        </w:tc>
        <w:tc>
          <w:tcPr>
            <w:tcW w:w="3600" w:type="dxa"/>
          </w:tcPr>
          <w:p w:rsidR="0020560C" w:rsidRPr="0020560C" w:rsidRDefault="0020560C" w:rsidP="0046104C">
            <w:pPr>
              <w:rPr>
                <w:sz w:val="20"/>
                <w:szCs w:val="20"/>
              </w:rPr>
            </w:pPr>
            <w:r w:rsidRPr="0020560C">
              <w:rPr>
                <w:sz w:val="20"/>
                <w:szCs w:val="20"/>
              </w:rPr>
              <w:t>NR</w:t>
            </w:r>
          </w:p>
        </w:tc>
        <w:tc>
          <w:tcPr>
            <w:tcW w:w="3600" w:type="dxa"/>
          </w:tcPr>
          <w:p w:rsidR="0020560C" w:rsidRPr="0020560C" w:rsidRDefault="0020560C" w:rsidP="0046104C">
            <w:pPr>
              <w:rPr>
                <w:sz w:val="20"/>
                <w:szCs w:val="20"/>
              </w:rPr>
            </w:pPr>
            <w:r w:rsidRPr="0020560C">
              <w:rPr>
                <w:sz w:val="20"/>
                <w:szCs w:val="20"/>
              </w:rPr>
              <w:t>rhBMP-2: 43 years</w:t>
            </w:r>
          </w:p>
          <w:p w:rsidR="0020560C" w:rsidRPr="0020560C" w:rsidRDefault="0020560C" w:rsidP="0046104C">
            <w:pPr>
              <w:rPr>
                <w:sz w:val="20"/>
                <w:szCs w:val="20"/>
              </w:rPr>
            </w:pPr>
            <w:r w:rsidRPr="0020560C">
              <w:rPr>
                <w:sz w:val="20"/>
                <w:szCs w:val="20"/>
              </w:rPr>
              <w:t>ICBG: 42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Sex (% female)</w:t>
            </w:r>
          </w:p>
        </w:tc>
        <w:tc>
          <w:tcPr>
            <w:tcW w:w="3600" w:type="dxa"/>
          </w:tcPr>
          <w:p w:rsidR="0020560C" w:rsidRPr="0020560C" w:rsidRDefault="0020560C" w:rsidP="0046104C">
            <w:pPr>
              <w:rPr>
                <w:sz w:val="20"/>
                <w:szCs w:val="20"/>
              </w:rPr>
            </w:pPr>
            <w:r w:rsidRPr="0020560C">
              <w:rPr>
                <w:sz w:val="20"/>
                <w:szCs w:val="20"/>
              </w:rPr>
              <w:t>NR</w:t>
            </w:r>
          </w:p>
        </w:tc>
        <w:tc>
          <w:tcPr>
            <w:tcW w:w="3600" w:type="dxa"/>
          </w:tcPr>
          <w:p w:rsidR="0020560C" w:rsidRPr="0020560C" w:rsidRDefault="0020560C" w:rsidP="0046104C">
            <w:pPr>
              <w:rPr>
                <w:sz w:val="20"/>
                <w:szCs w:val="20"/>
              </w:rPr>
            </w:pPr>
            <w:r w:rsidRPr="0020560C">
              <w:rPr>
                <w:sz w:val="20"/>
                <w:szCs w:val="20"/>
              </w:rPr>
              <w:t>rhBMP-2: 46%</w:t>
            </w:r>
          </w:p>
          <w:p w:rsidR="0020560C" w:rsidRPr="0020560C" w:rsidRDefault="0020560C" w:rsidP="0046104C">
            <w:pPr>
              <w:rPr>
                <w:sz w:val="20"/>
                <w:szCs w:val="20"/>
              </w:rPr>
            </w:pPr>
            <w:r w:rsidRPr="0020560C">
              <w:rPr>
                <w:sz w:val="20"/>
                <w:szCs w:val="20"/>
              </w:rPr>
              <w:t>ICBG: 50%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3600" w:type="dxa"/>
          </w:tcPr>
          <w:p w:rsidR="0020560C" w:rsidRPr="0020560C" w:rsidRDefault="0020560C" w:rsidP="0046104C">
            <w:pPr>
              <w:rPr>
                <w:sz w:val="20"/>
                <w:szCs w:val="20"/>
              </w:rPr>
            </w:pPr>
            <w:r w:rsidRPr="0020560C">
              <w:rPr>
                <w:sz w:val="20"/>
                <w:szCs w:val="20"/>
              </w:rPr>
              <w:t>For both open and laparoscopic:</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Surgery parameters (operating time, hospital stay), preoperative work status, postoperative work status, time to return to work, fusion rate</w:t>
            </w:r>
          </w:p>
        </w:tc>
        <w:tc>
          <w:tcPr>
            <w:tcW w:w="3600" w:type="dxa"/>
          </w:tcPr>
          <w:p w:rsidR="0020560C" w:rsidRPr="0020560C" w:rsidRDefault="0020560C" w:rsidP="0046104C">
            <w:pPr>
              <w:rPr>
                <w:sz w:val="20"/>
                <w:szCs w:val="20"/>
              </w:rPr>
            </w:pPr>
            <w:r w:rsidRPr="0020560C">
              <w:rPr>
                <w:sz w:val="20"/>
                <w:szCs w:val="20"/>
              </w:rPr>
              <w:t>Surgery parameters (operating time, hospital stay), re-surgery rates (revision, removal, supplemental fixation, reoperation), time to return to work, fusion rate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Complications used in model</w:t>
            </w:r>
          </w:p>
        </w:tc>
        <w:tc>
          <w:tcPr>
            <w:tcW w:w="3600" w:type="dxa"/>
          </w:tcPr>
          <w:p w:rsidR="0020560C" w:rsidRPr="0020560C" w:rsidRDefault="0020560C" w:rsidP="0046104C">
            <w:pPr>
              <w:rPr>
                <w:sz w:val="20"/>
                <w:szCs w:val="20"/>
              </w:rPr>
            </w:pPr>
            <w:r w:rsidRPr="0020560C">
              <w:rPr>
                <w:sz w:val="20"/>
                <w:szCs w:val="20"/>
              </w:rPr>
              <w:t>For both open and laparoscopic:</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 xml:space="preserve">re-surgery rates (revision, removal, supplemental fixation, reoperation), </w:t>
            </w:r>
          </w:p>
        </w:tc>
        <w:tc>
          <w:tcPr>
            <w:tcW w:w="3600" w:type="dxa"/>
          </w:tcPr>
          <w:p w:rsidR="0020560C" w:rsidRPr="0020560C" w:rsidRDefault="0020560C" w:rsidP="0046104C">
            <w:pPr>
              <w:rPr>
                <w:sz w:val="20"/>
                <w:szCs w:val="20"/>
              </w:rPr>
            </w:pPr>
            <w:r w:rsidRPr="0020560C">
              <w:rPr>
                <w:sz w:val="20"/>
                <w:szCs w:val="20"/>
              </w:rPr>
              <w:lastRenderedPageBreak/>
              <w:t xml:space="preserve">re-surgery rates (revision, removal, </w:t>
            </w:r>
            <w:r w:rsidRPr="0020560C">
              <w:rPr>
                <w:sz w:val="20"/>
                <w:szCs w:val="20"/>
              </w:rPr>
              <w:lastRenderedPageBreak/>
              <w:t>supplemental fixation, reoperation)</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 xml:space="preserve">Timeframe of outcomes included </w:t>
            </w:r>
          </w:p>
        </w:tc>
        <w:tc>
          <w:tcPr>
            <w:tcW w:w="3600" w:type="dxa"/>
          </w:tcPr>
          <w:p w:rsidR="0020560C" w:rsidRPr="0020560C" w:rsidRDefault="0020560C" w:rsidP="0046104C">
            <w:pPr>
              <w:rPr>
                <w:sz w:val="20"/>
                <w:szCs w:val="20"/>
              </w:rPr>
            </w:pPr>
            <w:r w:rsidRPr="0020560C">
              <w:rPr>
                <w:sz w:val="20"/>
                <w:szCs w:val="20"/>
              </w:rPr>
              <w:t>2 years</w:t>
            </w:r>
          </w:p>
        </w:tc>
        <w:tc>
          <w:tcPr>
            <w:tcW w:w="3600" w:type="dxa"/>
          </w:tcPr>
          <w:p w:rsidR="0020560C" w:rsidRPr="0020560C" w:rsidRDefault="0020560C" w:rsidP="0046104C">
            <w:pPr>
              <w:rPr>
                <w:sz w:val="20"/>
                <w:szCs w:val="20"/>
              </w:rPr>
            </w:pPr>
            <w:r w:rsidRPr="0020560C">
              <w:rPr>
                <w:sz w:val="20"/>
                <w:szCs w:val="20"/>
              </w:rPr>
              <w:t>2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 of study</w:t>
            </w:r>
          </w:p>
        </w:tc>
        <w:tc>
          <w:tcPr>
            <w:tcW w:w="3600" w:type="dxa"/>
          </w:tcPr>
          <w:p w:rsidR="0020560C" w:rsidRPr="0020560C" w:rsidRDefault="0020560C" w:rsidP="0046104C">
            <w:pPr>
              <w:rPr>
                <w:sz w:val="20"/>
                <w:szCs w:val="20"/>
              </w:rPr>
            </w:pPr>
            <w:r w:rsidRPr="0020560C">
              <w:rPr>
                <w:sz w:val="20"/>
                <w:szCs w:val="20"/>
              </w:rPr>
              <w:t>US</w:t>
            </w:r>
          </w:p>
        </w:tc>
        <w:tc>
          <w:tcPr>
            <w:tcW w:w="3600" w:type="dxa"/>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organization</w:t>
            </w:r>
          </w:p>
        </w:tc>
        <w:tc>
          <w:tcPr>
            <w:tcW w:w="3600" w:type="dxa"/>
          </w:tcPr>
          <w:p w:rsidR="0020560C" w:rsidRPr="0020560C" w:rsidRDefault="0020560C" w:rsidP="0046104C">
            <w:pPr>
              <w:rPr>
                <w:sz w:val="20"/>
                <w:szCs w:val="20"/>
              </w:rPr>
            </w:pPr>
            <w:r w:rsidRPr="0020560C">
              <w:rPr>
                <w:sz w:val="20"/>
                <w:szCs w:val="20"/>
              </w:rPr>
              <w:t>NR</w:t>
            </w:r>
          </w:p>
        </w:tc>
        <w:tc>
          <w:tcPr>
            <w:tcW w:w="3600" w:type="dxa"/>
          </w:tcPr>
          <w:p w:rsidR="0020560C" w:rsidRPr="0020560C" w:rsidRDefault="0020560C" w:rsidP="0046104C">
            <w:pPr>
              <w:rPr>
                <w:sz w:val="20"/>
                <w:szCs w:val="20"/>
              </w:rPr>
            </w:pPr>
            <w:r w:rsidRPr="0020560C">
              <w:rPr>
                <w:sz w:val="20"/>
                <w:szCs w:val="20"/>
              </w:rPr>
              <w:t>NR</w:t>
            </w:r>
          </w:p>
        </w:tc>
      </w:tr>
      <w:tr w:rsidR="0020560C" w:rsidRPr="0020560C" w:rsidTr="0046104C">
        <w:tc>
          <w:tcPr>
            <w:tcW w:w="649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Costs</w:t>
            </w:r>
          </w:p>
        </w:tc>
        <w:tc>
          <w:tcPr>
            <w:tcW w:w="3600" w:type="dxa"/>
            <w:shd w:val="clear" w:color="auto" w:fill="D9D9D9" w:themeFill="background1" w:themeFillShade="D9"/>
          </w:tcPr>
          <w:p w:rsidR="0020560C" w:rsidRPr="0020560C" w:rsidRDefault="0020560C" w:rsidP="0046104C">
            <w:pPr>
              <w:rPr>
                <w:b/>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Currency (type and year)</w:t>
            </w:r>
          </w:p>
        </w:tc>
        <w:tc>
          <w:tcPr>
            <w:tcW w:w="3600" w:type="dxa"/>
          </w:tcPr>
          <w:p w:rsidR="0020560C" w:rsidRPr="0020560C" w:rsidRDefault="0020560C" w:rsidP="0046104C">
            <w:pPr>
              <w:rPr>
                <w:sz w:val="20"/>
                <w:szCs w:val="20"/>
              </w:rPr>
            </w:pPr>
            <w:r w:rsidRPr="0020560C">
              <w:rPr>
                <w:sz w:val="20"/>
                <w:szCs w:val="20"/>
              </w:rPr>
              <w:t>UK£ (year NR)</w:t>
            </w:r>
          </w:p>
        </w:tc>
        <w:tc>
          <w:tcPr>
            <w:tcW w:w="3600" w:type="dxa"/>
          </w:tcPr>
          <w:p w:rsidR="0020560C" w:rsidRPr="0020560C" w:rsidRDefault="0020560C" w:rsidP="0046104C">
            <w:pPr>
              <w:rPr>
                <w:sz w:val="20"/>
                <w:szCs w:val="20"/>
              </w:rPr>
            </w:pPr>
            <w:r w:rsidRPr="0020560C">
              <w:rPr>
                <w:sz w:val="20"/>
                <w:szCs w:val="20"/>
              </w:rPr>
              <w:t>UK£ (year NR); state that costs were updated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 source(s)</w:t>
            </w:r>
          </w:p>
        </w:tc>
        <w:tc>
          <w:tcPr>
            <w:tcW w:w="3600" w:type="dxa"/>
          </w:tcPr>
          <w:p w:rsidR="0020560C" w:rsidRPr="0020560C" w:rsidRDefault="0020560C" w:rsidP="0046104C">
            <w:pPr>
              <w:rPr>
                <w:sz w:val="20"/>
                <w:szCs w:val="20"/>
              </w:rPr>
            </w:pPr>
            <w:r w:rsidRPr="0020560C">
              <w:rPr>
                <w:sz w:val="20"/>
                <w:szCs w:val="20"/>
              </w:rPr>
              <w:t>Unit costs from various sources: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open spinal fusion surgery: National Tariff 05-06 HRG Code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laparoscopic fusion procedure: National Tariff 05-06 HRG Code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BMP:  Wyeth Pharmaceuticals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Cost per hour of operating time: </w:t>
            </w:r>
            <w:proofErr w:type="spellStart"/>
            <w:r w:rsidRPr="0020560C">
              <w:rPr>
                <w:sz w:val="20"/>
                <w:szCs w:val="20"/>
              </w:rPr>
              <w:t>Rivero</w:t>
            </w:r>
            <w:proofErr w:type="spellEnd"/>
            <w:r w:rsidRPr="0020560C">
              <w:rPr>
                <w:sz w:val="20"/>
                <w:szCs w:val="20"/>
              </w:rPr>
              <w:t xml:space="preserve"> Arias et al 2005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bed day: Personal Social Services Research Unit 2002; inflated to 2004 costs using the Hospital and Community Health Services Pay and Price Inflation Indices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revision: not described in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removal: not described in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supplemental fixation: not described in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reoperation: not described in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Average sickness pay per day: Office of National Statistics, Patterns of Pay, results of the 2003 New Earnings </w:t>
            </w:r>
            <w:proofErr w:type="spellStart"/>
            <w:r w:rsidRPr="0020560C">
              <w:rPr>
                <w:sz w:val="20"/>
                <w:szCs w:val="20"/>
              </w:rPr>
              <w:t>Survery</w:t>
            </w:r>
            <w:proofErr w:type="spellEnd"/>
          </w:p>
        </w:tc>
        <w:tc>
          <w:tcPr>
            <w:tcW w:w="3600" w:type="dxa"/>
          </w:tcPr>
          <w:p w:rsidR="0020560C" w:rsidRPr="0020560C" w:rsidRDefault="0020560C" w:rsidP="0046104C">
            <w:pPr>
              <w:rPr>
                <w:sz w:val="20"/>
                <w:szCs w:val="20"/>
              </w:rPr>
            </w:pPr>
            <w:r w:rsidRPr="0020560C">
              <w:rPr>
                <w:sz w:val="20"/>
                <w:szCs w:val="20"/>
              </w:rPr>
              <w:t>Unit costs from various sources: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initial current treatment (decompression and fusion): National Schedule of Reference Costs 2005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BMP (</w:t>
            </w:r>
            <w:proofErr w:type="spellStart"/>
            <w:r w:rsidRPr="0020560C">
              <w:rPr>
                <w:sz w:val="20"/>
                <w:szCs w:val="20"/>
              </w:rPr>
              <w:t>InductOs</w:t>
            </w:r>
            <w:proofErr w:type="spellEnd"/>
            <w:r w:rsidRPr="0020560C">
              <w:rPr>
                <w:sz w:val="20"/>
                <w:szCs w:val="20"/>
              </w:rPr>
              <w:t xml:space="preserve"> 12 mg Implant kit): Wyeth Pharmaceuticals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revision spinal procedures: National Schedule of Reference Costs 2004/2005, NHS Trust, TELIP, R09</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Cost per hour of operating time: </w:t>
            </w:r>
            <w:proofErr w:type="spellStart"/>
            <w:r w:rsidRPr="0020560C">
              <w:rPr>
                <w:sz w:val="20"/>
                <w:szCs w:val="20"/>
              </w:rPr>
              <w:t>Rivero</w:t>
            </w:r>
            <w:proofErr w:type="spellEnd"/>
            <w:r w:rsidRPr="0020560C">
              <w:rPr>
                <w:sz w:val="20"/>
                <w:szCs w:val="20"/>
              </w:rPr>
              <w:t>-Arias et al 2005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bed day: National Tariff 2006/2007, R03</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Annual mean gross salary for all employee jobs, UK 2005: National Statistics UK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Costs included in analysis</w:t>
            </w:r>
          </w:p>
        </w:tc>
        <w:tc>
          <w:tcPr>
            <w:tcW w:w="3600" w:type="dxa"/>
            <w:shd w:val="clear" w:color="auto" w:fill="auto"/>
          </w:tcPr>
          <w:p w:rsidR="0020560C" w:rsidRPr="0020560C" w:rsidRDefault="0020560C" w:rsidP="0046104C">
            <w:pPr>
              <w:rPr>
                <w:sz w:val="20"/>
                <w:szCs w:val="20"/>
              </w:rPr>
            </w:pPr>
            <w:r w:rsidRPr="0020560C">
              <w:rPr>
                <w:sz w:val="20"/>
                <w:szCs w:val="20"/>
              </w:rPr>
              <w:t>See above list (in cost sources)</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costs included</w:t>
            </w:r>
          </w:p>
        </w:tc>
        <w:tc>
          <w:tcPr>
            <w:tcW w:w="3600" w:type="dxa"/>
          </w:tcPr>
          <w:p w:rsidR="0020560C" w:rsidRPr="0020560C" w:rsidRDefault="0020560C" w:rsidP="0046104C">
            <w:pPr>
              <w:rPr>
                <w:sz w:val="20"/>
                <w:szCs w:val="20"/>
              </w:rPr>
            </w:pPr>
            <w:r w:rsidRPr="0020560C">
              <w:rPr>
                <w:sz w:val="20"/>
                <w:szCs w:val="20"/>
              </w:rPr>
              <w:t>2 years</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Discount rate</w:t>
            </w:r>
          </w:p>
        </w:tc>
        <w:tc>
          <w:tcPr>
            <w:tcW w:w="3600" w:type="dxa"/>
          </w:tcPr>
          <w:p w:rsidR="0020560C" w:rsidRPr="0020560C" w:rsidRDefault="0020560C" w:rsidP="0046104C">
            <w:pPr>
              <w:rPr>
                <w:sz w:val="20"/>
                <w:szCs w:val="20"/>
              </w:rPr>
            </w:pPr>
            <w:r w:rsidRPr="0020560C">
              <w:rPr>
                <w:sz w:val="20"/>
                <w:szCs w:val="20"/>
              </w:rPr>
              <w:t>Cost not discounted (due to the short time horizon)</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649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Utilities</w:t>
            </w:r>
          </w:p>
        </w:tc>
        <w:tc>
          <w:tcPr>
            <w:tcW w:w="3600" w:type="dxa"/>
            <w:shd w:val="clear" w:color="auto" w:fill="D9D9D9" w:themeFill="background1" w:themeFillShade="D9"/>
          </w:tcPr>
          <w:p w:rsidR="0020560C" w:rsidRPr="0020560C" w:rsidRDefault="0020560C" w:rsidP="0046104C">
            <w:pPr>
              <w:rPr>
                <w:b/>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w:t>
            </w:r>
          </w:p>
        </w:tc>
        <w:tc>
          <w:tcPr>
            <w:tcW w:w="3600" w:type="dxa"/>
          </w:tcPr>
          <w:p w:rsidR="0020560C" w:rsidRPr="0020560C" w:rsidRDefault="0020560C" w:rsidP="0046104C">
            <w:pPr>
              <w:rPr>
                <w:sz w:val="20"/>
                <w:szCs w:val="20"/>
              </w:rPr>
            </w:pPr>
            <w:r w:rsidRPr="0020560C">
              <w:rPr>
                <w:sz w:val="20"/>
                <w:szCs w:val="20"/>
              </w:rPr>
              <w:t>Unpublished SF-36 data from integrated analysis above (transformed into utilities using the Brazier et al. index)</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3600" w:type="dxa"/>
          </w:tcPr>
          <w:p w:rsidR="0020560C" w:rsidRPr="0020560C" w:rsidRDefault="0020560C" w:rsidP="0046104C">
            <w:pPr>
              <w:rPr>
                <w:rFonts w:cs="Syntax-Roman"/>
                <w:sz w:val="20"/>
                <w:szCs w:val="20"/>
              </w:rPr>
            </w:pPr>
            <w:r w:rsidRPr="0020560C">
              <w:rPr>
                <w:rFonts w:cs="Syntax-Roman"/>
                <w:sz w:val="20"/>
                <w:szCs w:val="20"/>
              </w:rPr>
              <w:t>General</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utility measurements</w:t>
            </w:r>
          </w:p>
        </w:tc>
        <w:tc>
          <w:tcPr>
            <w:tcW w:w="3600" w:type="dxa"/>
          </w:tcPr>
          <w:p w:rsidR="0020560C" w:rsidRPr="0020560C" w:rsidRDefault="0020560C" w:rsidP="0046104C">
            <w:pPr>
              <w:rPr>
                <w:sz w:val="20"/>
                <w:szCs w:val="20"/>
              </w:rPr>
            </w:pPr>
            <w:r w:rsidRPr="0020560C">
              <w:rPr>
                <w:sz w:val="20"/>
                <w:szCs w:val="20"/>
              </w:rPr>
              <w:t>2 years</w:t>
            </w:r>
          </w:p>
        </w:tc>
        <w:tc>
          <w:tcPr>
            <w:tcW w:w="3600" w:type="dxa"/>
          </w:tcPr>
          <w:p w:rsidR="0020560C" w:rsidRPr="0020560C" w:rsidRDefault="0020560C" w:rsidP="0046104C">
            <w:pPr>
              <w:rPr>
                <w:sz w:val="20"/>
                <w:szCs w:val="20"/>
              </w:rPr>
            </w:pPr>
            <w:r w:rsidRPr="0020560C">
              <w:rPr>
                <w:sz w:val="20"/>
                <w:szCs w:val="20"/>
              </w:rPr>
              <w:t>Same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3600" w:type="dxa"/>
          </w:tcPr>
          <w:p w:rsidR="0020560C" w:rsidRPr="0020560C" w:rsidRDefault="0020560C" w:rsidP="0046104C">
            <w:pPr>
              <w:rPr>
                <w:sz w:val="20"/>
                <w:szCs w:val="20"/>
              </w:rPr>
            </w:pPr>
            <w:r w:rsidRPr="0020560C">
              <w:rPr>
                <w:sz w:val="20"/>
                <w:szCs w:val="20"/>
              </w:rPr>
              <w:t>Integrated analysis as above</w:t>
            </w:r>
          </w:p>
        </w:tc>
        <w:tc>
          <w:tcPr>
            <w:tcW w:w="3600" w:type="dxa"/>
          </w:tcPr>
          <w:p w:rsidR="0020560C" w:rsidRPr="0020560C" w:rsidRDefault="0020560C" w:rsidP="0046104C">
            <w:pPr>
              <w:rPr>
                <w:sz w:val="20"/>
                <w:szCs w:val="20"/>
              </w:rPr>
            </w:pPr>
            <w:r w:rsidRPr="0020560C">
              <w:rPr>
                <w:sz w:val="20"/>
                <w:szCs w:val="20"/>
              </w:rPr>
              <w:t>RCT (</w:t>
            </w:r>
            <w:proofErr w:type="spellStart"/>
            <w:r w:rsidRPr="0020560C">
              <w:rPr>
                <w:sz w:val="20"/>
                <w:szCs w:val="20"/>
              </w:rPr>
              <w:t>Burkus</w:t>
            </w:r>
            <w:proofErr w:type="spellEnd"/>
            <w:r w:rsidRPr="0020560C">
              <w:rPr>
                <w:sz w:val="20"/>
                <w:szCs w:val="20"/>
              </w:rPr>
              <w:t xml:space="preserve"> et al 2002) as above</w:t>
            </w:r>
          </w:p>
        </w:tc>
      </w:tr>
      <w:tr w:rsidR="0020560C" w:rsidRPr="0020560C" w:rsidTr="0046104C">
        <w:tc>
          <w:tcPr>
            <w:tcW w:w="649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c>
          <w:tcPr>
            <w:tcW w:w="3600" w:type="dxa"/>
            <w:shd w:val="clear" w:color="auto" w:fill="D9D9D9" w:themeFill="background1" w:themeFillShade="D9"/>
          </w:tcPr>
          <w:p w:rsidR="0020560C" w:rsidRPr="0020560C" w:rsidRDefault="0020560C" w:rsidP="0046104C">
            <w:pPr>
              <w:rPr>
                <w:b/>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Sensitivity analysis performed?</w:t>
            </w:r>
          </w:p>
        </w:tc>
        <w:tc>
          <w:tcPr>
            <w:tcW w:w="3600" w:type="dxa"/>
          </w:tcPr>
          <w:p w:rsidR="0020560C" w:rsidRPr="0020560C" w:rsidRDefault="0020560C" w:rsidP="0046104C">
            <w:pPr>
              <w:rPr>
                <w:sz w:val="20"/>
                <w:szCs w:val="20"/>
              </w:rPr>
            </w:pPr>
            <w:r w:rsidRPr="0020560C">
              <w:rPr>
                <w:sz w:val="20"/>
                <w:szCs w:val="20"/>
              </w:rPr>
              <w:t>No</w:t>
            </w:r>
          </w:p>
        </w:tc>
        <w:tc>
          <w:tcPr>
            <w:tcW w:w="3600" w:type="dxa"/>
          </w:tcPr>
          <w:p w:rsidR="0020560C" w:rsidRPr="0020560C" w:rsidRDefault="0020560C" w:rsidP="0046104C">
            <w:pPr>
              <w:rPr>
                <w:sz w:val="20"/>
                <w:szCs w:val="20"/>
              </w:rPr>
            </w:pPr>
            <w:r w:rsidRPr="0020560C">
              <w:rPr>
                <w:sz w:val="20"/>
                <w:szCs w:val="20"/>
              </w:rPr>
              <w:t>No</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Type of sensitivity analysis</w:t>
            </w:r>
          </w:p>
        </w:tc>
        <w:tc>
          <w:tcPr>
            <w:tcW w:w="3600" w:type="dxa"/>
          </w:tcPr>
          <w:p w:rsidR="0020560C" w:rsidRPr="0020560C" w:rsidRDefault="0020560C" w:rsidP="0046104C">
            <w:pPr>
              <w:rPr>
                <w:sz w:val="20"/>
                <w:szCs w:val="20"/>
              </w:rPr>
            </w:pPr>
            <w:r w:rsidRPr="0020560C">
              <w:rPr>
                <w:sz w:val="20"/>
                <w:szCs w:val="20"/>
              </w:rPr>
              <w:t>N/A</w:t>
            </w:r>
          </w:p>
        </w:tc>
        <w:tc>
          <w:tcPr>
            <w:tcW w:w="3600" w:type="dxa"/>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Variables evaluated in sensitivity analysis</w:t>
            </w:r>
          </w:p>
        </w:tc>
        <w:tc>
          <w:tcPr>
            <w:tcW w:w="3600" w:type="dxa"/>
          </w:tcPr>
          <w:p w:rsidR="0020560C" w:rsidRPr="0020560C" w:rsidRDefault="0020560C" w:rsidP="0046104C">
            <w:pPr>
              <w:rPr>
                <w:sz w:val="20"/>
                <w:szCs w:val="20"/>
              </w:rPr>
            </w:pPr>
            <w:r w:rsidRPr="0020560C">
              <w:rPr>
                <w:sz w:val="20"/>
                <w:szCs w:val="20"/>
              </w:rPr>
              <w:t>N/A</w:t>
            </w:r>
          </w:p>
        </w:tc>
        <w:tc>
          <w:tcPr>
            <w:tcW w:w="3600" w:type="dxa"/>
          </w:tcPr>
          <w:p w:rsidR="0020560C" w:rsidRPr="0020560C" w:rsidRDefault="0020560C" w:rsidP="0046104C">
            <w:pPr>
              <w:rPr>
                <w:sz w:val="20"/>
                <w:szCs w:val="20"/>
              </w:rPr>
            </w:pPr>
            <w:r w:rsidRPr="0020560C">
              <w:rPr>
                <w:sz w:val="20"/>
                <w:szCs w:val="20"/>
              </w:rPr>
              <w:t>N/A</w:t>
            </w:r>
          </w:p>
        </w:tc>
      </w:tr>
      <w:tr w:rsidR="0020560C" w:rsidRPr="0020560C" w:rsidTr="0046104C">
        <w:tc>
          <w:tcPr>
            <w:tcW w:w="649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c>
          <w:tcPr>
            <w:tcW w:w="3600" w:type="dxa"/>
            <w:shd w:val="clear" w:color="auto" w:fill="D9D9D9" w:themeFill="background1" w:themeFillShade="D9"/>
          </w:tcPr>
          <w:p w:rsidR="0020560C" w:rsidRPr="0020560C" w:rsidRDefault="0020560C" w:rsidP="0046104C">
            <w:pPr>
              <w:rPr>
                <w:b/>
                <w:sz w:val="20"/>
                <w:szCs w:val="20"/>
              </w:rPr>
            </w:pP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3600" w:type="dxa"/>
          </w:tcPr>
          <w:p w:rsidR="0020560C" w:rsidRPr="0020560C" w:rsidRDefault="0020560C" w:rsidP="0046104C">
            <w:pPr>
              <w:rPr>
                <w:sz w:val="20"/>
                <w:szCs w:val="20"/>
              </w:rPr>
            </w:pPr>
            <w:r w:rsidRPr="0020560C">
              <w:rPr>
                <w:sz w:val="20"/>
                <w:szCs w:val="20"/>
              </w:rPr>
              <w:t>Original ABACUS model was a deterministic version.</w:t>
            </w:r>
          </w:p>
          <w:p w:rsidR="0020560C" w:rsidRPr="0020560C" w:rsidRDefault="0020560C" w:rsidP="0046104C">
            <w:pPr>
              <w:rPr>
                <w:sz w:val="20"/>
                <w:szCs w:val="20"/>
              </w:rPr>
            </w:pPr>
          </w:p>
          <w:p w:rsidR="0020560C" w:rsidRPr="0020560C" w:rsidRDefault="0020560C" w:rsidP="0046104C">
            <w:pPr>
              <w:rPr>
                <w:b/>
                <w:iCs/>
                <w:sz w:val="20"/>
                <w:szCs w:val="20"/>
              </w:rPr>
            </w:pPr>
            <w:r w:rsidRPr="0020560C">
              <w:rPr>
                <w:b/>
                <w:iCs/>
                <w:sz w:val="20"/>
                <w:szCs w:val="20"/>
              </w:rPr>
              <w:t>Clinical outcomes/benefits of BMP for spinal fusion procedures: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Reduced operating time (hours): 900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Reduced length of hospital stay (days): 1143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Reduced revision procedures: 78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Additional successful fusions at 2 years: 51 </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Additional</w:t>
            </w:r>
            <w:r w:rsidRPr="0020560C">
              <w:rPr>
                <w:iCs/>
                <w:sz w:val="20"/>
                <w:szCs w:val="20"/>
              </w:rPr>
              <w:t xml:space="preserve"> QALYs: 56</w:t>
            </w:r>
          </w:p>
          <w:p w:rsidR="0020560C" w:rsidRPr="0020560C" w:rsidRDefault="0020560C" w:rsidP="0046104C">
            <w:pPr>
              <w:rPr>
                <w:sz w:val="20"/>
                <w:szCs w:val="20"/>
              </w:rPr>
            </w:pPr>
          </w:p>
          <w:p w:rsidR="0020560C" w:rsidRPr="0020560C" w:rsidRDefault="0020560C" w:rsidP="0046104C">
            <w:pPr>
              <w:rPr>
                <w:b/>
                <w:sz w:val="20"/>
                <w:szCs w:val="20"/>
              </w:rPr>
            </w:pPr>
            <w:r w:rsidRPr="0020560C">
              <w:rPr>
                <w:b/>
                <w:sz w:val="20"/>
                <w:szCs w:val="20"/>
              </w:rPr>
              <w:t>Costs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Initial treatment costs (open or laparoscopic surgery): £5,930,025 for 1000 spinal fusion surgeries per year (£5930 per case)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BMP cost: £7,720,032 (£7720 per case); increases annual cost by £1,790,007 (£1790 per case)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operating time and hospital stay offset: £1,311,965 (£1312 per case)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revision procedures offset: £275,617 (£276 per case)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Incremental cost of BMP after savings above (operating time, hospital stay, revision procedures): £202,425 (£202 per case);  reduced by £1,587,582 (£1588 per case) from initial incremental cost of £1,790,007 (£1790 per case)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sickness payment: less 48,369 days which saves £4,595,055 per year</w:t>
            </w:r>
          </w:p>
          <w:p w:rsidR="0020560C" w:rsidRPr="0020560C" w:rsidRDefault="0020560C" w:rsidP="0020560C">
            <w:pPr>
              <w:pStyle w:val="ListParagraph"/>
              <w:numPr>
                <w:ilvl w:val="0"/>
                <w:numId w:val="2"/>
              </w:numPr>
              <w:tabs>
                <w:tab w:val="clear" w:pos="720"/>
                <w:tab w:val="num" w:pos="252"/>
              </w:tabs>
              <w:ind w:left="252" w:hanging="180"/>
              <w:rPr>
                <w:b/>
                <w:sz w:val="20"/>
                <w:szCs w:val="20"/>
              </w:rPr>
            </w:pPr>
            <w:r w:rsidRPr="0020560C">
              <w:rPr>
                <w:b/>
                <w:sz w:val="20"/>
                <w:szCs w:val="20"/>
              </w:rPr>
              <w:t>Thus, BMP-2 could save £4,392,630 in total (£4393 per case)</w:t>
            </w:r>
          </w:p>
          <w:p w:rsidR="0020560C" w:rsidRPr="0020560C" w:rsidRDefault="0020560C" w:rsidP="0046104C">
            <w:pPr>
              <w:rPr>
                <w:sz w:val="20"/>
                <w:szCs w:val="20"/>
              </w:rPr>
            </w:pPr>
          </w:p>
          <w:p w:rsidR="0020560C" w:rsidRPr="0020560C" w:rsidRDefault="0020560C" w:rsidP="0046104C">
            <w:pPr>
              <w:rPr>
                <w:sz w:val="20"/>
                <w:szCs w:val="20"/>
              </w:rPr>
            </w:pPr>
          </w:p>
        </w:tc>
        <w:tc>
          <w:tcPr>
            <w:tcW w:w="3600" w:type="dxa"/>
          </w:tcPr>
          <w:p w:rsidR="0020560C" w:rsidRPr="0020560C" w:rsidRDefault="0020560C" w:rsidP="0046104C">
            <w:pPr>
              <w:rPr>
                <w:sz w:val="20"/>
                <w:szCs w:val="20"/>
              </w:rPr>
            </w:pPr>
            <w:r w:rsidRPr="0020560C">
              <w:rPr>
                <w:sz w:val="20"/>
                <w:szCs w:val="20"/>
              </w:rPr>
              <w:t xml:space="preserve">Original ABACUS model modified to conduct Monte Carlo (probabilistic) simulations. </w:t>
            </w:r>
            <w:r w:rsidRPr="0020560C">
              <w:rPr>
                <w:iCs/>
                <w:sz w:val="20"/>
                <w:szCs w:val="20"/>
              </w:rPr>
              <w:t>(95% CI estimated by 10,000 Monte Carlo simulations)</w:t>
            </w:r>
          </w:p>
          <w:p w:rsidR="0020560C" w:rsidRPr="0020560C" w:rsidRDefault="0020560C" w:rsidP="0046104C">
            <w:pPr>
              <w:rPr>
                <w:iCs/>
                <w:sz w:val="20"/>
                <w:szCs w:val="20"/>
              </w:rPr>
            </w:pPr>
          </w:p>
          <w:p w:rsidR="0020560C" w:rsidRPr="0020560C" w:rsidRDefault="0020560C" w:rsidP="0046104C">
            <w:pPr>
              <w:rPr>
                <w:iCs/>
                <w:sz w:val="20"/>
                <w:szCs w:val="20"/>
              </w:rPr>
            </w:pPr>
            <w:r w:rsidRPr="0020560C">
              <w:rPr>
                <w:b/>
                <w:iCs/>
                <w:sz w:val="20"/>
                <w:szCs w:val="20"/>
              </w:rPr>
              <w:t>Number of spinal fusion procedures in UK (95% CI):</w:t>
            </w:r>
            <w:r w:rsidRPr="0020560C">
              <w:rPr>
                <w:iCs/>
                <w:sz w:val="20"/>
                <w:szCs w:val="20"/>
              </w:rPr>
              <w:t xml:space="preserve"> 1024 (510–1553)</w:t>
            </w:r>
          </w:p>
          <w:p w:rsidR="0020560C" w:rsidRPr="0020560C" w:rsidRDefault="0020560C" w:rsidP="0046104C">
            <w:pPr>
              <w:rPr>
                <w:iCs/>
                <w:sz w:val="20"/>
                <w:szCs w:val="20"/>
              </w:rPr>
            </w:pPr>
          </w:p>
          <w:p w:rsidR="0020560C" w:rsidRPr="0020560C" w:rsidRDefault="0020560C" w:rsidP="0046104C">
            <w:pPr>
              <w:rPr>
                <w:b/>
                <w:iCs/>
                <w:sz w:val="20"/>
                <w:szCs w:val="20"/>
              </w:rPr>
            </w:pPr>
            <w:r w:rsidRPr="0020560C">
              <w:rPr>
                <w:b/>
                <w:iCs/>
                <w:sz w:val="20"/>
                <w:szCs w:val="20"/>
              </w:rPr>
              <w:t>Clinical outcomes/benefits of BMP for spinal fusion procedures (95% CI):</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operating time (hours): 410 (178–695)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length of hospital stay (days): 205 (-140 to 620)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Reduced revision procedures: 7 (-64 to 84)</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Additional fusions at 2 years: 92 (46–140)</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Additional</w:t>
            </w:r>
            <w:r w:rsidRPr="0020560C">
              <w:rPr>
                <w:iCs/>
                <w:sz w:val="20"/>
                <w:szCs w:val="20"/>
              </w:rPr>
              <w:t xml:space="preserve"> QALYs: 11 (-30 to 56)</w:t>
            </w:r>
          </w:p>
          <w:p w:rsidR="0020560C" w:rsidRPr="0020560C" w:rsidRDefault="0020560C" w:rsidP="0046104C">
            <w:pPr>
              <w:rPr>
                <w:iCs/>
                <w:sz w:val="20"/>
                <w:szCs w:val="20"/>
              </w:rPr>
            </w:pPr>
          </w:p>
          <w:p w:rsidR="0020560C" w:rsidRPr="0020560C" w:rsidRDefault="0020560C" w:rsidP="0046104C">
            <w:pPr>
              <w:rPr>
                <w:b/>
                <w:iCs/>
                <w:sz w:val="20"/>
                <w:szCs w:val="20"/>
              </w:rPr>
            </w:pPr>
            <w:r w:rsidRPr="0020560C">
              <w:rPr>
                <w:b/>
                <w:iCs/>
                <w:sz w:val="20"/>
                <w:szCs w:val="20"/>
              </w:rPr>
              <w:t>Costs (95% CI)</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Initial</w:t>
            </w:r>
            <w:r w:rsidRPr="0020560C">
              <w:rPr>
                <w:iCs/>
                <w:sz w:val="20"/>
                <w:szCs w:val="20"/>
              </w:rPr>
              <w:t xml:space="preserve"> treatment costs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ICBG: £5,410,656</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BMP: £7,243,909</w:t>
            </w:r>
          </w:p>
          <w:p w:rsidR="0020560C" w:rsidRPr="0020560C" w:rsidRDefault="0020560C" w:rsidP="0020560C">
            <w:pPr>
              <w:numPr>
                <w:ilvl w:val="1"/>
                <w:numId w:val="2"/>
              </w:numPr>
              <w:tabs>
                <w:tab w:val="clear" w:pos="1440"/>
                <w:tab w:val="num" w:pos="-108"/>
                <w:tab w:val="num" w:pos="252"/>
                <w:tab w:val="num" w:pos="342"/>
                <w:tab w:val="num" w:pos="612"/>
              </w:tabs>
              <w:ind w:left="612" w:hanging="180"/>
              <w:rPr>
                <w:iCs/>
                <w:sz w:val="20"/>
                <w:szCs w:val="20"/>
              </w:rPr>
            </w:pPr>
            <w:r w:rsidRPr="0020560C">
              <w:rPr>
                <w:sz w:val="20"/>
                <w:szCs w:val="20"/>
              </w:rPr>
              <w:t>Difference</w:t>
            </w:r>
            <w:r w:rsidRPr="0020560C">
              <w:rPr>
                <w:iCs/>
                <w:sz w:val="20"/>
                <w:szCs w:val="20"/>
              </w:rPr>
              <w:t>: £1,833,253 (£913,722–£2,780,476)</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Avoided</w:t>
            </w:r>
            <w:r w:rsidRPr="0020560C">
              <w:rPr>
                <w:iCs/>
                <w:sz w:val="20"/>
                <w:szCs w:val="20"/>
              </w:rPr>
              <w:t xml:space="preserve"> bone grafting cost offsets</w:t>
            </w:r>
          </w:p>
          <w:p w:rsidR="0020560C" w:rsidRPr="0020560C" w:rsidRDefault="0020560C" w:rsidP="0020560C">
            <w:pPr>
              <w:numPr>
                <w:ilvl w:val="1"/>
                <w:numId w:val="2"/>
              </w:numPr>
              <w:tabs>
                <w:tab w:val="clear" w:pos="1440"/>
                <w:tab w:val="num" w:pos="-108"/>
                <w:tab w:val="num" w:pos="252"/>
                <w:tab w:val="num" w:pos="342"/>
                <w:tab w:val="num" w:pos="612"/>
              </w:tabs>
              <w:ind w:left="612" w:hanging="180"/>
              <w:rPr>
                <w:iCs/>
                <w:sz w:val="20"/>
                <w:szCs w:val="20"/>
              </w:rPr>
            </w:pPr>
            <w:r w:rsidRPr="0020560C">
              <w:rPr>
                <w:sz w:val="20"/>
                <w:szCs w:val="20"/>
              </w:rPr>
              <w:t>ICBG</w:t>
            </w:r>
            <w:r w:rsidRPr="0020560C">
              <w:rPr>
                <w:iCs/>
                <w:sz w:val="20"/>
                <w:szCs w:val="20"/>
              </w:rPr>
              <w:t>: NA</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BMP: -£477,699</w:t>
            </w:r>
          </w:p>
          <w:p w:rsidR="0020560C" w:rsidRPr="0020560C" w:rsidRDefault="0020560C" w:rsidP="0020560C">
            <w:pPr>
              <w:numPr>
                <w:ilvl w:val="1"/>
                <w:numId w:val="2"/>
              </w:numPr>
              <w:tabs>
                <w:tab w:val="clear" w:pos="1440"/>
                <w:tab w:val="num" w:pos="-108"/>
                <w:tab w:val="num" w:pos="252"/>
                <w:tab w:val="num" w:pos="342"/>
                <w:tab w:val="num" w:pos="612"/>
              </w:tabs>
              <w:ind w:left="612" w:hanging="180"/>
              <w:rPr>
                <w:iCs/>
                <w:sz w:val="20"/>
                <w:szCs w:val="20"/>
              </w:rPr>
            </w:pPr>
            <w:r w:rsidRPr="0020560C">
              <w:rPr>
                <w:sz w:val="20"/>
                <w:szCs w:val="20"/>
              </w:rPr>
              <w:t>Difference</w:t>
            </w:r>
            <w:r w:rsidRPr="0020560C">
              <w:rPr>
                <w:iCs/>
                <w:sz w:val="20"/>
                <w:szCs w:val="20"/>
              </w:rPr>
              <w:t>: -£477,699 (-£922,042 to -£165,781)</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Cost</w:t>
            </w:r>
            <w:r w:rsidRPr="0020560C">
              <w:rPr>
                <w:iCs/>
                <w:sz w:val="20"/>
                <w:szCs w:val="20"/>
              </w:rPr>
              <w:t xml:space="preserve"> of revision procedures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ICBG: £603,232</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BMP: £573,139</w:t>
            </w:r>
          </w:p>
          <w:p w:rsidR="0020560C" w:rsidRPr="0020560C" w:rsidRDefault="0020560C" w:rsidP="0020560C">
            <w:pPr>
              <w:numPr>
                <w:ilvl w:val="1"/>
                <w:numId w:val="2"/>
              </w:numPr>
              <w:tabs>
                <w:tab w:val="clear" w:pos="1440"/>
                <w:tab w:val="num" w:pos="-108"/>
                <w:tab w:val="num" w:pos="252"/>
                <w:tab w:val="num" w:pos="342"/>
                <w:tab w:val="num" w:pos="612"/>
              </w:tabs>
              <w:ind w:left="612" w:hanging="180"/>
              <w:rPr>
                <w:iCs/>
                <w:sz w:val="20"/>
                <w:szCs w:val="20"/>
              </w:rPr>
            </w:pPr>
            <w:r w:rsidRPr="0020560C">
              <w:rPr>
                <w:sz w:val="20"/>
                <w:szCs w:val="20"/>
              </w:rPr>
              <w:t>Difference</w:t>
            </w:r>
            <w:r w:rsidRPr="0020560C">
              <w:rPr>
                <w:iCs/>
                <w:sz w:val="20"/>
                <w:szCs w:val="20"/>
              </w:rPr>
              <w:t>: -£30,093 (-£420,074 to -£291,986)</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Total</w:t>
            </w:r>
            <w:r w:rsidRPr="0020560C">
              <w:rPr>
                <w:iCs/>
                <w:sz w:val="20"/>
                <w:szCs w:val="20"/>
              </w:rPr>
              <w:t xml:space="preserve"> incremental costs to NHS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ICBG: £6,013,888</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BMP: £7,339,349</w:t>
            </w:r>
          </w:p>
          <w:p w:rsidR="0020560C" w:rsidRPr="0020560C" w:rsidRDefault="0020560C" w:rsidP="0020560C">
            <w:pPr>
              <w:numPr>
                <w:ilvl w:val="1"/>
                <w:numId w:val="2"/>
              </w:numPr>
              <w:tabs>
                <w:tab w:val="clear" w:pos="1440"/>
                <w:tab w:val="num" w:pos="-108"/>
                <w:tab w:val="num" w:pos="252"/>
                <w:tab w:val="num" w:pos="342"/>
                <w:tab w:val="num" w:pos="612"/>
              </w:tabs>
              <w:ind w:left="612" w:hanging="180"/>
              <w:rPr>
                <w:iCs/>
                <w:sz w:val="20"/>
                <w:szCs w:val="20"/>
              </w:rPr>
            </w:pPr>
            <w:r w:rsidRPr="0020560C">
              <w:rPr>
                <w:sz w:val="20"/>
                <w:szCs w:val="20"/>
              </w:rPr>
              <w:t>Difference</w:t>
            </w:r>
            <w:r w:rsidRPr="0020560C">
              <w:rPr>
                <w:iCs/>
                <w:sz w:val="20"/>
                <w:szCs w:val="20"/>
              </w:rPr>
              <w:t>: £1,325,461 (£583,547–£2,192,916)</w:t>
            </w:r>
          </w:p>
          <w:p w:rsidR="0020560C" w:rsidRPr="0020560C" w:rsidRDefault="0020560C" w:rsidP="0020560C">
            <w:pPr>
              <w:pStyle w:val="ListParagraph"/>
              <w:numPr>
                <w:ilvl w:val="0"/>
                <w:numId w:val="2"/>
              </w:numPr>
              <w:tabs>
                <w:tab w:val="clear" w:pos="720"/>
                <w:tab w:val="num" w:pos="252"/>
              </w:tabs>
              <w:ind w:left="252" w:hanging="180"/>
              <w:rPr>
                <w:iCs/>
                <w:sz w:val="20"/>
                <w:szCs w:val="20"/>
              </w:rPr>
            </w:pPr>
            <w:r w:rsidRPr="0020560C">
              <w:rPr>
                <w:sz w:val="20"/>
                <w:szCs w:val="20"/>
              </w:rPr>
              <w:t>Thus</w:t>
            </w:r>
            <w:r w:rsidRPr="0020560C">
              <w:rPr>
                <w:iCs/>
                <w:sz w:val="20"/>
                <w:szCs w:val="20"/>
              </w:rPr>
              <w:t xml:space="preserve">, the cost per QALY gained with rhBMP-2 was estimated at £120,390; the probability that </w:t>
            </w:r>
            <w:proofErr w:type="spellStart"/>
            <w:r w:rsidRPr="0020560C">
              <w:rPr>
                <w:iCs/>
                <w:sz w:val="20"/>
                <w:szCs w:val="20"/>
              </w:rPr>
              <w:t>rhBMP</w:t>
            </w:r>
            <w:proofErr w:type="spellEnd"/>
            <w:r w:rsidRPr="0020560C">
              <w:rPr>
                <w:iCs/>
                <w:sz w:val="20"/>
                <w:szCs w:val="20"/>
              </w:rPr>
              <w:t xml:space="preserve"> is cost-effective at a willingness to pay threshold of £30,000 per QALY was 6.4% (low given the cost).</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Results of sensitivity analysis</w:t>
            </w:r>
          </w:p>
        </w:tc>
        <w:tc>
          <w:tcPr>
            <w:tcW w:w="3600" w:type="dxa"/>
          </w:tcPr>
          <w:p w:rsidR="0020560C" w:rsidRPr="0020560C" w:rsidRDefault="0020560C" w:rsidP="0046104C">
            <w:pPr>
              <w:rPr>
                <w:sz w:val="20"/>
                <w:szCs w:val="20"/>
              </w:rPr>
            </w:pPr>
            <w:r w:rsidRPr="0020560C">
              <w:rPr>
                <w:sz w:val="20"/>
                <w:szCs w:val="20"/>
              </w:rPr>
              <w:t>N/A</w:t>
            </w:r>
          </w:p>
        </w:tc>
        <w:tc>
          <w:tcPr>
            <w:tcW w:w="3600" w:type="dxa"/>
          </w:tcPr>
          <w:p w:rsidR="0020560C" w:rsidRPr="0020560C" w:rsidRDefault="0020560C" w:rsidP="0046104C">
            <w:pPr>
              <w:rPr>
                <w:sz w:val="20"/>
                <w:szCs w:val="20"/>
              </w:rPr>
            </w:pPr>
            <w:r w:rsidRPr="0020560C">
              <w:rPr>
                <w:sz w:val="20"/>
                <w:szCs w:val="20"/>
              </w:rPr>
              <w:t>N/A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Study conclusion</w:t>
            </w:r>
          </w:p>
        </w:tc>
        <w:tc>
          <w:tcPr>
            <w:tcW w:w="3600" w:type="dxa"/>
          </w:tcPr>
          <w:p w:rsidR="0020560C" w:rsidRPr="0020560C" w:rsidRDefault="0020560C" w:rsidP="0046104C">
            <w:pPr>
              <w:rPr>
                <w:sz w:val="20"/>
                <w:szCs w:val="20"/>
              </w:rPr>
            </w:pPr>
            <w:r w:rsidRPr="0020560C">
              <w:rPr>
                <w:sz w:val="20"/>
                <w:szCs w:val="20"/>
              </w:rPr>
              <w:t>The use of rhBMP-2 results in an annual savings over £4 million (4393 per patient)</w:t>
            </w:r>
          </w:p>
        </w:tc>
        <w:tc>
          <w:tcPr>
            <w:tcW w:w="3600" w:type="dxa"/>
          </w:tcPr>
          <w:p w:rsidR="0020560C" w:rsidRPr="0020560C" w:rsidRDefault="0020560C" w:rsidP="0046104C">
            <w:pPr>
              <w:rPr>
                <w:sz w:val="20"/>
                <w:szCs w:val="20"/>
              </w:rPr>
            </w:pPr>
            <w:r w:rsidRPr="0020560C">
              <w:rPr>
                <w:sz w:val="20"/>
                <w:szCs w:val="20"/>
              </w:rPr>
              <w:t>The use of rhBMP-2 for spinal fusion is associated with higher costs compared with ICBG.</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Comments</w:t>
            </w:r>
          </w:p>
        </w:tc>
        <w:tc>
          <w:tcPr>
            <w:tcW w:w="3600" w:type="dxa"/>
          </w:tcPr>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Limitations: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Little information about the models used and the way calculations were carried out</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Relative effect of BMP compared with ICBG may have been overestimated by using data from the 2 cohort studies (due to difference in baseline characteristic between studies)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Inclusion of sickness payment had dramatic impact on results (societal perspective); depended on time of return to work reported by </w:t>
            </w:r>
            <w:proofErr w:type="spellStart"/>
            <w:r w:rsidRPr="0020560C">
              <w:rPr>
                <w:sz w:val="20"/>
                <w:szCs w:val="20"/>
              </w:rPr>
              <w:t>Burkus</w:t>
            </w:r>
            <w:proofErr w:type="spellEnd"/>
            <w:r w:rsidRPr="0020560C">
              <w:rPr>
                <w:sz w:val="20"/>
                <w:szCs w:val="20"/>
              </w:rPr>
              <w:t xml:space="preserve"> et al 2003 – huge discrepancy between this study and </w:t>
            </w:r>
            <w:proofErr w:type="spellStart"/>
            <w:r w:rsidRPr="0020560C">
              <w:rPr>
                <w:sz w:val="20"/>
                <w:szCs w:val="20"/>
              </w:rPr>
              <w:t>Burkus</w:t>
            </w:r>
            <w:proofErr w:type="spellEnd"/>
            <w:r w:rsidRPr="0020560C">
              <w:rPr>
                <w:sz w:val="20"/>
                <w:szCs w:val="20"/>
              </w:rPr>
              <w:t xml:space="preserve"> 2002.</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per QALY was not reported</w:t>
            </w:r>
          </w:p>
        </w:tc>
        <w:tc>
          <w:tcPr>
            <w:tcW w:w="3600" w:type="dxa"/>
          </w:tcPr>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Limitations:</w:t>
            </w:r>
          </w:p>
          <w:p w:rsidR="0020560C" w:rsidRPr="0020560C" w:rsidRDefault="0020560C" w:rsidP="0020560C">
            <w:pPr>
              <w:numPr>
                <w:ilvl w:val="1"/>
                <w:numId w:val="2"/>
              </w:numPr>
              <w:tabs>
                <w:tab w:val="clear" w:pos="1440"/>
                <w:tab w:val="num" w:pos="-108"/>
                <w:tab w:val="num" w:pos="252"/>
                <w:tab w:val="num" w:pos="342"/>
                <w:tab w:val="num" w:pos="612"/>
              </w:tabs>
              <w:ind w:left="612" w:hanging="180"/>
              <w:rPr>
                <w:sz w:val="20"/>
                <w:szCs w:val="20"/>
              </w:rPr>
            </w:pPr>
            <w:r w:rsidRPr="0020560C">
              <w:rPr>
                <w:sz w:val="20"/>
                <w:szCs w:val="20"/>
              </w:rPr>
              <w:t>Little information about the models used and the way calculations were carried out</w:t>
            </w:r>
          </w:p>
        </w:tc>
      </w:tr>
    </w:tbl>
    <w:p w:rsidR="0020560C" w:rsidRPr="0020560C" w:rsidRDefault="0020560C" w:rsidP="0020560C">
      <w:pPr>
        <w:rPr>
          <w:sz w:val="20"/>
          <w:szCs w:val="20"/>
        </w:rPr>
      </w:pPr>
    </w:p>
    <w:p w:rsidR="0020560C" w:rsidRPr="0020560C" w:rsidRDefault="0020560C" w:rsidP="0020560C">
      <w:pPr>
        <w:rPr>
          <w:sz w:val="20"/>
          <w:szCs w:val="20"/>
        </w:rPr>
      </w:pPr>
    </w:p>
    <w:p w:rsidR="0020560C" w:rsidRPr="0020560C" w:rsidRDefault="0020560C" w:rsidP="0020560C">
      <w:pPr>
        <w:rPr>
          <w:b/>
          <w:sz w:val="20"/>
          <w:szCs w:val="20"/>
        </w:rPr>
      </w:pPr>
      <w:r w:rsidRPr="0020560C">
        <w:rPr>
          <w:b/>
          <w:sz w:val="20"/>
          <w:szCs w:val="20"/>
        </w:rPr>
        <w:br w:type="page"/>
      </w:r>
    </w:p>
    <w:p w:rsidR="0020560C" w:rsidRPr="0020560C" w:rsidRDefault="008E6F7C" w:rsidP="0020560C">
      <w:pPr>
        <w:pStyle w:val="Heading1"/>
        <w:rPr>
          <w:rFonts w:asciiTheme="minorHAnsi" w:hAnsiTheme="minorHAnsi"/>
          <w:color w:val="auto"/>
          <w:sz w:val="20"/>
          <w:szCs w:val="20"/>
        </w:rPr>
      </w:pPr>
      <w:bookmarkStart w:id="11" w:name="_Toc380059796"/>
      <w:r>
        <w:rPr>
          <w:rFonts w:asciiTheme="minorHAnsi" w:hAnsiTheme="minorHAnsi"/>
          <w:color w:val="auto"/>
          <w:sz w:val="20"/>
          <w:szCs w:val="20"/>
        </w:rPr>
        <w:lastRenderedPageBreak/>
        <w:t xml:space="preserve">KQ1: </w:t>
      </w:r>
      <w:r w:rsidR="0020560C" w:rsidRPr="0020560C">
        <w:rPr>
          <w:rFonts w:asciiTheme="minorHAnsi" w:hAnsiTheme="minorHAnsi"/>
          <w:color w:val="auto"/>
          <w:sz w:val="20"/>
          <w:szCs w:val="20"/>
        </w:rPr>
        <w:t>Polly (2003)</w:t>
      </w:r>
      <w:hyperlink w:anchor="_ENREF_9" w:tooltip="Polly Jr, 2003 #62" w:history="1">
        <w:r w:rsidR="003E042C">
          <w:rPr>
            <w:rFonts w:asciiTheme="minorHAnsi" w:hAnsiTheme="minorHAnsi"/>
            <w:color w:val="auto"/>
            <w:sz w:val="20"/>
            <w:szCs w:val="20"/>
          </w:rPr>
          <w:fldChar w:fldCharType="begin">
            <w:fldData xml:space="preserve">PEVuZE5vdGU+PENpdGU+PEF1dGhvcj5Qb2xseSBKcjwvQXV0aG9yPjxZZWFyPjIwMDM8L1llYXI+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</w:fldData>
          </w:fldChar>
        </w:r>
        <w:r w:rsidR="003E042C">
          <w:rPr>
            <w:rFonts w:asciiTheme="minorHAnsi" w:hAnsiTheme="minorHAnsi"/>
            <w:color w:val="auto"/>
            <w:sz w:val="20"/>
            <w:szCs w:val="20"/>
          </w:rPr>
          <w:instrText xml:space="preserve"> ADDIN EN.CITE </w:instrText>
        </w:r>
        <w:r w:rsidR="003E042C">
          <w:rPr>
            <w:rFonts w:asciiTheme="minorHAnsi" w:hAnsiTheme="minorHAnsi"/>
            <w:color w:val="auto"/>
            <w:sz w:val="20"/>
            <w:szCs w:val="20"/>
          </w:rPr>
          <w:fldChar w:fldCharType="begin">
            <w:fldData xml:space="preserve">PEVuZE5vdGU+PENpdGU+PEF1dGhvcj5Qb2xseSBKcjwvQXV0aG9yPjxZZWFyPjIwMDM8L1llYXI+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</w:fldData>
          </w:fldChar>
        </w:r>
        <w:r w:rsidR="003E042C">
          <w:rPr>
            <w:rFonts w:asciiTheme="minorHAnsi" w:hAnsiTheme="minorHAnsi"/>
            <w:color w:val="auto"/>
            <w:sz w:val="20"/>
            <w:szCs w:val="20"/>
          </w:rPr>
          <w:instrText xml:space="preserve"> ADDIN EN.CITE.DATA </w:instrText>
        </w:r>
        <w:r w:rsidR="003E042C">
          <w:rPr>
            <w:rFonts w:asciiTheme="minorHAnsi" w:hAnsiTheme="minorHAnsi"/>
            <w:color w:val="auto"/>
            <w:sz w:val="20"/>
            <w:szCs w:val="20"/>
          </w:rPr>
        </w:r>
        <w:r w:rsidR="003E042C">
          <w:rPr>
            <w:rFonts w:asciiTheme="minorHAnsi" w:hAnsiTheme="minorHAnsi"/>
            <w:color w:val="auto"/>
            <w:sz w:val="20"/>
            <w:szCs w:val="20"/>
          </w:rPr>
          <w:fldChar w:fldCharType="end"/>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9</w:t>
        </w:r>
        <w:r w:rsidR="003E042C">
          <w:rPr>
            <w:rFonts w:asciiTheme="minorHAnsi" w:hAnsiTheme="minorHAnsi"/>
            <w:color w:val="auto"/>
            <w:sz w:val="20"/>
            <w:szCs w:val="20"/>
          </w:rPr>
          <w:fldChar w:fldCharType="end"/>
        </w:r>
      </w:hyperlink>
      <w:r w:rsidR="0020560C" w:rsidRPr="0020560C">
        <w:rPr>
          <w:rFonts w:asciiTheme="minorHAnsi" w:hAnsiTheme="minorHAnsi"/>
          <w:color w:val="auto"/>
          <w:sz w:val="20"/>
          <w:szCs w:val="20"/>
        </w:rPr>
        <w:t xml:space="preserve"> </w:t>
      </w:r>
      <w:bookmarkEnd w:id="11"/>
    </w:p>
    <w:tbl>
      <w:tblPr>
        <w:tblStyle w:val="TableGrid"/>
        <w:tblW w:w="9828" w:type="dxa"/>
        <w:tblLook w:val="04A0" w:firstRow="1" w:lastRow="0" w:firstColumn="1" w:lastColumn="0" w:noHBand="0" w:noVBand="1"/>
      </w:tblPr>
      <w:tblGrid>
        <w:gridCol w:w="2898"/>
        <w:gridCol w:w="6840"/>
        <w:gridCol w:w="90"/>
      </w:tblGrid>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Type of economic evaluation</w:t>
            </w:r>
          </w:p>
        </w:tc>
        <w:tc>
          <w:tcPr>
            <w:tcW w:w="6840" w:type="dxa"/>
          </w:tcPr>
          <w:p w:rsidR="0020560C" w:rsidRPr="0020560C" w:rsidRDefault="0020560C" w:rsidP="0046104C">
            <w:pPr>
              <w:rPr>
                <w:sz w:val="20"/>
                <w:szCs w:val="20"/>
              </w:rPr>
            </w:pPr>
            <w:r w:rsidRPr="0020560C">
              <w:rPr>
                <w:sz w:val="20"/>
                <w:szCs w:val="20"/>
              </w:rPr>
              <w:t>Cost-effectiveness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Country</w:t>
            </w:r>
          </w:p>
        </w:tc>
        <w:tc>
          <w:tcPr>
            <w:tcW w:w="6840" w:type="dxa"/>
          </w:tcPr>
          <w:p w:rsidR="0020560C" w:rsidRPr="0020560C" w:rsidRDefault="0020560C" w:rsidP="0046104C">
            <w:pPr>
              <w:rPr>
                <w:sz w:val="20"/>
                <w:szCs w:val="20"/>
              </w:rPr>
            </w:pPr>
            <w:r w:rsidRPr="0020560C">
              <w:rPr>
                <w:sz w:val="20"/>
                <w:szCs w:val="20"/>
              </w:rPr>
              <w:t>US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Funding</w:t>
            </w:r>
          </w:p>
        </w:tc>
        <w:tc>
          <w:tcPr>
            <w:tcW w:w="6840" w:type="dxa"/>
          </w:tcPr>
          <w:p w:rsidR="0020560C" w:rsidRPr="0020560C" w:rsidRDefault="0020560C" w:rsidP="0046104C">
            <w:pPr>
              <w:rPr>
                <w:sz w:val="20"/>
                <w:szCs w:val="20"/>
              </w:rPr>
            </w:pPr>
            <w:r w:rsidRPr="0020560C">
              <w:rPr>
                <w:sz w:val="20"/>
                <w:szCs w:val="20"/>
              </w:rPr>
              <w:t xml:space="preserve">Supported in part by Medtronic </w:t>
            </w:r>
            <w:proofErr w:type="spellStart"/>
            <w:r w:rsidRPr="0020560C">
              <w:rPr>
                <w:sz w:val="20"/>
                <w:szCs w:val="20"/>
              </w:rPr>
              <w:t>Safamor</w:t>
            </w:r>
            <w:proofErr w:type="spellEnd"/>
            <w:r w:rsidRPr="0020560C">
              <w:rPr>
                <w:sz w:val="20"/>
                <w:szCs w:val="20"/>
              </w:rPr>
              <w:t xml:space="preserve"> </w:t>
            </w:r>
            <w:proofErr w:type="spellStart"/>
            <w:r w:rsidRPr="0020560C">
              <w:rPr>
                <w:sz w:val="20"/>
                <w:szCs w:val="20"/>
              </w:rPr>
              <w:t>Danek</w:t>
            </w:r>
            <w:proofErr w:type="spellEnd"/>
            <w:r w:rsidRPr="0020560C">
              <w:rPr>
                <w:sz w:val="20"/>
                <w:szCs w:val="20"/>
              </w:rPr>
              <w:t xml:space="preserve">, Memphis, Tenn. </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QHES</w:t>
            </w:r>
          </w:p>
        </w:tc>
        <w:tc>
          <w:tcPr>
            <w:tcW w:w="6840" w:type="dxa"/>
          </w:tcPr>
          <w:p w:rsidR="0020560C" w:rsidRPr="0020560C" w:rsidRDefault="0053588E" w:rsidP="0046104C">
            <w:pPr>
              <w:rPr>
                <w:sz w:val="20"/>
                <w:szCs w:val="20"/>
              </w:rPr>
            </w:pPr>
            <w:r>
              <w:rPr>
                <w:sz w:val="20"/>
                <w:szCs w:val="20"/>
              </w:rPr>
              <w:t>74/100</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Objective</w:t>
            </w:r>
          </w:p>
        </w:tc>
        <w:tc>
          <w:tcPr>
            <w:tcW w:w="6840" w:type="dxa"/>
          </w:tcPr>
          <w:p w:rsidR="0020560C" w:rsidRPr="0020560C" w:rsidRDefault="0020560C" w:rsidP="0046104C">
            <w:pPr>
              <w:rPr>
                <w:sz w:val="20"/>
                <w:szCs w:val="20"/>
              </w:rPr>
            </w:pPr>
            <w:r w:rsidRPr="0020560C">
              <w:rPr>
                <w:sz w:val="20"/>
                <w:szCs w:val="20"/>
              </w:rPr>
              <w:t xml:space="preserve">To compare costs of stand-alone ALIF with rhBMP-2 on an absorbable collagen sponge vs. </w:t>
            </w:r>
            <w:proofErr w:type="spellStart"/>
            <w:r w:rsidRPr="0020560C">
              <w:rPr>
                <w:sz w:val="20"/>
                <w:szCs w:val="20"/>
              </w:rPr>
              <w:t>autogenous</w:t>
            </w:r>
            <w:proofErr w:type="spellEnd"/>
            <w:r w:rsidRPr="0020560C">
              <w:rPr>
                <w:sz w:val="20"/>
                <w:szCs w:val="20"/>
              </w:rPr>
              <w:t xml:space="preserve"> ICBG in a tapered cylindrical cage or a threaded cortical bone dowel.  In order to inform decision-makers about the total costs of BMP, an economic analysis was performed, which focused on spine care costs, rather than just the care (</w:t>
            </w:r>
            <w:proofErr w:type="spellStart"/>
            <w:r w:rsidRPr="0020560C">
              <w:rPr>
                <w:sz w:val="20"/>
                <w:szCs w:val="20"/>
              </w:rPr>
              <w:t>ie</w:t>
            </w:r>
            <w:proofErr w:type="spellEnd"/>
            <w:r w:rsidRPr="0020560C">
              <w:rPr>
                <w:sz w:val="20"/>
                <w:szCs w:val="20"/>
              </w:rPr>
              <w:t>, the cost of fusion alone).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Model type</w:t>
            </w:r>
          </w:p>
        </w:tc>
        <w:tc>
          <w:tcPr>
            <w:tcW w:w="6840" w:type="dxa"/>
          </w:tcPr>
          <w:p w:rsidR="0020560C" w:rsidRPr="0020560C" w:rsidRDefault="0020560C" w:rsidP="0046104C">
            <w:pPr>
              <w:rPr>
                <w:sz w:val="20"/>
                <w:szCs w:val="20"/>
              </w:rPr>
            </w:pPr>
            <w:r w:rsidRPr="0020560C">
              <w:rPr>
                <w:sz w:val="20"/>
                <w:szCs w:val="20"/>
              </w:rPr>
              <w:t>Cost-offset models</w:t>
            </w:r>
          </w:p>
          <w:p w:rsidR="0020560C" w:rsidRPr="0020560C" w:rsidRDefault="0020560C" w:rsidP="0046104C">
            <w:pPr>
              <w:rPr>
                <w:sz w:val="20"/>
                <w:szCs w:val="20"/>
              </w:rPr>
            </w:pPr>
            <w:r w:rsidRPr="0020560C">
              <w:rPr>
                <w:sz w:val="20"/>
                <w:szCs w:val="20"/>
                <w:u w:val="single"/>
              </w:rPr>
              <w:t>1</w:t>
            </w:r>
            <w:r w:rsidRPr="0020560C">
              <w:rPr>
                <w:sz w:val="20"/>
                <w:szCs w:val="20"/>
                <w:u w:val="single"/>
                <w:vertAlign w:val="superscript"/>
              </w:rPr>
              <w:t>st</w:t>
            </w:r>
            <w:r w:rsidRPr="0020560C">
              <w:rPr>
                <w:sz w:val="20"/>
                <w:szCs w:val="20"/>
                <w:u w:val="single"/>
              </w:rPr>
              <w:t xml:space="preserve"> model</w:t>
            </w:r>
            <w:r w:rsidRPr="0020560C">
              <w:rPr>
                <w:sz w:val="20"/>
                <w:szCs w:val="20"/>
              </w:rPr>
              <w:t>: hospital costs incurred only during the index hospitalization (does not take into account the fusion success rate or the cost of physician services)</w:t>
            </w:r>
          </w:p>
          <w:p w:rsidR="0020560C" w:rsidRPr="0020560C" w:rsidRDefault="0020560C" w:rsidP="0046104C">
            <w:pPr>
              <w:rPr>
                <w:sz w:val="20"/>
                <w:szCs w:val="20"/>
              </w:rPr>
            </w:pPr>
            <w:r w:rsidRPr="0020560C">
              <w:rPr>
                <w:sz w:val="20"/>
                <w:szCs w:val="20"/>
              </w:rPr>
              <w:t xml:space="preserve"> </w:t>
            </w:r>
          </w:p>
          <w:p w:rsidR="0020560C" w:rsidRPr="0020560C" w:rsidRDefault="0020560C" w:rsidP="0046104C">
            <w:pPr>
              <w:rPr>
                <w:sz w:val="20"/>
                <w:szCs w:val="20"/>
              </w:rPr>
            </w:pPr>
            <w:r w:rsidRPr="0020560C">
              <w:rPr>
                <w:sz w:val="20"/>
                <w:szCs w:val="20"/>
                <w:u w:val="single"/>
              </w:rPr>
              <w:t>2</w:t>
            </w:r>
            <w:r w:rsidRPr="0020560C">
              <w:rPr>
                <w:sz w:val="20"/>
                <w:szCs w:val="20"/>
                <w:u w:val="single"/>
                <w:vertAlign w:val="superscript"/>
              </w:rPr>
              <w:t>nd</w:t>
            </w:r>
            <w:r w:rsidRPr="0020560C">
              <w:rPr>
                <w:sz w:val="20"/>
                <w:szCs w:val="20"/>
                <w:u w:val="single"/>
              </w:rPr>
              <w:t xml:space="preserve"> model</w:t>
            </w:r>
            <w:r w:rsidRPr="0020560C">
              <w:rPr>
                <w:sz w:val="20"/>
                <w:szCs w:val="20"/>
              </w:rPr>
              <w:t xml:space="preserve">: direct medical costs incurred during the index hospitalization and the subsequent 2 years (takes into account the fusion success rate, cost of physician services, costs associated with follow-up care and </w:t>
            </w:r>
            <w:proofErr w:type="spellStart"/>
            <w:r w:rsidRPr="0020560C">
              <w:rPr>
                <w:sz w:val="20"/>
                <w:szCs w:val="20"/>
              </w:rPr>
              <w:t>pseudarthrosis</w:t>
            </w:r>
            <w:proofErr w:type="spellEnd"/>
            <w:r w:rsidRPr="0020560C">
              <w:rPr>
                <w:sz w:val="20"/>
                <w:szCs w:val="20"/>
              </w:rPr>
              <w:t xml:space="preserve"> repair (due to index surgery failure))</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 xml:space="preserve">The models evaluated the degree to which BMP reduces medical resource use by obviating the need for </w:t>
            </w:r>
            <w:proofErr w:type="spellStart"/>
            <w:r w:rsidRPr="0020560C">
              <w:rPr>
                <w:sz w:val="20"/>
                <w:szCs w:val="20"/>
              </w:rPr>
              <w:t>autogenous</w:t>
            </w:r>
            <w:proofErr w:type="spellEnd"/>
            <w:r w:rsidRPr="0020560C">
              <w:rPr>
                <w:sz w:val="20"/>
                <w:szCs w:val="20"/>
              </w:rPr>
              <w:t xml:space="preserve"> iliac crest bone graft and by improving the lumbar spinal fusion success rate</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Models were based on data from 3 sources: clinical trial data, peer-reviewed literature, and expert opinion</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Analytic perspective</w:t>
            </w:r>
          </w:p>
        </w:tc>
        <w:tc>
          <w:tcPr>
            <w:tcW w:w="6840" w:type="dxa"/>
          </w:tcPr>
          <w:p w:rsidR="0020560C" w:rsidRPr="0020560C" w:rsidRDefault="0020560C" w:rsidP="0046104C">
            <w:pPr>
              <w:rPr>
                <w:sz w:val="20"/>
                <w:szCs w:val="20"/>
              </w:rPr>
            </w:pP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Time horizon</w:t>
            </w:r>
          </w:p>
        </w:tc>
        <w:tc>
          <w:tcPr>
            <w:tcW w:w="6840" w:type="dxa"/>
          </w:tcPr>
          <w:p w:rsidR="0020560C" w:rsidRPr="0020560C" w:rsidRDefault="0020560C" w:rsidP="0046104C">
            <w:pPr>
              <w:rPr>
                <w:sz w:val="20"/>
                <w:szCs w:val="20"/>
              </w:rPr>
            </w:pPr>
            <w:r w:rsidRPr="0020560C">
              <w:rPr>
                <w:sz w:val="20"/>
                <w:szCs w:val="20"/>
              </w:rPr>
              <w:t>2 years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Outcome(s) reported</w:t>
            </w:r>
          </w:p>
        </w:tc>
        <w:tc>
          <w:tcPr>
            <w:tcW w:w="6840" w:type="dxa"/>
          </w:tcPr>
          <w:p w:rsidR="0020560C" w:rsidRPr="0020560C" w:rsidRDefault="0020560C" w:rsidP="0046104C">
            <w:pPr>
              <w:rPr>
                <w:sz w:val="20"/>
                <w:szCs w:val="20"/>
              </w:rPr>
            </w:pPr>
            <w:r w:rsidRPr="0020560C">
              <w:rPr>
                <w:sz w:val="20"/>
                <w:szCs w:val="20"/>
              </w:rPr>
              <w:t>Cost per improved outcome</w:t>
            </w:r>
          </w:p>
        </w:tc>
      </w:tr>
      <w:tr w:rsidR="0020560C" w:rsidRPr="0020560C" w:rsidTr="0046104C">
        <w:trPr>
          <w:gridAfter w:val="1"/>
          <w:wAfter w:w="90" w:type="dxa"/>
        </w:trPr>
        <w:tc>
          <w:tcPr>
            <w:tcW w:w="973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Effectiveness data source(s) (CoE of data source)</w:t>
            </w:r>
          </w:p>
        </w:tc>
        <w:tc>
          <w:tcPr>
            <w:tcW w:w="6840" w:type="dxa"/>
          </w:tcPr>
          <w:p w:rsidR="0020560C" w:rsidRPr="0020560C" w:rsidRDefault="0020560C" w:rsidP="0046104C">
            <w:pPr>
              <w:rPr>
                <w:sz w:val="20"/>
                <w:szCs w:val="20"/>
              </w:rPr>
            </w:pPr>
            <w:r w:rsidRPr="0020560C">
              <w:rPr>
                <w:sz w:val="20"/>
                <w:szCs w:val="20"/>
              </w:rPr>
              <w:t>Based on a single RCT (LT-CAGE trial) (I/II) (for fusion success/failure) and on literature/expert opinion (all other outcomes/hospital resources/bone graft complications)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6840" w:type="dxa"/>
          </w:tcPr>
          <w:p w:rsidR="0020560C" w:rsidRPr="0020560C" w:rsidRDefault="0020560C" w:rsidP="0046104C">
            <w:pPr>
              <w:rPr>
                <w:sz w:val="20"/>
                <w:szCs w:val="20"/>
              </w:rPr>
            </w:pPr>
            <w:r w:rsidRPr="0020560C">
              <w:rPr>
                <w:sz w:val="20"/>
                <w:szCs w:val="20"/>
              </w:rPr>
              <w:t>RCT: N = 279</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Diagnosis</w:t>
            </w:r>
          </w:p>
        </w:tc>
        <w:tc>
          <w:tcPr>
            <w:tcW w:w="6840" w:type="dxa"/>
          </w:tcPr>
          <w:p w:rsidR="0020560C" w:rsidRPr="0020560C" w:rsidRDefault="0020560C" w:rsidP="0046104C">
            <w:pPr>
              <w:rPr>
                <w:sz w:val="20"/>
                <w:szCs w:val="20"/>
              </w:rPr>
            </w:pPr>
            <w:r w:rsidRPr="0020560C">
              <w:rPr>
                <w:sz w:val="20"/>
                <w:szCs w:val="20"/>
              </w:rPr>
              <w:t>RCT: DDD with or without leg pain, with disc degeneration confirmed by patient history and radiographs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Interventions being compared</w:t>
            </w:r>
          </w:p>
        </w:tc>
        <w:tc>
          <w:tcPr>
            <w:tcW w:w="6840" w:type="dxa"/>
          </w:tcPr>
          <w:p w:rsidR="0020560C" w:rsidRPr="0020560C" w:rsidRDefault="0020560C" w:rsidP="0046104C">
            <w:pPr>
              <w:rPr>
                <w:sz w:val="20"/>
                <w:szCs w:val="20"/>
              </w:rPr>
            </w:pPr>
            <w:r w:rsidRPr="0020560C">
              <w:rPr>
                <w:sz w:val="20"/>
                <w:szCs w:val="20"/>
              </w:rPr>
              <w:t xml:space="preserve">RCT: Single-level anterior spinal fusion surgery using rhBMP-2 (Infuse Bone Graft) (n = 143) or </w:t>
            </w:r>
            <w:proofErr w:type="spellStart"/>
            <w:r w:rsidRPr="0020560C">
              <w:rPr>
                <w:sz w:val="20"/>
                <w:szCs w:val="20"/>
              </w:rPr>
              <w:t>autogenous</w:t>
            </w:r>
            <w:proofErr w:type="spellEnd"/>
            <w:r w:rsidRPr="0020560C">
              <w:rPr>
                <w:sz w:val="20"/>
                <w:szCs w:val="20"/>
              </w:rPr>
              <w:t xml:space="preserve"> ICBG in a LT-CAGE (n = 136)</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Mean age (range)</w:t>
            </w:r>
          </w:p>
        </w:tc>
        <w:tc>
          <w:tcPr>
            <w:tcW w:w="6840" w:type="dxa"/>
          </w:tcPr>
          <w:p w:rsidR="0020560C" w:rsidRPr="0020560C" w:rsidRDefault="0020560C" w:rsidP="0046104C">
            <w:pPr>
              <w:rPr>
                <w:sz w:val="20"/>
                <w:szCs w:val="20"/>
              </w:rPr>
            </w:pPr>
            <w:r w:rsidRPr="0020560C">
              <w:rPr>
                <w:sz w:val="20"/>
                <w:szCs w:val="20"/>
              </w:rPr>
              <w:t>RCT: NR</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Sex (% female)</w:t>
            </w:r>
          </w:p>
        </w:tc>
        <w:tc>
          <w:tcPr>
            <w:tcW w:w="6840" w:type="dxa"/>
          </w:tcPr>
          <w:p w:rsidR="0020560C" w:rsidRPr="0020560C" w:rsidRDefault="0020560C" w:rsidP="0046104C">
            <w:pPr>
              <w:rPr>
                <w:sz w:val="20"/>
                <w:szCs w:val="20"/>
              </w:rPr>
            </w:pPr>
            <w:r w:rsidRPr="0020560C">
              <w:rPr>
                <w:sz w:val="20"/>
                <w:szCs w:val="20"/>
              </w:rPr>
              <w:t>RCT: NR</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6840" w:type="dxa"/>
          </w:tcPr>
          <w:p w:rsidR="0020560C" w:rsidRPr="0020560C" w:rsidRDefault="0020560C" w:rsidP="0046104C">
            <w:pPr>
              <w:rPr>
                <w:sz w:val="20"/>
                <w:szCs w:val="20"/>
              </w:rPr>
            </w:pPr>
            <w:r w:rsidRPr="0020560C">
              <w:rPr>
                <w:sz w:val="20"/>
                <w:szCs w:val="20"/>
              </w:rPr>
              <w:t>Fusion success (defined as bridging trabecular bone, translational stability (≤ 3 mm), angular motion stability (</w:t>
            </w:r>
            <w:r w:rsidRPr="0020560C">
              <w:rPr>
                <w:iCs/>
                <w:sz w:val="20"/>
                <w:szCs w:val="20"/>
              </w:rPr>
              <w:t>≤ 5°)</w:t>
            </w:r>
            <w:r w:rsidRPr="0020560C">
              <w:rPr>
                <w:i/>
                <w:iCs/>
                <w:sz w:val="20"/>
                <w:szCs w:val="20"/>
              </w:rPr>
              <w:t xml:space="preserve"> </w:t>
            </w:r>
            <w:r w:rsidRPr="0020560C">
              <w:rPr>
                <w:sz w:val="20"/>
                <w:szCs w:val="20"/>
              </w:rPr>
              <w:t xml:space="preserve">and the absence of radiolucent lines around &gt;50% of the implant(s)), fusion failure (secondary spinal surgery), OR time, anesthesia time, recovery room time, need for blood transfusion, </w:t>
            </w:r>
            <w:proofErr w:type="spellStart"/>
            <w:r w:rsidRPr="0020560C">
              <w:rPr>
                <w:sz w:val="20"/>
                <w:szCs w:val="20"/>
              </w:rPr>
              <w:t>autograft</w:t>
            </w:r>
            <w:proofErr w:type="spellEnd"/>
            <w:r w:rsidRPr="0020560C">
              <w:rPr>
                <w:sz w:val="20"/>
                <w:szCs w:val="20"/>
              </w:rPr>
              <w:t xml:space="preserve"> extender/harvester use, length of stay, drain use,  iliac crest backfill use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Complications used in model</w:t>
            </w:r>
          </w:p>
        </w:tc>
        <w:tc>
          <w:tcPr>
            <w:tcW w:w="6840" w:type="dxa"/>
          </w:tcPr>
          <w:p w:rsidR="0020560C" w:rsidRPr="0020560C" w:rsidRDefault="0020560C" w:rsidP="0046104C">
            <w:pPr>
              <w:rPr>
                <w:sz w:val="20"/>
                <w:szCs w:val="20"/>
              </w:rPr>
            </w:pPr>
            <w:r w:rsidRPr="0020560C">
              <w:rPr>
                <w:sz w:val="20"/>
                <w:szCs w:val="20"/>
              </w:rPr>
              <w:t>Pain at donor site (severe and minor), minor complications at bone graft site (included infection, hematoma, wound dehiscence, and prolonged wound drainage), major complications at bone graft site (neuroma, vascular injury, herniation, and iliac crest fracture)</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rPr>
              <w:t>Note: It was assumed that pain and complications at the bone graft site would be eliminated by BMP use (see Table 1)</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lastRenderedPageBreak/>
              <w:t xml:space="preserve">Timeframe of outcomes included </w:t>
            </w:r>
          </w:p>
        </w:tc>
        <w:tc>
          <w:tcPr>
            <w:tcW w:w="6840" w:type="dxa"/>
          </w:tcPr>
          <w:p w:rsidR="0020560C" w:rsidRPr="0020560C" w:rsidRDefault="0020560C" w:rsidP="0046104C">
            <w:pPr>
              <w:rPr>
                <w:sz w:val="20"/>
                <w:szCs w:val="20"/>
              </w:rPr>
            </w:pPr>
            <w:r w:rsidRPr="0020560C">
              <w:rPr>
                <w:sz w:val="20"/>
                <w:szCs w:val="20"/>
              </w:rPr>
              <w:t>RCT: 2 years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Country of study</w:t>
            </w:r>
          </w:p>
        </w:tc>
        <w:tc>
          <w:tcPr>
            <w:tcW w:w="6840" w:type="dxa"/>
          </w:tcPr>
          <w:p w:rsidR="0020560C" w:rsidRPr="0020560C" w:rsidRDefault="0020560C" w:rsidP="0046104C">
            <w:pPr>
              <w:rPr>
                <w:sz w:val="20"/>
                <w:szCs w:val="20"/>
              </w:rPr>
            </w:pPr>
            <w:r w:rsidRPr="0020560C">
              <w:rPr>
                <w:sz w:val="20"/>
                <w:szCs w:val="20"/>
              </w:rPr>
              <w:t>RCT: US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Type of organization</w:t>
            </w:r>
          </w:p>
        </w:tc>
        <w:tc>
          <w:tcPr>
            <w:tcW w:w="6840" w:type="dxa"/>
          </w:tcPr>
          <w:p w:rsidR="0020560C" w:rsidRPr="0020560C" w:rsidRDefault="0020560C" w:rsidP="0046104C">
            <w:pPr>
              <w:rPr>
                <w:sz w:val="20"/>
                <w:szCs w:val="20"/>
              </w:rPr>
            </w:pPr>
            <w:r w:rsidRPr="0020560C">
              <w:rPr>
                <w:sz w:val="20"/>
                <w:szCs w:val="20"/>
              </w:rPr>
              <w:t>NR</w:t>
            </w:r>
          </w:p>
        </w:tc>
      </w:tr>
      <w:tr w:rsidR="0020560C" w:rsidRPr="0020560C" w:rsidTr="0046104C">
        <w:trPr>
          <w:gridAfter w:val="1"/>
          <w:wAfter w:w="90" w:type="dxa"/>
        </w:trPr>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Costs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Currency (type and year)</w:t>
            </w:r>
          </w:p>
        </w:tc>
        <w:tc>
          <w:tcPr>
            <w:tcW w:w="6840" w:type="dxa"/>
          </w:tcPr>
          <w:p w:rsidR="0020560C" w:rsidRPr="0020560C" w:rsidRDefault="0020560C" w:rsidP="0046104C">
            <w:pPr>
              <w:rPr>
                <w:sz w:val="20"/>
                <w:szCs w:val="20"/>
              </w:rPr>
            </w:pPr>
            <w:r w:rsidRPr="0020560C">
              <w:rPr>
                <w:sz w:val="20"/>
                <w:szCs w:val="20"/>
              </w:rPr>
              <w:t>US$ (2001)</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Cost source(s)</w:t>
            </w:r>
          </w:p>
        </w:tc>
        <w:tc>
          <w:tcPr>
            <w:tcW w:w="6840" w:type="dxa"/>
          </w:tcPr>
          <w:p w:rsidR="0020560C" w:rsidRPr="0020560C" w:rsidRDefault="0020560C" w:rsidP="0046104C">
            <w:pPr>
              <w:rPr>
                <w:sz w:val="20"/>
                <w:szCs w:val="20"/>
              </w:rPr>
            </w:pPr>
            <w:r w:rsidRPr="0020560C">
              <w:rPr>
                <w:sz w:val="20"/>
                <w:szCs w:val="20"/>
              </w:rPr>
              <w:t>Costs were determined from various sources: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Professional fees for non-anesthesiologist physician services were based on the resource-based relative value scale in the 2001 Medicare Fee Schedule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Professional fees for anesthesiologists were estimated from the 2001 Medicare Anesthesia Payment schedule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Hospital facility costs were based on 1999 charge data from </w:t>
            </w:r>
            <w:proofErr w:type="spellStart"/>
            <w:r w:rsidRPr="0020560C">
              <w:rPr>
                <w:sz w:val="20"/>
                <w:szCs w:val="20"/>
              </w:rPr>
              <w:t>Solucient</w:t>
            </w:r>
            <w:proofErr w:type="spellEnd"/>
            <w:r w:rsidRPr="0020560C">
              <w:rPr>
                <w:sz w:val="20"/>
                <w:szCs w:val="20"/>
              </w:rPr>
              <w:t xml:space="preserve"> Incorporated's Projected Inpatient Database, the largest available all-payer inpatient database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Cost of </w:t>
            </w:r>
            <w:proofErr w:type="spellStart"/>
            <w:r w:rsidRPr="0020560C">
              <w:rPr>
                <w:sz w:val="20"/>
                <w:szCs w:val="20"/>
              </w:rPr>
              <w:t>autograft</w:t>
            </w:r>
            <w:proofErr w:type="spellEnd"/>
            <w:r w:rsidRPr="0020560C">
              <w:rPr>
                <w:sz w:val="20"/>
                <w:szCs w:val="20"/>
              </w:rPr>
              <w:t xml:space="preserve"> extenders, </w:t>
            </w:r>
            <w:proofErr w:type="spellStart"/>
            <w:r w:rsidRPr="0020560C">
              <w:rPr>
                <w:sz w:val="20"/>
                <w:szCs w:val="20"/>
              </w:rPr>
              <w:t>autograft</w:t>
            </w:r>
            <w:proofErr w:type="spellEnd"/>
            <w:r w:rsidRPr="0020560C">
              <w:rPr>
                <w:sz w:val="20"/>
                <w:szCs w:val="20"/>
              </w:rPr>
              <w:t xml:space="preserve"> harvesters, iliac crest backfill, transcutaneous electrical nerve stimulation, and drains were obtained from the manufacturers of these products (Medtronic, </w:t>
            </w:r>
            <w:proofErr w:type="spellStart"/>
            <w:r w:rsidRPr="0020560C">
              <w:rPr>
                <w:sz w:val="20"/>
                <w:szCs w:val="20"/>
              </w:rPr>
              <w:t>Osteotech</w:t>
            </w:r>
            <w:proofErr w:type="spellEnd"/>
            <w:r w:rsidRPr="0020560C">
              <w:rPr>
                <w:sz w:val="20"/>
                <w:szCs w:val="20"/>
              </w:rPr>
              <w:t xml:space="preserve">, Zimmer, </w:t>
            </w:r>
            <w:proofErr w:type="spellStart"/>
            <w:r w:rsidRPr="0020560C">
              <w:rPr>
                <w:sz w:val="20"/>
                <w:szCs w:val="20"/>
              </w:rPr>
              <w:t>Theratech</w:t>
            </w:r>
            <w:proofErr w:type="spellEnd"/>
            <w:r w:rsidRPr="0020560C">
              <w:rPr>
                <w:sz w:val="20"/>
                <w:szCs w:val="20"/>
              </w:rPr>
              <w:t>)</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the operating room, anesthesia, recovery room, and room and board were obtained from a rehabilitation hospital based in the southeast United States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Cost of inexpensive medical and surgical supplies such as </w:t>
            </w:r>
            <w:proofErr w:type="spellStart"/>
            <w:r w:rsidRPr="0020560C">
              <w:rPr>
                <w:sz w:val="20"/>
                <w:szCs w:val="20"/>
              </w:rPr>
              <w:t>gelfoam</w:t>
            </w:r>
            <w:proofErr w:type="spellEnd"/>
            <w:r w:rsidRPr="0020560C">
              <w:rPr>
                <w:sz w:val="20"/>
                <w:szCs w:val="20"/>
              </w:rPr>
              <w:t xml:space="preserve">, sutures, skin staplers, bone wax, and sponges were obtained from </w:t>
            </w:r>
            <w:proofErr w:type="spellStart"/>
            <w:r w:rsidRPr="0020560C">
              <w:rPr>
                <w:sz w:val="20"/>
                <w:szCs w:val="20"/>
              </w:rPr>
              <w:t>Milliman</w:t>
            </w:r>
            <w:proofErr w:type="spellEnd"/>
            <w:r w:rsidRPr="0020560C">
              <w:rPr>
                <w:sz w:val="20"/>
                <w:szCs w:val="20"/>
              </w:rPr>
              <w:t xml:space="preserve"> &amp; Robertson </w:t>
            </w:r>
            <w:proofErr w:type="spellStart"/>
            <w:r w:rsidRPr="0020560C">
              <w:rPr>
                <w:sz w:val="20"/>
                <w:szCs w:val="20"/>
              </w:rPr>
              <w:t>CareWeb</w:t>
            </w:r>
            <w:proofErr w:type="spellEnd"/>
            <w:r w:rsidRPr="0020560C">
              <w:rPr>
                <w:sz w:val="20"/>
                <w:szCs w:val="20"/>
              </w:rPr>
              <w:t xml:space="preserve"> Guidelines.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Cost of medications was based on 80% of the average wholesale price listed in the </w:t>
            </w:r>
            <w:r w:rsidRPr="0020560C">
              <w:rPr>
                <w:i/>
                <w:iCs/>
                <w:sz w:val="20"/>
                <w:szCs w:val="20"/>
              </w:rPr>
              <w:t xml:space="preserve">Drug Topics Red Book </w:t>
            </w:r>
            <w:r w:rsidRPr="0020560C">
              <w:rPr>
                <w:iCs/>
                <w:sz w:val="20"/>
                <w:szCs w:val="20"/>
              </w:rPr>
              <w:t>(to reflect actual acquisition costs, 20% was deducted from the average wholesale price)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Costs included in analysis</w:t>
            </w:r>
          </w:p>
        </w:tc>
        <w:tc>
          <w:tcPr>
            <w:tcW w:w="6840" w:type="dxa"/>
            <w:shd w:val="clear" w:color="auto" w:fill="auto"/>
          </w:tcPr>
          <w:p w:rsidR="0020560C" w:rsidRPr="0020560C" w:rsidRDefault="0020560C" w:rsidP="0046104C">
            <w:pPr>
              <w:rPr>
                <w:sz w:val="20"/>
                <w:szCs w:val="20"/>
              </w:rPr>
            </w:pPr>
            <w:r w:rsidRPr="0020560C">
              <w:rPr>
                <w:sz w:val="20"/>
                <w:szCs w:val="20"/>
                <w:u w:val="single"/>
              </w:rPr>
              <w:t>Model 1 (index hospitalization only) costs</w:t>
            </w:r>
            <w:r w:rsidRPr="0020560C">
              <w:rPr>
                <w:sz w:val="20"/>
                <w:szCs w:val="20"/>
              </w:rPr>
              <w:t xml:space="preserve">: rhBMP-2, OR, anesthesia, recovery room stay, blood loss (transfusion), </w:t>
            </w:r>
            <w:proofErr w:type="spellStart"/>
            <w:r w:rsidRPr="0020560C">
              <w:rPr>
                <w:sz w:val="20"/>
                <w:szCs w:val="20"/>
              </w:rPr>
              <w:t>autograft</w:t>
            </w:r>
            <w:proofErr w:type="spellEnd"/>
            <w:r w:rsidRPr="0020560C">
              <w:rPr>
                <w:sz w:val="20"/>
                <w:szCs w:val="20"/>
              </w:rPr>
              <w:t xml:space="preserve"> extenders, </w:t>
            </w:r>
            <w:proofErr w:type="spellStart"/>
            <w:r w:rsidRPr="0020560C">
              <w:rPr>
                <w:sz w:val="20"/>
                <w:szCs w:val="20"/>
              </w:rPr>
              <w:t>autograft</w:t>
            </w:r>
            <w:proofErr w:type="spellEnd"/>
            <w:r w:rsidRPr="0020560C">
              <w:rPr>
                <w:sz w:val="20"/>
                <w:szCs w:val="20"/>
              </w:rPr>
              <w:t xml:space="preserve"> harvesters, LOS, drain use, iliac crest backfill use</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u w:val="single"/>
              </w:rPr>
              <w:t>Model 2 (index hospitalization through 2 years) costs</w:t>
            </w:r>
            <w:r w:rsidRPr="0020560C">
              <w:rPr>
                <w:sz w:val="20"/>
                <w:szCs w:val="20"/>
              </w:rPr>
              <w:t xml:space="preserve">: rhBMP-2, inpatient physician services, OR, anesthesia, recovery room stay, blood loss (transfusion), LOS, </w:t>
            </w:r>
            <w:proofErr w:type="spellStart"/>
            <w:r w:rsidRPr="0020560C">
              <w:rPr>
                <w:sz w:val="20"/>
                <w:szCs w:val="20"/>
              </w:rPr>
              <w:t>autograft</w:t>
            </w:r>
            <w:proofErr w:type="spellEnd"/>
            <w:r w:rsidRPr="0020560C">
              <w:rPr>
                <w:sz w:val="20"/>
                <w:szCs w:val="20"/>
              </w:rPr>
              <w:t xml:space="preserve"> extenders, </w:t>
            </w:r>
            <w:proofErr w:type="spellStart"/>
            <w:r w:rsidRPr="0020560C">
              <w:rPr>
                <w:sz w:val="20"/>
                <w:szCs w:val="20"/>
              </w:rPr>
              <w:t>autograft</w:t>
            </w:r>
            <w:proofErr w:type="spellEnd"/>
            <w:r w:rsidRPr="0020560C">
              <w:rPr>
                <w:sz w:val="20"/>
                <w:szCs w:val="20"/>
              </w:rPr>
              <w:t xml:space="preserve"> harvesters, medical/surgical supplies, averted complications (severe pain, minor pain, infection, hematoma, would dehiscence, prolonged would drainage, vascular injury, herniation, iliac crest fracture), follow-up care (after successful index surgery, after unsuccessful index surgery but before </w:t>
            </w:r>
            <w:proofErr w:type="spellStart"/>
            <w:r w:rsidRPr="0020560C">
              <w:rPr>
                <w:sz w:val="20"/>
                <w:szCs w:val="20"/>
              </w:rPr>
              <w:t>pseudarthrosis</w:t>
            </w:r>
            <w:proofErr w:type="spellEnd"/>
            <w:r w:rsidRPr="0020560C">
              <w:rPr>
                <w:sz w:val="20"/>
                <w:szCs w:val="20"/>
              </w:rPr>
              <w:t xml:space="preserve"> repair, </w:t>
            </w:r>
            <w:proofErr w:type="spellStart"/>
            <w:r w:rsidRPr="0020560C">
              <w:rPr>
                <w:sz w:val="20"/>
                <w:szCs w:val="20"/>
              </w:rPr>
              <w:t>pseudarthrosis</w:t>
            </w:r>
            <w:proofErr w:type="spellEnd"/>
            <w:r w:rsidRPr="0020560C">
              <w:rPr>
                <w:sz w:val="20"/>
                <w:szCs w:val="20"/>
              </w:rPr>
              <w:t xml:space="preserve"> repair, after successful </w:t>
            </w:r>
            <w:proofErr w:type="spellStart"/>
            <w:r w:rsidRPr="0020560C">
              <w:rPr>
                <w:sz w:val="20"/>
                <w:szCs w:val="20"/>
              </w:rPr>
              <w:t>pseudarthrosis</w:t>
            </w:r>
            <w:proofErr w:type="spellEnd"/>
            <w:r w:rsidRPr="0020560C">
              <w:rPr>
                <w:sz w:val="20"/>
                <w:szCs w:val="20"/>
              </w:rPr>
              <w:t xml:space="preserve"> repair, after unsuccessful </w:t>
            </w:r>
            <w:proofErr w:type="spellStart"/>
            <w:r w:rsidRPr="0020560C">
              <w:rPr>
                <w:sz w:val="20"/>
                <w:szCs w:val="20"/>
              </w:rPr>
              <w:t>pseudarthrosis</w:t>
            </w:r>
            <w:proofErr w:type="spellEnd"/>
            <w:r w:rsidRPr="0020560C">
              <w:rPr>
                <w:sz w:val="20"/>
                <w:szCs w:val="20"/>
              </w:rPr>
              <w:t xml:space="preserve"> repair)</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Timeframe of costs included</w:t>
            </w:r>
          </w:p>
        </w:tc>
        <w:tc>
          <w:tcPr>
            <w:tcW w:w="6840" w:type="dxa"/>
          </w:tcPr>
          <w:p w:rsidR="0020560C" w:rsidRPr="0020560C" w:rsidRDefault="0020560C" w:rsidP="0046104C">
            <w:pPr>
              <w:rPr>
                <w:sz w:val="20"/>
                <w:szCs w:val="20"/>
              </w:rPr>
            </w:pPr>
            <w:r w:rsidRPr="0020560C">
              <w:rPr>
                <w:sz w:val="20"/>
                <w:szCs w:val="20"/>
              </w:rPr>
              <w:t>NR</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Discount rate</w:t>
            </w:r>
          </w:p>
        </w:tc>
        <w:tc>
          <w:tcPr>
            <w:tcW w:w="6840" w:type="dxa"/>
          </w:tcPr>
          <w:p w:rsidR="0020560C" w:rsidRPr="0020560C" w:rsidRDefault="0020560C" w:rsidP="0046104C">
            <w:pPr>
              <w:rPr>
                <w:sz w:val="20"/>
                <w:szCs w:val="20"/>
              </w:rPr>
            </w:pPr>
            <w:r w:rsidRPr="0020560C">
              <w:rPr>
                <w:sz w:val="20"/>
                <w:szCs w:val="20"/>
              </w:rPr>
              <w:t>Not discounted (short time horizon cited as reason)</w:t>
            </w:r>
          </w:p>
        </w:tc>
      </w:tr>
      <w:tr w:rsidR="0020560C" w:rsidRPr="0020560C" w:rsidTr="0046104C">
        <w:trPr>
          <w:gridAfter w:val="1"/>
          <w:wAfter w:w="90" w:type="dxa"/>
        </w:trPr>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Utilities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Utility basis</w:t>
            </w:r>
          </w:p>
        </w:tc>
        <w:tc>
          <w:tcPr>
            <w:tcW w:w="6840" w:type="dxa"/>
          </w:tcPr>
          <w:p w:rsidR="0020560C" w:rsidRPr="0020560C" w:rsidRDefault="0020560C" w:rsidP="0046104C">
            <w:pPr>
              <w:rPr>
                <w:sz w:val="20"/>
                <w:szCs w:val="20"/>
              </w:rPr>
            </w:pPr>
            <w:r w:rsidRPr="0020560C">
              <w:rPr>
                <w:sz w:val="20"/>
                <w:szCs w:val="20"/>
              </w:rPr>
              <w:t>None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6840" w:type="dxa"/>
          </w:tcPr>
          <w:p w:rsidR="0020560C" w:rsidRPr="0020560C" w:rsidRDefault="0020560C" w:rsidP="0046104C">
            <w:pPr>
              <w:rPr>
                <w:rFonts w:cs="Syntax-Roman"/>
                <w:sz w:val="20"/>
                <w:szCs w:val="20"/>
              </w:rPr>
            </w:pPr>
            <w:r w:rsidRPr="0020560C">
              <w:rPr>
                <w:rFonts w:cs="Syntax-Roman"/>
                <w:sz w:val="20"/>
                <w:szCs w:val="20"/>
              </w:rPr>
              <w:t>N/A</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Timeframe of utility measurements</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6840" w:type="dxa"/>
          </w:tcPr>
          <w:p w:rsidR="0020560C" w:rsidRPr="0020560C" w:rsidRDefault="0020560C" w:rsidP="0046104C">
            <w:pPr>
              <w:rPr>
                <w:sz w:val="20"/>
                <w:szCs w:val="20"/>
              </w:rPr>
            </w:pPr>
            <w:r w:rsidRPr="0020560C">
              <w:rPr>
                <w:sz w:val="20"/>
                <w:szCs w:val="20"/>
              </w:rPr>
              <w:t>N/A</w:t>
            </w:r>
          </w:p>
        </w:tc>
      </w:tr>
      <w:tr w:rsidR="0020560C" w:rsidRPr="0020560C" w:rsidTr="0046104C">
        <w:trPr>
          <w:gridAfter w:val="1"/>
          <w:wAfter w:w="90" w:type="dxa"/>
        </w:trPr>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Sensitivity analysis performed?</w:t>
            </w:r>
          </w:p>
        </w:tc>
        <w:tc>
          <w:tcPr>
            <w:tcW w:w="6840" w:type="dxa"/>
          </w:tcPr>
          <w:p w:rsidR="0020560C" w:rsidRPr="0020560C" w:rsidRDefault="0020560C" w:rsidP="0046104C">
            <w:pPr>
              <w:rPr>
                <w:sz w:val="20"/>
                <w:szCs w:val="20"/>
              </w:rPr>
            </w:pPr>
            <w:r w:rsidRPr="0020560C">
              <w:rPr>
                <w:sz w:val="20"/>
                <w:szCs w:val="20"/>
              </w:rPr>
              <w:t>Yes</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Goal of sensitivity analysis</w:t>
            </w:r>
          </w:p>
        </w:tc>
        <w:tc>
          <w:tcPr>
            <w:tcW w:w="6840" w:type="dxa"/>
          </w:tcPr>
          <w:p w:rsidR="0020560C" w:rsidRPr="0020560C" w:rsidRDefault="0020560C" w:rsidP="0046104C">
            <w:pPr>
              <w:rPr>
                <w:sz w:val="20"/>
                <w:szCs w:val="20"/>
              </w:rPr>
            </w:pPr>
            <w:r w:rsidRPr="0020560C">
              <w:rPr>
                <w:sz w:val="20"/>
                <w:szCs w:val="20"/>
              </w:rPr>
              <w:t xml:space="preserve">To determine the consequences of alternative assumptions about the price of </w:t>
            </w:r>
            <w:r w:rsidRPr="0020560C">
              <w:rPr>
                <w:sz w:val="20"/>
                <w:szCs w:val="20"/>
              </w:rPr>
              <w:lastRenderedPageBreak/>
              <w:t>BMP, the fusion success rate, the time horizon of the 2-year cost model (5 years rather than 2 years), and reductions in resource use attributable to BMP use.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lastRenderedPageBreak/>
              <w:t>Variables evaluated in sensitivity analysis</w:t>
            </w:r>
          </w:p>
        </w:tc>
        <w:tc>
          <w:tcPr>
            <w:tcW w:w="6840" w:type="dxa"/>
          </w:tcPr>
          <w:p w:rsidR="0020560C" w:rsidRPr="0020560C" w:rsidRDefault="0020560C" w:rsidP="0046104C">
            <w:pPr>
              <w:rPr>
                <w:sz w:val="20"/>
                <w:szCs w:val="20"/>
              </w:rPr>
            </w:pPr>
            <w:r w:rsidRPr="0020560C">
              <w:rPr>
                <w:sz w:val="20"/>
                <w:szCs w:val="20"/>
              </w:rPr>
              <w:t>Table 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Price of BMP</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Fusion success rates</w:t>
            </w:r>
          </w:p>
          <w:p w:rsidR="0020560C" w:rsidRPr="0020560C" w:rsidRDefault="0020560C" w:rsidP="0020560C">
            <w:pPr>
              <w:pStyle w:val="ListParagraph"/>
              <w:numPr>
                <w:ilvl w:val="1"/>
                <w:numId w:val="2"/>
              </w:numPr>
              <w:tabs>
                <w:tab w:val="clear" w:pos="1440"/>
                <w:tab w:val="num" w:pos="522"/>
              </w:tabs>
              <w:ind w:left="522" w:hanging="270"/>
              <w:rPr>
                <w:sz w:val="20"/>
                <w:szCs w:val="20"/>
              </w:rPr>
            </w:pPr>
            <w:r w:rsidRPr="0020560C">
              <w:rPr>
                <w:sz w:val="20"/>
                <w:szCs w:val="20"/>
              </w:rPr>
              <w:t xml:space="preserve">Using data from a second RCT (“Bone Dowel” trial; used a threaded cortical allograft bone dowel (rhBMP-2 (n = 24) and ICBG </w:t>
            </w:r>
            <w:proofErr w:type="spellStart"/>
            <w:r w:rsidRPr="0020560C">
              <w:rPr>
                <w:sz w:val="20"/>
                <w:szCs w:val="20"/>
              </w:rPr>
              <w:t>autograft</w:t>
            </w:r>
            <w:proofErr w:type="spellEnd"/>
            <w:r w:rsidRPr="0020560C">
              <w:rPr>
                <w:sz w:val="20"/>
                <w:szCs w:val="20"/>
              </w:rPr>
              <w:t xml:space="preserve"> (n = 22); inclusion criteria and fusion success criteria same as RCT used for base case; 2 year follow-up)</w:t>
            </w:r>
          </w:p>
          <w:p w:rsidR="0020560C" w:rsidRPr="0020560C" w:rsidRDefault="0020560C" w:rsidP="0020560C">
            <w:pPr>
              <w:pStyle w:val="ListParagraph"/>
              <w:numPr>
                <w:ilvl w:val="1"/>
                <w:numId w:val="2"/>
              </w:numPr>
              <w:tabs>
                <w:tab w:val="clear" w:pos="1440"/>
                <w:tab w:val="num" w:pos="522"/>
              </w:tabs>
              <w:ind w:left="522" w:hanging="270"/>
              <w:rPr>
                <w:sz w:val="20"/>
                <w:szCs w:val="20"/>
              </w:rPr>
            </w:pPr>
            <w:r w:rsidRPr="0020560C">
              <w:rPr>
                <w:sz w:val="20"/>
                <w:szCs w:val="20"/>
              </w:rPr>
              <w:t>Using rates/ranges determined from clinical trial data, literature and expert opinion</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Smokers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Pain and complication rates averted by BMP</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Operating room and anesthesia time (reduced by BMP)</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LOS (decreased by BMP)</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Use of </w:t>
            </w:r>
            <w:proofErr w:type="spellStart"/>
            <w:r w:rsidRPr="0020560C">
              <w:rPr>
                <w:sz w:val="20"/>
                <w:szCs w:val="20"/>
              </w:rPr>
              <w:t>autograft</w:t>
            </w:r>
            <w:proofErr w:type="spellEnd"/>
            <w:r w:rsidRPr="0020560C">
              <w:rPr>
                <w:sz w:val="20"/>
                <w:szCs w:val="20"/>
              </w:rPr>
              <w:t xml:space="preserve"> extenders/harvesters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Time horizon 5 years rather than 2 years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autologous vs. homologous blood and BMP reduces difference in probability of 1 unit blood transfusion by 10% rather than 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Use of electrical stimulation</w:t>
            </w:r>
          </w:p>
        </w:tc>
      </w:tr>
      <w:tr w:rsidR="0020560C" w:rsidRPr="0020560C" w:rsidTr="0046104C">
        <w:trPr>
          <w:gridAfter w:val="1"/>
          <w:wAfter w:w="90" w:type="dxa"/>
        </w:trPr>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6930" w:type="dxa"/>
            <w:gridSpan w:val="2"/>
          </w:tcPr>
          <w:p w:rsidR="0020560C" w:rsidRPr="0020560C" w:rsidRDefault="0020560C" w:rsidP="0046104C">
            <w:pPr>
              <w:rPr>
                <w:b/>
                <w:sz w:val="20"/>
                <w:szCs w:val="20"/>
              </w:rPr>
            </w:pPr>
            <w:r w:rsidRPr="0020560C">
              <w:rPr>
                <w:b/>
                <w:sz w:val="20"/>
                <w:szCs w:val="20"/>
              </w:rPr>
              <w:t>2 years (Table 4)</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Total incremental direct medical costs of spinal fusion with rhBMP-2 and ICBG were equivalent: savings of $9 favoring (BMP base case cost $3380)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of BMP was offset by savings due to:</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Less inpatient physician services: $337</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Prevention of pain and complication associated with ICBG harvesting: $549</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severe pain $93</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minor pain $79</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infection/hematoma/wound dehiscence/ prolonged wound drainage $302</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vascular injury/herniation/iliac crest fracture $75</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operating room time: $540</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anesthesia time: $60</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recovery room time: $45</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Less blood loss: $4</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 inpatient LOS: $231</w:t>
            </w:r>
          </w:p>
          <w:p w:rsidR="0020560C" w:rsidRPr="0020560C" w:rsidRDefault="0020560C" w:rsidP="0020560C">
            <w:pPr>
              <w:pStyle w:val="ListParagraph"/>
              <w:numPr>
                <w:ilvl w:val="1"/>
                <w:numId w:val="2"/>
              </w:numPr>
              <w:tabs>
                <w:tab w:val="clear" w:pos="1440"/>
                <w:tab w:val="num" w:pos="612"/>
              </w:tabs>
              <w:ind w:left="612" w:hanging="270"/>
              <w:rPr>
                <w:sz w:val="20"/>
                <w:szCs w:val="20"/>
              </w:rPr>
            </w:pPr>
            <w:proofErr w:type="spellStart"/>
            <w:r w:rsidRPr="0020560C">
              <w:rPr>
                <w:sz w:val="20"/>
                <w:szCs w:val="20"/>
              </w:rPr>
              <w:t>Autograft</w:t>
            </w:r>
            <w:proofErr w:type="spellEnd"/>
            <w:r w:rsidRPr="0020560C">
              <w:rPr>
                <w:sz w:val="20"/>
                <w:szCs w:val="20"/>
              </w:rPr>
              <w:t xml:space="preserve"> extenders/harvesters: $474</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Less medical/surgical supplies: $125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The higher index surgery fusion success rate with BMP vs. ICBG (94.5% vs. 88.7%) contributed to the remaining cost offset for BMP </w:t>
            </w:r>
            <w:r w:rsidRPr="0020560C">
              <w:rPr>
                <w:b/>
                <w:i/>
                <w:sz w:val="20"/>
                <w:szCs w:val="20"/>
              </w:rPr>
              <w:t>after initial hospitalization</w:t>
            </w:r>
            <w:r w:rsidRPr="0020560C">
              <w:rPr>
                <w:sz w:val="20"/>
                <w:szCs w:val="20"/>
              </w:rPr>
              <w:t xml:space="preserve"> by reducing costs of follow-up care, rehabilitation, and </w:t>
            </w:r>
            <w:proofErr w:type="spellStart"/>
            <w:r w:rsidRPr="0020560C">
              <w:rPr>
                <w:sz w:val="20"/>
                <w:szCs w:val="20"/>
              </w:rPr>
              <w:t>pseudarthrosis</w:t>
            </w:r>
            <w:proofErr w:type="spellEnd"/>
            <w:r w:rsidRPr="0020560C">
              <w:rPr>
                <w:sz w:val="20"/>
                <w:szCs w:val="20"/>
              </w:rPr>
              <w:t xml:space="preserve"> due to index surgery failure: $1024</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Overall, model indicates that the cost of BMP ($3380) during the initial inpatient stay can be recaptured over 2 years by eliminating harvest-related morbidity and other hospital costs associated with </w:t>
            </w:r>
            <w:proofErr w:type="spellStart"/>
            <w:r w:rsidRPr="0020560C">
              <w:rPr>
                <w:sz w:val="20"/>
                <w:szCs w:val="20"/>
              </w:rPr>
              <w:t>autogenous</w:t>
            </w:r>
            <w:proofErr w:type="spellEnd"/>
            <w:r w:rsidRPr="0020560C">
              <w:rPr>
                <w:sz w:val="20"/>
                <w:szCs w:val="20"/>
              </w:rPr>
              <w:t xml:space="preserve"> ICBG and by improving the fusion success rate.</w:t>
            </w:r>
          </w:p>
          <w:p w:rsidR="0020560C" w:rsidRPr="0020560C" w:rsidRDefault="0020560C" w:rsidP="0046104C">
            <w:pPr>
              <w:tabs>
                <w:tab w:val="num" w:pos="252"/>
              </w:tabs>
              <w:rPr>
                <w:sz w:val="20"/>
                <w:szCs w:val="20"/>
              </w:rPr>
            </w:pPr>
          </w:p>
          <w:p w:rsidR="0020560C" w:rsidRPr="0020560C" w:rsidRDefault="0020560C" w:rsidP="0046104C">
            <w:pPr>
              <w:tabs>
                <w:tab w:val="num" w:pos="252"/>
                <w:tab w:val="left" w:pos="2572"/>
              </w:tabs>
              <w:rPr>
                <w:b/>
                <w:sz w:val="20"/>
                <w:szCs w:val="20"/>
              </w:rPr>
            </w:pPr>
            <w:r w:rsidRPr="0020560C">
              <w:rPr>
                <w:b/>
                <w:sz w:val="20"/>
                <w:szCs w:val="20"/>
              </w:rPr>
              <w:t>Index hospitalization only (excludes physician costs and follow-up care) (Table 6)</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Total incremental direct medical costs of spinal fusion were greater with BMP compared to ICBG: increased cost of $1734 with BMP (BMP base case cost $3380)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lastRenderedPageBreak/>
              <w:t>Although the 2 treatments were no longer cost-equivalent, approximately 50% of the of the price of BMP was offset by preventing complications associated with:</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Iliac crest harvesting: $167</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operating room time: $540</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anesthesia time: $60</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 recovery room time: $45</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Less blood loss: $4</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Shorter inpatient LOS: $231</w:t>
            </w:r>
          </w:p>
          <w:p w:rsidR="0020560C" w:rsidRPr="0020560C" w:rsidRDefault="0020560C" w:rsidP="0020560C">
            <w:pPr>
              <w:pStyle w:val="ListParagraph"/>
              <w:numPr>
                <w:ilvl w:val="1"/>
                <w:numId w:val="2"/>
              </w:numPr>
              <w:tabs>
                <w:tab w:val="clear" w:pos="1440"/>
                <w:tab w:val="num" w:pos="612"/>
              </w:tabs>
              <w:ind w:left="612" w:hanging="270"/>
              <w:rPr>
                <w:sz w:val="20"/>
                <w:szCs w:val="20"/>
              </w:rPr>
            </w:pPr>
            <w:proofErr w:type="spellStart"/>
            <w:r w:rsidRPr="0020560C">
              <w:rPr>
                <w:sz w:val="20"/>
                <w:szCs w:val="20"/>
              </w:rPr>
              <w:t>Autograft</w:t>
            </w:r>
            <w:proofErr w:type="spellEnd"/>
            <w:r w:rsidRPr="0020560C">
              <w:rPr>
                <w:sz w:val="20"/>
                <w:szCs w:val="20"/>
              </w:rPr>
              <w:t xml:space="preserve"> extender/harvesters: $474</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Medical surgical/supplies: $125</w:t>
            </w:r>
          </w:p>
          <w:p w:rsidR="0020560C" w:rsidRPr="0020560C" w:rsidRDefault="0020560C" w:rsidP="0046104C">
            <w:pPr>
              <w:rPr>
                <w:sz w:val="20"/>
                <w:szCs w:val="20"/>
              </w:rPr>
            </w:pPr>
          </w:p>
          <w:p w:rsidR="0020560C" w:rsidRPr="0020560C" w:rsidRDefault="0020560C" w:rsidP="0046104C">
            <w:pPr>
              <w:rPr>
                <w:b/>
                <w:sz w:val="20"/>
                <w:szCs w:val="20"/>
              </w:rPr>
            </w:pPr>
            <w:r w:rsidRPr="0020560C">
              <w:rPr>
                <w:b/>
                <w:sz w:val="20"/>
                <w:szCs w:val="20"/>
              </w:rPr>
              <w:t xml:space="preserve">Threshold analysis (performed determine the price at which BMP would need to be established to result in cost-neutrality, i.e. the point at which total 2-year cost for BMP patients equals total 2 year cost for </w:t>
            </w:r>
            <w:proofErr w:type="spellStart"/>
            <w:r w:rsidRPr="0020560C">
              <w:rPr>
                <w:b/>
                <w:sz w:val="20"/>
                <w:szCs w:val="20"/>
              </w:rPr>
              <w:t>autogenous</w:t>
            </w:r>
            <w:proofErr w:type="spellEnd"/>
            <w:r w:rsidRPr="0020560C">
              <w:rPr>
                <w:b/>
                <w:sz w:val="20"/>
                <w:szCs w:val="20"/>
              </w:rPr>
              <w:t xml:space="preserve"> ICBG)</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Fusion success rate of BMP 94.5% and ICBG 88.7% (LT-CAGE trial): cost neutrality achieved at BMP price of $3389</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Fusion success rate of BMP 100% and ICBG 68.4% (Bowel Dowel trial): cost neutrality achieved at BMP price of $7944</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lastRenderedPageBreak/>
              <w:t>Results of sensitivity analysis</w:t>
            </w:r>
          </w:p>
        </w:tc>
        <w:tc>
          <w:tcPr>
            <w:tcW w:w="6840" w:type="dxa"/>
          </w:tcPr>
          <w:p w:rsidR="0020560C" w:rsidRPr="0020560C" w:rsidRDefault="0020560C" w:rsidP="0046104C">
            <w:pPr>
              <w:rPr>
                <w:sz w:val="20"/>
                <w:szCs w:val="20"/>
              </w:rPr>
            </w:pPr>
            <w:r w:rsidRPr="0020560C">
              <w:rPr>
                <w:sz w:val="20"/>
                <w:szCs w:val="20"/>
              </w:rPr>
              <w:t>Table 5</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were sensitive to changes in assumptions about:</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Price of BMP</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$3000 (rather than $3380):</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2 years: cost savings of $389 (% of BMP cost that is offset: &gt; 100%)</w:t>
            </w:r>
          </w:p>
          <w:p w:rsidR="0020560C" w:rsidRPr="0020560C" w:rsidRDefault="0020560C" w:rsidP="0020560C">
            <w:pPr>
              <w:pStyle w:val="ListParagraph"/>
              <w:numPr>
                <w:ilvl w:val="3"/>
                <w:numId w:val="2"/>
              </w:numPr>
              <w:tabs>
                <w:tab w:val="clear" w:pos="2880"/>
                <w:tab w:val="num" w:pos="1062"/>
              </w:tabs>
              <w:ind w:left="1062" w:hanging="180"/>
              <w:rPr>
                <w:sz w:val="20"/>
                <w:szCs w:val="20"/>
              </w:rPr>
            </w:pPr>
            <w:r w:rsidRPr="0020560C">
              <w:rPr>
                <w:sz w:val="20"/>
                <w:szCs w:val="20"/>
              </w:rPr>
              <w:t>Index hospitalization only: increased cost of $1354 (% of BMP cost that is offset: 55%)</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 xml:space="preserve">$8000 (rather than $3380): </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2 years: increased cost of $4611 (% of BMP cost that is offset: 42%)</w:t>
            </w:r>
          </w:p>
          <w:p w:rsidR="0020560C" w:rsidRPr="0020560C" w:rsidRDefault="0020560C" w:rsidP="0020560C">
            <w:pPr>
              <w:pStyle w:val="ListParagraph"/>
              <w:numPr>
                <w:ilvl w:val="3"/>
                <w:numId w:val="2"/>
              </w:numPr>
              <w:tabs>
                <w:tab w:val="clear" w:pos="2880"/>
                <w:tab w:val="num" w:pos="1062"/>
              </w:tabs>
              <w:ind w:left="1062" w:hanging="180"/>
              <w:rPr>
                <w:sz w:val="20"/>
                <w:szCs w:val="20"/>
              </w:rPr>
            </w:pPr>
            <w:r w:rsidRPr="0020560C">
              <w:rPr>
                <w:sz w:val="20"/>
                <w:szCs w:val="20"/>
              </w:rPr>
              <w:t>Index hospitalization only: increased cost of $6354 (% of BMP cost that is offset: 21%)</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Fusion success rate</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 xml:space="preserve">90% with BMP (rather than 94.5% [base case]): </w:t>
            </w:r>
          </w:p>
          <w:p w:rsidR="0020560C" w:rsidRPr="0020560C" w:rsidRDefault="0020560C" w:rsidP="0020560C">
            <w:pPr>
              <w:pStyle w:val="ListParagraph"/>
              <w:numPr>
                <w:ilvl w:val="3"/>
                <w:numId w:val="2"/>
              </w:numPr>
              <w:tabs>
                <w:tab w:val="clear" w:pos="2880"/>
                <w:tab w:val="num" w:pos="1062"/>
              </w:tabs>
              <w:ind w:left="1062" w:hanging="180"/>
              <w:rPr>
                <w:sz w:val="20"/>
                <w:szCs w:val="20"/>
              </w:rPr>
            </w:pPr>
            <w:r w:rsidRPr="0020560C">
              <w:rPr>
                <w:sz w:val="20"/>
                <w:szCs w:val="20"/>
              </w:rPr>
              <w:t>2 years: increased cost of $785 (% of BMP cost that is offset: 77%)</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Index hospitalization only: N/A</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 xml:space="preserve">85% with BMP (rather than 94.5%): </w:t>
            </w:r>
          </w:p>
          <w:p w:rsidR="0020560C" w:rsidRPr="0020560C" w:rsidRDefault="0020560C" w:rsidP="0020560C">
            <w:pPr>
              <w:pStyle w:val="ListParagraph"/>
              <w:numPr>
                <w:ilvl w:val="3"/>
                <w:numId w:val="2"/>
              </w:numPr>
              <w:tabs>
                <w:tab w:val="clear" w:pos="2880"/>
                <w:tab w:val="num" w:pos="1062"/>
              </w:tabs>
              <w:ind w:left="1062" w:hanging="180"/>
              <w:rPr>
                <w:sz w:val="20"/>
                <w:szCs w:val="20"/>
              </w:rPr>
            </w:pPr>
            <w:r w:rsidRPr="0020560C">
              <w:rPr>
                <w:sz w:val="20"/>
                <w:szCs w:val="20"/>
              </w:rPr>
              <w:t>2 years: increased cost of $1668 (% of BMP cost that is offset: 51%)</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Index hospitalization only: N/A</w:t>
            </w:r>
          </w:p>
          <w:p w:rsidR="0020560C" w:rsidRPr="0020560C" w:rsidRDefault="0020560C" w:rsidP="0020560C">
            <w:pPr>
              <w:pStyle w:val="ListParagraph"/>
              <w:numPr>
                <w:ilvl w:val="2"/>
                <w:numId w:val="2"/>
              </w:numPr>
              <w:tabs>
                <w:tab w:val="clear" w:pos="2160"/>
                <w:tab w:val="num" w:pos="882"/>
              </w:tabs>
              <w:ind w:left="972" w:hanging="270"/>
              <w:rPr>
                <w:sz w:val="20"/>
                <w:szCs w:val="20"/>
              </w:rPr>
            </w:pPr>
            <w:r w:rsidRPr="0020560C">
              <w:rPr>
                <w:sz w:val="20"/>
                <w:szCs w:val="20"/>
              </w:rPr>
              <w:t>Bone Dowel trial fusion rates of 100% for BMP vs. 68.4% for ICBG:</w:t>
            </w:r>
          </w:p>
          <w:p w:rsidR="0020560C" w:rsidRPr="0020560C" w:rsidRDefault="0020560C" w:rsidP="0020560C">
            <w:pPr>
              <w:pStyle w:val="ListParagraph"/>
              <w:numPr>
                <w:ilvl w:val="3"/>
                <w:numId w:val="2"/>
              </w:numPr>
              <w:tabs>
                <w:tab w:val="clear" w:pos="2880"/>
                <w:tab w:val="num" w:pos="1062"/>
              </w:tabs>
              <w:ind w:left="1062" w:hanging="180"/>
              <w:rPr>
                <w:sz w:val="20"/>
                <w:szCs w:val="20"/>
              </w:rPr>
            </w:pPr>
            <w:r w:rsidRPr="0020560C">
              <w:rPr>
                <w:sz w:val="20"/>
                <w:szCs w:val="20"/>
              </w:rPr>
              <w:t>2 years: cost savings of $4564 (% of BMP cost that is offset: &gt;100%)</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Index hospitalization only: N/A</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Smokers (assumes a fusion rate of 90% in BMP vs. 75% in ICBG patients, as opposed to base case rates of 94.5% and 88.7%, respectively)</w:t>
            </w:r>
          </w:p>
          <w:p w:rsidR="0020560C" w:rsidRPr="0020560C" w:rsidRDefault="0020560C" w:rsidP="0020560C">
            <w:pPr>
              <w:pStyle w:val="ListParagraph"/>
              <w:numPr>
                <w:ilvl w:val="3"/>
                <w:numId w:val="2"/>
              </w:numPr>
              <w:tabs>
                <w:tab w:val="clear" w:pos="2880"/>
                <w:tab w:val="num" w:pos="882"/>
                <w:tab w:val="num" w:pos="1062"/>
              </w:tabs>
              <w:ind w:hanging="1998"/>
              <w:rPr>
                <w:sz w:val="20"/>
                <w:szCs w:val="20"/>
              </w:rPr>
            </w:pPr>
            <w:r w:rsidRPr="0020560C">
              <w:rPr>
                <w:sz w:val="20"/>
                <w:szCs w:val="20"/>
              </w:rPr>
              <w:t>2 years: cost savings of $1632 (% of BMP cost that is offset: &gt;100%)</w:t>
            </w:r>
          </w:p>
          <w:p w:rsidR="0020560C" w:rsidRPr="0020560C" w:rsidRDefault="0020560C" w:rsidP="0020560C">
            <w:pPr>
              <w:pStyle w:val="ListParagraph"/>
              <w:numPr>
                <w:ilvl w:val="3"/>
                <w:numId w:val="2"/>
              </w:numPr>
              <w:tabs>
                <w:tab w:val="clear" w:pos="2880"/>
                <w:tab w:val="num" w:pos="1062"/>
              </w:tabs>
              <w:ind w:hanging="1998"/>
              <w:rPr>
                <w:sz w:val="20"/>
                <w:szCs w:val="20"/>
              </w:rPr>
            </w:pPr>
            <w:r w:rsidRPr="0020560C">
              <w:rPr>
                <w:sz w:val="20"/>
                <w:szCs w:val="20"/>
              </w:rPr>
              <w:t>Index hospitalization only: N/A</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Costs were insensitive to changes in assumptions about:</w:t>
            </w:r>
          </w:p>
          <w:p w:rsidR="0020560C" w:rsidRPr="0020560C" w:rsidRDefault="0020560C" w:rsidP="0020560C">
            <w:pPr>
              <w:pStyle w:val="ListParagraph"/>
              <w:numPr>
                <w:ilvl w:val="1"/>
                <w:numId w:val="2"/>
              </w:numPr>
              <w:tabs>
                <w:tab w:val="clear" w:pos="1440"/>
                <w:tab w:val="num" w:pos="612"/>
              </w:tabs>
              <w:ind w:left="612" w:hanging="270"/>
              <w:rPr>
                <w:sz w:val="20"/>
                <w:szCs w:val="20"/>
              </w:rPr>
            </w:pPr>
            <w:r w:rsidRPr="0020560C">
              <w:rPr>
                <w:sz w:val="20"/>
                <w:szCs w:val="20"/>
              </w:rPr>
              <w:t xml:space="preserve">Complication rates associated with bone harvesting, LOS, </w:t>
            </w:r>
            <w:proofErr w:type="spellStart"/>
            <w:r w:rsidRPr="0020560C">
              <w:rPr>
                <w:sz w:val="20"/>
                <w:szCs w:val="20"/>
              </w:rPr>
              <w:t>autograft</w:t>
            </w:r>
            <w:proofErr w:type="spellEnd"/>
            <w:r w:rsidRPr="0020560C">
              <w:rPr>
                <w:sz w:val="20"/>
                <w:szCs w:val="20"/>
              </w:rPr>
              <w:t xml:space="preserve"> extender/harvest use, time horizon, autologous blood use, external electrical stimulation use</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t>Study conclusion</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The upfront price of BMP ($3380 in the base case) is likely to be offset to a significant extent by reductions in the use of other medical resources, particularly if costs incurred during the 2-year period following the index hospitalization are taken into account</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lastRenderedPageBreak/>
              <w:t xml:space="preserve">The major cost drivers in this analysis were (in decreasing order): price of BMP, fusion success rate, averted donor site pain and morbidity, operating room and anesthesia time, length of stay, and </w:t>
            </w:r>
            <w:proofErr w:type="spellStart"/>
            <w:r w:rsidRPr="0020560C">
              <w:rPr>
                <w:sz w:val="20"/>
                <w:szCs w:val="20"/>
              </w:rPr>
              <w:t>autograft</w:t>
            </w:r>
            <w:proofErr w:type="spellEnd"/>
            <w:r w:rsidRPr="0020560C">
              <w:rPr>
                <w:sz w:val="20"/>
                <w:szCs w:val="20"/>
              </w:rPr>
              <w:t xml:space="preserve"> extender use rate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Under the base case assumptions (fusion success rates of 94.5% for rhBMP-2 and 88.7% for </w:t>
            </w:r>
            <w:proofErr w:type="spellStart"/>
            <w:r w:rsidRPr="0020560C">
              <w:rPr>
                <w:sz w:val="20"/>
                <w:szCs w:val="20"/>
              </w:rPr>
              <w:t>autogenous</w:t>
            </w:r>
            <w:proofErr w:type="spellEnd"/>
            <w:r w:rsidRPr="0020560C">
              <w:rPr>
                <w:sz w:val="20"/>
                <w:szCs w:val="20"/>
              </w:rPr>
              <w:t xml:space="preserve"> iliac crest bone graft; LT-CAGE clinical trial), cost-neutrality was achieved at a BMP price of $3389</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Sensitivity analyses indicate that under an alternative scenario about the fusion success rates (100% for rhBMP-2 and 68.4% for </w:t>
            </w:r>
            <w:proofErr w:type="spellStart"/>
            <w:r w:rsidRPr="0020560C">
              <w:rPr>
                <w:sz w:val="20"/>
                <w:szCs w:val="20"/>
              </w:rPr>
              <w:t>autogenous</w:t>
            </w:r>
            <w:proofErr w:type="spellEnd"/>
            <w:r w:rsidRPr="0020560C">
              <w:rPr>
                <w:sz w:val="20"/>
                <w:szCs w:val="20"/>
              </w:rPr>
              <w:t xml:space="preserve"> iliac crest bone graft; Bone Dowel clinical trial), cost-neutrality would be achieved over a 2-year period at a BMP price of $7944</w:t>
            </w:r>
          </w:p>
        </w:tc>
      </w:tr>
      <w:tr w:rsidR="0020560C" w:rsidRPr="0020560C" w:rsidTr="0046104C">
        <w:trPr>
          <w:gridAfter w:val="1"/>
          <w:wAfter w:w="90" w:type="dxa"/>
        </w:trPr>
        <w:tc>
          <w:tcPr>
            <w:tcW w:w="2898" w:type="dxa"/>
          </w:tcPr>
          <w:p w:rsidR="0020560C" w:rsidRPr="0020560C" w:rsidRDefault="0020560C" w:rsidP="0046104C">
            <w:pPr>
              <w:rPr>
                <w:b/>
                <w:sz w:val="20"/>
                <w:szCs w:val="20"/>
              </w:rPr>
            </w:pPr>
            <w:r w:rsidRPr="0020560C">
              <w:rPr>
                <w:b/>
                <w:sz w:val="20"/>
                <w:szCs w:val="20"/>
              </w:rPr>
              <w:lastRenderedPageBreak/>
              <w:t>Comments</w:t>
            </w:r>
          </w:p>
        </w:tc>
        <w:tc>
          <w:tcPr>
            <w:tcW w:w="6840" w:type="dxa"/>
          </w:tcPr>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Indirect costs and nonmedical cost not considered in either model</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Fusion success rate has tremendous effect on the price at which cost-neutrality is achieved</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Models described in published papers not available electronically for detailed review</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Input estimated were heavily based on expert opinion</w:t>
            </w:r>
          </w:p>
        </w:tc>
      </w:tr>
    </w:tbl>
    <w:p w:rsidR="0020560C" w:rsidRPr="0020560C" w:rsidRDefault="0020560C" w:rsidP="0020560C">
      <w:pPr>
        <w:rPr>
          <w:sz w:val="20"/>
          <w:szCs w:val="20"/>
        </w:rPr>
      </w:pPr>
    </w:p>
    <w:p w:rsidR="0020560C" w:rsidRPr="0020560C" w:rsidRDefault="0020560C" w:rsidP="0020560C">
      <w:pPr>
        <w:rPr>
          <w:sz w:val="20"/>
          <w:szCs w:val="20"/>
        </w:rPr>
      </w:pPr>
    </w:p>
    <w:p w:rsidR="0020560C" w:rsidRPr="0020560C" w:rsidRDefault="0020560C" w:rsidP="0020560C">
      <w:pPr>
        <w:rPr>
          <w:b/>
          <w:sz w:val="20"/>
          <w:szCs w:val="20"/>
        </w:rPr>
      </w:pPr>
      <w:r w:rsidRPr="0020560C">
        <w:rPr>
          <w:b/>
          <w:sz w:val="20"/>
          <w:szCs w:val="20"/>
        </w:rPr>
        <w:br w:type="page"/>
      </w:r>
    </w:p>
    <w:p w:rsidR="0020560C" w:rsidRPr="0020560C" w:rsidRDefault="008E6F7C" w:rsidP="0020560C">
      <w:pPr>
        <w:pStyle w:val="Heading1"/>
        <w:rPr>
          <w:rFonts w:asciiTheme="minorHAnsi" w:hAnsiTheme="minorHAnsi"/>
          <w:color w:val="auto"/>
          <w:sz w:val="20"/>
          <w:szCs w:val="20"/>
        </w:rPr>
      </w:pPr>
      <w:bookmarkStart w:id="12" w:name="_Toc380059797"/>
      <w:r>
        <w:rPr>
          <w:rFonts w:asciiTheme="minorHAnsi" w:hAnsiTheme="minorHAnsi"/>
          <w:color w:val="auto"/>
          <w:sz w:val="20"/>
          <w:szCs w:val="20"/>
        </w:rPr>
        <w:lastRenderedPageBreak/>
        <w:t xml:space="preserve">KQ2: </w:t>
      </w:r>
      <w:proofErr w:type="spellStart"/>
      <w:r w:rsidR="0020560C" w:rsidRPr="0020560C">
        <w:rPr>
          <w:rFonts w:asciiTheme="minorHAnsi" w:hAnsiTheme="minorHAnsi"/>
          <w:color w:val="auto"/>
          <w:sz w:val="20"/>
          <w:szCs w:val="20"/>
        </w:rPr>
        <w:t>Angevine</w:t>
      </w:r>
      <w:proofErr w:type="spellEnd"/>
      <w:r w:rsidR="0020560C" w:rsidRPr="0020560C">
        <w:rPr>
          <w:rFonts w:asciiTheme="minorHAnsi" w:hAnsiTheme="minorHAnsi"/>
          <w:color w:val="auto"/>
          <w:sz w:val="20"/>
          <w:szCs w:val="20"/>
        </w:rPr>
        <w:t xml:space="preserve"> (2005)</w:t>
      </w:r>
      <w:hyperlink w:anchor="_ENREF_10" w:tooltip="Angevine, 2005 #13" w:history="1">
        <w:r w:rsidR="003E042C">
          <w:rPr>
            <w:rFonts w:asciiTheme="minorHAnsi" w:hAnsiTheme="minorHAnsi"/>
            <w:color w:val="auto"/>
            <w:sz w:val="20"/>
            <w:szCs w:val="20"/>
          </w:rPr>
          <w:fldChar w:fldCharType="begin"/>
        </w:r>
        <w:r w:rsidR="003E042C">
          <w:rPr>
            <w:rFonts w:asciiTheme="minorHAnsi" w:hAnsiTheme="minorHAnsi"/>
            <w:color w:val="auto"/>
            <w:sz w:val="20"/>
            <w:szCs w:val="20"/>
          </w:rPr>
          <w:instrText xml:space="preserve"> ADDIN EN.CITE &lt;EndNote&gt;&lt;Cite&gt;&lt;Author&gt;Angevine&lt;/Author&gt;&lt;Year&gt;2005&lt;/Year&gt;&lt;RecNum&gt;13&lt;/RecNum&gt;&lt;DisplayText&gt;&lt;style face="superscript"&gt;10&lt;/style&gt;&lt;/DisplayText&gt;&lt;record&gt;&lt;rec-number&gt;13&lt;/rec-number&gt;&lt;foreign-keys&gt;&lt;key app="EN" db-id="dz55d55s2zf2rie9tzlvv22e0wa55fxftz2w"&gt;13&lt;/key&gt;&lt;/foreign-keys&gt;&lt;ref-type name="Journal Article"&gt;17&lt;/ref-type&gt;&lt;contributors&gt;&lt;authors&gt;&lt;author&gt;Angevine, P. D.&lt;/author&gt;&lt;author&gt;Zivin, J. G.&lt;/author&gt;&lt;author&gt;McCormick, P. C.&lt;/author&gt;&lt;/authors&gt;&lt;/contributors&gt;&lt;auth-address&gt;Department of Neurological Surgery, Columbia University, New York, New York 10032, USA.&lt;/auth-address&gt;&lt;titles&gt;&lt;title&gt;Cost-effectiveness of single-level anterior cervical discectomy and fusion for cervical spondylosis&lt;/title&gt;&lt;secondary-title&gt;Spine (Phila Pa 1976)&lt;/secondary-title&gt;&lt;/titles&gt;&lt;periodical&gt;&lt;full-title&gt;Spine (Phila Pa 1976)&lt;/full-title&gt;&lt;/periodical&gt;&lt;pages&gt;1989-97&lt;/pages&gt;&lt;volume&gt;30&lt;/volume&gt;&lt;number&gt;17&lt;/number&gt;&lt;edition&gt;2005/09/02&lt;/edition&gt;&lt;keywords&gt;&lt;keyword&gt;Bone Plates&lt;/keyword&gt;&lt;keyword&gt;Bone Transplantation&lt;/keyword&gt;&lt;keyword&gt;Cervical Vertebrae/ surgery&lt;/keyword&gt;&lt;keyword&gt;Cost-Benefit Analysis&lt;/keyword&gt;&lt;keyword&gt;Diskectomy/ economics&lt;/keyword&gt;&lt;keyword&gt;Hospital Costs&lt;/keyword&gt;&lt;keyword&gt;Humans&lt;/keyword&gt;&lt;keyword&gt;Quality-Adjusted Life Years&lt;/keyword&gt;&lt;keyword&gt;Retrospective Studies&lt;/keyword&gt;&lt;keyword&gt;Spinal Fusion/ economics/methods&lt;/keyword&gt;&lt;keyword&gt;Spinal Osteophytosis/ surgery&lt;/keyword&gt;&lt;keyword&gt;Transplantation, Autologous&lt;/keyword&gt;&lt;/keywords&gt;&lt;dates&gt;&lt;year&gt;2005&lt;/year&gt;&lt;pub-dates&gt;&lt;date&gt;Sep 1&lt;/date&gt;&lt;/pub-dates&gt;&lt;/dates&gt;&lt;isbn&gt;1528-1159 (Electronic)&amp;#xD;0362-2436 (Linking)&lt;/isbn&gt;&lt;accession-num&gt;16135991&lt;/accession-num&gt;&lt;urls&gt;&lt;/urls&gt;&lt;remote-database-provider&gt;NLM&lt;/remote-database-provider&gt;&lt;language&gt;eng&lt;/language&gt;&lt;/record&gt;&lt;/Cite&gt;&lt;/EndNote&gt;</w:instrText>
        </w:r>
        <w:r w:rsidR="003E042C">
          <w:rPr>
            <w:rFonts w:asciiTheme="minorHAnsi" w:hAnsiTheme="minorHAnsi"/>
            <w:color w:val="auto"/>
            <w:sz w:val="20"/>
            <w:szCs w:val="20"/>
          </w:rPr>
          <w:fldChar w:fldCharType="separate"/>
        </w:r>
        <w:r w:rsidR="003E042C" w:rsidRPr="003E042C">
          <w:rPr>
            <w:rFonts w:asciiTheme="minorHAnsi" w:hAnsiTheme="minorHAnsi"/>
            <w:noProof/>
            <w:color w:val="auto"/>
            <w:sz w:val="20"/>
            <w:szCs w:val="20"/>
            <w:vertAlign w:val="superscript"/>
          </w:rPr>
          <w:t>10</w:t>
        </w:r>
        <w:r w:rsidR="003E042C">
          <w:rPr>
            <w:rFonts w:asciiTheme="minorHAnsi" w:hAnsiTheme="minorHAnsi"/>
            <w:color w:val="auto"/>
            <w:sz w:val="20"/>
            <w:szCs w:val="20"/>
          </w:rPr>
          <w:fldChar w:fldCharType="end"/>
        </w:r>
      </w:hyperlink>
      <w:r w:rsidR="0020560C" w:rsidRPr="0020560C">
        <w:rPr>
          <w:rFonts w:asciiTheme="minorHAnsi" w:hAnsiTheme="minorHAnsi"/>
          <w:color w:val="auto"/>
          <w:sz w:val="20"/>
          <w:szCs w:val="20"/>
        </w:rPr>
        <w:t xml:space="preserve"> </w:t>
      </w:r>
      <w:bookmarkEnd w:id="12"/>
    </w:p>
    <w:tbl>
      <w:tblPr>
        <w:tblStyle w:val="TableGrid"/>
        <w:tblW w:w="9738" w:type="dxa"/>
        <w:tblLook w:val="04A0" w:firstRow="1" w:lastRow="0" w:firstColumn="1" w:lastColumn="0" w:noHBand="0" w:noVBand="1"/>
      </w:tblPr>
      <w:tblGrid>
        <w:gridCol w:w="2898"/>
        <w:gridCol w:w="6840"/>
      </w:tblGrid>
      <w:tr w:rsidR="0020560C" w:rsidRPr="0020560C" w:rsidTr="0046104C">
        <w:tc>
          <w:tcPr>
            <w:tcW w:w="2898" w:type="dxa"/>
          </w:tcPr>
          <w:p w:rsidR="0020560C" w:rsidRPr="0020560C" w:rsidRDefault="0020560C" w:rsidP="0046104C">
            <w:pPr>
              <w:rPr>
                <w:b/>
                <w:sz w:val="20"/>
                <w:szCs w:val="20"/>
              </w:rPr>
            </w:pPr>
            <w:r w:rsidRPr="0020560C">
              <w:rPr>
                <w:b/>
                <w:sz w:val="20"/>
                <w:szCs w:val="20"/>
              </w:rPr>
              <w:t>Type of economic evaluation</w:t>
            </w:r>
          </w:p>
        </w:tc>
        <w:tc>
          <w:tcPr>
            <w:tcW w:w="6840" w:type="dxa"/>
          </w:tcPr>
          <w:p w:rsidR="0020560C" w:rsidRPr="0020560C" w:rsidRDefault="0020560C" w:rsidP="0046104C">
            <w:pPr>
              <w:rPr>
                <w:sz w:val="20"/>
                <w:szCs w:val="20"/>
              </w:rPr>
            </w:pPr>
            <w:r w:rsidRPr="0020560C">
              <w:rPr>
                <w:sz w:val="20"/>
                <w:szCs w:val="20"/>
              </w:rPr>
              <w:t>Cost utility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w:t>
            </w:r>
          </w:p>
        </w:tc>
        <w:tc>
          <w:tcPr>
            <w:tcW w:w="6840" w:type="dxa"/>
          </w:tcPr>
          <w:p w:rsidR="0020560C" w:rsidRPr="0020560C" w:rsidRDefault="0020560C" w:rsidP="0046104C">
            <w:pPr>
              <w:rPr>
                <w:sz w:val="20"/>
                <w:szCs w:val="20"/>
              </w:rPr>
            </w:pPr>
            <w:r w:rsidRPr="0020560C">
              <w:rPr>
                <w:sz w:val="20"/>
                <w:szCs w:val="20"/>
              </w:rPr>
              <w:t>US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Funding</w:t>
            </w:r>
          </w:p>
        </w:tc>
        <w:tc>
          <w:tcPr>
            <w:tcW w:w="6840" w:type="dxa"/>
          </w:tcPr>
          <w:p w:rsidR="0020560C" w:rsidRPr="0020560C" w:rsidRDefault="0020560C" w:rsidP="0046104C">
            <w:pPr>
              <w:rPr>
                <w:sz w:val="20"/>
                <w:szCs w:val="20"/>
              </w:rPr>
            </w:pPr>
            <w:r w:rsidRPr="0020560C">
              <w:rPr>
                <w:sz w:val="20"/>
                <w:szCs w:val="20"/>
              </w:rPr>
              <w:t xml:space="preserve">Professional organization – </w:t>
            </w:r>
          </w:p>
          <w:p w:rsidR="0020560C" w:rsidRPr="0020560C" w:rsidRDefault="0020560C" w:rsidP="0046104C">
            <w:pPr>
              <w:rPr>
                <w:sz w:val="20"/>
                <w:szCs w:val="20"/>
              </w:rPr>
            </w:pPr>
            <w:r w:rsidRPr="0020560C">
              <w:rPr>
                <w:sz w:val="20"/>
                <w:szCs w:val="20"/>
              </w:rPr>
              <w:t>(partially supported by Wilder C. Penfield Clinical Investigation Fellowship of the Congress of Neurologic Surgeons)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QHES</w:t>
            </w:r>
          </w:p>
        </w:tc>
        <w:tc>
          <w:tcPr>
            <w:tcW w:w="6840" w:type="dxa"/>
          </w:tcPr>
          <w:p w:rsidR="0020560C" w:rsidRPr="0020560C" w:rsidRDefault="0053588E" w:rsidP="0046104C">
            <w:pPr>
              <w:rPr>
                <w:sz w:val="20"/>
                <w:szCs w:val="20"/>
              </w:rPr>
            </w:pPr>
            <w:r>
              <w:rPr>
                <w:sz w:val="20"/>
                <w:szCs w:val="20"/>
              </w:rPr>
              <w:t>88/100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Objective</w:t>
            </w:r>
          </w:p>
        </w:tc>
        <w:tc>
          <w:tcPr>
            <w:tcW w:w="6840" w:type="dxa"/>
          </w:tcPr>
          <w:p w:rsidR="0020560C" w:rsidRPr="0020560C" w:rsidRDefault="0020560C" w:rsidP="0046104C">
            <w:pPr>
              <w:rPr>
                <w:sz w:val="20"/>
                <w:szCs w:val="20"/>
              </w:rPr>
            </w:pPr>
            <w:r w:rsidRPr="0020560C">
              <w:rPr>
                <w:sz w:val="20"/>
                <w:szCs w:val="20"/>
              </w:rPr>
              <w:t xml:space="preserve">To determine the relative cost-effectiveness of anterior cervical discectomy and fusion (ACDF) with </w:t>
            </w:r>
            <w:proofErr w:type="spellStart"/>
            <w:r w:rsidRPr="0020560C">
              <w:rPr>
                <w:sz w:val="20"/>
                <w:szCs w:val="20"/>
              </w:rPr>
              <w:t>autograft</w:t>
            </w:r>
            <w:proofErr w:type="spellEnd"/>
            <w:r w:rsidRPr="0020560C">
              <w:rPr>
                <w:sz w:val="20"/>
                <w:szCs w:val="20"/>
              </w:rPr>
              <w:t>, allograft, and allograft with plating for single-level anterior cervical spondylosis.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Analysis</w:t>
            </w:r>
          </w:p>
        </w:tc>
        <w:tc>
          <w:tcPr>
            <w:tcW w:w="6840" w:type="dxa"/>
          </w:tcPr>
          <w:p w:rsidR="0020560C" w:rsidRPr="0020560C" w:rsidRDefault="0020560C" w:rsidP="0046104C">
            <w:pPr>
              <w:rPr>
                <w:sz w:val="20"/>
                <w:szCs w:val="20"/>
              </w:rPr>
            </w:pPr>
            <w:r w:rsidRPr="0020560C">
              <w:rPr>
                <w:sz w:val="20"/>
                <w:szCs w:val="20"/>
              </w:rPr>
              <w:t xml:space="preserve">Decision tree (perioperative period and first year post-surgery); </w:t>
            </w:r>
          </w:p>
          <w:p w:rsidR="0020560C" w:rsidRPr="0020560C" w:rsidRDefault="0020560C" w:rsidP="0046104C">
            <w:pPr>
              <w:rPr>
                <w:sz w:val="20"/>
                <w:szCs w:val="20"/>
              </w:rPr>
            </w:pPr>
            <w:r w:rsidRPr="0020560C">
              <w:rPr>
                <w:sz w:val="20"/>
                <w:szCs w:val="20"/>
              </w:rPr>
              <w:t>Markov model (health status and reoperations between 1 and 5 years post-surgery)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Analytic perspective</w:t>
            </w:r>
          </w:p>
        </w:tc>
        <w:tc>
          <w:tcPr>
            <w:tcW w:w="6840" w:type="dxa"/>
          </w:tcPr>
          <w:p w:rsidR="0020560C" w:rsidRPr="0020560C" w:rsidRDefault="0020560C" w:rsidP="0046104C">
            <w:pPr>
              <w:rPr>
                <w:sz w:val="20"/>
                <w:szCs w:val="20"/>
              </w:rPr>
            </w:pPr>
            <w:r w:rsidRPr="0020560C">
              <w:rPr>
                <w:sz w:val="20"/>
                <w:szCs w:val="20"/>
              </w:rPr>
              <w:t>Societal perspective</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 horizon</w:t>
            </w:r>
          </w:p>
        </w:tc>
        <w:tc>
          <w:tcPr>
            <w:tcW w:w="6840" w:type="dxa"/>
          </w:tcPr>
          <w:p w:rsidR="0020560C" w:rsidRPr="0020560C" w:rsidRDefault="0020560C" w:rsidP="0046104C">
            <w:pPr>
              <w:rPr>
                <w:sz w:val="20"/>
                <w:szCs w:val="20"/>
              </w:rPr>
            </w:pPr>
            <w:r w:rsidRPr="0020560C">
              <w:rPr>
                <w:sz w:val="20"/>
                <w:szCs w:val="20"/>
              </w:rPr>
              <w:t>5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Outcome(s) reported</w:t>
            </w:r>
          </w:p>
        </w:tc>
        <w:tc>
          <w:tcPr>
            <w:tcW w:w="6840" w:type="dxa"/>
          </w:tcPr>
          <w:p w:rsidR="0020560C" w:rsidRPr="0020560C" w:rsidRDefault="0020560C" w:rsidP="0046104C">
            <w:pPr>
              <w:rPr>
                <w:sz w:val="20"/>
                <w:szCs w:val="20"/>
              </w:rPr>
            </w:pPr>
            <w:r w:rsidRPr="0020560C">
              <w:rPr>
                <w:sz w:val="20"/>
                <w:szCs w:val="20"/>
              </w:rPr>
              <w:t>Cost per QALY</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Interventions being compared</w:t>
            </w:r>
          </w:p>
        </w:tc>
        <w:tc>
          <w:tcPr>
            <w:tcW w:w="6840" w:type="dxa"/>
          </w:tcPr>
          <w:p w:rsidR="0020560C" w:rsidRPr="0020560C" w:rsidRDefault="0020560C" w:rsidP="0046104C">
            <w:pPr>
              <w:rPr>
                <w:sz w:val="20"/>
                <w:szCs w:val="20"/>
              </w:rPr>
            </w:pPr>
            <w:r w:rsidRPr="0020560C">
              <w:rPr>
                <w:sz w:val="20"/>
                <w:szCs w:val="20"/>
              </w:rPr>
              <w:t>Single-level ACDF with:</w:t>
            </w:r>
          </w:p>
          <w:p w:rsidR="0020560C" w:rsidRPr="0020560C" w:rsidRDefault="0020560C" w:rsidP="0020560C">
            <w:pPr>
              <w:pStyle w:val="ListParagraph"/>
              <w:numPr>
                <w:ilvl w:val="0"/>
                <w:numId w:val="4"/>
              </w:numPr>
              <w:rPr>
                <w:sz w:val="20"/>
                <w:szCs w:val="20"/>
              </w:rPr>
            </w:pPr>
            <w:proofErr w:type="spellStart"/>
            <w:r w:rsidRPr="0020560C">
              <w:rPr>
                <w:sz w:val="20"/>
                <w:szCs w:val="20"/>
              </w:rPr>
              <w:t>Autograft</w:t>
            </w:r>
            <w:proofErr w:type="spellEnd"/>
            <w:r w:rsidRPr="0020560C">
              <w:rPr>
                <w:sz w:val="20"/>
                <w:szCs w:val="20"/>
              </w:rPr>
              <w:t xml:space="preserve"> alone</w:t>
            </w:r>
          </w:p>
          <w:p w:rsidR="0020560C" w:rsidRPr="0020560C" w:rsidRDefault="0020560C" w:rsidP="0020560C">
            <w:pPr>
              <w:pStyle w:val="ListParagraph"/>
              <w:numPr>
                <w:ilvl w:val="0"/>
                <w:numId w:val="4"/>
              </w:numPr>
              <w:rPr>
                <w:sz w:val="20"/>
                <w:szCs w:val="20"/>
              </w:rPr>
            </w:pPr>
            <w:r w:rsidRPr="0020560C">
              <w:rPr>
                <w:sz w:val="20"/>
                <w:szCs w:val="20"/>
              </w:rPr>
              <w:t xml:space="preserve">Allograft alone </w:t>
            </w:r>
          </w:p>
          <w:p w:rsidR="0020560C" w:rsidRPr="0020560C" w:rsidRDefault="0020560C" w:rsidP="0020560C">
            <w:pPr>
              <w:pStyle w:val="ListParagraph"/>
              <w:numPr>
                <w:ilvl w:val="0"/>
                <w:numId w:val="4"/>
              </w:numPr>
              <w:rPr>
                <w:sz w:val="20"/>
                <w:szCs w:val="20"/>
              </w:rPr>
            </w:pPr>
            <w:r w:rsidRPr="0020560C">
              <w:rPr>
                <w:sz w:val="20"/>
                <w:szCs w:val="20"/>
              </w:rPr>
              <w:t xml:space="preserve">Allograft and plating (ACDFP) </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sz w:val="20"/>
                <w:szCs w:val="20"/>
              </w:rPr>
            </w:pPr>
            <w:r w:rsidRPr="0020560C">
              <w:rPr>
                <w:b/>
                <w:sz w:val="20"/>
                <w:szCs w:val="20"/>
              </w:rPr>
              <w:t>Clinical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Data source(s) (CoE of data source)</w:t>
            </w:r>
          </w:p>
        </w:tc>
        <w:tc>
          <w:tcPr>
            <w:tcW w:w="6840" w:type="dxa"/>
          </w:tcPr>
          <w:p w:rsidR="0020560C" w:rsidRPr="0020560C" w:rsidRDefault="0020560C" w:rsidP="0046104C">
            <w:pPr>
              <w:rPr>
                <w:sz w:val="20"/>
                <w:szCs w:val="20"/>
              </w:rPr>
            </w:pPr>
            <w:r w:rsidRPr="0020560C">
              <w:rPr>
                <w:sz w:val="20"/>
                <w:szCs w:val="20"/>
              </w:rPr>
              <w:t>Effectiveness outcomes: Determined from the literature (2 cohort studies (</w:t>
            </w:r>
            <w:proofErr w:type="spellStart"/>
            <w:r w:rsidRPr="0020560C">
              <w:rPr>
                <w:sz w:val="20"/>
                <w:szCs w:val="20"/>
              </w:rPr>
              <w:t>LoE</w:t>
            </w:r>
            <w:proofErr w:type="spellEnd"/>
            <w:r w:rsidRPr="0020560C">
              <w:rPr>
                <w:sz w:val="20"/>
                <w:szCs w:val="20"/>
              </w:rPr>
              <w:t xml:space="preserve"> II/III) 2 case series (</w:t>
            </w:r>
            <w:proofErr w:type="spellStart"/>
            <w:r w:rsidRPr="0020560C">
              <w:rPr>
                <w:sz w:val="20"/>
                <w:szCs w:val="20"/>
              </w:rPr>
              <w:t>LoE</w:t>
            </w:r>
            <w:proofErr w:type="spellEnd"/>
            <w:r w:rsidRPr="0020560C">
              <w:rPr>
                <w:sz w:val="20"/>
                <w:szCs w:val="20"/>
              </w:rPr>
              <w:t xml:space="preserve"> IV)) </w:t>
            </w:r>
          </w:p>
          <w:p w:rsidR="0020560C" w:rsidRPr="0020560C" w:rsidRDefault="0020560C" w:rsidP="0046104C">
            <w:pPr>
              <w:rPr>
                <w:sz w:val="20"/>
                <w:szCs w:val="20"/>
              </w:rPr>
            </w:pPr>
            <w:r w:rsidRPr="0020560C">
              <w:rPr>
                <w:sz w:val="20"/>
                <w:szCs w:val="20"/>
              </w:rPr>
              <w:t>Complications: Based on the literature (2 cohort studies (</w:t>
            </w:r>
            <w:proofErr w:type="spellStart"/>
            <w:r w:rsidRPr="0020560C">
              <w:rPr>
                <w:sz w:val="20"/>
                <w:szCs w:val="20"/>
              </w:rPr>
              <w:t>LoE</w:t>
            </w:r>
            <w:proofErr w:type="spellEnd"/>
            <w:r w:rsidRPr="0020560C">
              <w:rPr>
                <w:sz w:val="20"/>
                <w:szCs w:val="20"/>
              </w:rPr>
              <w:t xml:space="preserve"> II/III), 15 case series (</w:t>
            </w:r>
            <w:proofErr w:type="spellStart"/>
            <w:r w:rsidRPr="0020560C">
              <w:rPr>
                <w:sz w:val="20"/>
                <w:szCs w:val="20"/>
              </w:rPr>
              <w:t>LoE</w:t>
            </w:r>
            <w:proofErr w:type="spellEnd"/>
            <w:r w:rsidRPr="0020560C">
              <w:rPr>
                <w:sz w:val="20"/>
                <w:szCs w:val="20"/>
              </w:rPr>
              <w:t xml:space="preserve"> IV); 1 editorial; 1 biomechanical cadaveric study; 1 review (HIV risk))</w:t>
            </w:r>
            <w:r w:rsidRPr="0020560C">
              <w:rPr>
                <w:rStyle w:val="CommentReference"/>
                <w:sz w:val="20"/>
                <w:szCs w:val="20"/>
              </w:rPr>
              <w:t>.</w:t>
            </w:r>
            <w:r w:rsidRPr="0020560C">
              <w:rPr>
                <w:sz w:val="20"/>
                <w:szCs w:val="20"/>
              </w:rPr>
              <w:t xml:space="preserve">  In some cases, complication rates were determined directly from the literature; in other cases assumptions regarding complication rates were made based on one or more studies.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Number of patients </w:t>
            </w:r>
          </w:p>
          <w:p w:rsidR="0020560C" w:rsidRPr="0020560C" w:rsidRDefault="0020560C" w:rsidP="0046104C">
            <w:pPr>
              <w:rPr>
                <w:b/>
                <w:sz w:val="20"/>
                <w:szCs w:val="20"/>
              </w:rPr>
            </w:pPr>
            <w:r w:rsidRPr="0020560C">
              <w:rPr>
                <w:b/>
                <w:sz w:val="20"/>
                <w:szCs w:val="20"/>
              </w:rPr>
              <w:t>(% followed)</w:t>
            </w:r>
          </w:p>
        </w:tc>
        <w:tc>
          <w:tcPr>
            <w:tcW w:w="6840" w:type="dxa"/>
          </w:tcPr>
          <w:p w:rsidR="0020560C" w:rsidRPr="0020560C" w:rsidRDefault="0020560C" w:rsidP="0046104C">
            <w:pPr>
              <w:rPr>
                <w:sz w:val="20"/>
                <w:szCs w:val="20"/>
              </w:rPr>
            </w:pPr>
            <w:r w:rsidRPr="0020560C">
              <w:rPr>
                <w:sz w:val="20"/>
                <w:szCs w:val="20"/>
              </w:rPr>
              <w:t>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Diagnosis</w:t>
            </w:r>
          </w:p>
        </w:tc>
        <w:tc>
          <w:tcPr>
            <w:tcW w:w="6840" w:type="dxa"/>
          </w:tcPr>
          <w:p w:rsidR="0020560C" w:rsidRPr="0020560C" w:rsidRDefault="0020560C" w:rsidP="0046104C">
            <w:pPr>
              <w:rPr>
                <w:sz w:val="20"/>
                <w:szCs w:val="20"/>
              </w:rPr>
            </w:pPr>
            <w:r w:rsidRPr="0020560C">
              <w:rPr>
                <w:sz w:val="20"/>
                <w:szCs w:val="20"/>
              </w:rPr>
              <w:t>Cervical disc disease and spondylosis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Mean age (range)</w:t>
            </w:r>
          </w:p>
        </w:tc>
        <w:tc>
          <w:tcPr>
            <w:tcW w:w="6840" w:type="dxa"/>
          </w:tcPr>
          <w:p w:rsidR="0020560C" w:rsidRPr="0020560C" w:rsidRDefault="0020560C" w:rsidP="0046104C">
            <w:pPr>
              <w:rPr>
                <w:sz w:val="20"/>
                <w:szCs w:val="20"/>
              </w:rPr>
            </w:pPr>
            <w:r w:rsidRPr="0020560C">
              <w:rPr>
                <w:sz w:val="20"/>
                <w:szCs w:val="20"/>
              </w:rPr>
              <w:t>NR (various sources)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Sex (% female)</w:t>
            </w:r>
          </w:p>
        </w:tc>
        <w:tc>
          <w:tcPr>
            <w:tcW w:w="6840" w:type="dxa"/>
          </w:tcPr>
          <w:p w:rsidR="0020560C" w:rsidRPr="0020560C" w:rsidRDefault="0020560C" w:rsidP="0046104C">
            <w:pPr>
              <w:rPr>
                <w:sz w:val="20"/>
                <w:szCs w:val="20"/>
              </w:rPr>
            </w:pPr>
            <w:r w:rsidRPr="0020560C">
              <w:rPr>
                <w:sz w:val="20"/>
                <w:szCs w:val="20"/>
              </w:rPr>
              <w:t>NR (various sources)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Outcome measures used in model (validated in disease population?)</w:t>
            </w:r>
          </w:p>
        </w:tc>
        <w:tc>
          <w:tcPr>
            <w:tcW w:w="6840" w:type="dxa"/>
          </w:tcPr>
          <w:p w:rsidR="0020560C" w:rsidRPr="0020560C" w:rsidRDefault="0020560C" w:rsidP="0046104C">
            <w:pPr>
              <w:rPr>
                <w:sz w:val="20"/>
                <w:szCs w:val="20"/>
              </w:rPr>
            </w:pPr>
            <w:r w:rsidRPr="0020560C">
              <w:rPr>
                <w:sz w:val="20"/>
                <w:szCs w:val="20"/>
                <w:u w:val="single"/>
              </w:rPr>
              <w:t>1</w:t>
            </w:r>
            <w:r w:rsidRPr="0020560C">
              <w:rPr>
                <w:sz w:val="20"/>
                <w:szCs w:val="20"/>
                <w:u w:val="single"/>
                <w:vertAlign w:val="superscript"/>
              </w:rPr>
              <w:t>st</w:t>
            </w:r>
            <w:r w:rsidRPr="0020560C">
              <w:rPr>
                <w:sz w:val="20"/>
                <w:szCs w:val="20"/>
                <w:u w:val="single"/>
              </w:rPr>
              <w:t xml:space="preserve"> year</w:t>
            </w:r>
            <w:r w:rsidRPr="0020560C">
              <w:rPr>
                <w:sz w:val="20"/>
                <w:szCs w:val="20"/>
              </w:rPr>
              <w:t xml:space="preserve">: clinical improvement, improvement after reoperation, time until return to work </w:t>
            </w:r>
          </w:p>
          <w:p w:rsidR="0020560C" w:rsidRPr="0020560C" w:rsidRDefault="0020560C" w:rsidP="0046104C">
            <w:pPr>
              <w:rPr>
                <w:sz w:val="20"/>
                <w:szCs w:val="20"/>
              </w:rPr>
            </w:pPr>
            <w:r w:rsidRPr="0020560C">
              <w:rPr>
                <w:sz w:val="20"/>
                <w:szCs w:val="20"/>
                <w:u w:val="single"/>
              </w:rPr>
              <w:t>Long-term</w:t>
            </w:r>
            <w:r w:rsidRPr="0020560C">
              <w:rPr>
                <w:sz w:val="20"/>
                <w:szCs w:val="20"/>
              </w:rPr>
              <w:t xml:space="preserve"> outcomes: symptomatic worsening</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u w:val="single"/>
              </w:rPr>
              <w:t>Health state utilities</w:t>
            </w:r>
            <w:r w:rsidRPr="0020560C">
              <w:rPr>
                <w:sz w:val="20"/>
                <w:szCs w:val="20"/>
              </w:rPr>
              <w:t>: preoperative, improved, not improved (see utilities below)</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Complications used in model</w:t>
            </w:r>
          </w:p>
        </w:tc>
        <w:tc>
          <w:tcPr>
            <w:tcW w:w="6840" w:type="dxa"/>
          </w:tcPr>
          <w:p w:rsidR="0020560C" w:rsidRPr="0020560C" w:rsidRDefault="0020560C" w:rsidP="0046104C">
            <w:pPr>
              <w:rPr>
                <w:sz w:val="20"/>
                <w:szCs w:val="20"/>
              </w:rPr>
            </w:pPr>
            <w:r w:rsidRPr="0020560C">
              <w:rPr>
                <w:sz w:val="20"/>
                <w:szCs w:val="20"/>
                <w:u w:val="single"/>
              </w:rPr>
              <w:t>Perioperative and 1</w:t>
            </w:r>
            <w:r w:rsidRPr="0020560C">
              <w:rPr>
                <w:sz w:val="20"/>
                <w:szCs w:val="20"/>
                <w:u w:val="single"/>
                <w:vertAlign w:val="superscript"/>
              </w:rPr>
              <w:t>st</w:t>
            </w:r>
            <w:r w:rsidRPr="0020560C">
              <w:rPr>
                <w:sz w:val="20"/>
                <w:szCs w:val="20"/>
                <w:u w:val="single"/>
              </w:rPr>
              <w:t xml:space="preserve"> year</w:t>
            </w:r>
            <w:r w:rsidRPr="0020560C">
              <w:rPr>
                <w:sz w:val="20"/>
                <w:szCs w:val="20"/>
              </w:rPr>
              <w:t>: death, cord injury, root injury, reoperation other than graft or hardware complication, infection, dysphagia, chronic donor site pain, HIV from graft, graft complication, hardware complication</w:t>
            </w:r>
          </w:p>
          <w:p w:rsidR="0020560C" w:rsidRPr="0020560C" w:rsidRDefault="0020560C" w:rsidP="0046104C">
            <w:pPr>
              <w:rPr>
                <w:sz w:val="20"/>
                <w:szCs w:val="20"/>
              </w:rPr>
            </w:pPr>
          </w:p>
          <w:p w:rsidR="0020560C" w:rsidRPr="0020560C" w:rsidRDefault="0020560C" w:rsidP="0046104C">
            <w:pPr>
              <w:rPr>
                <w:sz w:val="20"/>
                <w:szCs w:val="20"/>
                <w:u w:val="single"/>
              </w:rPr>
            </w:pPr>
            <w:r w:rsidRPr="0020560C">
              <w:rPr>
                <w:sz w:val="20"/>
                <w:szCs w:val="20"/>
                <w:u w:val="single"/>
              </w:rPr>
              <w:t>Markov model (i.e., long-term complications)</w:t>
            </w:r>
            <w:r w:rsidRPr="0020560C">
              <w:rPr>
                <w:sz w:val="20"/>
                <w:szCs w:val="20"/>
              </w:rPr>
              <w:t>: ASD, reoperation for ASD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 xml:space="preserve">Timeframe of outcomes included </w:t>
            </w:r>
          </w:p>
        </w:tc>
        <w:tc>
          <w:tcPr>
            <w:tcW w:w="6840" w:type="dxa"/>
          </w:tcPr>
          <w:p w:rsidR="0020560C" w:rsidRPr="0020560C" w:rsidRDefault="0020560C" w:rsidP="0046104C">
            <w:pPr>
              <w:rPr>
                <w:sz w:val="20"/>
                <w:szCs w:val="20"/>
              </w:rPr>
            </w:pPr>
            <w:r w:rsidRPr="0020560C">
              <w:rPr>
                <w:sz w:val="20"/>
                <w:szCs w:val="20"/>
              </w:rPr>
              <w:t>1 year; yearly outcomes to 5 years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Country of study</w:t>
            </w:r>
          </w:p>
        </w:tc>
        <w:tc>
          <w:tcPr>
            <w:tcW w:w="6840" w:type="dxa"/>
          </w:tcPr>
          <w:p w:rsidR="0020560C" w:rsidRPr="0020560C" w:rsidRDefault="0020560C" w:rsidP="0046104C">
            <w:pPr>
              <w:rPr>
                <w:sz w:val="20"/>
                <w:szCs w:val="20"/>
              </w:rPr>
            </w:pPr>
            <w:r w:rsidRPr="0020560C">
              <w:rPr>
                <w:sz w:val="20"/>
                <w:szCs w:val="20"/>
              </w:rPr>
              <w:t>NR (various sources)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Type of organization</w:t>
            </w:r>
          </w:p>
        </w:tc>
        <w:tc>
          <w:tcPr>
            <w:tcW w:w="6840" w:type="dxa"/>
          </w:tcPr>
          <w:p w:rsidR="0020560C" w:rsidRPr="0020560C" w:rsidRDefault="0020560C" w:rsidP="0046104C">
            <w:pPr>
              <w:rPr>
                <w:sz w:val="20"/>
                <w:szCs w:val="20"/>
              </w:rPr>
            </w:pPr>
            <w:r w:rsidRPr="0020560C">
              <w:rPr>
                <w:sz w:val="20"/>
                <w:szCs w:val="20"/>
              </w:rPr>
              <w:t>NR (various sources)</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Cost data</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Currency (type and year)</w:t>
            </w:r>
          </w:p>
        </w:tc>
        <w:tc>
          <w:tcPr>
            <w:tcW w:w="6840" w:type="dxa"/>
          </w:tcPr>
          <w:p w:rsidR="0020560C" w:rsidRPr="0020560C" w:rsidRDefault="0020560C" w:rsidP="0046104C">
            <w:pPr>
              <w:rPr>
                <w:sz w:val="20"/>
                <w:szCs w:val="20"/>
              </w:rPr>
            </w:pPr>
            <w:r w:rsidRPr="0020560C">
              <w:rPr>
                <w:sz w:val="20"/>
                <w:szCs w:val="20"/>
              </w:rPr>
              <w:t xml:space="preserve">US$ (2000)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Cost source(s)</w:t>
            </w:r>
          </w:p>
        </w:tc>
        <w:tc>
          <w:tcPr>
            <w:tcW w:w="6840" w:type="dxa"/>
          </w:tcPr>
          <w:p w:rsidR="0020560C" w:rsidRPr="0020560C" w:rsidRDefault="0020560C" w:rsidP="0046104C">
            <w:pPr>
              <w:rPr>
                <w:sz w:val="20"/>
                <w:szCs w:val="20"/>
              </w:rPr>
            </w:pPr>
            <w:r w:rsidRPr="0020560C">
              <w:rPr>
                <w:sz w:val="20"/>
                <w:szCs w:val="20"/>
              </w:rPr>
              <w:t>Costs were determined from the following:</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 retrospective analysis of 78 patients with cervical disc disease and </w:t>
            </w:r>
            <w:r w:rsidRPr="0020560C">
              <w:rPr>
                <w:sz w:val="20"/>
                <w:szCs w:val="20"/>
              </w:rPr>
              <w:lastRenderedPageBreak/>
              <w:t xml:space="preserve">spondylosis (single-level ACDF with allograft alone (n = 31) or allograft and plating (ACDFP) (n = 47))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Previously published costing studies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Costs included in analysis</w:t>
            </w:r>
          </w:p>
        </w:tc>
        <w:tc>
          <w:tcPr>
            <w:tcW w:w="6840" w:type="dxa"/>
            <w:shd w:val="clear" w:color="auto" w:fill="auto"/>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From the 78 patients reviewed retrospectively:</w:t>
            </w:r>
          </w:p>
          <w:p w:rsidR="0020560C" w:rsidRPr="0020560C" w:rsidRDefault="0020560C" w:rsidP="0020560C">
            <w:pPr>
              <w:pStyle w:val="ListParagraph"/>
              <w:numPr>
                <w:ilvl w:val="1"/>
                <w:numId w:val="3"/>
              </w:numPr>
              <w:ind w:left="702" w:hanging="270"/>
              <w:rPr>
                <w:sz w:val="20"/>
                <w:szCs w:val="20"/>
              </w:rPr>
            </w:pPr>
            <w:r w:rsidRPr="0020560C">
              <w:rPr>
                <w:sz w:val="20"/>
                <w:szCs w:val="20"/>
              </w:rPr>
              <w:t>Itemized hospital bills reviewed for base case costs (Charges converted to approximate costs using specific cost to charge ratios from the Institutional Cost Reports prepared for the Health Care Financing Administration.)</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From Medicare physician fee reimbursements:</w:t>
            </w:r>
          </w:p>
          <w:p w:rsidR="0020560C" w:rsidRPr="0020560C" w:rsidRDefault="0020560C" w:rsidP="0020560C">
            <w:pPr>
              <w:pStyle w:val="ListParagraph"/>
              <w:numPr>
                <w:ilvl w:val="1"/>
                <w:numId w:val="3"/>
              </w:numPr>
              <w:ind w:left="702" w:hanging="270"/>
              <w:rPr>
                <w:sz w:val="20"/>
                <w:szCs w:val="20"/>
              </w:rPr>
            </w:pPr>
            <w:r w:rsidRPr="0020560C">
              <w:rPr>
                <w:sz w:val="20"/>
                <w:szCs w:val="20"/>
              </w:rPr>
              <w:t>Cost of the surgeon’s time for each procedure</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Other costs included (source not clear):</w:t>
            </w:r>
          </w:p>
          <w:p w:rsidR="0020560C" w:rsidRPr="0020560C" w:rsidRDefault="0020560C" w:rsidP="0020560C">
            <w:pPr>
              <w:pStyle w:val="ListParagraph"/>
              <w:numPr>
                <w:ilvl w:val="1"/>
                <w:numId w:val="3"/>
              </w:numPr>
              <w:ind w:left="702" w:hanging="270"/>
              <w:rPr>
                <w:sz w:val="20"/>
                <w:szCs w:val="20"/>
              </w:rPr>
            </w:pPr>
            <w:r w:rsidRPr="0020560C">
              <w:rPr>
                <w:sz w:val="20"/>
                <w:szCs w:val="20"/>
              </w:rPr>
              <w:t>Cost of reoperation for graft or hardware complication</w:t>
            </w:r>
          </w:p>
          <w:p w:rsidR="0020560C" w:rsidRPr="0020560C" w:rsidRDefault="0020560C" w:rsidP="0020560C">
            <w:pPr>
              <w:pStyle w:val="ListParagraph"/>
              <w:numPr>
                <w:ilvl w:val="1"/>
                <w:numId w:val="3"/>
              </w:numPr>
              <w:ind w:left="702" w:hanging="270"/>
              <w:rPr>
                <w:sz w:val="20"/>
                <w:szCs w:val="20"/>
              </w:rPr>
            </w:pPr>
            <w:r w:rsidRPr="0020560C">
              <w:rPr>
                <w:sz w:val="20"/>
                <w:szCs w:val="20"/>
              </w:rPr>
              <w:t>Cost of reoperation for other complications (e.g., hematomas, deep wound infections)</w:t>
            </w:r>
          </w:p>
          <w:p w:rsidR="0020560C" w:rsidRPr="0020560C" w:rsidRDefault="0020560C" w:rsidP="0020560C">
            <w:pPr>
              <w:pStyle w:val="ListParagraph"/>
              <w:numPr>
                <w:ilvl w:val="1"/>
                <w:numId w:val="3"/>
              </w:numPr>
              <w:ind w:left="702" w:hanging="270"/>
              <w:rPr>
                <w:sz w:val="20"/>
                <w:szCs w:val="20"/>
              </w:rPr>
            </w:pPr>
            <w:r w:rsidRPr="0020560C">
              <w:rPr>
                <w:sz w:val="20"/>
                <w:szCs w:val="20"/>
              </w:rPr>
              <w:t>Cost of spinal cord injury</w:t>
            </w:r>
          </w:p>
          <w:p w:rsidR="0020560C" w:rsidRPr="0020560C" w:rsidRDefault="0020560C" w:rsidP="0020560C">
            <w:pPr>
              <w:pStyle w:val="ListParagraph"/>
              <w:numPr>
                <w:ilvl w:val="1"/>
                <w:numId w:val="3"/>
              </w:numPr>
              <w:ind w:left="702" w:hanging="270"/>
              <w:rPr>
                <w:sz w:val="20"/>
                <w:szCs w:val="20"/>
              </w:rPr>
            </w:pPr>
            <w:r w:rsidRPr="0020560C">
              <w:rPr>
                <w:sz w:val="20"/>
                <w:szCs w:val="20"/>
              </w:rPr>
              <w:t>Cost of HIV injection</w:t>
            </w:r>
          </w:p>
          <w:p w:rsidR="0020560C" w:rsidRPr="0020560C" w:rsidRDefault="0020560C" w:rsidP="0046104C">
            <w:pPr>
              <w:rPr>
                <w:sz w:val="20"/>
                <w:szCs w:val="20"/>
              </w:rPr>
            </w:pPr>
          </w:p>
          <w:p w:rsidR="0020560C" w:rsidRPr="0020560C" w:rsidRDefault="0020560C" w:rsidP="0046104C">
            <w:pPr>
              <w:rPr>
                <w:sz w:val="20"/>
                <w:szCs w:val="20"/>
              </w:rPr>
            </w:pPr>
            <w:r w:rsidRPr="0020560C">
              <w:rPr>
                <w:sz w:val="20"/>
                <w:szCs w:val="20"/>
                <w:u w:val="single"/>
              </w:rPr>
              <w:t>Note</w:t>
            </w:r>
            <w:r w:rsidRPr="0020560C">
              <w:rPr>
                <w:sz w:val="20"/>
                <w:szCs w:val="20"/>
              </w:rPr>
              <w:t xml:space="preserve">: costs accrued after hospital discharge were </w:t>
            </w:r>
            <w:r w:rsidRPr="0020560C">
              <w:rPr>
                <w:sz w:val="20"/>
                <w:szCs w:val="20"/>
                <w:u w:val="single"/>
              </w:rPr>
              <w:t>not</w:t>
            </w:r>
            <w:r w:rsidRPr="0020560C">
              <w:rPr>
                <w:sz w:val="20"/>
                <w:szCs w:val="20"/>
              </w:rPr>
              <w:t xml:space="preserve"> included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costs included</w:t>
            </w:r>
          </w:p>
        </w:tc>
        <w:tc>
          <w:tcPr>
            <w:tcW w:w="6840" w:type="dxa"/>
          </w:tcPr>
          <w:p w:rsidR="0020560C" w:rsidRPr="0020560C" w:rsidRDefault="0020560C" w:rsidP="0046104C">
            <w:pPr>
              <w:rPr>
                <w:sz w:val="20"/>
                <w:szCs w:val="20"/>
              </w:rPr>
            </w:pPr>
            <w:r w:rsidRPr="0020560C">
              <w:rPr>
                <w:sz w:val="20"/>
                <w:szCs w:val="20"/>
              </w:rPr>
              <w:t>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Discount rate</w:t>
            </w:r>
          </w:p>
        </w:tc>
        <w:tc>
          <w:tcPr>
            <w:tcW w:w="6840" w:type="dxa"/>
          </w:tcPr>
          <w:p w:rsidR="0020560C" w:rsidRPr="0020560C" w:rsidRDefault="0020560C" w:rsidP="0046104C">
            <w:pPr>
              <w:rPr>
                <w:sz w:val="20"/>
                <w:szCs w:val="20"/>
              </w:rPr>
            </w:pPr>
            <w:r w:rsidRPr="0020560C">
              <w:rPr>
                <w:sz w:val="20"/>
                <w:szCs w:val="20"/>
              </w:rPr>
              <w:t>3% per year (for both costs and benefits in the base case analysis); this rate was varied in the sensitivity analysis from 0% to 10%.</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Utilities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w:t>
            </w:r>
          </w:p>
        </w:tc>
        <w:tc>
          <w:tcPr>
            <w:tcW w:w="6840" w:type="dxa"/>
          </w:tcPr>
          <w:p w:rsidR="0020560C" w:rsidRPr="0020560C" w:rsidRDefault="0020560C" w:rsidP="0046104C">
            <w:pPr>
              <w:rPr>
                <w:sz w:val="20"/>
                <w:szCs w:val="20"/>
              </w:rPr>
            </w:pPr>
            <w:r w:rsidRPr="0020560C">
              <w:rPr>
                <w:sz w:val="20"/>
                <w:szCs w:val="20"/>
                <w:u w:val="single"/>
              </w:rPr>
              <w:t>Health state utilities</w:t>
            </w:r>
            <w:r w:rsidRPr="0020560C">
              <w:rPr>
                <w:sz w:val="20"/>
                <w:szCs w:val="20"/>
              </w:rPr>
              <w:t>: preoperative (0.81), improved (1.0), not improved (0.81)</w:t>
            </w:r>
          </w:p>
          <w:p w:rsidR="0020560C" w:rsidRPr="0020560C" w:rsidRDefault="0020560C" w:rsidP="0046104C">
            <w:pPr>
              <w:rPr>
                <w:sz w:val="20"/>
                <w:szCs w:val="20"/>
              </w:rPr>
            </w:pPr>
            <w:r w:rsidRPr="0020560C">
              <w:rPr>
                <w:sz w:val="20"/>
                <w:szCs w:val="20"/>
              </w:rPr>
              <w:t xml:space="preserve">Derived from a study of ACDF that reported both pre-and postoperative SF-36 scores (converted into utilities using an algorithm base on the Health Utility Index (HUI2))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Utility basis disease-specific or general measure?</w:t>
            </w:r>
          </w:p>
        </w:tc>
        <w:tc>
          <w:tcPr>
            <w:tcW w:w="6840" w:type="dxa"/>
          </w:tcPr>
          <w:p w:rsidR="0020560C" w:rsidRPr="0020560C" w:rsidRDefault="0020560C" w:rsidP="0046104C">
            <w:pPr>
              <w:rPr>
                <w:rFonts w:cs="Syntax-Roman"/>
                <w:sz w:val="20"/>
                <w:szCs w:val="20"/>
              </w:rPr>
            </w:pPr>
            <w:r w:rsidRPr="0020560C">
              <w:rPr>
                <w:rFonts w:cs="Syntax-Roman"/>
                <w:sz w:val="20"/>
                <w:szCs w:val="20"/>
              </w:rPr>
              <w:t xml:space="preserve">General </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Timeframe of utility measurements</w:t>
            </w:r>
          </w:p>
        </w:tc>
        <w:tc>
          <w:tcPr>
            <w:tcW w:w="6840" w:type="dxa"/>
          </w:tcPr>
          <w:p w:rsidR="0020560C" w:rsidRPr="0020560C" w:rsidRDefault="0020560C" w:rsidP="0046104C">
            <w:pPr>
              <w:rPr>
                <w:sz w:val="20"/>
                <w:szCs w:val="20"/>
              </w:rPr>
            </w:pPr>
            <w:r w:rsidRPr="0020560C">
              <w:rPr>
                <w:sz w:val="20"/>
                <w:szCs w:val="20"/>
              </w:rPr>
              <w:t>NR</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Population source of utility measure</w:t>
            </w:r>
          </w:p>
        </w:tc>
        <w:tc>
          <w:tcPr>
            <w:tcW w:w="6840" w:type="dxa"/>
          </w:tcPr>
          <w:p w:rsidR="0020560C" w:rsidRPr="0020560C" w:rsidRDefault="0020560C" w:rsidP="0046104C">
            <w:pPr>
              <w:rPr>
                <w:sz w:val="20"/>
                <w:szCs w:val="20"/>
              </w:rPr>
            </w:pPr>
            <w:r w:rsidRPr="0020560C">
              <w:rPr>
                <w:sz w:val="20"/>
                <w:szCs w:val="20"/>
              </w:rPr>
              <w:t>Previously published case series (CoE IV) of ACDF that reported pre- and postoperative SF-36 scores</w:t>
            </w:r>
          </w:p>
          <w:p w:rsidR="0020560C" w:rsidRPr="0020560C" w:rsidRDefault="0020560C" w:rsidP="0046104C">
            <w:pPr>
              <w:rPr>
                <w:sz w:val="20"/>
                <w:szCs w:val="20"/>
              </w:rPr>
            </w:pPr>
            <w:r w:rsidRPr="0020560C">
              <w:rPr>
                <w:sz w:val="20"/>
                <w:szCs w:val="20"/>
              </w:rPr>
              <w:t>N = 28 (64% female; mean age: 44 years)</w:t>
            </w:r>
          </w:p>
          <w:p w:rsidR="0020560C" w:rsidRPr="0020560C" w:rsidRDefault="0020560C" w:rsidP="0046104C">
            <w:pPr>
              <w:rPr>
                <w:sz w:val="20"/>
                <w:szCs w:val="20"/>
              </w:rPr>
            </w:pPr>
            <w:r w:rsidRPr="0020560C">
              <w:rPr>
                <w:sz w:val="20"/>
                <w:szCs w:val="20"/>
              </w:rPr>
              <w:t>Diagnosis: cervical radiculopathy</w:t>
            </w:r>
          </w:p>
          <w:p w:rsidR="0020560C" w:rsidRPr="0020560C" w:rsidRDefault="0020560C" w:rsidP="0046104C">
            <w:pPr>
              <w:rPr>
                <w:sz w:val="20"/>
                <w:szCs w:val="20"/>
              </w:rPr>
            </w:pPr>
            <w:r w:rsidRPr="0020560C">
              <w:rPr>
                <w:sz w:val="20"/>
                <w:szCs w:val="20"/>
              </w:rPr>
              <w:t>Treatment: 1- or 2-level ACDF</w:t>
            </w:r>
          </w:p>
          <w:p w:rsidR="0020560C" w:rsidRPr="0020560C" w:rsidRDefault="0020560C" w:rsidP="0046104C">
            <w:pPr>
              <w:rPr>
                <w:sz w:val="20"/>
                <w:szCs w:val="20"/>
              </w:rPr>
            </w:pPr>
            <w:r w:rsidRPr="0020560C">
              <w:rPr>
                <w:sz w:val="20"/>
                <w:szCs w:val="20"/>
              </w:rPr>
              <w:t>Follow-up: mean 21.8 months</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Sensitivity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Sensitivity analysis performed?</w:t>
            </w:r>
          </w:p>
        </w:tc>
        <w:tc>
          <w:tcPr>
            <w:tcW w:w="6840" w:type="dxa"/>
          </w:tcPr>
          <w:p w:rsidR="0020560C" w:rsidRPr="0020560C" w:rsidRDefault="0020560C" w:rsidP="0046104C">
            <w:pPr>
              <w:rPr>
                <w:sz w:val="20"/>
                <w:szCs w:val="20"/>
              </w:rPr>
            </w:pPr>
            <w:r w:rsidRPr="0020560C">
              <w:rPr>
                <w:sz w:val="20"/>
                <w:szCs w:val="20"/>
              </w:rPr>
              <w:t>Yes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Goal of sensitivity analysis</w:t>
            </w:r>
          </w:p>
        </w:tc>
        <w:tc>
          <w:tcPr>
            <w:tcW w:w="6840" w:type="dxa"/>
          </w:tcPr>
          <w:p w:rsidR="0020560C" w:rsidRPr="0020560C" w:rsidRDefault="0020560C" w:rsidP="0046104C">
            <w:pPr>
              <w:rPr>
                <w:sz w:val="20"/>
                <w:szCs w:val="20"/>
              </w:rPr>
            </w:pPr>
            <w:r w:rsidRPr="0020560C">
              <w:rPr>
                <w:sz w:val="20"/>
                <w:szCs w:val="20"/>
              </w:rPr>
              <w:t>Because the utility value assigned to “improved” patients was 1.0 and likely overestimates the benefits of ACDF, various utilities were tested in sensitivity analysis.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Variables evaluated in sensitivity analysis</w:t>
            </w:r>
          </w:p>
        </w:tc>
        <w:tc>
          <w:tcPr>
            <w:tcW w:w="6840" w:type="dxa"/>
          </w:tcPr>
          <w:p w:rsidR="0020560C" w:rsidRPr="0020560C" w:rsidRDefault="0020560C" w:rsidP="0046104C">
            <w:pPr>
              <w:rPr>
                <w:sz w:val="20"/>
                <w:szCs w:val="20"/>
              </w:rPr>
            </w:pPr>
            <w:r w:rsidRPr="0020560C">
              <w:rPr>
                <w:sz w:val="20"/>
                <w:szCs w:val="20"/>
              </w:rPr>
              <w:t>Equal postoperative recovery periods (4 weeks), symptomatic health state utility 0.70, “improved” health state utility 0.90, maximum probability of hardware complication (0.048)/baseline probability of graft complication (0.048), baseline hardware complication rate (0.0)/maximum graft complication rate (0.087), maximum probability of hardware complication (0.048)/minimum probability of graft complication (0.0), annual probability of delayed symptomatic worsening twice baseline, discount rate</w:t>
            </w:r>
          </w:p>
        </w:tc>
      </w:tr>
      <w:tr w:rsidR="0020560C" w:rsidRPr="0020560C" w:rsidTr="0046104C">
        <w:tc>
          <w:tcPr>
            <w:tcW w:w="9738" w:type="dxa"/>
            <w:gridSpan w:val="2"/>
            <w:shd w:val="clear" w:color="auto" w:fill="D9D9D9" w:themeFill="background1" w:themeFillShade="D9"/>
          </w:tcPr>
          <w:p w:rsidR="0020560C" w:rsidRPr="0020560C" w:rsidRDefault="0020560C" w:rsidP="0046104C">
            <w:pPr>
              <w:rPr>
                <w:b/>
                <w:sz w:val="20"/>
                <w:szCs w:val="20"/>
              </w:rPr>
            </w:pPr>
            <w:r w:rsidRPr="0020560C">
              <w:rPr>
                <w:b/>
                <w:sz w:val="20"/>
                <w:szCs w:val="20"/>
              </w:rPr>
              <w:t>Results</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Base case results</w:t>
            </w:r>
          </w:p>
        </w:tc>
        <w:tc>
          <w:tcPr>
            <w:tcW w:w="6840" w:type="dxa"/>
          </w:tcPr>
          <w:p w:rsidR="0020560C" w:rsidRPr="0020560C" w:rsidRDefault="0020560C" w:rsidP="0046104C">
            <w:pPr>
              <w:rPr>
                <w:b/>
                <w:sz w:val="20"/>
                <w:szCs w:val="20"/>
              </w:rPr>
            </w:pPr>
            <w:r w:rsidRPr="0020560C">
              <w:rPr>
                <w:b/>
                <w:sz w:val="20"/>
                <w:szCs w:val="20"/>
              </w:rPr>
              <w:t>5 years</w:t>
            </w:r>
          </w:p>
          <w:p w:rsidR="0020560C" w:rsidRPr="0020560C" w:rsidRDefault="0020560C" w:rsidP="0046104C">
            <w:pPr>
              <w:rPr>
                <w:sz w:val="20"/>
                <w:szCs w:val="20"/>
                <w:u w:val="single"/>
              </w:rPr>
            </w:pPr>
            <w:r w:rsidRPr="0020560C">
              <w:rPr>
                <w:sz w:val="20"/>
                <w:szCs w:val="20"/>
                <w:u w:val="single"/>
              </w:rPr>
              <w:t>ACDF-</w:t>
            </w:r>
            <w:proofErr w:type="spellStart"/>
            <w:r w:rsidRPr="0020560C">
              <w:rPr>
                <w:sz w:val="20"/>
                <w:szCs w:val="20"/>
                <w:u w:val="single"/>
              </w:rPr>
              <w:t>autograft</w:t>
            </w:r>
            <w:proofErr w:type="spellEnd"/>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$11,230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lastRenderedPageBreak/>
              <w:t>QALYs: 4.365</w:t>
            </w:r>
          </w:p>
          <w:p w:rsidR="0020560C" w:rsidRPr="0020560C" w:rsidRDefault="0020560C" w:rsidP="0046104C">
            <w:pPr>
              <w:rPr>
                <w:sz w:val="20"/>
                <w:szCs w:val="20"/>
                <w:u w:val="single"/>
              </w:rPr>
            </w:pPr>
            <w:r w:rsidRPr="0020560C">
              <w:rPr>
                <w:sz w:val="20"/>
                <w:szCs w:val="20"/>
                <w:u w:val="single"/>
              </w:rPr>
              <w:t>ACDF allograft</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$11,290 (difference vs. ACDF-</w:t>
            </w:r>
            <w:proofErr w:type="spellStart"/>
            <w:r w:rsidRPr="0020560C">
              <w:rPr>
                <w:sz w:val="20"/>
                <w:szCs w:val="20"/>
              </w:rPr>
              <w:t>autograft</w:t>
            </w:r>
            <w:proofErr w:type="spellEnd"/>
            <w:r w:rsidRPr="0020560C">
              <w:rPr>
                <w:sz w:val="20"/>
                <w:szCs w:val="20"/>
              </w:rPr>
              <w:t>: $60)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QALYs: 4.486 (difference vs. ACDF-</w:t>
            </w:r>
            <w:proofErr w:type="spellStart"/>
            <w:r w:rsidRPr="0020560C">
              <w:rPr>
                <w:sz w:val="20"/>
                <w:szCs w:val="20"/>
              </w:rPr>
              <w:t>autograft</w:t>
            </w:r>
            <w:proofErr w:type="spellEnd"/>
            <w:r w:rsidRPr="0020560C">
              <w:rPr>
                <w:sz w:val="20"/>
                <w:szCs w:val="20"/>
              </w:rPr>
              <w:t>: 0.121)</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ICER: $496 (vs. ACDF- </w:t>
            </w:r>
            <w:proofErr w:type="spellStart"/>
            <w:r w:rsidRPr="0020560C">
              <w:rPr>
                <w:sz w:val="20"/>
                <w:szCs w:val="20"/>
              </w:rPr>
              <w:t>autograft</w:t>
            </w:r>
            <w:proofErr w:type="spellEnd"/>
            <w:r w:rsidRPr="0020560C">
              <w:rPr>
                <w:sz w:val="20"/>
                <w:szCs w:val="20"/>
              </w:rPr>
              <w:t>)</w:t>
            </w:r>
          </w:p>
          <w:p w:rsidR="0020560C" w:rsidRPr="0020560C" w:rsidRDefault="0020560C" w:rsidP="0046104C">
            <w:pPr>
              <w:rPr>
                <w:sz w:val="20"/>
                <w:szCs w:val="20"/>
                <w:u w:val="single"/>
              </w:rPr>
            </w:pPr>
            <w:r w:rsidRPr="0020560C">
              <w:rPr>
                <w:sz w:val="20"/>
                <w:szCs w:val="20"/>
                <w:u w:val="single"/>
              </w:rPr>
              <w:t>ACDFP</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Cost: $12,690 (difference vs. ACDF-allograft: $1400)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QALYs: 4.486 (difference vs. ACDF- allograft: 0.043)</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ICER: $32,560 (vs. ACDF- allograft)</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lastRenderedPageBreak/>
              <w:t>Results of sensitivity analysis</w:t>
            </w:r>
          </w:p>
        </w:tc>
        <w:tc>
          <w:tcPr>
            <w:tcW w:w="6840" w:type="dxa"/>
          </w:tcPr>
          <w:p w:rsidR="0020560C" w:rsidRPr="0020560C" w:rsidRDefault="0020560C" w:rsidP="0046104C">
            <w:pPr>
              <w:rPr>
                <w:sz w:val="20"/>
                <w:szCs w:val="20"/>
              </w:rPr>
            </w:pPr>
            <w:r w:rsidRPr="0020560C">
              <w:rPr>
                <w:sz w:val="20"/>
                <w:szCs w:val="20"/>
              </w:rPr>
              <w:t>See Tables 6-7</w:t>
            </w:r>
          </w:p>
          <w:p w:rsidR="0020560C" w:rsidRPr="0020560C" w:rsidRDefault="0020560C" w:rsidP="0046104C">
            <w:pPr>
              <w:rPr>
                <w:sz w:val="20"/>
                <w:szCs w:val="20"/>
                <w:u w:val="single"/>
              </w:rPr>
            </w:pPr>
            <w:r w:rsidRPr="0020560C">
              <w:rPr>
                <w:sz w:val="20"/>
                <w:szCs w:val="20"/>
                <w:u w:val="single"/>
              </w:rPr>
              <w:t>Sensitivity analysis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Equal postoperative recovery periods (4 weeks): results in ACDFP dominating ACDF-allograft</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 xml:space="preserve">Variability in utilities for pre- and postoperative health states: </w:t>
            </w:r>
          </w:p>
          <w:p w:rsidR="0020560C" w:rsidRPr="0020560C" w:rsidRDefault="0020560C" w:rsidP="0020560C">
            <w:pPr>
              <w:pStyle w:val="ListParagraph"/>
              <w:numPr>
                <w:ilvl w:val="1"/>
                <w:numId w:val="3"/>
              </w:numPr>
              <w:ind w:left="702" w:hanging="270"/>
              <w:rPr>
                <w:sz w:val="20"/>
                <w:szCs w:val="20"/>
              </w:rPr>
            </w:pPr>
            <w:r w:rsidRPr="0020560C">
              <w:rPr>
                <w:sz w:val="20"/>
                <w:szCs w:val="20"/>
              </w:rPr>
              <w:t>Larger effect sizes (lower symptomatic utilities or higher asymptomatic utilities) resulted in smaller ICERs</w:t>
            </w:r>
          </w:p>
          <w:p w:rsidR="0020560C" w:rsidRPr="0020560C" w:rsidRDefault="0020560C" w:rsidP="0020560C">
            <w:pPr>
              <w:pStyle w:val="ListParagraph"/>
              <w:numPr>
                <w:ilvl w:val="1"/>
                <w:numId w:val="3"/>
              </w:numPr>
              <w:ind w:left="702" w:hanging="270"/>
              <w:rPr>
                <w:sz w:val="20"/>
                <w:szCs w:val="20"/>
              </w:rPr>
            </w:pPr>
            <w:r w:rsidRPr="0020560C">
              <w:rPr>
                <w:sz w:val="20"/>
                <w:szCs w:val="20"/>
              </w:rPr>
              <w:t>Narrower effect sizes (higher symptomatic utilities or lower asymptomatic utilities) resulted in increased ICERs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Variability in probabilities of delayed reoperation and hardware and graft complications: </w:t>
            </w:r>
          </w:p>
          <w:p w:rsidR="0020560C" w:rsidRPr="0020560C" w:rsidRDefault="0020560C" w:rsidP="0020560C">
            <w:pPr>
              <w:pStyle w:val="ListParagraph"/>
              <w:numPr>
                <w:ilvl w:val="1"/>
                <w:numId w:val="3"/>
              </w:numPr>
              <w:ind w:left="702" w:hanging="270"/>
              <w:rPr>
                <w:sz w:val="20"/>
                <w:szCs w:val="20"/>
              </w:rPr>
            </w:pPr>
            <w:r w:rsidRPr="0020560C">
              <w:rPr>
                <w:sz w:val="20"/>
                <w:szCs w:val="20"/>
              </w:rPr>
              <w:t>ACDFP ICER: $19,090 - $60,000 (vs. ACDF- allograft)</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Discount rate: ICERS were very stable for discount rates between 0% and 10%</w:t>
            </w:r>
          </w:p>
          <w:p w:rsidR="0020560C" w:rsidRPr="0020560C" w:rsidRDefault="0020560C" w:rsidP="0046104C">
            <w:pPr>
              <w:rPr>
                <w:sz w:val="20"/>
                <w:szCs w:val="20"/>
                <w:u w:val="single"/>
              </w:rPr>
            </w:pPr>
            <w:r w:rsidRPr="0020560C">
              <w:rPr>
                <w:sz w:val="20"/>
                <w:szCs w:val="20"/>
                <w:u w:val="single"/>
              </w:rPr>
              <w:t>Two-way sensitivity analysis (ACDFP vs. ACDF-allograft)</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Annual probability of delayed ASD: if recovery period was 4 weeks, ACDF-allograft dominated; if 7 weeks then ICER was $32,560</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Symptomatic worsening twice baseline: if recovery period was 4 weeks, ACDF-allograft dominated; if 7 weeks then ICER was $33,310</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Study conclusion</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ACDF with </w:t>
            </w:r>
            <w:proofErr w:type="spellStart"/>
            <w:r w:rsidRPr="0020560C">
              <w:rPr>
                <w:sz w:val="20"/>
                <w:szCs w:val="20"/>
              </w:rPr>
              <w:t>autograft</w:t>
            </w:r>
            <w:proofErr w:type="spellEnd"/>
            <w:r w:rsidRPr="0020560C">
              <w:rPr>
                <w:sz w:val="20"/>
                <w:szCs w:val="20"/>
              </w:rPr>
              <w:t>, ACDF with allograft, and ACDFP have similar cost-effectiveness ratios</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Results very sensitive to costs of procedures and to rate of postoperative recovery</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ACDF with allograft offers a benefit relative to ACDF with </w:t>
            </w:r>
            <w:proofErr w:type="spellStart"/>
            <w:r w:rsidRPr="0020560C">
              <w:rPr>
                <w:sz w:val="20"/>
                <w:szCs w:val="20"/>
              </w:rPr>
              <w:t>autograft</w:t>
            </w:r>
            <w:proofErr w:type="spellEnd"/>
            <w:r w:rsidRPr="0020560C">
              <w:rPr>
                <w:sz w:val="20"/>
                <w:szCs w:val="20"/>
              </w:rPr>
              <w:t xml:space="preserve"> at a cost of $496 per QALY.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 xml:space="preserve">ACDFP has a benefit relative to ACDF with allograft at an approximate cost of $32,560 per QALY. </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Further research needs to be performed regarding these procedures, particularly examining the postoperative recovery period.</w:t>
            </w:r>
          </w:p>
        </w:tc>
      </w:tr>
      <w:tr w:rsidR="0020560C" w:rsidRPr="0020560C" w:rsidTr="0046104C">
        <w:tc>
          <w:tcPr>
            <w:tcW w:w="2898" w:type="dxa"/>
          </w:tcPr>
          <w:p w:rsidR="0020560C" w:rsidRPr="0020560C" w:rsidRDefault="0020560C" w:rsidP="0046104C">
            <w:pPr>
              <w:rPr>
                <w:b/>
                <w:sz w:val="20"/>
                <w:szCs w:val="20"/>
              </w:rPr>
            </w:pPr>
            <w:r w:rsidRPr="0020560C">
              <w:rPr>
                <w:b/>
                <w:sz w:val="20"/>
                <w:szCs w:val="20"/>
              </w:rPr>
              <w:t>Comments</w:t>
            </w:r>
          </w:p>
        </w:tc>
        <w:tc>
          <w:tcPr>
            <w:tcW w:w="6840" w:type="dxa"/>
          </w:tcPr>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Authors noted that there is no compelling evidence in the literature that one procedure is better than another in terms of symptom relief</w:t>
            </w:r>
          </w:p>
          <w:p w:rsidR="0020560C" w:rsidRPr="0020560C" w:rsidRDefault="0020560C" w:rsidP="0020560C">
            <w:pPr>
              <w:pStyle w:val="ListParagraph"/>
              <w:numPr>
                <w:ilvl w:val="0"/>
                <w:numId w:val="2"/>
              </w:numPr>
              <w:tabs>
                <w:tab w:val="clear" w:pos="720"/>
                <w:tab w:val="num" w:pos="252"/>
              </w:tabs>
              <w:ind w:left="252" w:hanging="180"/>
              <w:rPr>
                <w:sz w:val="20"/>
                <w:szCs w:val="20"/>
              </w:rPr>
            </w:pPr>
            <w:r w:rsidRPr="0020560C">
              <w:rPr>
                <w:sz w:val="20"/>
                <w:szCs w:val="20"/>
              </w:rPr>
              <w:t>Assumptions based largely on data from case series from a wide variety of publications</w:t>
            </w:r>
          </w:p>
          <w:p w:rsidR="0020560C" w:rsidRPr="0020560C" w:rsidRDefault="0020560C" w:rsidP="0020560C">
            <w:pPr>
              <w:pStyle w:val="ListParagraph"/>
              <w:numPr>
                <w:ilvl w:val="0"/>
                <w:numId w:val="2"/>
              </w:numPr>
              <w:tabs>
                <w:tab w:val="clear" w:pos="720"/>
                <w:tab w:val="num" w:pos="252"/>
              </w:tabs>
              <w:ind w:hanging="648"/>
              <w:rPr>
                <w:sz w:val="20"/>
                <w:szCs w:val="20"/>
              </w:rPr>
            </w:pPr>
            <w:r w:rsidRPr="0020560C">
              <w:rPr>
                <w:sz w:val="20"/>
                <w:szCs w:val="20"/>
              </w:rPr>
              <w:t>Fusion status not included in model</w:t>
            </w:r>
          </w:p>
        </w:tc>
      </w:tr>
    </w:tbl>
    <w:p w:rsidR="0020560C" w:rsidRPr="0020560C" w:rsidRDefault="0020560C" w:rsidP="0020560C">
      <w:pPr>
        <w:rPr>
          <w:b/>
          <w:sz w:val="20"/>
          <w:szCs w:val="20"/>
        </w:rPr>
      </w:pPr>
    </w:p>
    <w:p w:rsidR="003E042C" w:rsidRPr="000532A3" w:rsidRDefault="000532A3">
      <w:pPr>
        <w:rPr>
          <w:rFonts w:cs="Times New Roman"/>
          <w:b/>
          <w:sz w:val="20"/>
          <w:szCs w:val="20"/>
        </w:rPr>
      </w:pPr>
      <w:r w:rsidRPr="000532A3">
        <w:rPr>
          <w:rFonts w:cs="Times New Roman"/>
          <w:b/>
          <w:sz w:val="20"/>
          <w:szCs w:val="20"/>
        </w:rPr>
        <w:t>REFERENCES</w:t>
      </w:r>
    </w:p>
    <w:p w:rsidR="003E042C" w:rsidRDefault="003E042C">
      <w:pPr>
        <w:rPr>
          <w:rFonts w:cs="Times New Roman"/>
          <w:sz w:val="20"/>
          <w:szCs w:val="20"/>
        </w:rPr>
      </w:pPr>
    </w:p>
    <w:p w:rsidR="003E042C" w:rsidRPr="003E042C" w:rsidRDefault="003E042C" w:rsidP="003E042C">
      <w:pPr>
        <w:spacing w:after="0" w:line="240" w:lineRule="auto"/>
        <w:rPr>
          <w:rFonts w:ascii="Calibri" w:hAnsi="Calibri" w:cs="Times New Roman"/>
          <w:noProof/>
          <w:szCs w:val="20"/>
        </w:rPr>
      </w:pPr>
      <w:r>
        <w:rPr>
          <w:rFonts w:cs="Times New Roman"/>
          <w:sz w:val="20"/>
          <w:szCs w:val="20"/>
        </w:rPr>
        <w:fldChar w:fldCharType="begin"/>
      </w:r>
      <w:r>
        <w:rPr>
          <w:rFonts w:cs="Times New Roman"/>
          <w:sz w:val="20"/>
          <w:szCs w:val="20"/>
        </w:rPr>
        <w:instrText xml:space="preserve"> ADDIN EN.REFLIST </w:instrText>
      </w:r>
      <w:r>
        <w:rPr>
          <w:rFonts w:cs="Times New Roman"/>
          <w:sz w:val="20"/>
          <w:szCs w:val="20"/>
        </w:rPr>
        <w:fldChar w:fldCharType="separate"/>
      </w:r>
      <w:bookmarkStart w:id="13" w:name="_ENREF_1"/>
      <w:r w:rsidRPr="003E042C">
        <w:rPr>
          <w:rFonts w:ascii="Calibri" w:hAnsi="Calibri" w:cs="Times New Roman"/>
          <w:noProof/>
          <w:szCs w:val="20"/>
        </w:rPr>
        <w:t>1.</w:t>
      </w:r>
      <w:r w:rsidRPr="003E042C">
        <w:rPr>
          <w:rFonts w:ascii="Calibri" w:hAnsi="Calibri" w:cs="Times New Roman"/>
          <w:noProof/>
          <w:szCs w:val="20"/>
        </w:rPr>
        <w:tab/>
        <w:t xml:space="preserve">Ofman JJ, Sullivan SD, Neumann PJ, et al. Examining the value and quality of health economic analyses: implications of utilizing the QHES. </w:t>
      </w:r>
      <w:r w:rsidRPr="003E042C">
        <w:rPr>
          <w:rFonts w:ascii="Calibri" w:hAnsi="Calibri" w:cs="Times New Roman"/>
          <w:i/>
          <w:noProof/>
          <w:szCs w:val="20"/>
        </w:rPr>
        <w:t>Journal of managed care pharmacy : JMCP</w:t>
      </w:r>
      <w:r w:rsidRPr="003E042C">
        <w:rPr>
          <w:rFonts w:ascii="Calibri" w:hAnsi="Calibri" w:cs="Times New Roman"/>
          <w:noProof/>
          <w:szCs w:val="20"/>
        </w:rPr>
        <w:t xml:space="preserve"> 2003;9:53-61.</w:t>
      </w:r>
      <w:bookmarkEnd w:id="13"/>
    </w:p>
    <w:p w:rsidR="003E042C" w:rsidRPr="003E042C" w:rsidRDefault="003E042C" w:rsidP="003E042C">
      <w:pPr>
        <w:spacing w:after="0" w:line="240" w:lineRule="auto"/>
        <w:rPr>
          <w:rFonts w:ascii="Calibri" w:hAnsi="Calibri" w:cs="Times New Roman"/>
          <w:noProof/>
          <w:szCs w:val="20"/>
        </w:rPr>
      </w:pPr>
      <w:bookmarkStart w:id="14" w:name="_ENREF_2"/>
      <w:r w:rsidRPr="003E042C">
        <w:rPr>
          <w:rFonts w:ascii="Calibri" w:hAnsi="Calibri" w:cs="Times New Roman"/>
          <w:noProof/>
          <w:szCs w:val="20"/>
        </w:rPr>
        <w:lastRenderedPageBreak/>
        <w:t>2.</w:t>
      </w:r>
      <w:r w:rsidRPr="003E042C">
        <w:rPr>
          <w:rFonts w:ascii="Calibri" w:hAnsi="Calibri" w:cs="Times New Roman"/>
          <w:noProof/>
          <w:szCs w:val="20"/>
        </w:rPr>
        <w:tab/>
        <w:t xml:space="preserve">Chiou CF, Hay JW, Wallace JF, et al. Development and validation of a grading system for the quality of cost-effectiveness studies. </w:t>
      </w:r>
      <w:r w:rsidRPr="003E042C">
        <w:rPr>
          <w:rFonts w:ascii="Calibri" w:hAnsi="Calibri" w:cs="Times New Roman"/>
          <w:i/>
          <w:noProof/>
          <w:szCs w:val="20"/>
        </w:rPr>
        <w:t>Medical care</w:t>
      </w:r>
      <w:r w:rsidRPr="003E042C">
        <w:rPr>
          <w:rFonts w:ascii="Calibri" w:hAnsi="Calibri" w:cs="Times New Roman"/>
          <w:noProof/>
          <w:szCs w:val="20"/>
        </w:rPr>
        <w:t xml:space="preserve"> 2003;41:32-44.</w:t>
      </w:r>
      <w:bookmarkEnd w:id="14"/>
    </w:p>
    <w:p w:rsidR="003E042C" w:rsidRPr="003E042C" w:rsidRDefault="003E042C" w:rsidP="003E042C">
      <w:pPr>
        <w:spacing w:after="0" w:line="240" w:lineRule="auto"/>
        <w:rPr>
          <w:rFonts w:ascii="Calibri" w:hAnsi="Calibri" w:cs="Times New Roman"/>
          <w:noProof/>
          <w:szCs w:val="20"/>
        </w:rPr>
      </w:pPr>
      <w:bookmarkStart w:id="15" w:name="_ENREF_3"/>
      <w:r w:rsidRPr="003E042C">
        <w:rPr>
          <w:rFonts w:ascii="Calibri" w:hAnsi="Calibri" w:cs="Times New Roman"/>
          <w:noProof/>
          <w:szCs w:val="20"/>
        </w:rPr>
        <w:t>3.</w:t>
      </w:r>
      <w:r w:rsidRPr="003E042C">
        <w:rPr>
          <w:rFonts w:ascii="Calibri" w:hAnsi="Calibri" w:cs="Times New Roman"/>
          <w:noProof/>
          <w:szCs w:val="20"/>
        </w:rPr>
        <w:tab/>
        <w:t xml:space="preserve">Gerkens S, Crott R, Cleemput I, et al. Comparison of three instruments assessing the quality of economic evaluations: a practical exercise on economic evaluations of the surgical treatment of obesity. </w:t>
      </w:r>
      <w:r w:rsidRPr="003E042C">
        <w:rPr>
          <w:rFonts w:ascii="Calibri" w:hAnsi="Calibri" w:cs="Times New Roman"/>
          <w:i/>
          <w:noProof/>
          <w:szCs w:val="20"/>
        </w:rPr>
        <w:t>International journal of technology assessment in health care</w:t>
      </w:r>
      <w:r w:rsidRPr="003E042C">
        <w:rPr>
          <w:rFonts w:ascii="Calibri" w:hAnsi="Calibri" w:cs="Times New Roman"/>
          <w:noProof/>
          <w:szCs w:val="20"/>
        </w:rPr>
        <w:t xml:space="preserve"> 2008;24:318-25.</w:t>
      </w:r>
      <w:bookmarkEnd w:id="15"/>
    </w:p>
    <w:p w:rsidR="003E042C" w:rsidRPr="003E042C" w:rsidRDefault="003E042C" w:rsidP="003E042C">
      <w:pPr>
        <w:spacing w:after="0" w:line="240" w:lineRule="auto"/>
        <w:rPr>
          <w:rFonts w:ascii="Calibri" w:hAnsi="Calibri" w:cs="Times New Roman"/>
          <w:noProof/>
          <w:szCs w:val="20"/>
        </w:rPr>
      </w:pPr>
      <w:bookmarkStart w:id="16" w:name="_ENREF_4"/>
      <w:r w:rsidRPr="003E042C">
        <w:rPr>
          <w:rFonts w:ascii="Calibri" w:hAnsi="Calibri" w:cs="Times New Roman"/>
          <w:noProof/>
          <w:szCs w:val="20"/>
        </w:rPr>
        <w:t>4.</w:t>
      </w:r>
      <w:r w:rsidRPr="003E042C">
        <w:rPr>
          <w:rFonts w:ascii="Calibri" w:hAnsi="Calibri" w:cs="Times New Roman"/>
          <w:noProof/>
          <w:szCs w:val="20"/>
        </w:rPr>
        <w:tab/>
        <w:t xml:space="preserve">Spiegel BM, Targownik LE, Kanwal F, et al. The quality of published health economic analyses in digestive diseases: a systematic review and quantitative appraisal. </w:t>
      </w:r>
      <w:r w:rsidRPr="003E042C">
        <w:rPr>
          <w:rFonts w:ascii="Calibri" w:hAnsi="Calibri" w:cs="Times New Roman"/>
          <w:i/>
          <w:noProof/>
          <w:szCs w:val="20"/>
        </w:rPr>
        <w:t>Gastroenterology</w:t>
      </w:r>
      <w:r w:rsidRPr="003E042C">
        <w:rPr>
          <w:rFonts w:ascii="Calibri" w:hAnsi="Calibri" w:cs="Times New Roman"/>
          <w:noProof/>
          <w:szCs w:val="20"/>
        </w:rPr>
        <w:t xml:space="preserve"> 2004;127:403-11.</w:t>
      </w:r>
      <w:bookmarkEnd w:id="16"/>
    </w:p>
    <w:p w:rsidR="003E042C" w:rsidRPr="003E042C" w:rsidRDefault="003E042C" w:rsidP="003E042C">
      <w:pPr>
        <w:spacing w:after="0" w:line="240" w:lineRule="auto"/>
        <w:rPr>
          <w:rFonts w:ascii="Calibri" w:hAnsi="Calibri" w:cs="Times New Roman"/>
          <w:noProof/>
          <w:szCs w:val="20"/>
        </w:rPr>
      </w:pPr>
      <w:bookmarkStart w:id="17" w:name="_ENREF_5"/>
      <w:r w:rsidRPr="003E042C">
        <w:rPr>
          <w:rFonts w:ascii="Calibri" w:hAnsi="Calibri" w:cs="Times New Roman"/>
          <w:noProof/>
          <w:szCs w:val="20"/>
        </w:rPr>
        <w:t>5.</w:t>
      </w:r>
      <w:r w:rsidRPr="003E042C">
        <w:rPr>
          <w:rFonts w:ascii="Calibri" w:hAnsi="Calibri" w:cs="Times New Roman"/>
          <w:noProof/>
          <w:szCs w:val="20"/>
        </w:rPr>
        <w:tab/>
        <w:t>AHRQ (Agency for Healthcare Research and Quality). Technology Assessment Report: Bone morphogenetic protein: the state of the evidence of on-label and off-label use, 2010.</w:t>
      </w:r>
      <w:bookmarkEnd w:id="17"/>
    </w:p>
    <w:p w:rsidR="003E042C" w:rsidRPr="003E042C" w:rsidRDefault="003E042C" w:rsidP="003E042C">
      <w:pPr>
        <w:spacing w:after="0" w:line="240" w:lineRule="auto"/>
        <w:rPr>
          <w:rFonts w:ascii="Calibri" w:hAnsi="Calibri" w:cs="Times New Roman"/>
          <w:noProof/>
          <w:szCs w:val="20"/>
        </w:rPr>
      </w:pPr>
      <w:bookmarkStart w:id="18" w:name="_ENREF_6"/>
      <w:r w:rsidRPr="003E042C">
        <w:rPr>
          <w:rFonts w:ascii="Calibri" w:hAnsi="Calibri" w:cs="Times New Roman"/>
          <w:noProof/>
          <w:szCs w:val="20"/>
        </w:rPr>
        <w:t>6.</w:t>
      </w:r>
      <w:r w:rsidRPr="003E042C">
        <w:rPr>
          <w:rFonts w:ascii="Calibri" w:hAnsi="Calibri" w:cs="Times New Roman"/>
          <w:noProof/>
          <w:szCs w:val="20"/>
        </w:rPr>
        <w:tab/>
        <w:t xml:space="preserve">Alt V, Chhabra A, Franke J, et al. An economic analysis of using rhBMP-2 for lumbar fusion in Germany, France and UK from a societal perspective. </w:t>
      </w:r>
      <w:r w:rsidRPr="003E042C">
        <w:rPr>
          <w:rFonts w:ascii="Calibri" w:hAnsi="Calibri" w:cs="Times New Roman"/>
          <w:i/>
          <w:noProof/>
          <w:szCs w:val="20"/>
        </w:rPr>
        <w:t>Eur Spine J</w:t>
      </w:r>
      <w:r w:rsidRPr="003E042C">
        <w:rPr>
          <w:rFonts w:ascii="Calibri" w:hAnsi="Calibri" w:cs="Times New Roman"/>
          <w:noProof/>
          <w:szCs w:val="20"/>
        </w:rPr>
        <w:t xml:space="preserve"> 2009;18:800-6.</w:t>
      </w:r>
      <w:bookmarkEnd w:id="18"/>
    </w:p>
    <w:p w:rsidR="003E042C" w:rsidRPr="003E042C" w:rsidRDefault="003E042C" w:rsidP="003E042C">
      <w:pPr>
        <w:spacing w:after="0" w:line="240" w:lineRule="auto"/>
        <w:rPr>
          <w:rFonts w:ascii="Calibri" w:hAnsi="Calibri" w:cs="Times New Roman"/>
          <w:noProof/>
          <w:szCs w:val="20"/>
        </w:rPr>
      </w:pPr>
      <w:bookmarkStart w:id="19" w:name="_ENREF_7"/>
      <w:r w:rsidRPr="003E042C">
        <w:rPr>
          <w:rFonts w:ascii="Calibri" w:hAnsi="Calibri" w:cs="Times New Roman"/>
          <w:noProof/>
          <w:szCs w:val="20"/>
        </w:rPr>
        <w:t>7.</w:t>
      </w:r>
      <w:r w:rsidRPr="003E042C">
        <w:rPr>
          <w:rFonts w:ascii="Calibri" w:hAnsi="Calibri" w:cs="Times New Roman"/>
          <w:noProof/>
          <w:szCs w:val="20"/>
        </w:rPr>
        <w:tab/>
        <w:t xml:space="preserve">Carreon LY, Glassman SD, Djurasovic M, et al. RhBMP-2 versus iliac crest bone graft for lumbar spine fusion in patients over 60 years of age: a cost-utility study. </w:t>
      </w:r>
      <w:r w:rsidRPr="003E042C">
        <w:rPr>
          <w:rFonts w:ascii="Calibri" w:hAnsi="Calibri" w:cs="Times New Roman"/>
          <w:i/>
          <w:noProof/>
          <w:szCs w:val="20"/>
        </w:rPr>
        <w:t>Spine (Phila Pa 1976)</w:t>
      </w:r>
      <w:r w:rsidRPr="003E042C">
        <w:rPr>
          <w:rFonts w:ascii="Calibri" w:hAnsi="Calibri" w:cs="Times New Roman"/>
          <w:noProof/>
          <w:szCs w:val="20"/>
        </w:rPr>
        <w:t xml:space="preserve"> 2009;34:238-43.</w:t>
      </w:r>
      <w:bookmarkEnd w:id="19"/>
    </w:p>
    <w:p w:rsidR="003E042C" w:rsidRPr="003E042C" w:rsidRDefault="003E042C" w:rsidP="003E042C">
      <w:pPr>
        <w:spacing w:after="0" w:line="240" w:lineRule="auto"/>
        <w:rPr>
          <w:rFonts w:ascii="Calibri" w:hAnsi="Calibri" w:cs="Times New Roman"/>
          <w:noProof/>
          <w:szCs w:val="20"/>
        </w:rPr>
      </w:pPr>
      <w:bookmarkStart w:id="20" w:name="_ENREF_8"/>
      <w:r w:rsidRPr="003E042C">
        <w:rPr>
          <w:rFonts w:ascii="Calibri" w:hAnsi="Calibri" w:cs="Times New Roman"/>
          <w:noProof/>
          <w:szCs w:val="20"/>
        </w:rPr>
        <w:t>8.</w:t>
      </w:r>
      <w:r w:rsidRPr="003E042C">
        <w:rPr>
          <w:rFonts w:ascii="Calibri" w:hAnsi="Calibri" w:cs="Times New Roman"/>
          <w:noProof/>
          <w:szCs w:val="20"/>
        </w:rPr>
        <w:tab/>
        <w:t xml:space="preserve">Garrison KR, Donell S, Ryder J, et al. Clinical effectiveness and cost-effectiveness of bone morphogenetic proteins in the non-healing of fractures and spinal fusion: a systematic review. </w:t>
      </w:r>
      <w:r w:rsidRPr="003E042C">
        <w:rPr>
          <w:rFonts w:ascii="Calibri" w:hAnsi="Calibri" w:cs="Times New Roman"/>
          <w:i/>
          <w:noProof/>
          <w:szCs w:val="20"/>
        </w:rPr>
        <w:t>Health Technol Assess</w:t>
      </w:r>
      <w:r w:rsidRPr="003E042C">
        <w:rPr>
          <w:rFonts w:ascii="Calibri" w:hAnsi="Calibri" w:cs="Times New Roman"/>
          <w:noProof/>
          <w:szCs w:val="20"/>
        </w:rPr>
        <w:t xml:space="preserve"> 2007;11:1-150, iii-iv.</w:t>
      </w:r>
      <w:bookmarkEnd w:id="20"/>
    </w:p>
    <w:p w:rsidR="003E042C" w:rsidRPr="003E042C" w:rsidRDefault="003E042C" w:rsidP="003E042C">
      <w:pPr>
        <w:spacing w:after="0" w:line="240" w:lineRule="auto"/>
        <w:rPr>
          <w:rFonts w:ascii="Calibri" w:hAnsi="Calibri" w:cs="Times New Roman"/>
          <w:noProof/>
          <w:szCs w:val="20"/>
        </w:rPr>
      </w:pPr>
      <w:bookmarkStart w:id="21" w:name="_ENREF_9"/>
      <w:r w:rsidRPr="003E042C">
        <w:rPr>
          <w:rFonts w:ascii="Calibri" w:hAnsi="Calibri" w:cs="Times New Roman"/>
          <w:noProof/>
          <w:szCs w:val="20"/>
        </w:rPr>
        <w:t>9.</w:t>
      </w:r>
      <w:r w:rsidRPr="003E042C">
        <w:rPr>
          <w:rFonts w:ascii="Calibri" w:hAnsi="Calibri" w:cs="Times New Roman"/>
          <w:noProof/>
          <w:szCs w:val="20"/>
        </w:rPr>
        <w:tab/>
        <w:t xml:space="preserve">Polly Jr DW, Ackerman SJ, Shaffrey CI, et al. A cost analysis of bone morphogenetic protein versus autogenous iliac crest bone graft in single-level anterior lumbar fusion. </w:t>
      </w:r>
      <w:r w:rsidRPr="003E042C">
        <w:rPr>
          <w:rFonts w:ascii="Calibri" w:hAnsi="Calibri" w:cs="Times New Roman"/>
          <w:i/>
          <w:noProof/>
          <w:szCs w:val="20"/>
        </w:rPr>
        <w:t>Orthopedics</w:t>
      </w:r>
      <w:r w:rsidRPr="003E042C">
        <w:rPr>
          <w:rFonts w:ascii="Calibri" w:hAnsi="Calibri" w:cs="Times New Roman"/>
          <w:noProof/>
          <w:szCs w:val="20"/>
        </w:rPr>
        <w:t xml:space="preserve"> 2003;26:1027-37.</w:t>
      </w:r>
      <w:bookmarkEnd w:id="21"/>
    </w:p>
    <w:p w:rsidR="003E042C" w:rsidRPr="003E042C" w:rsidRDefault="003E042C" w:rsidP="003E042C">
      <w:pPr>
        <w:spacing w:line="240" w:lineRule="auto"/>
        <w:rPr>
          <w:rFonts w:ascii="Calibri" w:hAnsi="Calibri" w:cs="Times New Roman"/>
          <w:noProof/>
          <w:szCs w:val="20"/>
        </w:rPr>
      </w:pPr>
      <w:bookmarkStart w:id="22" w:name="_ENREF_10"/>
      <w:r w:rsidRPr="003E042C">
        <w:rPr>
          <w:rFonts w:ascii="Calibri" w:hAnsi="Calibri" w:cs="Times New Roman"/>
          <w:noProof/>
          <w:szCs w:val="20"/>
        </w:rPr>
        <w:t>10.</w:t>
      </w:r>
      <w:r w:rsidRPr="003E042C">
        <w:rPr>
          <w:rFonts w:ascii="Calibri" w:hAnsi="Calibri" w:cs="Times New Roman"/>
          <w:noProof/>
          <w:szCs w:val="20"/>
        </w:rPr>
        <w:tab/>
        <w:t xml:space="preserve">Angevine PD, Zivin JG, McCormick PC. Cost-effectiveness of single-level anterior cervical discectomy and fusion for cervical spondylosis. </w:t>
      </w:r>
      <w:r w:rsidRPr="003E042C">
        <w:rPr>
          <w:rFonts w:ascii="Calibri" w:hAnsi="Calibri" w:cs="Times New Roman"/>
          <w:i/>
          <w:noProof/>
          <w:szCs w:val="20"/>
        </w:rPr>
        <w:t>Spine (Phila Pa 1976)</w:t>
      </w:r>
      <w:r w:rsidRPr="003E042C">
        <w:rPr>
          <w:rFonts w:ascii="Calibri" w:hAnsi="Calibri" w:cs="Times New Roman"/>
          <w:noProof/>
          <w:szCs w:val="20"/>
        </w:rPr>
        <w:t xml:space="preserve"> 2005;30:1989-97.</w:t>
      </w:r>
      <w:bookmarkEnd w:id="22"/>
    </w:p>
    <w:p w:rsidR="003E042C" w:rsidRDefault="003E042C" w:rsidP="003E042C">
      <w:pPr>
        <w:spacing w:line="240" w:lineRule="auto"/>
        <w:rPr>
          <w:rFonts w:ascii="Calibri" w:hAnsi="Calibri" w:cs="Times New Roman"/>
          <w:noProof/>
          <w:szCs w:val="20"/>
        </w:rPr>
      </w:pPr>
    </w:p>
    <w:p w:rsidR="0046104C" w:rsidRPr="0020560C" w:rsidRDefault="003E042C">
      <w:pPr>
        <w:rPr>
          <w:rFonts w:cs="Times New Roman"/>
          <w:sz w:val="20"/>
          <w:szCs w:val="20"/>
        </w:rPr>
      </w:pPr>
      <w:r>
        <w:rPr>
          <w:rFonts w:cs="Times New Roman"/>
          <w:sz w:val="20"/>
          <w:szCs w:val="20"/>
        </w:rPr>
        <w:fldChar w:fldCharType="end"/>
      </w:r>
    </w:p>
    <w:sectPr w:rsidR="0046104C" w:rsidRPr="00205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C9" w:rsidRDefault="00F22BC9" w:rsidP="0020560C">
      <w:pPr>
        <w:spacing w:after="0" w:line="240" w:lineRule="auto"/>
      </w:pPr>
      <w:r>
        <w:separator/>
      </w:r>
    </w:p>
  </w:endnote>
  <w:endnote w:type="continuationSeparator" w:id="0">
    <w:p w:rsidR="00F22BC9" w:rsidRDefault="00F22BC9" w:rsidP="0020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C9" w:rsidRDefault="00F22BC9" w:rsidP="0020560C">
      <w:pPr>
        <w:spacing w:after="0" w:line="240" w:lineRule="auto"/>
      </w:pPr>
      <w:r>
        <w:separator/>
      </w:r>
    </w:p>
  </w:footnote>
  <w:footnote w:type="continuationSeparator" w:id="0">
    <w:p w:rsidR="00F22BC9" w:rsidRDefault="00F22BC9" w:rsidP="00205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8AE"/>
    <w:multiLevelType w:val="hybridMultilevel"/>
    <w:tmpl w:val="8102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048D"/>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2365B"/>
    <w:multiLevelType w:val="hybridMultilevel"/>
    <w:tmpl w:val="3BE8A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66562E7"/>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64F58"/>
    <w:multiLevelType w:val="hybridMultilevel"/>
    <w:tmpl w:val="DE620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530241B"/>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E364F"/>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95E55"/>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F4879"/>
    <w:multiLevelType w:val="hybridMultilevel"/>
    <w:tmpl w:val="3FD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2178D"/>
    <w:multiLevelType w:val="hybridMultilevel"/>
    <w:tmpl w:val="8298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31D31"/>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30FB9"/>
    <w:multiLevelType w:val="hybridMultilevel"/>
    <w:tmpl w:val="B26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E061C"/>
    <w:multiLevelType w:val="hybridMultilevel"/>
    <w:tmpl w:val="2896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44A64"/>
    <w:multiLevelType w:val="hybridMultilevel"/>
    <w:tmpl w:val="32B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3"/>
  </w:num>
  <w:num w:numId="5">
    <w:abstractNumId w:val="8"/>
  </w:num>
  <w:num w:numId="6">
    <w:abstractNumId w:val="0"/>
  </w:num>
  <w:num w:numId="7">
    <w:abstractNumId w:val="9"/>
  </w:num>
  <w:num w:numId="8">
    <w:abstractNumId w:val="7"/>
  </w:num>
  <w:num w:numId="9">
    <w:abstractNumId w:val="11"/>
  </w:num>
  <w:num w:numId="10">
    <w:abstractNumId w:val="10"/>
  </w:num>
  <w:num w:numId="11">
    <w:abstractNumId w:val="1"/>
  </w:num>
  <w:num w:numId="12">
    <w:abstractNumId w:val="3"/>
  </w:num>
  <w:num w:numId="13">
    <w:abstractNumId w:val="6"/>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ine update July 201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55d55s2zf2rie9tzlvv22e0wa55fxftz2w&quot;&gt;T8 Biologics Econ Search 121713&lt;record-ids&gt;&lt;item&gt;6&lt;/item&gt;&lt;item&gt;8&lt;/item&gt;&lt;item&gt;13&lt;/item&gt;&lt;item&gt;21&lt;/item&gt;&lt;item&gt;22&lt;/item&gt;&lt;item&gt;62&lt;/item&gt;&lt;item&gt;98&lt;/item&gt;&lt;item&gt;99&lt;/item&gt;&lt;item&gt;100&lt;/item&gt;&lt;item&gt;101&lt;/item&gt;&lt;/record-ids&gt;&lt;/item&gt;&lt;/Libraries&gt;"/>
  </w:docVars>
  <w:rsids>
    <w:rsidRoot w:val="00D549B7"/>
    <w:rsid w:val="00044C79"/>
    <w:rsid w:val="000532A3"/>
    <w:rsid w:val="000950E2"/>
    <w:rsid w:val="00154E9A"/>
    <w:rsid w:val="001715B1"/>
    <w:rsid w:val="0020446E"/>
    <w:rsid w:val="0020560C"/>
    <w:rsid w:val="00234140"/>
    <w:rsid w:val="00244E69"/>
    <w:rsid w:val="002F1CFF"/>
    <w:rsid w:val="002F4713"/>
    <w:rsid w:val="0033524D"/>
    <w:rsid w:val="00342B91"/>
    <w:rsid w:val="00361BB0"/>
    <w:rsid w:val="003E042C"/>
    <w:rsid w:val="003F05FF"/>
    <w:rsid w:val="003F76EB"/>
    <w:rsid w:val="004106EB"/>
    <w:rsid w:val="0044362C"/>
    <w:rsid w:val="0046104C"/>
    <w:rsid w:val="004802C8"/>
    <w:rsid w:val="004A70DF"/>
    <w:rsid w:val="004D4699"/>
    <w:rsid w:val="0053588E"/>
    <w:rsid w:val="00540174"/>
    <w:rsid w:val="00547C5E"/>
    <w:rsid w:val="00550769"/>
    <w:rsid w:val="005B152D"/>
    <w:rsid w:val="005B5AFC"/>
    <w:rsid w:val="005F4426"/>
    <w:rsid w:val="00642050"/>
    <w:rsid w:val="00672AD5"/>
    <w:rsid w:val="00714FD0"/>
    <w:rsid w:val="007C1784"/>
    <w:rsid w:val="0085454A"/>
    <w:rsid w:val="008836D0"/>
    <w:rsid w:val="00896B89"/>
    <w:rsid w:val="00897DC9"/>
    <w:rsid w:val="008E6F7C"/>
    <w:rsid w:val="009F5DFD"/>
    <w:rsid w:val="00A61499"/>
    <w:rsid w:val="00A91711"/>
    <w:rsid w:val="00B02DA3"/>
    <w:rsid w:val="00B819AD"/>
    <w:rsid w:val="00B951B9"/>
    <w:rsid w:val="00BD7A5D"/>
    <w:rsid w:val="00BE4C96"/>
    <w:rsid w:val="00C52AFB"/>
    <w:rsid w:val="00C61BAC"/>
    <w:rsid w:val="00C751F7"/>
    <w:rsid w:val="00C77B4D"/>
    <w:rsid w:val="00C970EB"/>
    <w:rsid w:val="00CF3C2E"/>
    <w:rsid w:val="00D549B7"/>
    <w:rsid w:val="00D85D8E"/>
    <w:rsid w:val="00D92E7C"/>
    <w:rsid w:val="00DD6870"/>
    <w:rsid w:val="00E10CB4"/>
    <w:rsid w:val="00E31EC3"/>
    <w:rsid w:val="00E41C72"/>
    <w:rsid w:val="00E519F0"/>
    <w:rsid w:val="00EE5C4A"/>
    <w:rsid w:val="00F15F93"/>
    <w:rsid w:val="00F17E30"/>
    <w:rsid w:val="00F22BC9"/>
    <w:rsid w:val="00F9424F"/>
    <w:rsid w:val="00F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DC9"/>
    <w:pPr>
      <w:ind w:left="720"/>
      <w:contextualSpacing/>
    </w:pPr>
  </w:style>
  <w:style w:type="paragraph" w:styleId="Caption">
    <w:name w:val="caption"/>
    <w:basedOn w:val="Normal"/>
    <w:next w:val="Normal"/>
    <w:semiHidden/>
    <w:unhideWhenUsed/>
    <w:qFormat/>
    <w:rsid w:val="003F05FF"/>
    <w:pPr>
      <w:spacing w:after="0" w:line="240" w:lineRule="auto"/>
    </w:pPr>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0560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0560C"/>
    <w:rPr>
      <w:sz w:val="16"/>
      <w:szCs w:val="16"/>
    </w:rPr>
  </w:style>
  <w:style w:type="paragraph" w:styleId="CommentText">
    <w:name w:val="annotation text"/>
    <w:basedOn w:val="Normal"/>
    <w:link w:val="CommentTextChar"/>
    <w:uiPriority w:val="99"/>
    <w:semiHidden/>
    <w:unhideWhenUsed/>
    <w:rsid w:val="0020560C"/>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56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0C"/>
    <w:rPr>
      <w:rFonts w:ascii="Tahoma" w:hAnsi="Tahoma" w:cs="Tahoma"/>
      <w:sz w:val="16"/>
      <w:szCs w:val="16"/>
    </w:rPr>
  </w:style>
  <w:style w:type="paragraph" w:styleId="TOC1">
    <w:name w:val="toc 1"/>
    <w:basedOn w:val="Normal"/>
    <w:next w:val="Normal"/>
    <w:autoRedefine/>
    <w:uiPriority w:val="39"/>
    <w:unhideWhenUsed/>
    <w:rsid w:val="0020560C"/>
    <w:pPr>
      <w:tabs>
        <w:tab w:val="right" w:leader="dot" w:pos="9350"/>
      </w:tabs>
      <w:spacing w:after="100"/>
    </w:pPr>
    <w:rPr>
      <w:rFonts w:cs="Times New Roman"/>
      <w:b/>
      <w:u w:val="single"/>
    </w:rPr>
  </w:style>
  <w:style w:type="character" w:styleId="Hyperlink">
    <w:name w:val="Hyperlink"/>
    <w:basedOn w:val="DefaultParagraphFont"/>
    <w:uiPriority w:val="99"/>
    <w:unhideWhenUsed/>
    <w:rsid w:val="0020560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560C"/>
    <w:rPr>
      <w:b/>
      <w:bCs/>
    </w:rPr>
  </w:style>
  <w:style w:type="character" w:customStyle="1" w:styleId="CommentSubjectChar">
    <w:name w:val="Comment Subject Char"/>
    <w:basedOn w:val="CommentTextChar"/>
    <w:link w:val="CommentSubject"/>
    <w:uiPriority w:val="99"/>
    <w:semiHidden/>
    <w:rsid w:val="0020560C"/>
    <w:rPr>
      <w:rFonts w:ascii="Times New Roman" w:hAnsi="Times New Roman" w:cs="Times New Roman"/>
      <w:b/>
      <w:bCs/>
      <w:sz w:val="20"/>
      <w:szCs w:val="20"/>
    </w:rPr>
  </w:style>
  <w:style w:type="paragraph" w:styleId="Header">
    <w:name w:val="header"/>
    <w:basedOn w:val="Normal"/>
    <w:link w:val="HeaderChar"/>
    <w:uiPriority w:val="99"/>
    <w:unhideWhenUsed/>
    <w:rsid w:val="0020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0C"/>
  </w:style>
  <w:style w:type="paragraph" w:styleId="Footer">
    <w:name w:val="footer"/>
    <w:basedOn w:val="Normal"/>
    <w:link w:val="FooterChar"/>
    <w:uiPriority w:val="99"/>
    <w:unhideWhenUsed/>
    <w:rsid w:val="0020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60C"/>
  </w:style>
  <w:style w:type="paragraph" w:customStyle="1" w:styleId="listparagraph0">
    <w:name w:val="listparagraph"/>
    <w:basedOn w:val="Normal"/>
    <w:uiPriority w:val="99"/>
    <w:rsid w:val="00B02DA3"/>
    <w:pPr>
      <w:spacing w:after="0" w:line="240" w:lineRule="auto"/>
    </w:pPr>
    <w:rPr>
      <w:rFonts w:ascii="Times New Roman" w:hAnsi="Times New Roman" w:cs="Times New Roman"/>
      <w:sz w:val="24"/>
      <w:szCs w:val="24"/>
    </w:rPr>
  </w:style>
  <w:style w:type="character" w:customStyle="1" w:styleId="term">
    <w:name w:val="term"/>
    <w:basedOn w:val="DefaultParagraphFont"/>
    <w:rsid w:val="00B02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DC9"/>
    <w:pPr>
      <w:ind w:left="720"/>
      <w:contextualSpacing/>
    </w:pPr>
  </w:style>
  <w:style w:type="paragraph" w:styleId="Caption">
    <w:name w:val="caption"/>
    <w:basedOn w:val="Normal"/>
    <w:next w:val="Normal"/>
    <w:semiHidden/>
    <w:unhideWhenUsed/>
    <w:qFormat/>
    <w:rsid w:val="003F05FF"/>
    <w:pPr>
      <w:spacing w:after="0" w:line="240" w:lineRule="auto"/>
    </w:pPr>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0560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0560C"/>
    <w:rPr>
      <w:sz w:val="16"/>
      <w:szCs w:val="16"/>
    </w:rPr>
  </w:style>
  <w:style w:type="paragraph" w:styleId="CommentText">
    <w:name w:val="annotation text"/>
    <w:basedOn w:val="Normal"/>
    <w:link w:val="CommentTextChar"/>
    <w:uiPriority w:val="99"/>
    <w:semiHidden/>
    <w:unhideWhenUsed/>
    <w:rsid w:val="0020560C"/>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56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0C"/>
    <w:rPr>
      <w:rFonts w:ascii="Tahoma" w:hAnsi="Tahoma" w:cs="Tahoma"/>
      <w:sz w:val="16"/>
      <w:szCs w:val="16"/>
    </w:rPr>
  </w:style>
  <w:style w:type="paragraph" w:styleId="TOC1">
    <w:name w:val="toc 1"/>
    <w:basedOn w:val="Normal"/>
    <w:next w:val="Normal"/>
    <w:autoRedefine/>
    <w:uiPriority w:val="39"/>
    <w:unhideWhenUsed/>
    <w:rsid w:val="0020560C"/>
    <w:pPr>
      <w:tabs>
        <w:tab w:val="right" w:leader="dot" w:pos="9350"/>
      </w:tabs>
      <w:spacing w:after="100"/>
    </w:pPr>
    <w:rPr>
      <w:rFonts w:cs="Times New Roman"/>
      <w:b/>
      <w:u w:val="single"/>
    </w:rPr>
  </w:style>
  <w:style w:type="character" w:styleId="Hyperlink">
    <w:name w:val="Hyperlink"/>
    <w:basedOn w:val="DefaultParagraphFont"/>
    <w:uiPriority w:val="99"/>
    <w:unhideWhenUsed/>
    <w:rsid w:val="0020560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0560C"/>
    <w:rPr>
      <w:b/>
      <w:bCs/>
    </w:rPr>
  </w:style>
  <w:style w:type="character" w:customStyle="1" w:styleId="CommentSubjectChar">
    <w:name w:val="Comment Subject Char"/>
    <w:basedOn w:val="CommentTextChar"/>
    <w:link w:val="CommentSubject"/>
    <w:uiPriority w:val="99"/>
    <w:semiHidden/>
    <w:rsid w:val="0020560C"/>
    <w:rPr>
      <w:rFonts w:ascii="Times New Roman" w:hAnsi="Times New Roman" w:cs="Times New Roman"/>
      <w:b/>
      <w:bCs/>
      <w:sz w:val="20"/>
      <w:szCs w:val="20"/>
    </w:rPr>
  </w:style>
  <w:style w:type="paragraph" w:styleId="Header">
    <w:name w:val="header"/>
    <w:basedOn w:val="Normal"/>
    <w:link w:val="HeaderChar"/>
    <w:uiPriority w:val="99"/>
    <w:unhideWhenUsed/>
    <w:rsid w:val="0020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0C"/>
  </w:style>
  <w:style w:type="paragraph" w:styleId="Footer">
    <w:name w:val="footer"/>
    <w:basedOn w:val="Normal"/>
    <w:link w:val="FooterChar"/>
    <w:uiPriority w:val="99"/>
    <w:unhideWhenUsed/>
    <w:rsid w:val="0020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60C"/>
  </w:style>
  <w:style w:type="paragraph" w:customStyle="1" w:styleId="listparagraph0">
    <w:name w:val="listparagraph"/>
    <w:basedOn w:val="Normal"/>
    <w:uiPriority w:val="99"/>
    <w:rsid w:val="00B02DA3"/>
    <w:pPr>
      <w:spacing w:after="0" w:line="240" w:lineRule="auto"/>
    </w:pPr>
    <w:rPr>
      <w:rFonts w:ascii="Times New Roman" w:hAnsi="Times New Roman" w:cs="Times New Roman"/>
      <w:sz w:val="24"/>
      <w:szCs w:val="24"/>
    </w:rPr>
  </w:style>
  <w:style w:type="character" w:customStyle="1" w:styleId="term">
    <w:name w:val="term"/>
    <w:basedOn w:val="DefaultParagraphFont"/>
    <w:rsid w:val="00B0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609">
      <w:bodyDiv w:val="1"/>
      <w:marLeft w:val="0"/>
      <w:marRight w:val="0"/>
      <w:marTop w:val="0"/>
      <w:marBottom w:val="0"/>
      <w:divBdr>
        <w:top w:val="none" w:sz="0" w:space="0" w:color="auto"/>
        <w:left w:val="none" w:sz="0" w:space="0" w:color="auto"/>
        <w:bottom w:val="none" w:sz="0" w:space="0" w:color="auto"/>
        <w:right w:val="none" w:sz="0" w:space="0" w:color="auto"/>
      </w:divBdr>
    </w:div>
    <w:div w:id="1115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Hashimoto</dc:creator>
  <cp:lastModifiedBy>Robin Hashimoto</cp:lastModifiedBy>
  <cp:revision>2</cp:revision>
  <dcterms:created xsi:type="dcterms:W3CDTF">2014-06-09T18:01:00Z</dcterms:created>
  <dcterms:modified xsi:type="dcterms:W3CDTF">2014-06-09T18:01:00Z</dcterms:modified>
</cp:coreProperties>
</file>