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A1DEC" w14:textId="77777777" w:rsidR="00312C7E" w:rsidRDefault="00312C7E" w:rsidP="00312C7E">
      <w:pPr>
        <w:rPr>
          <w:b/>
        </w:rPr>
      </w:pPr>
      <w:r>
        <w:rPr>
          <w:b/>
        </w:rPr>
        <w:t>Online supplementary material</w:t>
      </w:r>
    </w:p>
    <w:p w14:paraId="16B33CA2" w14:textId="65230F98" w:rsidR="00312C7E" w:rsidRDefault="00BA1FD7" w:rsidP="00312C7E">
      <w:pPr>
        <w:pStyle w:val="ListParagraph"/>
        <w:numPr>
          <w:ilvl w:val="0"/>
          <w:numId w:val="3"/>
        </w:numPr>
      </w:pPr>
      <w:r>
        <w:rPr>
          <w:b/>
        </w:rPr>
        <w:t>C</w:t>
      </w:r>
      <w:r w:rsidR="00312C7E" w:rsidRPr="00312C7E">
        <w:rPr>
          <w:b/>
        </w:rPr>
        <w:t>alculation of risk-adjusted outcome rates:</w:t>
      </w:r>
      <w:r w:rsidR="00312C7E">
        <w:t xml:space="preserve"> </w:t>
      </w:r>
    </w:p>
    <w:p w14:paraId="434ACE8A" w14:textId="26E442E1" w:rsidR="00312C7E" w:rsidRDefault="00312C7E" w:rsidP="00312C7E">
      <w:proofErr w:type="gramStart"/>
      <w:r>
        <w:t xml:space="preserve">To adjust for patient case-mix for each of the outcomes of interest, we performed a logistic regression model adjusting for variables that were demonstrated to be important in a prior study, including age, sex, insurance status, race, American Society of Anesthesiologist score (ASA), smoking status, prior spine surgery, diagnosis (spondylolisthesis, disc herniation, post laminectomy/failed back syndrome, stenosis, </w:t>
      </w:r>
      <w:proofErr w:type="spellStart"/>
      <w:r>
        <w:t>pseudarthrosis</w:t>
      </w:r>
      <w:proofErr w:type="spellEnd"/>
      <w:r>
        <w:t>, radiculopathy), opiate use, asthma, and baseline ODI scores.</w:t>
      </w:r>
      <w:proofErr w:type="gramEnd"/>
      <w:r>
        <w:fldChar w:fldCharType="begin"/>
      </w:r>
      <w:r w:rsidR="00D0483E">
        <w:instrText>ADDIN RW.CITE{{doc:5aeced0ce4b025019a4212bb Khor,S 2018}}</w:instrText>
      </w:r>
      <w:r>
        <w:fldChar w:fldCharType="separate"/>
      </w:r>
      <w:r w:rsidR="00D0483E" w:rsidRPr="00D0483E">
        <w:rPr>
          <w:rFonts w:ascii="Calibri" w:hAnsi="Calibri"/>
          <w:vertAlign w:val="superscript"/>
        </w:rPr>
        <w:t>1</w:t>
      </w:r>
      <w:r>
        <w:fldChar w:fldCharType="end"/>
      </w:r>
    </w:p>
    <w:p w14:paraId="481B5F8E" w14:textId="63E7DAD0" w:rsidR="00312C7E" w:rsidRDefault="00312C7E" w:rsidP="00312C7E">
      <w:r>
        <w:t xml:space="preserve">The probability of improvement beyond MID or reaching minimal disability level for each patient </w:t>
      </w:r>
      <w:proofErr w:type="gramStart"/>
      <w:r>
        <w:t>was then estimated and summed for each hospital or surgeon to arrive at an “expected number of events”</w:t>
      </w:r>
      <w:proofErr w:type="gramEnd"/>
      <w:r>
        <w:t xml:space="preserve">.  A hospital-or-surgeon specific observed/expected (O/E) ratio </w:t>
      </w:r>
      <w:proofErr w:type="gramStart"/>
      <w:r>
        <w:t>was then calculated</w:t>
      </w:r>
      <w:proofErr w:type="gramEnd"/>
      <w:r>
        <w:t xml:space="preserve"> by dividing the observed number of events for each hospital/surgeon by the calculated expected number.  Finally, this O/E ratio </w:t>
      </w:r>
      <w:proofErr w:type="gramStart"/>
      <w:r>
        <w:t>was multiplied</w:t>
      </w:r>
      <w:proofErr w:type="gramEnd"/>
      <w:r>
        <w:t xml:space="preserve"> by the overall statewide average event rate to yield a risk-adjusted event rate for each hospital or surgeon.</w:t>
      </w:r>
    </w:p>
    <w:p w14:paraId="5D2DA0C1" w14:textId="77777777" w:rsidR="00312C7E" w:rsidRDefault="00312C7E" w:rsidP="00312C7E">
      <w:r>
        <w:t xml:space="preserve">We reported the </w:t>
      </w:r>
      <w:proofErr w:type="spellStart"/>
      <w:r>
        <w:t>intraclass</w:t>
      </w:r>
      <w:proofErr w:type="spellEnd"/>
      <w:r>
        <w:t xml:space="preserve"> correlation coefficients (ICC) before and after risk adjustment at the hospital and surgeon level, which describe the proportion of total variability accounted for by between-hospital variance and between-surgeon variance.</w:t>
      </w:r>
    </w:p>
    <w:p w14:paraId="2A082D1B" w14:textId="77777777" w:rsidR="002A3F36" w:rsidRPr="00690822" w:rsidRDefault="002A3F36">
      <w:pPr>
        <w:rPr>
          <w:b/>
        </w:rPr>
      </w:pPr>
    </w:p>
    <w:p w14:paraId="6B871C81" w14:textId="1343B1BF" w:rsidR="00312C7E" w:rsidRPr="00690822" w:rsidRDefault="00312C7E" w:rsidP="00312C7E">
      <w:pPr>
        <w:pStyle w:val="ListParagraph"/>
        <w:numPr>
          <w:ilvl w:val="0"/>
          <w:numId w:val="3"/>
        </w:numPr>
        <w:rPr>
          <w:b/>
        </w:rPr>
      </w:pPr>
      <w:r w:rsidRPr="00690822">
        <w:rPr>
          <w:b/>
        </w:rPr>
        <w:t>Detailed information on reliability adjustment</w:t>
      </w:r>
    </w:p>
    <w:p w14:paraId="03C32D35" w14:textId="6DF8A466" w:rsidR="00312C7E" w:rsidRDefault="00312C7E" w:rsidP="00312C7E">
      <w:r w:rsidRPr="0053462F">
        <w:t xml:space="preserve">Reliability adjustment </w:t>
      </w:r>
      <w:proofErr w:type="gramStart"/>
      <w:r w:rsidRPr="0053462F">
        <w:t>was</w:t>
      </w:r>
      <w:r>
        <w:t xml:space="preserve"> used</w:t>
      </w:r>
      <w:proofErr w:type="gramEnd"/>
      <w:r w:rsidRPr="0053462F">
        <w:t xml:space="preserve"> </w:t>
      </w:r>
      <w:r>
        <w:t>to account for the proportion of observed variation in outcomes that could be due to chance alone.</w:t>
      </w:r>
      <w:r>
        <w:fldChar w:fldCharType="begin"/>
      </w:r>
      <w:r w:rsidR="00D0483E">
        <w:instrText>ADDIN RW.CITE{{doc:5a3317f1e4b01ecb90679ce6 MacKenzie,ToddA 2015}}</w:instrText>
      </w:r>
      <w:r>
        <w:fldChar w:fldCharType="separate"/>
      </w:r>
      <w:r w:rsidR="00D0483E" w:rsidRPr="00D0483E">
        <w:rPr>
          <w:rFonts w:ascii="Calibri" w:hAnsi="Calibri"/>
          <w:vertAlign w:val="superscript"/>
        </w:rPr>
        <w:t>2</w:t>
      </w:r>
      <w:r>
        <w:fldChar w:fldCharType="end"/>
      </w:r>
      <w:r>
        <w:t xml:space="preserve">  This technique weighs the observed rate based on the measure’s reliability, which reflects the extent to which the measure is reproducible rather than random, and attributes the remaining weight to the overall mean.  The reliability-adjusted rates shrink towards the overall mean and the shrinkage is greater for hospitals or surgeons with low volume.</w:t>
      </w:r>
      <w:r w:rsidRPr="00FB4A85">
        <w:t xml:space="preserve"> </w:t>
      </w:r>
      <w:r>
        <w:t>However, there are concerns that this approach tends to diminish observed differences among providers, especially among low-volume providers, and concomitantly penalizes or rewards high-volume providers.</w:t>
      </w:r>
      <w:r>
        <w:fldChar w:fldCharType="begin"/>
      </w:r>
      <w:r w:rsidR="00D0483E">
        <w:instrText>ADDIN RW.CITE{{doc:5a331821e4b036c0f5ff753d Weintraub,WilliamS 2017}}</w:instrText>
      </w:r>
      <w:r>
        <w:fldChar w:fldCharType="separate"/>
      </w:r>
      <w:r w:rsidR="00D0483E" w:rsidRPr="00D0483E">
        <w:rPr>
          <w:rFonts w:ascii="Calibri" w:hAnsi="Calibri"/>
          <w:vertAlign w:val="superscript"/>
        </w:rPr>
        <w:t>3</w:t>
      </w:r>
      <w:r>
        <w:fldChar w:fldCharType="end"/>
      </w:r>
      <w:r>
        <w:t xml:space="preserve"> </w:t>
      </w:r>
    </w:p>
    <w:p w14:paraId="71AA0A77" w14:textId="3E86CDB3" w:rsidR="00312C7E" w:rsidRDefault="00312C7E" w:rsidP="00312C7E">
      <w:r>
        <w:t xml:space="preserve">To adjust the outcomes for reliability, we used the empirical Bayes’ techniques.  First we performed a logistic regression model for each outcome using the same patient characteristics in our risk-adjustment model to predict each patient’s risk score (i.e. </w:t>
      </w:r>
      <w:proofErr w:type="gramStart"/>
      <w:r>
        <w:t>log(</w:t>
      </w:r>
      <w:proofErr w:type="gramEnd"/>
      <w:r>
        <w:t>odds) of an outcome). Then, for each of the outcomes of interest, we created a 2-level hierarchical logistic model (</w:t>
      </w:r>
      <w:proofErr w:type="spellStart"/>
      <w:r>
        <w:t>meglm</w:t>
      </w:r>
      <w:proofErr w:type="spellEnd"/>
      <w:r>
        <w:t xml:space="preserve"> command in STATA) where this patient risk score </w:t>
      </w:r>
      <w:proofErr w:type="gramStart"/>
      <w:r>
        <w:t>was entered</w:t>
      </w:r>
      <w:proofErr w:type="gramEnd"/>
      <w:r>
        <w:t xml:space="preserve"> as the fixed effect (first level) and the hospital or surgeon identifier was entered as the random intercept (the second level).  The random effect from this model (in </w:t>
      </w:r>
      <w:proofErr w:type="gramStart"/>
      <w:r>
        <w:t>log(</w:t>
      </w:r>
      <w:proofErr w:type="gramEnd"/>
      <w:r>
        <w:t xml:space="preserve">odds)) was then added to the average patient risk score.  The inverse logit of this sum is the risk-and-reliability-adjusted rate.  The details of this procedure </w:t>
      </w:r>
      <w:proofErr w:type="gramStart"/>
      <w:r>
        <w:t>are recorded</w:t>
      </w:r>
      <w:proofErr w:type="gramEnd"/>
      <w:r>
        <w:t xml:space="preserve"> elsewhere.</w:t>
      </w:r>
      <w:r>
        <w:fldChar w:fldCharType="begin"/>
      </w:r>
      <w:r w:rsidR="00D0483E">
        <w:instrText>ADDIN RW.CITE{{doc:5a33121be4b03a1caca87d4e Dimick,JustinB 2012}}</w:instrText>
      </w:r>
      <w:r>
        <w:fldChar w:fldCharType="separate"/>
      </w:r>
      <w:r w:rsidR="00D0483E" w:rsidRPr="00D0483E">
        <w:rPr>
          <w:rFonts w:ascii="Calibri" w:hAnsi="Calibri"/>
          <w:vertAlign w:val="superscript"/>
        </w:rPr>
        <w:t>4</w:t>
      </w:r>
      <w:r>
        <w:fldChar w:fldCharType="end"/>
      </w:r>
      <w:r>
        <w:t xml:space="preserve"> </w:t>
      </w:r>
    </w:p>
    <w:p w14:paraId="0895581C" w14:textId="77777777" w:rsidR="00D0483E" w:rsidRDefault="00D0483E" w:rsidP="00312C7E"/>
    <w:p w14:paraId="3695C034" w14:textId="77777777" w:rsidR="00690822" w:rsidRDefault="00690822" w:rsidP="00690822">
      <w:pPr>
        <w:pStyle w:val="NormalWeb"/>
        <w:spacing w:line="480" w:lineRule="auto"/>
      </w:pPr>
    </w:p>
    <w:p w14:paraId="2CFAE41B" w14:textId="77777777" w:rsidR="00690822" w:rsidRDefault="00690822" w:rsidP="00690822">
      <w:pPr>
        <w:pStyle w:val="NormalWeb"/>
        <w:spacing w:line="480" w:lineRule="auto"/>
      </w:pPr>
    </w:p>
    <w:p w14:paraId="2F95F3C6" w14:textId="3B1BC7ED" w:rsidR="0095218D" w:rsidRPr="0095218D" w:rsidRDefault="0095218D" w:rsidP="0095218D">
      <w:pPr>
        <w:pStyle w:val="NormalWeb"/>
        <w:rPr>
          <w:rFonts w:asciiTheme="minorHAnsi" w:hAnsiTheme="minorHAnsi"/>
        </w:rPr>
      </w:pPr>
      <w:proofErr w:type="spellStart"/>
      <w:proofErr w:type="gramStart"/>
      <w:r>
        <w:rPr>
          <w:rFonts w:asciiTheme="minorHAnsi" w:hAnsiTheme="minorHAnsi"/>
          <w:b/>
        </w:rPr>
        <w:lastRenderedPageBreak/>
        <w:t>e</w:t>
      </w:r>
      <w:r w:rsidRPr="0095218D">
        <w:rPr>
          <w:rFonts w:asciiTheme="minorHAnsi" w:hAnsiTheme="minorHAnsi"/>
          <w:b/>
        </w:rPr>
        <w:t>Figure</w:t>
      </w:r>
      <w:proofErr w:type="spellEnd"/>
      <w:proofErr w:type="gramEnd"/>
      <w:r w:rsidRPr="0095218D">
        <w:rPr>
          <w:rFonts w:asciiTheme="minorHAnsi" w:hAnsiTheme="minorHAnsi"/>
          <w:b/>
        </w:rPr>
        <w:t xml:space="preserve"> 1a: </w:t>
      </w:r>
      <w:r w:rsidRPr="0095218D">
        <w:rPr>
          <w:rFonts w:asciiTheme="minorHAnsi" w:hAnsiTheme="minorHAnsi"/>
        </w:rPr>
        <w:t>Unadjusted proportion of patients experiencing a MID improvement in ODI at 12 months (ODI decreased by ≥15) by hospital (ICC = 0.042). Horizontal line indicates overall unadjusted improvement rate. Hospitals with &lt;10 cases are not shown.</w:t>
      </w:r>
    </w:p>
    <w:p w14:paraId="26B5AE33" w14:textId="77777777" w:rsidR="0095218D" w:rsidRDefault="0095218D" w:rsidP="0095218D">
      <w:r>
        <w:rPr>
          <w:noProof/>
        </w:rPr>
        <w:drawing>
          <wp:inline distT="0" distB="0" distL="0" distR="0" wp14:anchorId="52820129" wp14:editId="607350B8">
            <wp:extent cx="5836585"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2E8A801" w14:textId="77777777" w:rsidR="0095218D" w:rsidRDefault="0095218D" w:rsidP="0095218D"/>
    <w:p w14:paraId="3468A63C" w14:textId="77777777" w:rsidR="0095218D" w:rsidRDefault="0095218D" w:rsidP="0095218D">
      <w:proofErr w:type="spellStart"/>
      <w:proofErr w:type="gramStart"/>
      <w:r>
        <w:rPr>
          <w:b/>
        </w:rPr>
        <w:t>eFigure</w:t>
      </w:r>
      <w:proofErr w:type="spellEnd"/>
      <w:proofErr w:type="gramEnd"/>
      <w:r>
        <w:rPr>
          <w:b/>
        </w:rPr>
        <w:t xml:space="preserve"> 1b: </w:t>
      </w:r>
      <w:r>
        <w:t>Figure 2a:  Unadjusted proportion of patients who reached minimal disability at 12 months (ODI&lt;22) by hospital (ICC = 0.010). Horizontal line indicates overall unadjusted rate. Hospitals with &lt;10 cases are not shown.</w:t>
      </w:r>
    </w:p>
    <w:p w14:paraId="2DBE0D70" w14:textId="77777777" w:rsidR="0095218D" w:rsidRDefault="0095218D" w:rsidP="0095218D">
      <w:r>
        <w:rPr>
          <w:noProof/>
        </w:rPr>
        <w:drawing>
          <wp:inline distT="0" distB="0" distL="0" distR="0" wp14:anchorId="46214E78" wp14:editId="06CC1ACD">
            <wp:extent cx="5836585"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F1650A9" w14:textId="77777777" w:rsidR="0095218D" w:rsidRDefault="0095218D" w:rsidP="0095218D"/>
    <w:p w14:paraId="38ABBD9D" w14:textId="1B6EC14D" w:rsidR="0095218D" w:rsidRDefault="0095218D">
      <w:pPr>
        <w:rPr>
          <w:rFonts w:eastAsia="Times New Roman" w:cs="Times New Roman"/>
          <w:b/>
          <w:sz w:val="24"/>
          <w:szCs w:val="24"/>
        </w:rPr>
      </w:pPr>
      <w:r>
        <w:rPr>
          <w:b/>
        </w:rPr>
        <w:br w:type="page"/>
      </w:r>
    </w:p>
    <w:p w14:paraId="35542DB1" w14:textId="42397C83" w:rsidR="0095218D" w:rsidRDefault="0095218D" w:rsidP="0095218D">
      <w:proofErr w:type="spellStart"/>
      <w:proofErr w:type="gramStart"/>
      <w:r>
        <w:rPr>
          <w:b/>
        </w:rPr>
        <w:lastRenderedPageBreak/>
        <w:t>eFigure</w:t>
      </w:r>
      <w:proofErr w:type="spellEnd"/>
      <w:proofErr w:type="gramEnd"/>
      <w:r>
        <w:rPr>
          <w:b/>
        </w:rPr>
        <w:t xml:space="preserve"> 2a:</w:t>
      </w:r>
      <w:r w:rsidRPr="0095218D">
        <w:t xml:space="preserve"> </w:t>
      </w:r>
      <w:r>
        <w:t>Unadjusted proportion of patients experiencing a MID improvement in ODI at 12 months (ODI decreased by ≥15) by surgeon (ICC = 0.065).</w:t>
      </w:r>
      <w:r w:rsidRPr="00692AC0">
        <w:t xml:space="preserve"> </w:t>
      </w:r>
      <w:r>
        <w:t>Horizontal line indicates overall unadjusted rate. Surgeons with &lt;10 cases are not shown.</w:t>
      </w:r>
    </w:p>
    <w:p w14:paraId="02FA5F66" w14:textId="0BA70283" w:rsidR="0095218D" w:rsidRDefault="0095218D" w:rsidP="0095218D">
      <w:pPr>
        <w:pStyle w:val="NormalWeb"/>
        <w:spacing w:line="480" w:lineRule="auto"/>
        <w:rPr>
          <w:rFonts w:asciiTheme="minorHAnsi" w:hAnsiTheme="minorHAnsi"/>
          <w:b/>
        </w:rPr>
      </w:pPr>
      <w:r>
        <w:rPr>
          <w:noProof/>
        </w:rPr>
        <w:drawing>
          <wp:inline distT="0" distB="0" distL="0" distR="0" wp14:anchorId="66583E1D" wp14:editId="6253C1AA">
            <wp:extent cx="5836585"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D77B748" w14:textId="375449A7" w:rsidR="0095218D" w:rsidRDefault="0095218D" w:rsidP="0095218D">
      <w:proofErr w:type="spellStart"/>
      <w:proofErr w:type="gramStart"/>
      <w:r>
        <w:rPr>
          <w:b/>
        </w:rPr>
        <w:t>e</w:t>
      </w:r>
      <w:r w:rsidRPr="0095218D">
        <w:rPr>
          <w:b/>
        </w:rPr>
        <w:t>Figure</w:t>
      </w:r>
      <w:proofErr w:type="spellEnd"/>
      <w:proofErr w:type="gramEnd"/>
      <w:r w:rsidRPr="0095218D">
        <w:rPr>
          <w:b/>
        </w:rPr>
        <w:t xml:space="preserve"> </w:t>
      </w:r>
      <w:r w:rsidRPr="0095218D">
        <w:rPr>
          <w:b/>
        </w:rPr>
        <w:t>2b</w:t>
      </w:r>
      <w:r w:rsidRPr="0095218D">
        <w:rPr>
          <w:b/>
        </w:rPr>
        <w:t>:</w:t>
      </w:r>
      <w:r>
        <w:t xml:space="preserve">  Unadjusted proportion of patients who reached minimal disability at 12 months following lumbar fusion surgery (ODI&lt;22) by surgeon (</w:t>
      </w:r>
      <w:r w:rsidRPr="00695866">
        <w:t>ICC=0.0</w:t>
      </w:r>
      <w:r>
        <w:t>44).   Horizontal line indicates overall unadjusted rate.</w:t>
      </w:r>
      <w:r w:rsidRPr="007C0107">
        <w:t xml:space="preserve"> </w:t>
      </w:r>
      <w:r>
        <w:t xml:space="preserve"> Surgeons with &lt;10 cases are not shown.</w:t>
      </w:r>
      <w:r w:rsidRPr="00695866">
        <w:t xml:space="preserve"> </w:t>
      </w:r>
    </w:p>
    <w:p w14:paraId="54BF1E05" w14:textId="77777777" w:rsidR="0095218D" w:rsidRDefault="0095218D" w:rsidP="0095218D">
      <w:r>
        <w:rPr>
          <w:noProof/>
        </w:rPr>
        <w:drawing>
          <wp:inline distT="0" distB="0" distL="0" distR="0" wp14:anchorId="42EF8FFD" wp14:editId="7B73C582">
            <wp:extent cx="5836585"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180507" w14:textId="77777777" w:rsidR="0095218D" w:rsidRDefault="0095218D" w:rsidP="0095218D">
      <w:pPr>
        <w:pStyle w:val="NormalWeb"/>
        <w:spacing w:line="480" w:lineRule="auto"/>
        <w:rPr>
          <w:rFonts w:asciiTheme="minorHAnsi" w:hAnsiTheme="minorHAnsi"/>
          <w:b/>
        </w:rPr>
      </w:pPr>
    </w:p>
    <w:p w14:paraId="70A7C87B" w14:textId="77777777" w:rsidR="0095218D" w:rsidRDefault="0095218D">
      <w:pPr>
        <w:rPr>
          <w:rFonts w:eastAsia="Times New Roman" w:cs="Times New Roman"/>
          <w:b/>
          <w:sz w:val="24"/>
          <w:szCs w:val="24"/>
        </w:rPr>
      </w:pPr>
      <w:r>
        <w:rPr>
          <w:b/>
        </w:rPr>
        <w:br w:type="page"/>
      </w:r>
    </w:p>
    <w:p w14:paraId="23FF6615" w14:textId="62D06B0D" w:rsidR="00690822" w:rsidRDefault="00690822" w:rsidP="00690822">
      <w:pPr>
        <w:pStyle w:val="NormalWeb"/>
        <w:spacing w:line="480" w:lineRule="auto"/>
        <w:rPr>
          <w:rFonts w:asciiTheme="minorHAnsi" w:hAnsiTheme="minorHAnsi"/>
          <w:b/>
        </w:rPr>
      </w:pPr>
      <w:bookmarkStart w:id="0" w:name="_GoBack"/>
      <w:bookmarkEnd w:id="0"/>
      <w:r w:rsidRPr="00690822">
        <w:rPr>
          <w:rFonts w:asciiTheme="minorHAnsi" w:hAnsiTheme="minorHAnsi"/>
          <w:b/>
        </w:rPr>
        <w:lastRenderedPageBreak/>
        <w:t>References</w:t>
      </w:r>
    </w:p>
    <w:p w14:paraId="38FDDFD5" w14:textId="4351C3BE" w:rsidR="00D0483E" w:rsidRPr="00D0483E" w:rsidRDefault="00D0483E" w:rsidP="00D0483E">
      <w:pPr>
        <w:pStyle w:val="NormalWeb"/>
        <w:rPr>
          <w:rFonts w:ascii="Calibri" w:hAnsi="Calibri"/>
          <w:sz w:val="22"/>
        </w:rPr>
      </w:pPr>
      <w:r>
        <w:rPr>
          <w:b/>
        </w:rPr>
        <w:fldChar w:fldCharType="begin"/>
      </w:r>
      <w:r>
        <w:rPr>
          <w:b/>
        </w:rPr>
        <w:instrText>ADDIN RW.BIB</w:instrText>
      </w:r>
      <w:r>
        <w:rPr>
          <w:b/>
        </w:rPr>
        <w:fldChar w:fldCharType="separate"/>
      </w:r>
      <w:r w:rsidRPr="00D0483E">
        <w:rPr>
          <w:rFonts w:ascii="Calibri" w:hAnsi="Calibri"/>
          <w:sz w:val="22"/>
        </w:rPr>
        <w:t xml:space="preserve">1. Khor S, Lavallee D, Cizik AM, et al. Development and validation of a prediction model for pain and functional outcomes after lumbar spine surgery. </w:t>
      </w:r>
      <w:r w:rsidRPr="00D0483E">
        <w:rPr>
          <w:rFonts w:ascii="Calibri" w:hAnsi="Calibri"/>
          <w:i/>
          <w:iCs/>
          <w:sz w:val="22"/>
        </w:rPr>
        <w:t>JAMA Surg</w:t>
      </w:r>
      <w:r w:rsidRPr="00D0483E">
        <w:rPr>
          <w:rFonts w:ascii="Calibri" w:hAnsi="Calibri"/>
          <w:sz w:val="22"/>
        </w:rPr>
        <w:t>. 2018. doi: 10.1001/jamasurg.2018.0072 [doi].</w:t>
      </w:r>
    </w:p>
    <w:p w14:paraId="7E80D088" w14:textId="77777777" w:rsidR="00D0483E" w:rsidRPr="00D0483E" w:rsidRDefault="00D0483E" w:rsidP="00D0483E">
      <w:pPr>
        <w:pStyle w:val="NormalWeb"/>
        <w:rPr>
          <w:rFonts w:ascii="Calibri" w:hAnsi="Calibri"/>
          <w:sz w:val="22"/>
        </w:rPr>
      </w:pPr>
      <w:r w:rsidRPr="00D0483E">
        <w:rPr>
          <w:rFonts w:ascii="Calibri" w:hAnsi="Calibri"/>
          <w:sz w:val="22"/>
        </w:rPr>
        <w:t xml:space="preserve">2. MacKenzie TA, Grunkemeier GL, Grunwald GK, et al. A primer on using shrinkage to compare in-hospital mortality between centers. </w:t>
      </w:r>
      <w:r w:rsidRPr="00D0483E">
        <w:rPr>
          <w:rFonts w:ascii="Calibri" w:hAnsi="Calibri"/>
          <w:i/>
          <w:iCs/>
          <w:sz w:val="22"/>
        </w:rPr>
        <w:t>Ann Thorac Surg</w:t>
      </w:r>
      <w:r w:rsidRPr="00D0483E">
        <w:rPr>
          <w:rFonts w:ascii="Calibri" w:hAnsi="Calibri"/>
          <w:sz w:val="22"/>
        </w:rPr>
        <w:t>. 2015;99(3):757-761. doi: 10.1016/j.athoracsur.2014.11.039.</w:t>
      </w:r>
    </w:p>
    <w:p w14:paraId="2ECCEFA9" w14:textId="77777777" w:rsidR="00D0483E" w:rsidRPr="00D0483E" w:rsidRDefault="00D0483E" w:rsidP="00D0483E">
      <w:pPr>
        <w:pStyle w:val="NormalWeb"/>
        <w:rPr>
          <w:rFonts w:ascii="Calibri" w:hAnsi="Calibri"/>
          <w:sz w:val="22"/>
        </w:rPr>
      </w:pPr>
      <w:r w:rsidRPr="00D0483E">
        <w:rPr>
          <w:rFonts w:ascii="Calibri" w:hAnsi="Calibri"/>
          <w:sz w:val="22"/>
        </w:rPr>
        <w:t xml:space="preserve">3. Weintraub WS, Garratt KN. Challenges in risk adjustment for hospital and provider outcomes assessment. </w:t>
      </w:r>
      <w:r w:rsidRPr="00D0483E">
        <w:rPr>
          <w:rFonts w:ascii="Calibri" w:hAnsi="Calibri"/>
          <w:i/>
          <w:iCs/>
          <w:sz w:val="22"/>
        </w:rPr>
        <w:t>Circulation</w:t>
      </w:r>
      <w:r w:rsidRPr="00D0483E">
        <w:rPr>
          <w:rFonts w:ascii="Calibri" w:hAnsi="Calibri"/>
          <w:sz w:val="22"/>
        </w:rPr>
        <w:t>. 2017;135(4):317-319. doi: 10.1161/CIRCULATIONAHA.116.025653.</w:t>
      </w:r>
    </w:p>
    <w:p w14:paraId="071302C9" w14:textId="77777777" w:rsidR="00D0483E" w:rsidRPr="00D0483E" w:rsidRDefault="00D0483E" w:rsidP="00D0483E">
      <w:pPr>
        <w:pStyle w:val="NormalWeb"/>
        <w:rPr>
          <w:rFonts w:ascii="Calibri" w:hAnsi="Calibri"/>
          <w:sz w:val="22"/>
        </w:rPr>
      </w:pPr>
      <w:r w:rsidRPr="00D0483E">
        <w:rPr>
          <w:rFonts w:ascii="Calibri" w:hAnsi="Calibri"/>
          <w:sz w:val="22"/>
        </w:rPr>
        <w:t xml:space="preserve">4. Dimick JB, Ghaferi AA, Osborne NH, Ko CY, Hall BL. Reliability adjustment for reporting hospital outcomes with surgery. </w:t>
      </w:r>
      <w:r w:rsidRPr="00D0483E">
        <w:rPr>
          <w:rFonts w:ascii="Calibri" w:hAnsi="Calibri"/>
          <w:i/>
          <w:iCs/>
          <w:sz w:val="22"/>
        </w:rPr>
        <w:t>Ann Surg</w:t>
      </w:r>
      <w:r w:rsidRPr="00D0483E">
        <w:rPr>
          <w:rFonts w:ascii="Calibri" w:hAnsi="Calibri"/>
          <w:sz w:val="22"/>
        </w:rPr>
        <w:t>. 2012;255(4):703-707. doi: 10.1097/SLA.0b013e31824b46ff.</w:t>
      </w:r>
    </w:p>
    <w:p w14:paraId="140970BA" w14:textId="32CF1E1A" w:rsidR="00D0483E" w:rsidRDefault="00D0483E" w:rsidP="00D0483E">
      <w:pPr>
        <w:spacing w:line="240" w:lineRule="auto"/>
        <w:rPr>
          <w:b/>
        </w:rPr>
      </w:pPr>
      <w:r w:rsidRPr="00D0483E">
        <w:rPr>
          <w:rFonts w:ascii="Calibri" w:eastAsia="Times New Roman" w:hAnsi="Calibri"/>
        </w:rPr>
        <w:t> </w:t>
      </w:r>
      <w:r>
        <w:rPr>
          <w:b/>
        </w:rPr>
        <w:fldChar w:fldCharType="end"/>
      </w:r>
    </w:p>
    <w:p w14:paraId="2706BB37" w14:textId="706AC812" w:rsidR="00312C7E" w:rsidRDefault="00312C7E" w:rsidP="00D0483E">
      <w:pPr>
        <w:spacing w:line="240" w:lineRule="auto"/>
      </w:pPr>
    </w:p>
    <w:sectPr w:rsidR="00312C7E">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D32C78" w16cid:durableId="1EF993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0724"/>
    <w:multiLevelType w:val="hybridMultilevel"/>
    <w:tmpl w:val="91700CAE"/>
    <w:lvl w:ilvl="0" w:tplc="0896B9E8">
      <w:start w:val="5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F3875"/>
    <w:multiLevelType w:val="hybridMultilevel"/>
    <w:tmpl w:val="BAF8707E"/>
    <w:lvl w:ilvl="0" w:tplc="07825A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D76E5"/>
    <w:multiLevelType w:val="hybridMultilevel"/>
    <w:tmpl w:val="5ECA08B0"/>
    <w:lvl w:ilvl="0" w:tplc="266420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CD9"/>
    <w:rsid w:val="00003A5E"/>
    <w:rsid w:val="0000451A"/>
    <w:rsid w:val="00005100"/>
    <w:rsid w:val="00021F90"/>
    <w:rsid w:val="0002328A"/>
    <w:rsid w:val="00026197"/>
    <w:rsid w:val="0004573E"/>
    <w:rsid w:val="000464ED"/>
    <w:rsid w:val="00055B19"/>
    <w:rsid w:val="00070679"/>
    <w:rsid w:val="000916D0"/>
    <w:rsid w:val="000932C2"/>
    <w:rsid w:val="000942BD"/>
    <w:rsid w:val="00097690"/>
    <w:rsid w:val="000A2363"/>
    <w:rsid w:val="000A28DA"/>
    <w:rsid w:val="000A3EC7"/>
    <w:rsid w:val="000C27E9"/>
    <w:rsid w:val="000C2C24"/>
    <w:rsid w:val="000D1767"/>
    <w:rsid w:val="000D428A"/>
    <w:rsid w:val="000D5960"/>
    <w:rsid w:val="000D725D"/>
    <w:rsid w:val="000E13A9"/>
    <w:rsid w:val="000E6925"/>
    <w:rsid w:val="000F2A99"/>
    <w:rsid w:val="00100728"/>
    <w:rsid w:val="00111A75"/>
    <w:rsid w:val="001164CD"/>
    <w:rsid w:val="00122F27"/>
    <w:rsid w:val="00133CD9"/>
    <w:rsid w:val="00184D20"/>
    <w:rsid w:val="00186EC7"/>
    <w:rsid w:val="001B5BFF"/>
    <w:rsid w:val="001C4A00"/>
    <w:rsid w:val="001D4A4D"/>
    <w:rsid w:val="001D63D5"/>
    <w:rsid w:val="001D745D"/>
    <w:rsid w:val="001D769A"/>
    <w:rsid w:val="001F1111"/>
    <w:rsid w:val="001F63DF"/>
    <w:rsid w:val="00200AC9"/>
    <w:rsid w:val="00210729"/>
    <w:rsid w:val="00220506"/>
    <w:rsid w:val="00223DB0"/>
    <w:rsid w:val="0023637A"/>
    <w:rsid w:val="00237488"/>
    <w:rsid w:val="002532A1"/>
    <w:rsid w:val="002559CD"/>
    <w:rsid w:val="002728FB"/>
    <w:rsid w:val="00280BFD"/>
    <w:rsid w:val="00285E66"/>
    <w:rsid w:val="002A3EC1"/>
    <w:rsid w:val="002A3F36"/>
    <w:rsid w:val="002A5BBF"/>
    <w:rsid w:val="002C4C44"/>
    <w:rsid w:val="002D4561"/>
    <w:rsid w:val="002D463A"/>
    <w:rsid w:val="002D5E7A"/>
    <w:rsid w:val="002D7055"/>
    <w:rsid w:val="002E0759"/>
    <w:rsid w:val="0030167D"/>
    <w:rsid w:val="00303E46"/>
    <w:rsid w:val="00312C7E"/>
    <w:rsid w:val="00313923"/>
    <w:rsid w:val="0032006E"/>
    <w:rsid w:val="003459F2"/>
    <w:rsid w:val="00350686"/>
    <w:rsid w:val="00380C2C"/>
    <w:rsid w:val="003847E1"/>
    <w:rsid w:val="0038695E"/>
    <w:rsid w:val="003939B3"/>
    <w:rsid w:val="003969E5"/>
    <w:rsid w:val="003B0199"/>
    <w:rsid w:val="003C2F62"/>
    <w:rsid w:val="003C488A"/>
    <w:rsid w:val="003D3AD3"/>
    <w:rsid w:val="003E3CDA"/>
    <w:rsid w:val="003E64C2"/>
    <w:rsid w:val="00403BEA"/>
    <w:rsid w:val="00410412"/>
    <w:rsid w:val="00412DD4"/>
    <w:rsid w:val="00434D6C"/>
    <w:rsid w:val="0044117C"/>
    <w:rsid w:val="0044213A"/>
    <w:rsid w:val="00457B43"/>
    <w:rsid w:val="0046127C"/>
    <w:rsid w:val="0046130B"/>
    <w:rsid w:val="00461FDA"/>
    <w:rsid w:val="00464552"/>
    <w:rsid w:val="004723EA"/>
    <w:rsid w:val="00477BFC"/>
    <w:rsid w:val="00480C33"/>
    <w:rsid w:val="00483B5C"/>
    <w:rsid w:val="0049019D"/>
    <w:rsid w:val="00493869"/>
    <w:rsid w:val="004A047D"/>
    <w:rsid w:val="004A5E7E"/>
    <w:rsid w:val="004B050A"/>
    <w:rsid w:val="004C4627"/>
    <w:rsid w:val="004C46CE"/>
    <w:rsid w:val="004C516B"/>
    <w:rsid w:val="004D75FE"/>
    <w:rsid w:val="004E15FC"/>
    <w:rsid w:val="004E7DBA"/>
    <w:rsid w:val="004F50A8"/>
    <w:rsid w:val="0050633B"/>
    <w:rsid w:val="0050769C"/>
    <w:rsid w:val="00512EC3"/>
    <w:rsid w:val="005215C7"/>
    <w:rsid w:val="005304BB"/>
    <w:rsid w:val="005377E6"/>
    <w:rsid w:val="0054128D"/>
    <w:rsid w:val="00543AF7"/>
    <w:rsid w:val="0055015E"/>
    <w:rsid w:val="00566CF6"/>
    <w:rsid w:val="00572E5E"/>
    <w:rsid w:val="00584AB7"/>
    <w:rsid w:val="005853EC"/>
    <w:rsid w:val="00585AAC"/>
    <w:rsid w:val="005870C5"/>
    <w:rsid w:val="005917C8"/>
    <w:rsid w:val="00596993"/>
    <w:rsid w:val="00596BA5"/>
    <w:rsid w:val="005A560D"/>
    <w:rsid w:val="005D16C8"/>
    <w:rsid w:val="005D65DF"/>
    <w:rsid w:val="005E2C8E"/>
    <w:rsid w:val="00600FD2"/>
    <w:rsid w:val="006023AC"/>
    <w:rsid w:val="00603242"/>
    <w:rsid w:val="00614649"/>
    <w:rsid w:val="00616553"/>
    <w:rsid w:val="00617DF4"/>
    <w:rsid w:val="0062398E"/>
    <w:rsid w:val="006265F3"/>
    <w:rsid w:val="00633A24"/>
    <w:rsid w:val="00636AA4"/>
    <w:rsid w:val="00640FD4"/>
    <w:rsid w:val="00643012"/>
    <w:rsid w:val="00643BD6"/>
    <w:rsid w:val="00654807"/>
    <w:rsid w:val="00662809"/>
    <w:rsid w:val="0068294F"/>
    <w:rsid w:val="00686521"/>
    <w:rsid w:val="00690822"/>
    <w:rsid w:val="006924A0"/>
    <w:rsid w:val="00692AC0"/>
    <w:rsid w:val="00695866"/>
    <w:rsid w:val="006B255E"/>
    <w:rsid w:val="006B3C18"/>
    <w:rsid w:val="006C47EF"/>
    <w:rsid w:val="006D435C"/>
    <w:rsid w:val="006D5302"/>
    <w:rsid w:val="006E0F94"/>
    <w:rsid w:val="006E50CA"/>
    <w:rsid w:val="006F011E"/>
    <w:rsid w:val="007015E7"/>
    <w:rsid w:val="00717C5B"/>
    <w:rsid w:val="007377E8"/>
    <w:rsid w:val="00741355"/>
    <w:rsid w:val="0074224E"/>
    <w:rsid w:val="00753BD0"/>
    <w:rsid w:val="00756E65"/>
    <w:rsid w:val="00770E83"/>
    <w:rsid w:val="00783A91"/>
    <w:rsid w:val="007931F5"/>
    <w:rsid w:val="007A26F9"/>
    <w:rsid w:val="007B2819"/>
    <w:rsid w:val="007B6F26"/>
    <w:rsid w:val="007E52D0"/>
    <w:rsid w:val="007E5F69"/>
    <w:rsid w:val="00813BBA"/>
    <w:rsid w:val="00815613"/>
    <w:rsid w:val="0081699D"/>
    <w:rsid w:val="008200C3"/>
    <w:rsid w:val="00831E1C"/>
    <w:rsid w:val="0083496C"/>
    <w:rsid w:val="008417D1"/>
    <w:rsid w:val="00843AD1"/>
    <w:rsid w:val="00863B6A"/>
    <w:rsid w:val="00864D6E"/>
    <w:rsid w:val="00866EE8"/>
    <w:rsid w:val="0087481C"/>
    <w:rsid w:val="008761EE"/>
    <w:rsid w:val="008800CC"/>
    <w:rsid w:val="008925CC"/>
    <w:rsid w:val="008B2D47"/>
    <w:rsid w:val="008C1125"/>
    <w:rsid w:val="008D087B"/>
    <w:rsid w:val="008D147E"/>
    <w:rsid w:val="008F1245"/>
    <w:rsid w:val="008F2C44"/>
    <w:rsid w:val="008F79FC"/>
    <w:rsid w:val="00901D81"/>
    <w:rsid w:val="009035F0"/>
    <w:rsid w:val="00912084"/>
    <w:rsid w:val="00914279"/>
    <w:rsid w:val="009177DA"/>
    <w:rsid w:val="00931805"/>
    <w:rsid w:val="00931D60"/>
    <w:rsid w:val="009377DF"/>
    <w:rsid w:val="009403FB"/>
    <w:rsid w:val="00947776"/>
    <w:rsid w:val="0095218D"/>
    <w:rsid w:val="00954CD4"/>
    <w:rsid w:val="00963B77"/>
    <w:rsid w:val="009778CC"/>
    <w:rsid w:val="0098709D"/>
    <w:rsid w:val="00993C18"/>
    <w:rsid w:val="009B3D02"/>
    <w:rsid w:val="009B43F5"/>
    <w:rsid w:val="009C6E0D"/>
    <w:rsid w:val="009E40E4"/>
    <w:rsid w:val="009E7FA9"/>
    <w:rsid w:val="009F703C"/>
    <w:rsid w:val="00A005A1"/>
    <w:rsid w:val="00A12384"/>
    <w:rsid w:val="00A14DDC"/>
    <w:rsid w:val="00A32E25"/>
    <w:rsid w:val="00A32F67"/>
    <w:rsid w:val="00A340A8"/>
    <w:rsid w:val="00A37C90"/>
    <w:rsid w:val="00A45D05"/>
    <w:rsid w:val="00A52CF9"/>
    <w:rsid w:val="00A53AED"/>
    <w:rsid w:val="00A645D8"/>
    <w:rsid w:val="00A80170"/>
    <w:rsid w:val="00A831E0"/>
    <w:rsid w:val="00A87A61"/>
    <w:rsid w:val="00A908E7"/>
    <w:rsid w:val="00AB1722"/>
    <w:rsid w:val="00AB5BEC"/>
    <w:rsid w:val="00AE1B5D"/>
    <w:rsid w:val="00AE33BF"/>
    <w:rsid w:val="00AF0E2F"/>
    <w:rsid w:val="00AF48B1"/>
    <w:rsid w:val="00AF5C47"/>
    <w:rsid w:val="00B002A8"/>
    <w:rsid w:val="00B10A7F"/>
    <w:rsid w:val="00B24210"/>
    <w:rsid w:val="00B30E01"/>
    <w:rsid w:val="00B324CD"/>
    <w:rsid w:val="00B46115"/>
    <w:rsid w:val="00B46D7D"/>
    <w:rsid w:val="00B53AFD"/>
    <w:rsid w:val="00B636FF"/>
    <w:rsid w:val="00B7196D"/>
    <w:rsid w:val="00B73D89"/>
    <w:rsid w:val="00B745D0"/>
    <w:rsid w:val="00B76105"/>
    <w:rsid w:val="00B9018B"/>
    <w:rsid w:val="00B93468"/>
    <w:rsid w:val="00B96583"/>
    <w:rsid w:val="00BA1FD7"/>
    <w:rsid w:val="00BC4221"/>
    <w:rsid w:val="00BC6FF9"/>
    <w:rsid w:val="00BE045A"/>
    <w:rsid w:val="00C03F25"/>
    <w:rsid w:val="00C1687E"/>
    <w:rsid w:val="00C351C0"/>
    <w:rsid w:val="00C36AA9"/>
    <w:rsid w:val="00C4145C"/>
    <w:rsid w:val="00C60DE5"/>
    <w:rsid w:val="00C656A8"/>
    <w:rsid w:val="00C677FF"/>
    <w:rsid w:val="00C7162C"/>
    <w:rsid w:val="00C7548B"/>
    <w:rsid w:val="00C969F7"/>
    <w:rsid w:val="00CA38A4"/>
    <w:rsid w:val="00CA7F0D"/>
    <w:rsid w:val="00CD20EA"/>
    <w:rsid w:val="00CD37EF"/>
    <w:rsid w:val="00CD4379"/>
    <w:rsid w:val="00CE7835"/>
    <w:rsid w:val="00CF2598"/>
    <w:rsid w:val="00CF5444"/>
    <w:rsid w:val="00D0483E"/>
    <w:rsid w:val="00D1009A"/>
    <w:rsid w:val="00D17432"/>
    <w:rsid w:val="00D2312E"/>
    <w:rsid w:val="00D328FA"/>
    <w:rsid w:val="00D5395C"/>
    <w:rsid w:val="00D57B30"/>
    <w:rsid w:val="00D8218C"/>
    <w:rsid w:val="00D83A57"/>
    <w:rsid w:val="00D85209"/>
    <w:rsid w:val="00DA0A8A"/>
    <w:rsid w:val="00DA0C25"/>
    <w:rsid w:val="00DA6EF3"/>
    <w:rsid w:val="00DC5019"/>
    <w:rsid w:val="00DC55F0"/>
    <w:rsid w:val="00DD13F0"/>
    <w:rsid w:val="00DD20D1"/>
    <w:rsid w:val="00DD2834"/>
    <w:rsid w:val="00DD42ED"/>
    <w:rsid w:val="00DF38E4"/>
    <w:rsid w:val="00E04656"/>
    <w:rsid w:val="00E04925"/>
    <w:rsid w:val="00E2220F"/>
    <w:rsid w:val="00E24617"/>
    <w:rsid w:val="00E30B3D"/>
    <w:rsid w:val="00E30DE4"/>
    <w:rsid w:val="00E50A58"/>
    <w:rsid w:val="00E53FCD"/>
    <w:rsid w:val="00E61A88"/>
    <w:rsid w:val="00E62E7E"/>
    <w:rsid w:val="00E65691"/>
    <w:rsid w:val="00E66A02"/>
    <w:rsid w:val="00EA7AE6"/>
    <w:rsid w:val="00EB3040"/>
    <w:rsid w:val="00EB75D4"/>
    <w:rsid w:val="00EB7F89"/>
    <w:rsid w:val="00ED0310"/>
    <w:rsid w:val="00ED47AC"/>
    <w:rsid w:val="00ED49B1"/>
    <w:rsid w:val="00EE0B7F"/>
    <w:rsid w:val="00EE4DCF"/>
    <w:rsid w:val="00EE52D6"/>
    <w:rsid w:val="00EF3F93"/>
    <w:rsid w:val="00EF6AD3"/>
    <w:rsid w:val="00F0209A"/>
    <w:rsid w:val="00F025E4"/>
    <w:rsid w:val="00F041AC"/>
    <w:rsid w:val="00F20ABC"/>
    <w:rsid w:val="00F30857"/>
    <w:rsid w:val="00F510A5"/>
    <w:rsid w:val="00F60C89"/>
    <w:rsid w:val="00F60E26"/>
    <w:rsid w:val="00F61E49"/>
    <w:rsid w:val="00F8786D"/>
    <w:rsid w:val="00FD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7831"/>
  <w15:chartTrackingRefBased/>
  <w15:docId w15:val="{5A3EBFD4-549B-479A-808F-941D1C24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586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14649"/>
    <w:rPr>
      <w:sz w:val="16"/>
      <w:szCs w:val="16"/>
    </w:rPr>
  </w:style>
  <w:style w:type="paragraph" w:styleId="CommentText">
    <w:name w:val="annotation text"/>
    <w:basedOn w:val="Normal"/>
    <w:link w:val="CommentTextChar"/>
    <w:uiPriority w:val="99"/>
    <w:semiHidden/>
    <w:unhideWhenUsed/>
    <w:rsid w:val="00614649"/>
    <w:pPr>
      <w:spacing w:line="240" w:lineRule="auto"/>
    </w:pPr>
    <w:rPr>
      <w:sz w:val="20"/>
      <w:szCs w:val="20"/>
    </w:rPr>
  </w:style>
  <w:style w:type="character" w:customStyle="1" w:styleId="CommentTextChar">
    <w:name w:val="Comment Text Char"/>
    <w:basedOn w:val="DefaultParagraphFont"/>
    <w:link w:val="CommentText"/>
    <w:uiPriority w:val="99"/>
    <w:semiHidden/>
    <w:rsid w:val="00614649"/>
    <w:rPr>
      <w:sz w:val="20"/>
      <w:szCs w:val="20"/>
    </w:rPr>
  </w:style>
  <w:style w:type="paragraph" w:styleId="CommentSubject">
    <w:name w:val="annotation subject"/>
    <w:basedOn w:val="CommentText"/>
    <w:next w:val="CommentText"/>
    <w:link w:val="CommentSubjectChar"/>
    <w:uiPriority w:val="99"/>
    <w:semiHidden/>
    <w:unhideWhenUsed/>
    <w:rsid w:val="00614649"/>
    <w:rPr>
      <w:b/>
      <w:bCs/>
    </w:rPr>
  </w:style>
  <w:style w:type="character" w:customStyle="1" w:styleId="CommentSubjectChar">
    <w:name w:val="Comment Subject Char"/>
    <w:basedOn w:val="CommentTextChar"/>
    <w:link w:val="CommentSubject"/>
    <w:uiPriority w:val="99"/>
    <w:semiHidden/>
    <w:rsid w:val="00614649"/>
    <w:rPr>
      <w:b/>
      <w:bCs/>
      <w:sz w:val="20"/>
      <w:szCs w:val="20"/>
    </w:rPr>
  </w:style>
  <w:style w:type="paragraph" w:styleId="BalloonText">
    <w:name w:val="Balloon Text"/>
    <w:basedOn w:val="Normal"/>
    <w:link w:val="BalloonTextChar"/>
    <w:uiPriority w:val="99"/>
    <w:semiHidden/>
    <w:unhideWhenUsed/>
    <w:rsid w:val="0061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49"/>
    <w:rPr>
      <w:rFonts w:ascii="Segoe UI" w:hAnsi="Segoe UI" w:cs="Segoe UI"/>
      <w:sz w:val="18"/>
      <w:szCs w:val="18"/>
    </w:rPr>
  </w:style>
  <w:style w:type="paragraph" w:styleId="ListParagraph">
    <w:name w:val="List Paragraph"/>
    <w:basedOn w:val="Normal"/>
    <w:uiPriority w:val="34"/>
    <w:qFormat/>
    <w:rsid w:val="00753BD0"/>
    <w:pPr>
      <w:ind w:left="720"/>
      <w:contextualSpacing/>
    </w:pPr>
  </w:style>
  <w:style w:type="table" w:customStyle="1" w:styleId="PlainTable21">
    <w:name w:val="Plain Table 21"/>
    <w:basedOn w:val="TableNormal"/>
    <w:uiPriority w:val="42"/>
    <w:rsid w:val="00901D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6896">
      <w:bodyDiv w:val="1"/>
      <w:marLeft w:val="0"/>
      <w:marRight w:val="0"/>
      <w:marTop w:val="0"/>
      <w:marBottom w:val="0"/>
      <w:divBdr>
        <w:top w:val="none" w:sz="0" w:space="0" w:color="auto"/>
        <w:left w:val="none" w:sz="0" w:space="0" w:color="auto"/>
        <w:bottom w:val="none" w:sz="0" w:space="0" w:color="auto"/>
        <w:right w:val="none" w:sz="0" w:space="0" w:color="auto"/>
      </w:divBdr>
    </w:div>
    <w:div w:id="202376845">
      <w:bodyDiv w:val="1"/>
      <w:marLeft w:val="0"/>
      <w:marRight w:val="0"/>
      <w:marTop w:val="0"/>
      <w:marBottom w:val="0"/>
      <w:divBdr>
        <w:top w:val="none" w:sz="0" w:space="0" w:color="auto"/>
        <w:left w:val="none" w:sz="0" w:space="0" w:color="auto"/>
        <w:bottom w:val="none" w:sz="0" w:space="0" w:color="auto"/>
        <w:right w:val="none" w:sz="0" w:space="0" w:color="auto"/>
      </w:divBdr>
    </w:div>
    <w:div w:id="239026551">
      <w:bodyDiv w:val="1"/>
      <w:marLeft w:val="0"/>
      <w:marRight w:val="0"/>
      <w:marTop w:val="0"/>
      <w:marBottom w:val="0"/>
      <w:divBdr>
        <w:top w:val="none" w:sz="0" w:space="0" w:color="auto"/>
        <w:left w:val="none" w:sz="0" w:space="0" w:color="auto"/>
        <w:bottom w:val="none" w:sz="0" w:space="0" w:color="auto"/>
        <w:right w:val="none" w:sz="0" w:space="0" w:color="auto"/>
      </w:divBdr>
    </w:div>
    <w:div w:id="285282145">
      <w:bodyDiv w:val="1"/>
      <w:marLeft w:val="0"/>
      <w:marRight w:val="0"/>
      <w:marTop w:val="0"/>
      <w:marBottom w:val="0"/>
      <w:divBdr>
        <w:top w:val="none" w:sz="0" w:space="0" w:color="auto"/>
        <w:left w:val="none" w:sz="0" w:space="0" w:color="auto"/>
        <w:bottom w:val="none" w:sz="0" w:space="0" w:color="auto"/>
        <w:right w:val="none" w:sz="0" w:space="0" w:color="auto"/>
      </w:divBdr>
    </w:div>
    <w:div w:id="408815271">
      <w:bodyDiv w:val="1"/>
      <w:marLeft w:val="0"/>
      <w:marRight w:val="0"/>
      <w:marTop w:val="0"/>
      <w:marBottom w:val="0"/>
      <w:divBdr>
        <w:top w:val="none" w:sz="0" w:space="0" w:color="auto"/>
        <w:left w:val="none" w:sz="0" w:space="0" w:color="auto"/>
        <w:bottom w:val="none" w:sz="0" w:space="0" w:color="auto"/>
        <w:right w:val="none" w:sz="0" w:space="0" w:color="auto"/>
      </w:divBdr>
    </w:div>
    <w:div w:id="415518447">
      <w:bodyDiv w:val="1"/>
      <w:marLeft w:val="0"/>
      <w:marRight w:val="0"/>
      <w:marTop w:val="0"/>
      <w:marBottom w:val="0"/>
      <w:divBdr>
        <w:top w:val="none" w:sz="0" w:space="0" w:color="auto"/>
        <w:left w:val="none" w:sz="0" w:space="0" w:color="auto"/>
        <w:bottom w:val="none" w:sz="0" w:space="0" w:color="auto"/>
        <w:right w:val="none" w:sz="0" w:space="0" w:color="auto"/>
      </w:divBdr>
    </w:div>
    <w:div w:id="464928114">
      <w:bodyDiv w:val="1"/>
      <w:marLeft w:val="0"/>
      <w:marRight w:val="0"/>
      <w:marTop w:val="0"/>
      <w:marBottom w:val="0"/>
      <w:divBdr>
        <w:top w:val="none" w:sz="0" w:space="0" w:color="auto"/>
        <w:left w:val="none" w:sz="0" w:space="0" w:color="auto"/>
        <w:bottom w:val="none" w:sz="0" w:space="0" w:color="auto"/>
        <w:right w:val="none" w:sz="0" w:space="0" w:color="auto"/>
      </w:divBdr>
    </w:div>
    <w:div w:id="479883981">
      <w:bodyDiv w:val="1"/>
      <w:marLeft w:val="0"/>
      <w:marRight w:val="0"/>
      <w:marTop w:val="0"/>
      <w:marBottom w:val="0"/>
      <w:divBdr>
        <w:top w:val="none" w:sz="0" w:space="0" w:color="auto"/>
        <w:left w:val="none" w:sz="0" w:space="0" w:color="auto"/>
        <w:bottom w:val="none" w:sz="0" w:space="0" w:color="auto"/>
        <w:right w:val="none" w:sz="0" w:space="0" w:color="auto"/>
      </w:divBdr>
    </w:div>
    <w:div w:id="631324411">
      <w:bodyDiv w:val="1"/>
      <w:marLeft w:val="0"/>
      <w:marRight w:val="0"/>
      <w:marTop w:val="0"/>
      <w:marBottom w:val="0"/>
      <w:divBdr>
        <w:top w:val="none" w:sz="0" w:space="0" w:color="auto"/>
        <w:left w:val="none" w:sz="0" w:space="0" w:color="auto"/>
        <w:bottom w:val="none" w:sz="0" w:space="0" w:color="auto"/>
        <w:right w:val="none" w:sz="0" w:space="0" w:color="auto"/>
      </w:divBdr>
    </w:div>
    <w:div w:id="654377732">
      <w:bodyDiv w:val="1"/>
      <w:marLeft w:val="0"/>
      <w:marRight w:val="0"/>
      <w:marTop w:val="0"/>
      <w:marBottom w:val="0"/>
      <w:divBdr>
        <w:top w:val="none" w:sz="0" w:space="0" w:color="auto"/>
        <w:left w:val="none" w:sz="0" w:space="0" w:color="auto"/>
        <w:bottom w:val="none" w:sz="0" w:space="0" w:color="auto"/>
        <w:right w:val="none" w:sz="0" w:space="0" w:color="auto"/>
      </w:divBdr>
    </w:div>
    <w:div w:id="777261088">
      <w:bodyDiv w:val="1"/>
      <w:marLeft w:val="0"/>
      <w:marRight w:val="0"/>
      <w:marTop w:val="0"/>
      <w:marBottom w:val="0"/>
      <w:divBdr>
        <w:top w:val="none" w:sz="0" w:space="0" w:color="auto"/>
        <w:left w:val="none" w:sz="0" w:space="0" w:color="auto"/>
        <w:bottom w:val="none" w:sz="0" w:space="0" w:color="auto"/>
        <w:right w:val="none" w:sz="0" w:space="0" w:color="auto"/>
      </w:divBdr>
    </w:div>
    <w:div w:id="1107509547">
      <w:bodyDiv w:val="1"/>
      <w:marLeft w:val="0"/>
      <w:marRight w:val="0"/>
      <w:marTop w:val="0"/>
      <w:marBottom w:val="0"/>
      <w:divBdr>
        <w:top w:val="none" w:sz="0" w:space="0" w:color="auto"/>
        <w:left w:val="none" w:sz="0" w:space="0" w:color="auto"/>
        <w:bottom w:val="none" w:sz="0" w:space="0" w:color="auto"/>
        <w:right w:val="none" w:sz="0" w:space="0" w:color="auto"/>
      </w:divBdr>
    </w:div>
    <w:div w:id="1112672281">
      <w:bodyDiv w:val="1"/>
      <w:marLeft w:val="0"/>
      <w:marRight w:val="0"/>
      <w:marTop w:val="0"/>
      <w:marBottom w:val="0"/>
      <w:divBdr>
        <w:top w:val="none" w:sz="0" w:space="0" w:color="auto"/>
        <w:left w:val="none" w:sz="0" w:space="0" w:color="auto"/>
        <w:bottom w:val="none" w:sz="0" w:space="0" w:color="auto"/>
        <w:right w:val="none" w:sz="0" w:space="0" w:color="auto"/>
      </w:divBdr>
    </w:div>
    <w:div w:id="1130249663">
      <w:bodyDiv w:val="1"/>
      <w:marLeft w:val="0"/>
      <w:marRight w:val="0"/>
      <w:marTop w:val="0"/>
      <w:marBottom w:val="0"/>
      <w:divBdr>
        <w:top w:val="none" w:sz="0" w:space="0" w:color="auto"/>
        <w:left w:val="none" w:sz="0" w:space="0" w:color="auto"/>
        <w:bottom w:val="none" w:sz="0" w:space="0" w:color="auto"/>
        <w:right w:val="none" w:sz="0" w:space="0" w:color="auto"/>
      </w:divBdr>
    </w:div>
    <w:div w:id="1203056870">
      <w:bodyDiv w:val="1"/>
      <w:marLeft w:val="0"/>
      <w:marRight w:val="0"/>
      <w:marTop w:val="0"/>
      <w:marBottom w:val="0"/>
      <w:divBdr>
        <w:top w:val="none" w:sz="0" w:space="0" w:color="auto"/>
        <w:left w:val="none" w:sz="0" w:space="0" w:color="auto"/>
        <w:bottom w:val="none" w:sz="0" w:space="0" w:color="auto"/>
        <w:right w:val="none" w:sz="0" w:space="0" w:color="auto"/>
      </w:divBdr>
    </w:div>
    <w:div w:id="1386031172">
      <w:bodyDiv w:val="1"/>
      <w:marLeft w:val="0"/>
      <w:marRight w:val="0"/>
      <w:marTop w:val="0"/>
      <w:marBottom w:val="0"/>
      <w:divBdr>
        <w:top w:val="none" w:sz="0" w:space="0" w:color="auto"/>
        <w:left w:val="none" w:sz="0" w:space="0" w:color="auto"/>
        <w:bottom w:val="none" w:sz="0" w:space="0" w:color="auto"/>
        <w:right w:val="none" w:sz="0" w:space="0" w:color="auto"/>
      </w:divBdr>
    </w:div>
    <w:div w:id="1467355582">
      <w:bodyDiv w:val="1"/>
      <w:marLeft w:val="0"/>
      <w:marRight w:val="0"/>
      <w:marTop w:val="0"/>
      <w:marBottom w:val="0"/>
      <w:divBdr>
        <w:top w:val="none" w:sz="0" w:space="0" w:color="auto"/>
        <w:left w:val="none" w:sz="0" w:space="0" w:color="auto"/>
        <w:bottom w:val="none" w:sz="0" w:space="0" w:color="auto"/>
        <w:right w:val="none" w:sz="0" w:space="0" w:color="auto"/>
      </w:divBdr>
    </w:div>
    <w:div w:id="1536507762">
      <w:bodyDiv w:val="1"/>
      <w:marLeft w:val="0"/>
      <w:marRight w:val="0"/>
      <w:marTop w:val="0"/>
      <w:marBottom w:val="0"/>
      <w:divBdr>
        <w:top w:val="none" w:sz="0" w:space="0" w:color="auto"/>
        <w:left w:val="none" w:sz="0" w:space="0" w:color="auto"/>
        <w:bottom w:val="none" w:sz="0" w:space="0" w:color="auto"/>
        <w:right w:val="none" w:sz="0" w:space="0" w:color="auto"/>
      </w:divBdr>
    </w:div>
    <w:div w:id="1567304668">
      <w:bodyDiv w:val="1"/>
      <w:marLeft w:val="0"/>
      <w:marRight w:val="0"/>
      <w:marTop w:val="0"/>
      <w:marBottom w:val="0"/>
      <w:divBdr>
        <w:top w:val="none" w:sz="0" w:space="0" w:color="auto"/>
        <w:left w:val="none" w:sz="0" w:space="0" w:color="auto"/>
        <w:bottom w:val="none" w:sz="0" w:space="0" w:color="auto"/>
        <w:right w:val="none" w:sz="0" w:space="0" w:color="auto"/>
      </w:divBdr>
    </w:div>
    <w:div w:id="1648776474">
      <w:bodyDiv w:val="1"/>
      <w:marLeft w:val="0"/>
      <w:marRight w:val="0"/>
      <w:marTop w:val="0"/>
      <w:marBottom w:val="0"/>
      <w:divBdr>
        <w:top w:val="none" w:sz="0" w:space="0" w:color="auto"/>
        <w:left w:val="none" w:sz="0" w:space="0" w:color="auto"/>
        <w:bottom w:val="none" w:sz="0" w:space="0" w:color="auto"/>
        <w:right w:val="none" w:sz="0" w:space="0" w:color="auto"/>
      </w:divBdr>
    </w:div>
    <w:div w:id="1867137981">
      <w:bodyDiv w:val="1"/>
      <w:marLeft w:val="0"/>
      <w:marRight w:val="0"/>
      <w:marTop w:val="0"/>
      <w:marBottom w:val="0"/>
      <w:divBdr>
        <w:top w:val="none" w:sz="0" w:space="0" w:color="auto"/>
        <w:left w:val="none" w:sz="0" w:space="0" w:color="auto"/>
        <w:bottom w:val="none" w:sz="0" w:space="0" w:color="auto"/>
        <w:right w:val="none" w:sz="0" w:space="0" w:color="auto"/>
      </w:divBdr>
    </w:div>
    <w:div w:id="1907260164">
      <w:bodyDiv w:val="1"/>
      <w:marLeft w:val="0"/>
      <w:marRight w:val="0"/>
      <w:marTop w:val="0"/>
      <w:marBottom w:val="0"/>
      <w:divBdr>
        <w:top w:val="none" w:sz="0" w:space="0" w:color="auto"/>
        <w:left w:val="none" w:sz="0" w:space="0" w:color="auto"/>
        <w:bottom w:val="none" w:sz="0" w:space="0" w:color="auto"/>
        <w:right w:val="none" w:sz="0" w:space="0" w:color="auto"/>
      </w:divBdr>
    </w:div>
    <w:div w:id="20564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microsoft.com/office/2016/09/relationships/commentsIds" Target="commentsIds.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hors\OneDrive%20-%20UW%20Office%20365%201\Sara%20SORCE%20files\DATSTAT%20-ARMUS%20merge\v8%202016%20Q2\mergeAug2017\PRO%20hospital%20variation\results\graphs%20for%20manuscrip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hors\OneDrive%20-%20UW%20Office%20365%201\Sara%20SORCE%20files\DATSTAT%20-ARMUS%20merge\v8%202016%20Q2\mergeAug2017\PRO%20hospital%20variation\results\graphs%20for%20manuscrip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hors\OneDrive%20-%20UW%20Office%20365%201\Sara%20SORCE%20files\DATSTAT%20-ARMUS%20merge\v8%202016%20Q2\mergeAug2017\PRO%20hospital%20variation\results\graphs%20for%20manuscrip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hors\OneDrive%20-%20UW%20Office%20365%201\Sara%20SORCE%20files\DATSTAT%20-ARMUS%20merge\v8%202016%20Q2\mergeAug2017\PRO%20hospital%20variation\results\graphs%20for%20manuscrip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res_hosp!$R$1</c:f>
              <c:strCache>
                <c:ptCount val="1"/>
                <c:pt idx="0">
                  <c:v>RAER</c:v>
                </c:pt>
              </c:strCache>
            </c:strRef>
          </c:tx>
          <c:spPr>
            <a:ln w="25400" cap="rnd">
              <a:noFill/>
              <a:round/>
            </a:ln>
            <a:effectLst/>
          </c:spPr>
          <c:marker>
            <c:symbol val="circle"/>
            <c:size val="9"/>
            <c:spPr>
              <a:solidFill>
                <a:schemeClr val="accent5"/>
              </a:solidFill>
              <a:ln w="9525">
                <a:noFill/>
              </a:ln>
              <a:effectLst/>
            </c:spPr>
          </c:marker>
          <c:errBars>
            <c:errDir val="y"/>
            <c:errBarType val="both"/>
            <c:errValType val="cust"/>
            <c:noEndCap val="0"/>
            <c:plus>
              <c:numRef>
                <c:f>res_hosp!$AC$2:$AC$14</c:f>
                <c:numCache>
                  <c:formatCode>General</c:formatCode>
                  <c:ptCount val="13"/>
                  <c:pt idx="0">
                    <c:v>11.16431</c:v>
                  </c:pt>
                  <c:pt idx="1">
                    <c:v>29.134830000000001</c:v>
                  </c:pt>
                  <c:pt idx="2">
                    <c:v>32.666659999999993</c:v>
                  </c:pt>
                  <c:pt idx="3">
                    <c:v>13.424349999999997</c:v>
                  </c:pt>
                  <c:pt idx="4">
                    <c:v>22.370050000000006</c:v>
                  </c:pt>
                  <c:pt idx="5">
                    <c:v>9.9139600000000101</c:v>
                  </c:pt>
                  <c:pt idx="6">
                    <c:v>9.6479499999999945</c:v>
                  </c:pt>
                  <c:pt idx="7">
                    <c:v>13.773469999999989</c:v>
                  </c:pt>
                  <c:pt idx="8">
                    <c:v>12.609170000000006</c:v>
                  </c:pt>
                  <c:pt idx="9">
                    <c:v>8.1976799999999983</c:v>
                  </c:pt>
                  <c:pt idx="10">
                    <c:v>10.361990000000006</c:v>
                  </c:pt>
                  <c:pt idx="11">
                    <c:v>19.47063</c:v>
                  </c:pt>
                  <c:pt idx="12">
                    <c:v>23.416340000000005</c:v>
                  </c:pt>
                </c:numCache>
              </c:numRef>
            </c:plus>
            <c:minus>
              <c:numRef>
                <c:f>res_hosp!$AB$2:$AB$14</c:f>
                <c:numCache>
                  <c:formatCode>General</c:formatCode>
                  <c:ptCount val="13"/>
                  <c:pt idx="0">
                    <c:v>11.16433</c:v>
                  </c:pt>
                  <c:pt idx="1">
                    <c:v>29.134829999999997</c:v>
                  </c:pt>
                  <c:pt idx="2">
                    <c:v>32.666669999999996</c:v>
                  </c:pt>
                  <c:pt idx="3">
                    <c:v>13.42436</c:v>
                  </c:pt>
                  <c:pt idx="4">
                    <c:v>22.370049999999999</c:v>
                  </c:pt>
                  <c:pt idx="5">
                    <c:v>9.9139599999999959</c:v>
                  </c:pt>
                  <c:pt idx="6">
                    <c:v>9.6479500000000016</c:v>
                  </c:pt>
                  <c:pt idx="7">
                    <c:v>13.773480000000006</c:v>
                  </c:pt>
                  <c:pt idx="8">
                    <c:v>12.609169999999999</c:v>
                  </c:pt>
                  <c:pt idx="9">
                    <c:v>8.1976900000000015</c:v>
                  </c:pt>
                  <c:pt idx="10">
                    <c:v>10.361969999999999</c:v>
                  </c:pt>
                  <c:pt idx="11">
                    <c:v>19.47063</c:v>
                  </c:pt>
                  <c:pt idx="12">
                    <c:v>23.416349999999994</c:v>
                  </c:pt>
                </c:numCache>
              </c:numRef>
            </c:minus>
            <c:spPr>
              <a:noFill/>
              <a:ln w="12700" cap="flat" cmpd="sng" algn="ctr">
                <a:solidFill>
                  <a:schemeClr val="bg1">
                    <a:lumMod val="50000"/>
                  </a:schemeClr>
                </a:solidFill>
                <a:round/>
              </a:ln>
              <a:effectLst/>
            </c:spPr>
          </c:errBars>
          <c:cat>
            <c:numRef>
              <c:f>res_hosp!$Y$2:$Y$14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res_hosp!$Q$2:$Q$14</c:f>
              <c:numCache>
                <c:formatCode>General</c:formatCode>
                <c:ptCount val="13"/>
                <c:pt idx="0">
                  <c:v>44.155850000000001</c:v>
                </c:pt>
                <c:pt idx="1">
                  <c:v>58.333329999999997</c:v>
                </c:pt>
                <c:pt idx="2">
                  <c:v>50</c:v>
                </c:pt>
                <c:pt idx="3">
                  <c:v>46.296300000000002</c:v>
                </c:pt>
                <c:pt idx="4">
                  <c:v>45</c:v>
                </c:pt>
                <c:pt idx="5">
                  <c:v>58.333329999999997</c:v>
                </c:pt>
                <c:pt idx="6">
                  <c:v>55.33981</c:v>
                </c:pt>
                <c:pt idx="7">
                  <c:v>77.777780000000007</c:v>
                </c:pt>
                <c:pt idx="8">
                  <c:v>54.09836</c:v>
                </c:pt>
                <c:pt idx="9">
                  <c:v>61.764710000000001</c:v>
                </c:pt>
                <c:pt idx="10">
                  <c:v>78.688519999999997</c:v>
                </c:pt>
                <c:pt idx="11">
                  <c:v>75</c:v>
                </c:pt>
                <c:pt idx="12">
                  <c:v>64.705889999999997</c:v>
                </c:pt>
              </c:numCache>
            </c:numRef>
          </c:val>
          <c:smooth val="0"/>
          <c:extLst>
            <c:ext xmlns:c16="http://schemas.microsoft.com/office/drawing/2014/chart" uri="{C3380CC4-5D6E-409C-BE32-E72D297353CC}">
              <c16:uniqueId val="{00000000-127C-40D5-9798-EF32FC21F407}"/>
            </c:ext>
          </c:extLst>
        </c:ser>
        <c:dLbls>
          <c:showLegendKey val="0"/>
          <c:showVal val="0"/>
          <c:showCatName val="0"/>
          <c:showSerName val="0"/>
          <c:showPercent val="0"/>
          <c:showBubbleSize val="0"/>
        </c:dLbls>
        <c:marker val="1"/>
        <c:smooth val="0"/>
        <c:axId val="394703816"/>
        <c:axId val="391082640"/>
      </c:lineChart>
      <c:scatterChart>
        <c:scatterStyle val="lineMarker"/>
        <c:varyColors val="0"/>
        <c:ser>
          <c:idx val="0"/>
          <c:order val="1"/>
          <c:tx>
            <c:strRef>
              <c:f>res_hosp!$AF$1</c:f>
              <c:strCache>
                <c:ptCount val="1"/>
                <c:pt idx="0">
                  <c:v>average</c:v>
                </c:pt>
              </c:strCache>
            </c:strRef>
          </c:tx>
          <c:spPr>
            <a:ln w="28575" cap="rnd">
              <a:solidFill>
                <a:schemeClr val="accent1"/>
              </a:solidFill>
              <a:round/>
            </a:ln>
            <a:effectLst/>
          </c:spPr>
          <c:marker>
            <c:symbol val="none"/>
          </c:marker>
          <c:dPt>
            <c:idx val="1"/>
            <c:marker>
              <c:symbol val="none"/>
            </c:marker>
            <c:bubble3D val="0"/>
            <c:spPr>
              <a:ln w="12700" cap="rnd">
                <a:solidFill>
                  <a:schemeClr val="accent2"/>
                </a:solidFill>
                <a:round/>
              </a:ln>
              <a:effectLst/>
            </c:spPr>
            <c:extLst>
              <c:ext xmlns:c16="http://schemas.microsoft.com/office/drawing/2014/chart" uri="{C3380CC4-5D6E-409C-BE32-E72D297353CC}">
                <c16:uniqueId val="{00000002-127C-40D5-9798-EF32FC21F407}"/>
              </c:ext>
            </c:extLst>
          </c:dPt>
          <c:xVal>
            <c:numRef>
              <c:f>res_hosp!$AE$2:$AE$3</c:f>
              <c:numCache>
                <c:formatCode>General</c:formatCode>
                <c:ptCount val="2"/>
                <c:pt idx="0">
                  <c:v>0</c:v>
                </c:pt>
                <c:pt idx="1">
                  <c:v>1</c:v>
                </c:pt>
              </c:numCache>
            </c:numRef>
          </c:xVal>
          <c:yVal>
            <c:numRef>
              <c:f>res_hosp!$AF$2:$AF$3</c:f>
              <c:numCache>
                <c:formatCode>General</c:formatCode>
                <c:ptCount val="2"/>
                <c:pt idx="0">
                  <c:v>58.765779999999999</c:v>
                </c:pt>
                <c:pt idx="1">
                  <c:v>58.765779999999999</c:v>
                </c:pt>
              </c:numCache>
            </c:numRef>
          </c:yVal>
          <c:smooth val="0"/>
          <c:extLst>
            <c:ext xmlns:c16="http://schemas.microsoft.com/office/drawing/2014/chart" uri="{C3380CC4-5D6E-409C-BE32-E72D297353CC}">
              <c16:uniqueId val="{00000003-127C-40D5-9798-EF32FC21F407}"/>
            </c:ext>
          </c:extLst>
        </c:ser>
        <c:dLbls>
          <c:showLegendKey val="0"/>
          <c:showVal val="0"/>
          <c:showCatName val="0"/>
          <c:showSerName val="0"/>
          <c:showPercent val="0"/>
          <c:showBubbleSize val="0"/>
        </c:dLbls>
        <c:axId val="403277136"/>
        <c:axId val="403276808"/>
      </c:scatterChart>
      <c:catAx>
        <c:axId val="394703816"/>
        <c:scaling>
          <c:orientation val="minMax"/>
        </c:scaling>
        <c:delete val="0"/>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a:t>Hospital</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91082640"/>
        <c:crosses val="autoZero"/>
        <c:auto val="1"/>
        <c:lblAlgn val="ctr"/>
        <c:lblOffset val="100"/>
        <c:noMultiLvlLbl val="0"/>
      </c:catAx>
      <c:valAx>
        <c:axId val="391082640"/>
        <c:scaling>
          <c:orientation val="minMax"/>
          <c:max val="100"/>
        </c:scaling>
        <c:delete val="0"/>
        <c:axPos val="l"/>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a:t>Proportion of patients, %</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in"/>
        <c:tickLblPos val="nextTo"/>
        <c:spPr>
          <a:noFill/>
          <a:ln>
            <a:solidFill>
              <a:schemeClr val="tx1"/>
            </a:solid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94703816"/>
        <c:crosses val="autoZero"/>
        <c:crossBetween val="between"/>
        <c:majorUnit val="20"/>
        <c:minorUnit val="5"/>
      </c:valAx>
      <c:valAx>
        <c:axId val="403276808"/>
        <c:scaling>
          <c:orientation val="minMax"/>
          <c:max val="100"/>
        </c:scaling>
        <c:delete val="1"/>
        <c:axPos val="r"/>
        <c:numFmt formatCode="General" sourceLinked="1"/>
        <c:majorTickMark val="none"/>
        <c:minorTickMark val="none"/>
        <c:tickLblPos val="nextTo"/>
        <c:crossAx val="403277136"/>
        <c:crosses val="max"/>
        <c:crossBetween val="midCat"/>
      </c:valAx>
      <c:valAx>
        <c:axId val="403277136"/>
        <c:scaling>
          <c:orientation val="minMax"/>
          <c:max val="1"/>
        </c:scaling>
        <c:delete val="1"/>
        <c:axPos val="t"/>
        <c:numFmt formatCode="General" sourceLinked="1"/>
        <c:majorTickMark val="none"/>
        <c:minorTickMark val="none"/>
        <c:tickLblPos val="nextTo"/>
        <c:crossAx val="403276808"/>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6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minimaldis_hosp!$R$1</c:f>
              <c:strCache>
                <c:ptCount val="1"/>
                <c:pt idx="0">
                  <c:v>RAER</c:v>
                </c:pt>
              </c:strCache>
            </c:strRef>
          </c:tx>
          <c:spPr>
            <a:ln w="25400" cap="rnd">
              <a:noFill/>
              <a:round/>
            </a:ln>
            <a:effectLst/>
          </c:spPr>
          <c:marker>
            <c:symbol val="circle"/>
            <c:size val="9"/>
            <c:spPr>
              <a:solidFill>
                <a:schemeClr val="accent5"/>
              </a:solidFill>
              <a:ln w="9525">
                <a:noFill/>
              </a:ln>
              <a:effectLst/>
            </c:spPr>
          </c:marker>
          <c:errBars>
            <c:errDir val="y"/>
            <c:errBarType val="both"/>
            <c:errValType val="cust"/>
            <c:noEndCap val="0"/>
            <c:plus>
              <c:numRef>
                <c:f>minimaldis_hosp!$AC$2:$AC$14</c:f>
                <c:numCache>
                  <c:formatCode>General</c:formatCode>
                  <c:ptCount val="13"/>
                  <c:pt idx="0">
                    <c:v>10.156669999999998</c:v>
                  </c:pt>
                  <c:pt idx="1">
                    <c:v>27.858220000000003</c:v>
                  </c:pt>
                  <c:pt idx="2">
                    <c:v>32.66666</c:v>
                  </c:pt>
                  <c:pt idx="3">
                    <c:v>13.915939999999999</c:v>
                  </c:pt>
                  <c:pt idx="4">
                    <c:v>22.284649999999999</c:v>
                  </c:pt>
                  <c:pt idx="5">
                    <c:v>10.151850000000003</c:v>
                  </c:pt>
                  <c:pt idx="6">
                    <c:v>10.116640000000004</c:v>
                  </c:pt>
                  <c:pt idx="7">
                    <c:v>16.33334</c:v>
                  </c:pt>
                  <c:pt idx="8">
                    <c:v>13.045320000000004</c:v>
                  </c:pt>
                  <c:pt idx="9">
                    <c:v>8.6960899999999981</c:v>
                  </c:pt>
                  <c:pt idx="10">
                    <c:v>12.972690000000007</c:v>
                  </c:pt>
                  <c:pt idx="11">
                    <c:v>23.066810000000004</c:v>
                  </c:pt>
                  <c:pt idx="12">
                    <c:v>24.457570000000004</c:v>
                  </c:pt>
                </c:numCache>
              </c:numRef>
            </c:plus>
            <c:minus>
              <c:numRef>
                <c:f>minimaldis_hosp!$AB$2:$AB$14</c:f>
                <c:numCache>
                  <c:formatCode>General</c:formatCode>
                  <c:ptCount val="13"/>
                  <c:pt idx="0">
                    <c:v>10.156669999999998</c:v>
                  </c:pt>
                  <c:pt idx="1">
                    <c:v>27.858232000000001</c:v>
                  </c:pt>
                  <c:pt idx="2">
                    <c:v>32.666672400000003</c:v>
                  </c:pt>
                  <c:pt idx="3">
                    <c:v>13.915939999999999</c:v>
                  </c:pt>
                  <c:pt idx="4">
                    <c:v>22.284659999999999</c:v>
                  </c:pt>
                  <c:pt idx="5">
                    <c:v>10.151859999999999</c:v>
                  </c:pt>
                  <c:pt idx="6">
                    <c:v>10.11664</c:v>
                  </c:pt>
                  <c:pt idx="7">
                    <c:v>16.33333</c:v>
                  </c:pt>
                  <c:pt idx="8">
                    <c:v>13.045319999999997</c:v>
                  </c:pt>
                  <c:pt idx="9">
                    <c:v>8.6960899999999981</c:v>
                  </c:pt>
                  <c:pt idx="10">
                    <c:v>12.972699999999996</c:v>
                  </c:pt>
                  <c:pt idx="11">
                    <c:v>23.06681</c:v>
                  </c:pt>
                  <c:pt idx="12">
                    <c:v>24.457580000000004</c:v>
                  </c:pt>
                </c:numCache>
              </c:numRef>
            </c:minus>
            <c:spPr>
              <a:noFill/>
              <a:ln w="12700" cap="flat" cmpd="sng" algn="ctr">
                <a:solidFill>
                  <a:schemeClr val="bg1">
                    <a:lumMod val="50000"/>
                  </a:schemeClr>
                </a:solidFill>
                <a:round/>
              </a:ln>
              <a:effectLst/>
            </c:spPr>
          </c:errBars>
          <c:cat>
            <c:numRef>
              <c:f>minimaldis_hosp!$Y$2:$Y$14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minimaldis_hosp!$Q$2:$Q$14</c:f>
              <c:numCache>
                <c:formatCode>General</c:formatCode>
                <c:ptCount val="13"/>
                <c:pt idx="0">
                  <c:v>28.571429999999999</c:v>
                </c:pt>
                <c:pt idx="1">
                  <c:v>33.33334</c:v>
                </c:pt>
                <c:pt idx="2">
                  <c:v>33.33334</c:v>
                </c:pt>
                <c:pt idx="3">
                  <c:v>34.782609999999998</c:v>
                </c:pt>
                <c:pt idx="4">
                  <c:v>36.842109999999998</c:v>
                </c:pt>
                <c:pt idx="5">
                  <c:v>38.202249999999999</c:v>
                </c:pt>
                <c:pt idx="6">
                  <c:v>41.304349999999999</c:v>
                </c:pt>
                <c:pt idx="7">
                  <c:v>41.66666</c:v>
                </c:pt>
                <c:pt idx="8">
                  <c:v>45.61403</c:v>
                </c:pt>
                <c:pt idx="9">
                  <c:v>50</c:v>
                </c:pt>
                <c:pt idx="10">
                  <c:v>51.724139999999998</c:v>
                </c:pt>
                <c:pt idx="11">
                  <c:v>52.63158</c:v>
                </c:pt>
                <c:pt idx="12">
                  <c:v>52.941180000000003</c:v>
                </c:pt>
              </c:numCache>
            </c:numRef>
          </c:val>
          <c:smooth val="0"/>
          <c:extLst>
            <c:ext xmlns:c16="http://schemas.microsoft.com/office/drawing/2014/chart" uri="{C3380CC4-5D6E-409C-BE32-E72D297353CC}">
              <c16:uniqueId val="{00000000-5265-4249-964B-2418252FF1F0}"/>
            </c:ext>
          </c:extLst>
        </c:ser>
        <c:dLbls>
          <c:showLegendKey val="0"/>
          <c:showVal val="0"/>
          <c:showCatName val="0"/>
          <c:showSerName val="0"/>
          <c:showPercent val="0"/>
          <c:showBubbleSize val="0"/>
        </c:dLbls>
        <c:marker val="1"/>
        <c:smooth val="0"/>
        <c:axId val="394703816"/>
        <c:axId val="391082640"/>
      </c:lineChart>
      <c:scatterChart>
        <c:scatterStyle val="lineMarker"/>
        <c:varyColors val="0"/>
        <c:ser>
          <c:idx val="0"/>
          <c:order val="1"/>
          <c:tx>
            <c:strRef>
              <c:f>minimaldis_hosp!$AF$1</c:f>
              <c:strCache>
                <c:ptCount val="1"/>
                <c:pt idx="0">
                  <c:v>average</c:v>
                </c:pt>
              </c:strCache>
            </c:strRef>
          </c:tx>
          <c:spPr>
            <a:ln w="28575" cap="rnd">
              <a:solidFill>
                <a:schemeClr val="accent1"/>
              </a:solidFill>
              <a:round/>
            </a:ln>
            <a:effectLst/>
          </c:spPr>
          <c:marker>
            <c:symbol val="none"/>
          </c:marker>
          <c:dPt>
            <c:idx val="1"/>
            <c:marker>
              <c:symbol val="none"/>
            </c:marker>
            <c:bubble3D val="0"/>
            <c:spPr>
              <a:ln w="12700" cap="rnd">
                <a:solidFill>
                  <a:schemeClr val="accent2"/>
                </a:solidFill>
                <a:round/>
              </a:ln>
              <a:effectLst/>
            </c:spPr>
            <c:extLst>
              <c:ext xmlns:c16="http://schemas.microsoft.com/office/drawing/2014/chart" uri="{C3380CC4-5D6E-409C-BE32-E72D297353CC}">
                <c16:uniqueId val="{00000002-5265-4249-964B-2418252FF1F0}"/>
              </c:ext>
            </c:extLst>
          </c:dPt>
          <c:xVal>
            <c:numRef>
              <c:f>minimaldis_hosp!$AE$2:$AE$3</c:f>
              <c:numCache>
                <c:formatCode>General</c:formatCode>
                <c:ptCount val="2"/>
                <c:pt idx="0">
                  <c:v>0</c:v>
                </c:pt>
                <c:pt idx="1">
                  <c:v>1</c:v>
                </c:pt>
              </c:numCache>
            </c:numRef>
          </c:xVal>
          <c:yVal>
            <c:numRef>
              <c:f>minimaldis_hosp!$AF$2:$AF$3</c:f>
              <c:numCache>
                <c:formatCode>General</c:formatCode>
                <c:ptCount val="2"/>
                <c:pt idx="0">
                  <c:v>42.185130000000001</c:v>
                </c:pt>
                <c:pt idx="1">
                  <c:v>42.185130000000001</c:v>
                </c:pt>
              </c:numCache>
            </c:numRef>
          </c:yVal>
          <c:smooth val="0"/>
          <c:extLst>
            <c:ext xmlns:c16="http://schemas.microsoft.com/office/drawing/2014/chart" uri="{C3380CC4-5D6E-409C-BE32-E72D297353CC}">
              <c16:uniqueId val="{00000003-5265-4249-964B-2418252FF1F0}"/>
            </c:ext>
          </c:extLst>
        </c:ser>
        <c:dLbls>
          <c:showLegendKey val="0"/>
          <c:showVal val="0"/>
          <c:showCatName val="0"/>
          <c:showSerName val="0"/>
          <c:showPercent val="0"/>
          <c:showBubbleSize val="0"/>
        </c:dLbls>
        <c:axId val="403277136"/>
        <c:axId val="403276808"/>
      </c:scatterChart>
      <c:catAx>
        <c:axId val="394703816"/>
        <c:scaling>
          <c:orientation val="minMax"/>
        </c:scaling>
        <c:delete val="0"/>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a:t>Hospital</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91082640"/>
        <c:crosses val="autoZero"/>
        <c:auto val="1"/>
        <c:lblAlgn val="ctr"/>
        <c:lblOffset val="100"/>
        <c:noMultiLvlLbl val="0"/>
      </c:catAx>
      <c:valAx>
        <c:axId val="391082640"/>
        <c:scaling>
          <c:orientation val="minMax"/>
          <c:max val="100"/>
        </c:scaling>
        <c:delete val="0"/>
        <c:axPos val="l"/>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a:t>Proportion of patients, %</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in"/>
        <c:tickLblPos val="nextTo"/>
        <c:spPr>
          <a:noFill/>
          <a:ln>
            <a:solidFill>
              <a:schemeClr val="tx1"/>
            </a:solid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94703816"/>
        <c:crosses val="autoZero"/>
        <c:crossBetween val="between"/>
        <c:majorUnit val="20"/>
        <c:minorUnit val="5"/>
      </c:valAx>
      <c:valAx>
        <c:axId val="403276808"/>
        <c:scaling>
          <c:orientation val="minMax"/>
          <c:max val="100"/>
        </c:scaling>
        <c:delete val="1"/>
        <c:axPos val="r"/>
        <c:numFmt formatCode="General" sourceLinked="1"/>
        <c:majorTickMark val="none"/>
        <c:minorTickMark val="none"/>
        <c:tickLblPos val="nextTo"/>
        <c:crossAx val="403277136"/>
        <c:crosses val="max"/>
        <c:crossBetween val="midCat"/>
      </c:valAx>
      <c:valAx>
        <c:axId val="403277136"/>
        <c:scaling>
          <c:orientation val="minMax"/>
          <c:max val="1"/>
        </c:scaling>
        <c:delete val="1"/>
        <c:axPos val="t"/>
        <c:numFmt formatCode="General" sourceLinked="1"/>
        <c:majorTickMark val="none"/>
        <c:minorTickMark val="none"/>
        <c:tickLblPos val="nextTo"/>
        <c:crossAx val="403276808"/>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6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res_surg!$Q$1</c:f>
              <c:strCache>
                <c:ptCount val="1"/>
                <c:pt idx="0">
                  <c:v>unadj_rate</c:v>
                </c:pt>
              </c:strCache>
            </c:strRef>
          </c:tx>
          <c:spPr>
            <a:ln w="25400" cap="rnd">
              <a:noFill/>
              <a:round/>
            </a:ln>
            <a:effectLst/>
          </c:spPr>
          <c:marker>
            <c:symbol val="triangle"/>
            <c:size val="9"/>
            <c:spPr>
              <a:solidFill>
                <a:schemeClr val="accent6">
                  <a:lumMod val="75000"/>
                </a:schemeClr>
              </a:solidFill>
              <a:ln w="9525">
                <a:noFill/>
              </a:ln>
              <a:effectLst/>
            </c:spPr>
          </c:marker>
          <c:errBars>
            <c:errDir val="y"/>
            <c:errBarType val="both"/>
            <c:errValType val="cust"/>
            <c:noEndCap val="0"/>
            <c:plus>
              <c:numRef>
                <c:f>res_surg!$AC$2:$AC$17</c:f>
                <c:numCache>
                  <c:formatCode>General</c:formatCode>
                  <c:ptCount val="16"/>
                  <c:pt idx="0">
                    <c:v>27.858220000000003</c:v>
                  </c:pt>
                  <c:pt idx="1">
                    <c:v>24.115500000000004</c:v>
                  </c:pt>
                  <c:pt idx="2">
                    <c:v>14.786799999999992</c:v>
                  </c:pt>
                  <c:pt idx="3">
                    <c:v>14.094839999999998</c:v>
                  </c:pt>
                  <c:pt idx="4">
                    <c:v>24.457580000000007</c:v>
                  </c:pt>
                  <c:pt idx="5">
                    <c:v>13.4711</c:v>
                  </c:pt>
                  <c:pt idx="6">
                    <c:v>25</c:v>
                  </c:pt>
                  <c:pt idx="7">
                    <c:v>9.8762700000000052</c:v>
                  </c:pt>
                  <c:pt idx="8">
                    <c:v>13.819630000000004</c:v>
                  </c:pt>
                  <c:pt idx="9">
                    <c:v>16.666669999999996</c:v>
                  </c:pt>
                  <c:pt idx="10">
                    <c:v>20.784939999999992</c:v>
                  </c:pt>
                  <c:pt idx="11">
                    <c:v>25.662419999999997</c:v>
                  </c:pt>
                  <c:pt idx="12">
                    <c:v>9.70638000000001</c:v>
                  </c:pt>
                  <c:pt idx="13">
                    <c:v>14.700000000000003</c:v>
                  </c:pt>
                  <c:pt idx="14">
                    <c:v>23.456959999999995</c:v>
                  </c:pt>
                  <c:pt idx="15">
                    <c:v>29.134840000000004</c:v>
                  </c:pt>
                </c:numCache>
              </c:numRef>
            </c:plus>
            <c:minus>
              <c:numRef>
                <c:f>res_surg!$AB$2:$AB$17</c:f>
                <c:numCache>
                  <c:formatCode>General</c:formatCode>
                  <c:ptCount val="16"/>
                  <c:pt idx="0">
                    <c:v>27.858232000000001</c:v>
                  </c:pt>
                  <c:pt idx="1">
                    <c:v>24.115490000000001</c:v>
                  </c:pt>
                  <c:pt idx="2">
                    <c:v>14.786790000000003</c:v>
                  </c:pt>
                  <c:pt idx="3">
                    <c:v>14.094830000000002</c:v>
                  </c:pt>
                  <c:pt idx="4">
                    <c:v>24.457569999999997</c:v>
                  </c:pt>
                  <c:pt idx="5">
                    <c:v>13.47109</c:v>
                  </c:pt>
                  <c:pt idx="6">
                    <c:v>25.589419999999997</c:v>
                  </c:pt>
                  <c:pt idx="7">
                    <c:v>9.8762699999999981</c:v>
                  </c:pt>
                  <c:pt idx="8">
                    <c:v>13.81964</c:v>
                  </c:pt>
                  <c:pt idx="9">
                    <c:v>22.023860000000006</c:v>
                  </c:pt>
                  <c:pt idx="10">
                    <c:v>20.784939999999999</c:v>
                  </c:pt>
                  <c:pt idx="11">
                    <c:v>25.662419999999997</c:v>
                  </c:pt>
                  <c:pt idx="12">
                    <c:v>9.7063699999999926</c:v>
                  </c:pt>
                  <c:pt idx="13">
                    <c:v>14.700000000000003</c:v>
                  </c:pt>
                  <c:pt idx="14">
                    <c:v>23.456960000000002</c:v>
                  </c:pt>
                  <c:pt idx="15">
                    <c:v>29.134830000000001</c:v>
                  </c:pt>
                </c:numCache>
              </c:numRef>
            </c:minus>
            <c:spPr>
              <a:noFill/>
              <a:ln w="12700" cap="flat" cmpd="sng" algn="ctr">
                <a:solidFill>
                  <a:schemeClr val="bg1">
                    <a:lumMod val="50000"/>
                  </a:schemeClr>
                </a:solidFill>
                <a:round/>
              </a:ln>
              <a:effectLst/>
            </c:spPr>
          </c:errBars>
          <c:cat>
            <c:strRef>
              <c:f>res_surg!$Y$2:$Y$17</c:f>
              <c:strCache>
                <c:ptCount val="16"/>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strCache>
            </c:strRef>
          </c:cat>
          <c:val>
            <c:numRef>
              <c:f>res_surg!$Q$2:$Q$17</c:f>
              <c:numCache>
                <c:formatCode>General</c:formatCode>
                <c:ptCount val="16"/>
                <c:pt idx="0">
                  <c:v>33.33334</c:v>
                </c:pt>
                <c:pt idx="1">
                  <c:v>58.823529999999998</c:v>
                </c:pt>
                <c:pt idx="2">
                  <c:v>60.465110000000003</c:v>
                </c:pt>
                <c:pt idx="3">
                  <c:v>41.66666</c:v>
                </c:pt>
                <c:pt idx="4">
                  <c:v>47.058819999999997</c:v>
                </c:pt>
                <c:pt idx="5">
                  <c:v>43.39622</c:v>
                </c:pt>
                <c:pt idx="6">
                  <c:v>75</c:v>
                </c:pt>
                <c:pt idx="7">
                  <c:v>59.375</c:v>
                </c:pt>
                <c:pt idx="8">
                  <c:v>58</c:v>
                </c:pt>
                <c:pt idx="9">
                  <c:v>83.333330000000004</c:v>
                </c:pt>
                <c:pt idx="10">
                  <c:v>76.470590000000001</c:v>
                </c:pt>
                <c:pt idx="11">
                  <c:v>60</c:v>
                </c:pt>
                <c:pt idx="12">
                  <c:v>83.928569999999993</c:v>
                </c:pt>
                <c:pt idx="13">
                  <c:v>67.5</c:v>
                </c:pt>
                <c:pt idx="14">
                  <c:v>68.75</c:v>
                </c:pt>
                <c:pt idx="15">
                  <c:v>41.66666</c:v>
                </c:pt>
              </c:numCache>
            </c:numRef>
          </c:val>
          <c:smooth val="0"/>
          <c:extLst>
            <c:ext xmlns:c16="http://schemas.microsoft.com/office/drawing/2014/chart" uri="{C3380CC4-5D6E-409C-BE32-E72D297353CC}">
              <c16:uniqueId val="{00000000-4DFE-4A40-95F5-B60D62ABC8EE}"/>
            </c:ext>
          </c:extLst>
        </c:ser>
        <c:dLbls>
          <c:showLegendKey val="0"/>
          <c:showVal val="0"/>
          <c:showCatName val="0"/>
          <c:showSerName val="0"/>
          <c:showPercent val="0"/>
          <c:showBubbleSize val="0"/>
        </c:dLbls>
        <c:marker val="1"/>
        <c:smooth val="0"/>
        <c:axId val="394703816"/>
        <c:axId val="391082640"/>
      </c:lineChart>
      <c:scatterChart>
        <c:scatterStyle val="lineMarker"/>
        <c:varyColors val="0"/>
        <c:ser>
          <c:idx val="0"/>
          <c:order val="1"/>
          <c:tx>
            <c:strRef>
              <c:f>res_surg!$AF$1</c:f>
              <c:strCache>
                <c:ptCount val="1"/>
                <c:pt idx="0">
                  <c:v>average</c:v>
                </c:pt>
              </c:strCache>
            </c:strRef>
          </c:tx>
          <c:spPr>
            <a:ln w="28575" cap="rnd">
              <a:solidFill>
                <a:schemeClr val="accent1"/>
              </a:solidFill>
              <a:round/>
            </a:ln>
            <a:effectLst/>
          </c:spPr>
          <c:marker>
            <c:symbol val="none"/>
          </c:marker>
          <c:dPt>
            <c:idx val="1"/>
            <c:marker>
              <c:symbol val="none"/>
            </c:marker>
            <c:bubble3D val="0"/>
            <c:spPr>
              <a:ln w="12700" cap="rnd">
                <a:solidFill>
                  <a:schemeClr val="accent2"/>
                </a:solidFill>
                <a:round/>
              </a:ln>
              <a:effectLst/>
            </c:spPr>
            <c:extLst>
              <c:ext xmlns:c16="http://schemas.microsoft.com/office/drawing/2014/chart" uri="{C3380CC4-5D6E-409C-BE32-E72D297353CC}">
                <c16:uniqueId val="{00000002-4DFE-4A40-95F5-B60D62ABC8EE}"/>
              </c:ext>
            </c:extLst>
          </c:dPt>
          <c:xVal>
            <c:numRef>
              <c:f>res_surg!$AE$2:$AE$3</c:f>
              <c:numCache>
                <c:formatCode>General</c:formatCode>
                <c:ptCount val="2"/>
                <c:pt idx="0">
                  <c:v>0</c:v>
                </c:pt>
                <c:pt idx="1">
                  <c:v>1</c:v>
                </c:pt>
              </c:numCache>
            </c:numRef>
          </c:xVal>
          <c:yVal>
            <c:numRef>
              <c:f>res_surg!$AF$2:$AF$3</c:f>
              <c:numCache>
                <c:formatCode>General</c:formatCode>
                <c:ptCount val="2"/>
                <c:pt idx="0">
                  <c:v>59.689919999999994</c:v>
                </c:pt>
                <c:pt idx="1">
                  <c:v>59.689919999999994</c:v>
                </c:pt>
              </c:numCache>
            </c:numRef>
          </c:yVal>
          <c:smooth val="0"/>
          <c:extLst>
            <c:ext xmlns:c16="http://schemas.microsoft.com/office/drawing/2014/chart" uri="{C3380CC4-5D6E-409C-BE32-E72D297353CC}">
              <c16:uniqueId val="{00000003-4DFE-4A40-95F5-B60D62ABC8EE}"/>
            </c:ext>
          </c:extLst>
        </c:ser>
        <c:dLbls>
          <c:showLegendKey val="0"/>
          <c:showVal val="0"/>
          <c:showCatName val="0"/>
          <c:showSerName val="0"/>
          <c:showPercent val="0"/>
          <c:showBubbleSize val="0"/>
        </c:dLbls>
        <c:axId val="403277136"/>
        <c:axId val="403276808"/>
      </c:scatterChart>
      <c:catAx>
        <c:axId val="394703816"/>
        <c:scaling>
          <c:orientation val="minMax"/>
        </c:scaling>
        <c:delete val="0"/>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a:t>Surgeon</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91082640"/>
        <c:crosses val="autoZero"/>
        <c:auto val="1"/>
        <c:lblAlgn val="ctr"/>
        <c:lblOffset val="100"/>
        <c:noMultiLvlLbl val="0"/>
      </c:catAx>
      <c:valAx>
        <c:axId val="391082640"/>
        <c:scaling>
          <c:orientation val="minMax"/>
          <c:max val="100"/>
        </c:scaling>
        <c:delete val="0"/>
        <c:axPos val="l"/>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a:t>Proportion of patients, %</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in"/>
        <c:tickLblPos val="nextTo"/>
        <c:spPr>
          <a:noFill/>
          <a:ln>
            <a:solidFill>
              <a:schemeClr val="tx1"/>
            </a:solid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94703816"/>
        <c:crosses val="autoZero"/>
        <c:crossBetween val="between"/>
        <c:majorUnit val="20"/>
        <c:minorUnit val="5"/>
      </c:valAx>
      <c:valAx>
        <c:axId val="403276808"/>
        <c:scaling>
          <c:orientation val="minMax"/>
          <c:max val="100"/>
        </c:scaling>
        <c:delete val="1"/>
        <c:axPos val="r"/>
        <c:numFmt formatCode="General" sourceLinked="1"/>
        <c:majorTickMark val="none"/>
        <c:minorTickMark val="none"/>
        <c:tickLblPos val="nextTo"/>
        <c:crossAx val="403277136"/>
        <c:crosses val="max"/>
        <c:crossBetween val="midCat"/>
      </c:valAx>
      <c:valAx>
        <c:axId val="403277136"/>
        <c:scaling>
          <c:orientation val="minMax"/>
          <c:max val="1"/>
        </c:scaling>
        <c:delete val="1"/>
        <c:axPos val="t"/>
        <c:numFmt formatCode="General" sourceLinked="1"/>
        <c:majorTickMark val="none"/>
        <c:minorTickMark val="none"/>
        <c:tickLblPos val="nextTo"/>
        <c:crossAx val="403276808"/>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6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minimaldis_surg!$Q$1</c:f>
              <c:strCache>
                <c:ptCount val="1"/>
                <c:pt idx="0">
                  <c:v>unadj_rate</c:v>
                </c:pt>
              </c:strCache>
            </c:strRef>
          </c:tx>
          <c:spPr>
            <a:ln w="25400" cap="rnd">
              <a:noFill/>
              <a:round/>
            </a:ln>
            <a:effectLst/>
          </c:spPr>
          <c:marker>
            <c:symbol val="triangle"/>
            <c:size val="9"/>
            <c:spPr>
              <a:solidFill>
                <a:schemeClr val="accent6">
                  <a:lumMod val="75000"/>
                </a:schemeClr>
              </a:solidFill>
              <a:ln w="9525">
                <a:noFill/>
              </a:ln>
              <a:effectLst/>
            </c:spPr>
          </c:marker>
          <c:errBars>
            <c:errDir val="y"/>
            <c:errBarType val="both"/>
            <c:errValType val="cust"/>
            <c:noEndCap val="0"/>
            <c:plus>
              <c:numRef>
                <c:f>minimaldis_surg!$AC$2:$AC$17</c:f>
                <c:numCache>
                  <c:formatCode>General</c:formatCode>
                  <c:ptCount val="16"/>
                  <c:pt idx="0">
                    <c:v>16.333335999999999</c:v>
                  </c:pt>
                  <c:pt idx="1">
                    <c:v>20.784939999999999</c:v>
                  </c:pt>
                  <c:pt idx="2">
                    <c:v>13.730910000000002</c:v>
                  </c:pt>
                  <c:pt idx="3">
                    <c:v>13.251609999999999</c:v>
                  </c:pt>
                  <c:pt idx="4">
                    <c:v>24.5</c:v>
                  </c:pt>
                  <c:pt idx="5">
                    <c:v>14.325859999999999</c:v>
                  </c:pt>
                  <c:pt idx="6">
                    <c:v>29.134840000000004</c:v>
                  </c:pt>
                  <c:pt idx="7">
                    <c:v>10.414470000000001</c:v>
                  </c:pt>
                  <c:pt idx="8">
                    <c:v>14.59516</c:v>
                  </c:pt>
                  <c:pt idx="9">
                    <c:v>29.548109999999994</c:v>
                  </c:pt>
                  <c:pt idx="10">
                    <c:v>25.303489999999996</c:v>
                  </c:pt>
                  <c:pt idx="11">
                    <c:v>26.133329999999994</c:v>
                  </c:pt>
                  <c:pt idx="12">
                    <c:v>13.392779999999995</c:v>
                  </c:pt>
                  <c:pt idx="13">
                    <c:v>15.639519999999997</c:v>
                  </c:pt>
                  <c:pt idx="14">
                    <c:v>27.526569999999992</c:v>
                  </c:pt>
                  <c:pt idx="15">
                    <c:v>29.939499999999995</c:v>
                  </c:pt>
                </c:numCache>
              </c:numRef>
            </c:plus>
            <c:minus>
              <c:numRef>
                <c:f>minimaldis_surg!$AB$2:$AB$17</c:f>
                <c:numCache>
                  <c:formatCode>General</c:formatCode>
                  <c:ptCount val="16"/>
                  <c:pt idx="0">
                    <c:v>8.3333340000000007</c:v>
                  </c:pt>
                  <c:pt idx="1">
                    <c:v>20.784941</c:v>
                  </c:pt>
                  <c:pt idx="2">
                    <c:v>13.730910000000002</c:v>
                  </c:pt>
                  <c:pt idx="3">
                    <c:v>13.251609999999999</c:v>
                  </c:pt>
                  <c:pt idx="4">
                    <c:v>24.5</c:v>
                  </c:pt>
                  <c:pt idx="5">
                    <c:v>14.325859999999999</c:v>
                  </c:pt>
                  <c:pt idx="6">
                    <c:v>29.134830000000001</c:v>
                  </c:pt>
                  <c:pt idx="7">
                    <c:v>10.414479999999998</c:v>
                  </c:pt>
                  <c:pt idx="8">
                    <c:v>14.59516</c:v>
                  </c:pt>
                  <c:pt idx="9">
                    <c:v>29.548110000000001</c:v>
                  </c:pt>
                  <c:pt idx="10">
                    <c:v>25.30349</c:v>
                  </c:pt>
                  <c:pt idx="11">
                    <c:v>26.13334</c:v>
                  </c:pt>
                  <c:pt idx="12">
                    <c:v>13.392779999999995</c:v>
                  </c:pt>
                  <c:pt idx="13">
                    <c:v>15.639519999999997</c:v>
                  </c:pt>
                  <c:pt idx="14">
                    <c:v>27.52657</c:v>
                  </c:pt>
                  <c:pt idx="15">
                    <c:v>29.939500000000002</c:v>
                  </c:pt>
                </c:numCache>
              </c:numRef>
            </c:minus>
            <c:spPr>
              <a:noFill/>
              <a:ln w="12700" cap="flat" cmpd="sng" algn="ctr">
                <a:solidFill>
                  <a:schemeClr val="bg1">
                    <a:lumMod val="50000"/>
                  </a:schemeClr>
                </a:solidFill>
                <a:round/>
              </a:ln>
              <a:effectLst/>
            </c:spPr>
          </c:errBars>
          <c:cat>
            <c:strRef>
              <c:f>minimaldis_surg!$Y$2:$Y$17</c:f>
              <c:strCache>
                <c:ptCount val="16"/>
                <c:pt idx="0">
                  <c:v>A</c:v>
                </c:pt>
                <c:pt idx="1">
                  <c:v>B</c:v>
                </c:pt>
                <c:pt idx="2">
                  <c:v>C</c:v>
                </c:pt>
                <c:pt idx="3">
                  <c:v>D</c:v>
                </c:pt>
                <c:pt idx="4">
                  <c:v>E</c:v>
                </c:pt>
                <c:pt idx="5">
                  <c:v>F</c:v>
                </c:pt>
                <c:pt idx="6">
                  <c:v>G</c:v>
                </c:pt>
                <c:pt idx="7">
                  <c:v>H</c:v>
                </c:pt>
                <c:pt idx="8">
                  <c:v>I</c:v>
                </c:pt>
                <c:pt idx="9">
                  <c:v>J</c:v>
                </c:pt>
                <c:pt idx="10">
                  <c:v>K</c:v>
                </c:pt>
                <c:pt idx="11">
                  <c:v>L</c:v>
                </c:pt>
                <c:pt idx="12">
                  <c:v>M</c:v>
                </c:pt>
                <c:pt idx="13">
                  <c:v>N</c:v>
                </c:pt>
                <c:pt idx="14">
                  <c:v>O</c:v>
                </c:pt>
                <c:pt idx="15">
                  <c:v>P</c:v>
                </c:pt>
              </c:strCache>
            </c:strRef>
          </c:cat>
          <c:val>
            <c:numRef>
              <c:f>minimaldis_surg!$Q$2:$Q$17</c:f>
              <c:numCache>
                <c:formatCode>General</c:formatCode>
                <c:ptCount val="16"/>
                <c:pt idx="0">
                  <c:v>8.3333340000000007</c:v>
                </c:pt>
                <c:pt idx="1">
                  <c:v>23.529409999999999</c:v>
                </c:pt>
                <c:pt idx="2">
                  <c:v>26.829270000000001</c:v>
                </c:pt>
                <c:pt idx="3">
                  <c:v>31.25</c:v>
                </c:pt>
                <c:pt idx="4">
                  <c:v>37.5</c:v>
                </c:pt>
                <c:pt idx="5">
                  <c:v>37.77778</c:v>
                </c:pt>
                <c:pt idx="6">
                  <c:v>41.66666</c:v>
                </c:pt>
                <c:pt idx="7">
                  <c:v>46.067419999999998</c:v>
                </c:pt>
                <c:pt idx="8">
                  <c:v>47.826090000000001</c:v>
                </c:pt>
                <c:pt idx="9">
                  <c:v>50</c:v>
                </c:pt>
                <c:pt idx="10">
                  <c:v>50</c:v>
                </c:pt>
                <c:pt idx="11">
                  <c:v>53.33334</c:v>
                </c:pt>
                <c:pt idx="12">
                  <c:v>58.490569999999998</c:v>
                </c:pt>
                <c:pt idx="13">
                  <c:v>58.974359999999997</c:v>
                </c:pt>
                <c:pt idx="14">
                  <c:v>61.538460000000001</c:v>
                </c:pt>
                <c:pt idx="15">
                  <c:v>70</c:v>
                </c:pt>
              </c:numCache>
            </c:numRef>
          </c:val>
          <c:smooth val="0"/>
          <c:extLst>
            <c:ext xmlns:c16="http://schemas.microsoft.com/office/drawing/2014/chart" uri="{C3380CC4-5D6E-409C-BE32-E72D297353CC}">
              <c16:uniqueId val="{00000000-7628-47D0-9AA1-1225B689922B}"/>
            </c:ext>
          </c:extLst>
        </c:ser>
        <c:dLbls>
          <c:showLegendKey val="0"/>
          <c:showVal val="0"/>
          <c:showCatName val="0"/>
          <c:showSerName val="0"/>
          <c:showPercent val="0"/>
          <c:showBubbleSize val="0"/>
        </c:dLbls>
        <c:marker val="1"/>
        <c:smooth val="0"/>
        <c:axId val="394703816"/>
        <c:axId val="391082640"/>
      </c:lineChart>
      <c:scatterChart>
        <c:scatterStyle val="lineMarker"/>
        <c:varyColors val="0"/>
        <c:ser>
          <c:idx val="0"/>
          <c:order val="1"/>
          <c:tx>
            <c:strRef>
              <c:f>minimaldis_surg!$AF$1</c:f>
              <c:strCache>
                <c:ptCount val="1"/>
                <c:pt idx="0">
                  <c:v>average</c:v>
                </c:pt>
              </c:strCache>
            </c:strRef>
          </c:tx>
          <c:spPr>
            <a:ln w="28575" cap="rnd">
              <a:solidFill>
                <a:schemeClr val="accent1"/>
              </a:solidFill>
              <a:round/>
            </a:ln>
            <a:effectLst/>
          </c:spPr>
          <c:marker>
            <c:symbol val="none"/>
          </c:marker>
          <c:dPt>
            <c:idx val="1"/>
            <c:marker>
              <c:symbol val="none"/>
            </c:marker>
            <c:bubble3D val="0"/>
            <c:spPr>
              <a:ln w="12700" cap="rnd">
                <a:solidFill>
                  <a:schemeClr val="accent2"/>
                </a:solidFill>
                <a:round/>
              </a:ln>
              <a:effectLst/>
            </c:spPr>
            <c:extLst>
              <c:ext xmlns:c16="http://schemas.microsoft.com/office/drawing/2014/chart" uri="{C3380CC4-5D6E-409C-BE32-E72D297353CC}">
                <c16:uniqueId val="{00000002-7628-47D0-9AA1-1225B689922B}"/>
              </c:ext>
            </c:extLst>
          </c:dPt>
          <c:xVal>
            <c:numRef>
              <c:f>minimaldis_surg!$AE$2:$AE$3</c:f>
              <c:numCache>
                <c:formatCode>General</c:formatCode>
                <c:ptCount val="2"/>
                <c:pt idx="0">
                  <c:v>0</c:v>
                </c:pt>
                <c:pt idx="1">
                  <c:v>1</c:v>
                </c:pt>
              </c:numCache>
            </c:numRef>
          </c:xVal>
          <c:yVal>
            <c:numRef>
              <c:f>minimaldis_surg!$AF$2:$AF$3</c:f>
              <c:numCache>
                <c:formatCode>General</c:formatCode>
                <c:ptCount val="2"/>
                <c:pt idx="0">
                  <c:v>44.00826</c:v>
                </c:pt>
                <c:pt idx="1">
                  <c:v>44.00826</c:v>
                </c:pt>
              </c:numCache>
            </c:numRef>
          </c:yVal>
          <c:smooth val="0"/>
          <c:extLst>
            <c:ext xmlns:c16="http://schemas.microsoft.com/office/drawing/2014/chart" uri="{C3380CC4-5D6E-409C-BE32-E72D297353CC}">
              <c16:uniqueId val="{00000003-7628-47D0-9AA1-1225B689922B}"/>
            </c:ext>
          </c:extLst>
        </c:ser>
        <c:dLbls>
          <c:showLegendKey val="0"/>
          <c:showVal val="0"/>
          <c:showCatName val="0"/>
          <c:showSerName val="0"/>
          <c:showPercent val="0"/>
          <c:showBubbleSize val="0"/>
        </c:dLbls>
        <c:axId val="403277136"/>
        <c:axId val="403276808"/>
      </c:scatterChart>
      <c:catAx>
        <c:axId val="394703816"/>
        <c:scaling>
          <c:orientation val="minMax"/>
        </c:scaling>
        <c:delete val="0"/>
        <c:axPos val="b"/>
        <c:title>
          <c:tx>
            <c:rich>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a:t>Surgeon</a:t>
                </a: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91082640"/>
        <c:crosses val="autoZero"/>
        <c:auto val="1"/>
        <c:lblAlgn val="ctr"/>
        <c:lblOffset val="100"/>
        <c:noMultiLvlLbl val="0"/>
      </c:catAx>
      <c:valAx>
        <c:axId val="391082640"/>
        <c:scaling>
          <c:orientation val="minMax"/>
          <c:max val="100"/>
        </c:scaling>
        <c:delete val="0"/>
        <c:axPos val="l"/>
        <c:title>
          <c:tx>
            <c:rich>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r>
                  <a:rPr lang="en-US"/>
                  <a:t>Proportion of patients, %</a:t>
                </a:r>
              </a:p>
            </c:rich>
          </c:tx>
          <c:overlay val="0"/>
          <c:spPr>
            <a:noFill/>
            <a:ln>
              <a:noFill/>
            </a:ln>
            <a:effectLst/>
          </c:spPr>
          <c:txPr>
            <a:bodyPr rot="-54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in"/>
        <c:tickLblPos val="nextTo"/>
        <c:spPr>
          <a:noFill/>
          <a:ln>
            <a:solidFill>
              <a:schemeClr val="tx1"/>
            </a:solidFill>
          </a:ln>
          <a:effectLst/>
        </c:spPr>
        <c:txPr>
          <a:bodyPr rot="-6000000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crossAx val="394703816"/>
        <c:crosses val="autoZero"/>
        <c:crossBetween val="between"/>
        <c:majorUnit val="20"/>
        <c:minorUnit val="5"/>
      </c:valAx>
      <c:valAx>
        <c:axId val="403276808"/>
        <c:scaling>
          <c:orientation val="minMax"/>
          <c:max val="100"/>
        </c:scaling>
        <c:delete val="1"/>
        <c:axPos val="r"/>
        <c:numFmt formatCode="General" sourceLinked="1"/>
        <c:majorTickMark val="none"/>
        <c:minorTickMark val="none"/>
        <c:tickLblPos val="nextTo"/>
        <c:crossAx val="403277136"/>
        <c:crosses val="max"/>
        <c:crossBetween val="midCat"/>
      </c:valAx>
      <c:valAx>
        <c:axId val="403277136"/>
        <c:scaling>
          <c:orientation val="minMax"/>
          <c:max val="1"/>
        </c:scaling>
        <c:delete val="1"/>
        <c:axPos val="t"/>
        <c:numFmt formatCode="General" sourceLinked="1"/>
        <c:majorTickMark val="none"/>
        <c:minorTickMark val="none"/>
        <c:tickLblPos val="nextTo"/>
        <c:crossAx val="403276808"/>
        <c:crosses val="max"/>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6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vt:lpstr>
    </vt:vector>
  </TitlesOfParts>
  <Company>University of Washington Department of Surgery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Sara Khor</dc:creator>
  <cp:keywords/>
  <dc:description/>
  <cp:lastModifiedBy>Sara Khor</cp:lastModifiedBy>
  <cp:revision>9</cp:revision>
  <dcterms:created xsi:type="dcterms:W3CDTF">2018-07-20T17:34:00Z</dcterms:created>
  <dcterms:modified xsi:type="dcterms:W3CDTF">2018-09-06T22:24:00Z</dcterms:modified>
</cp:coreProperties>
</file>