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3E" w:rsidRPr="00B12504" w:rsidRDefault="00BB4E3E" w:rsidP="00BB4E3E">
      <w:pPr>
        <w:spacing w:after="0" w:line="480" w:lineRule="auto"/>
        <w:ind w:left="720" w:hanging="720"/>
        <w:rPr>
          <w:rFonts w:asciiTheme="majorBidi" w:hAnsiTheme="majorBidi" w:cstheme="majorBidi"/>
          <w:b/>
          <w:bCs/>
        </w:rPr>
      </w:pPr>
      <w:r w:rsidRPr="00B12504">
        <w:rPr>
          <w:rFonts w:asciiTheme="majorBidi" w:hAnsiTheme="majorBidi" w:cstheme="majorBidi"/>
          <w:b/>
          <w:bCs/>
        </w:rPr>
        <w:t>APPENDIX (ONLINE-ONLY)</w:t>
      </w:r>
    </w:p>
    <w:p w:rsidR="00BB4E3E" w:rsidRPr="00B12504" w:rsidRDefault="00BB4E3E" w:rsidP="00BB4E3E">
      <w:pPr>
        <w:spacing w:after="0" w:line="480" w:lineRule="auto"/>
        <w:rPr>
          <w:rFonts w:asciiTheme="majorBidi" w:hAnsiTheme="majorBidi" w:cstheme="majorBidi"/>
          <w:b/>
          <w:bCs/>
        </w:rPr>
      </w:pPr>
      <w:r w:rsidRPr="00B12504">
        <w:rPr>
          <w:rFonts w:asciiTheme="majorBidi" w:hAnsiTheme="majorBidi" w:cstheme="majorBidi"/>
          <w:b/>
          <w:bCs/>
        </w:rPr>
        <w:t xml:space="preserve">Current protocol for management of anemia in Bloodless patients at the Institute for Patient Blood Management and Bloodless Medicine and Surgery at Englewood Hospital and Medical Center.  </w:t>
      </w:r>
    </w:p>
    <w:p w:rsidR="00BB4E3E" w:rsidRPr="00B12504" w:rsidRDefault="00BB4E3E" w:rsidP="00BB4E3E">
      <w:pPr>
        <w:spacing w:after="0" w:line="480" w:lineRule="auto"/>
        <w:ind w:left="720" w:hanging="720"/>
        <w:rPr>
          <w:rFonts w:asciiTheme="majorBidi" w:hAnsiTheme="majorBidi" w:cstheme="majorBidi"/>
        </w:rPr>
      </w:pPr>
    </w:p>
    <w:p w:rsidR="00BB4E3E" w:rsidRPr="00B12504" w:rsidRDefault="00BB4E3E" w:rsidP="00BB4E3E">
      <w:pPr>
        <w:spacing w:after="0" w:line="480" w:lineRule="auto"/>
        <w:ind w:left="720" w:hanging="720"/>
        <w:rPr>
          <w:rFonts w:asciiTheme="majorBidi" w:hAnsiTheme="majorBidi" w:cstheme="majorBidi"/>
          <w:b/>
          <w:bCs/>
          <w:i/>
          <w:iCs/>
        </w:rPr>
      </w:pPr>
      <w:r w:rsidRPr="00B12504">
        <w:rPr>
          <w:rFonts w:asciiTheme="majorBidi" w:hAnsiTheme="majorBidi" w:cstheme="majorBidi"/>
          <w:b/>
          <w:bCs/>
          <w:i/>
          <w:iCs/>
        </w:rPr>
        <w:t>Baseline Hemoglobin &gt;7g/</w:t>
      </w:r>
      <w:proofErr w:type="spellStart"/>
      <w:r w:rsidRPr="00B12504">
        <w:rPr>
          <w:rFonts w:asciiTheme="majorBidi" w:hAnsiTheme="majorBidi" w:cstheme="majorBidi"/>
          <w:b/>
          <w:bCs/>
          <w:i/>
          <w:iCs/>
        </w:rPr>
        <w:t>dL</w:t>
      </w:r>
      <w:proofErr w:type="spellEnd"/>
      <w:r w:rsidRPr="00B12504">
        <w:rPr>
          <w:rFonts w:asciiTheme="majorBidi" w:hAnsiTheme="majorBidi" w:cstheme="majorBidi"/>
          <w:b/>
          <w:bCs/>
          <w:i/>
          <w:iCs/>
        </w:rPr>
        <w:t xml:space="preserve"> </w:t>
      </w:r>
    </w:p>
    <w:p w:rsidR="00BB4E3E" w:rsidRPr="00B12504" w:rsidRDefault="00BB4E3E" w:rsidP="00BB4E3E">
      <w:pPr>
        <w:pStyle w:val="ListParagraph"/>
        <w:numPr>
          <w:ilvl w:val="0"/>
          <w:numId w:val="6"/>
        </w:numPr>
        <w:spacing w:after="0" w:line="480" w:lineRule="auto"/>
        <w:rPr>
          <w:rFonts w:asciiTheme="majorBidi" w:hAnsiTheme="majorBidi" w:cstheme="majorBidi"/>
        </w:rPr>
      </w:pPr>
      <w:proofErr w:type="spellStart"/>
      <w:r w:rsidRPr="00B12504">
        <w:rPr>
          <w:rFonts w:asciiTheme="majorBidi" w:hAnsiTheme="majorBidi" w:cstheme="majorBidi"/>
        </w:rPr>
        <w:t>Epoetin</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alfa</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Procrit</w:t>
      </w:r>
      <w:proofErr w:type="spellEnd"/>
      <w:r w:rsidRPr="00B12504">
        <w:rPr>
          <w:rFonts w:asciiTheme="majorBidi" w:hAnsiTheme="majorBidi" w:cstheme="majorBidi"/>
        </w:rPr>
        <w:t xml:space="preserve">®): 40,000 units </w:t>
      </w:r>
      <w:proofErr w:type="spellStart"/>
      <w:r w:rsidRPr="00B12504">
        <w:rPr>
          <w:rFonts w:asciiTheme="majorBidi" w:hAnsiTheme="majorBidi" w:cstheme="majorBidi"/>
        </w:rPr>
        <w:t>subQ</w:t>
      </w:r>
      <w:proofErr w:type="spellEnd"/>
      <w:r w:rsidRPr="00B12504">
        <w:rPr>
          <w:rFonts w:asciiTheme="majorBidi" w:hAnsiTheme="majorBidi" w:cstheme="majorBidi"/>
        </w:rPr>
        <w:t xml:space="preserve"> once per week (use IV only if </w:t>
      </w:r>
      <w:proofErr w:type="spellStart"/>
      <w:r w:rsidRPr="00B12504">
        <w:rPr>
          <w:rFonts w:asciiTheme="majorBidi" w:hAnsiTheme="majorBidi" w:cstheme="majorBidi"/>
        </w:rPr>
        <w:t>subQ</w:t>
      </w:r>
      <w:proofErr w:type="spellEnd"/>
      <w:r w:rsidRPr="00B12504">
        <w:rPr>
          <w:rFonts w:asciiTheme="majorBidi" w:hAnsiTheme="majorBidi" w:cstheme="majorBidi"/>
        </w:rPr>
        <w:t xml:space="preserve"> unsuitable)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Iron dextran (</w:t>
      </w:r>
      <w:proofErr w:type="spellStart"/>
      <w:r w:rsidRPr="00B12504">
        <w:rPr>
          <w:rFonts w:asciiTheme="majorBidi" w:hAnsiTheme="majorBidi" w:cstheme="majorBidi"/>
        </w:rPr>
        <w:t>Infed</w:t>
      </w:r>
      <w:proofErr w:type="spellEnd"/>
      <w:r w:rsidRPr="00B12504">
        <w:rPr>
          <w:rFonts w:asciiTheme="majorBidi" w:hAnsiTheme="majorBidi" w:cstheme="majorBidi"/>
        </w:rPr>
        <w:t>®): 100mg IV push once daily for 10 days. For first</w:t>
      </w:r>
      <w:r>
        <w:rPr>
          <w:rFonts w:asciiTheme="majorBidi" w:hAnsiTheme="majorBidi" w:cstheme="majorBidi"/>
        </w:rPr>
        <w:t>-</w:t>
      </w:r>
      <w:r w:rsidRPr="00B12504">
        <w:rPr>
          <w:rFonts w:asciiTheme="majorBidi" w:hAnsiTheme="majorBidi" w:cstheme="majorBidi"/>
        </w:rPr>
        <w:t xml:space="preserve">time Iron dextran patients, administer 25mg IV push test dose, wait 30 minutes, then 75mg IV push if no reaction to the test dose. </w:t>
      </w:r>
    </w:p>
    <w:p w:rsidR="00BB4E3E" w:rsidRPr="00B12504" w:rsidRDefault="00BB4E3E" w:rsidP="00BB4E3E">
      <w:pPr>
        <w:pStyle w:val="ListParagraph"/>
        <w:spacing w:after="0" w:line="480" w:lineRule="auto"/>
        <w:jc w:val="center"/>
        <w:rPr>
          <w:rFonts w:asciiTheme="majorBidi" w:hAnsiTheme="majorBidi" w:cstheme="majorBidi"/>
        </w:rPr>
      </w:pPr>
      <w:r w:rsidRPr="00B12504">
        <w:rPr>
          <w:rFonts w:asciiTheme="majorBidi" w:hAnsiTheme="majorBidi" w:cstheme="majorBidi"/>
        </w:rPr>
        <w:t>OR</w:t>
      </w:r>
    </w:p>
    <w:p w:rsidR="00BB4E3E" w:rsidRPr="00B12504" w:rsidRDefault="00BB4E3E" w:rsidP="00BB4E3E">
      <w:pPr>
        <w:pStyle w:val="ListParagraph"/>
        <w:spacing w:after="0" w:line="480" w:lineRule="auto"/>
        <w:rPr>
          <w:rFonts w:asciiTheme="majorBidi" w:hAnsiTheme="majorBidi" w:cstheme="majorBidi"/>
        </w:rPr>
      </w:pPr>
      <w:r w:rsidRPr="00B12504">
        <w:rPr>
          <w:rFonts w:asciiTheme="majorBidi" w:hAnsiTheme="majorBidi" w:cstheme="majorBidi"/>
        </w:rPr>
        <w:t>Iron sucrose (</w:t>
      </w:r>
      <w:proofErr w:type="spellStart"/>
      <w:r w:rsidRPr="00B12504">
        <w:rPr>
          <w:rFonts w:asciiTheme="majorBidi" w:hAnsiTheme="majorBidi" w:cstheme="majorBidi"/>
        </w:rPr>
        <w:t>Venofer</w:t>
      </w:r>
      <w:proofErr w:type="spellEnd"/>
      <w:r w:rsidRPr="00B12504">
        <w:rPr>
          <w:rFonts w:asciiTheme="majorBidi" w:hAnsiTheme="majorBidi" w:cstheme="majorBidi"/>
        </w:rPr>
        <w:t>®): 100 mg IV push once daily for up to10 days (If patient is NOT a candidate for Iron dextran (</w:t>
      </w:r>
      <w:proofErr w:type="spellStart"/>
      <w:r w:rsidRPr="00B12504">
        <w:rPr>
          <w:rFonts w:asciiTheme="majorBidi" w:hAnsiTheme="majorBidi" w:cstheme="majorBidi"/>
        </w:rPr>
        <w:t>Infed</w:t>
      </w:r>
      <w:proofErr w:type="spellEnd"/>
      <w:r w:rsidRPr="00B12504">
        <w:rPr>
          <w:rFonts w:asciiTheme="majorBidi" w:hAnsiTheme="majorBidi" w:cstheme="majorBidi"/>
        </w:rPr>
        <w:t xml:space="preserve">®). No test dose required for </w:t>
      </w:r>
      <w:proofErr w:type="spellStart"/>
      <w:r w:rsidRPr="00B12504">
        <w:rPr>
          <w:rFonts w:asciiTheme="majorBidi" w:hAnsiTheme="majorBidi" w:cstheme="majorBidi"/>
        </w:rPr>
        <w:t>Venofer</w:t>
      </w:r>
      <w:proofErr w:type="spellEnd"/>
      <w:r w:rsidRPr="00B12504">
        <w:rPr>
          <w:rFonts w:asciiTheme="majorBidi" w:hAnsiTheme="majorBidi" w:cstheme="majorBidi"/>
        </w:rPr>
        <w:t xml:space="preserve">.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Folic acid (</w:t>
      </w:r>
      <w:proofErr w:type="spellStart"/>
      <w:r w:rsidRPr="00B12504">
        <w:rPr>
          <w:rFonts w:asciiTheme="majorBidi" w:hAnsiTheme="majorBidi" w:cstheme="majorBidi"/>
        </w:rPr>
        <w:t>Folate</w:t>
      </w:r>
      <w:proofErr w:type="spellEnd"/>
      <w:r w:rsidRPr="00B12504">
        <w:rPr>
          <w:rFonts w:asciiTheme="majorBidi" w:hAnsiTheme="majorBidi" w:cstheme="majorBidi"/>
        </w:rPr>
        <w:t xml:space="preserve">): 1 mg IVPB once daily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 xml:space="preserve">Vitamin C (Ascorbic acid): 500 mg every 12 hours </w:t>
      </w:r>
      <w:proofErr w:type="spellStart"/>
      <w:r w:rsidRPr="00B12504">
        <w:rPr>
          <w:rFonts w:asciiTheme="majorBidi" w:hAnsiTheme="majorBidi" w:cstheme="majorBidi"/>
        </w:rPr>
        <w:t>enterally</w:t>
      </w:r>
      <w:proofErr w:type="spellEnd"/>
      <w:r w:rsidRPr="00B12504">
        <w:rPr>
          <w:rFonts w:asciiTheme="majorBidi" w:hAnsiTheme="majorBidi" w:cstheme="majorBidi"/>
        </w:rPr>
        <w:t xml:space="preserve">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Vitamin B12 (</w:t>
      </w:r>
      <w:proofErr w:type="spellStart"/>
      <w:r w:rsidRPr="00B12504">
        <w:rPr>
          <w:rFonts w:asciiTheme="majorBidi" w:hAnsiTheme="majorBidi" w:cstheme="majorBidi"/>
        </w:rPr>
        <w:t>Cyanocobalamin</w:t>
      </w:r>
      <w:proofErr w:type="spellEnd"/>
      <w:r w:rsidRPr="00B12504">
        <w:rPr>
          <w:rFonts w:asciiTheme="majorBidi" w:hAnsiTheme="majorBidi" w:cstheme="majorBidi"/>
        </w:rPr>
        <w:t xml:space="preserve">): 1000 mcg IM x 1 dose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 xml:space="preserve">Minimize oxygen utilization – supplemental O2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 xml:space="preserve">Aggressive nutritional support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 xml:space="preserve">Aggressive management of infection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 xml:space="preserve">DVT prophylaxis: SCDs, cautious use of heparin or </w:t>
      </w:r>
      <w:proofErr w:type="spellStart"/>
      <w:r w:rsidRPr="00B12504">
        <w:rPr>
          <w:rFonts w:asciiTheme="majorBidi" w:hAnsiTheme="majorBidi" w:cstheme="majorBidi"/>
        </w:rPr>
        <w:t>enoxaparin</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Lovenox</w:t>
      </w:r>
      <w:proofErr w:type="spellEnd"/>
      <w:r w:rsidRPr="00B12504">
        <w:rPr>
          <w:rFonts w:asciiTheme="majorBidi" w:hAnsiTheme="majorBidi" w:cstheme="majorBidi"/>
        </w:rPr>
        <w:t xml:space="preserve">®) </w:t>
      </w:r>
    </w:p>
    <w:p w:rsidR="00BB4E3E" w:rsidRPr="00B12504" w:rsidRDefault="00BB4E3E" w:rsidP="00BB4E3E">
      <w:pPr>
        <w:pStyle w:val="ListParagraph"/>
        <w:numPr>
          <w:ilvl w:val="0"/>
          <w:numId w:val="6"/>
        </w:numPr>
        <w:spacing w:after="0" w:line="480" w:lineRule="auto"/>
        <w:rPr>
          <w:rFonts w:asciiTheme="majorBidi" w:hAnsiTheme="majorBidi" w:cstheme="majorBidi"/>
        </w:rPr>
      </w:pPr>
      <w:r w:rsidRPr="00B12504">
        <w:rPr>
          <w:rFonts w:asciiTheme="majorBidi" w:hAnsiTheme="majorBidi" w:cstheme="majorBidi"/>
        </w:rPr>
        <w:t xml:space="preserve">GI stress ulcer prophylaxis: Proton pump inhibitor ( IV or PO) </w:t>
      </w:r>
    </w:p>
    <w:p w:rsidR="00BB4E3E" w:rsidRPr="00B12504" w:rsidRDefault="00BB4E3E" w:rsidP="00BB4E3E">
      <w:pPr>
        <w:spacing w:after="0" w:line="480" w:lineRule="auto"/>
        <w:ind w:left="720" w:hanging="720"/>
        <w:rPr>
          <w:rFonts w:asciiTheme="majorBidi" w:hAnsiTheme="majorBidi" w:cstheme="majorBidi"/>
        </w:rPr>
      </w:pPr>
    </w:p>
    <w:p w:rsidR="00BB4E3E" w:rsidRPr="00B12504" w:rsidRDefault="00BB4E3E" w:rsidP="00BB4E3E">
      <w:pPr>
        <w:spacing w:after="0" w:line="480" w:lineRule="auto"/>
        <w:ind w:left="720" w:hanging="720"/>
        <w:rPr>
          <w:rFonts w:asciiTheme="majorBidi" w:hAnsiTheme="majorBidi" w:cstheme="majorBidi"/>
          <w:b/>
          <w:bCs/>
          <w:i/>
          <w:iCs/>
        </w:rPr>
      </w:pPr>
      <w:r w:rsidRPr="00B12504">
        <w:rPr>
          <w:rFonts w:asciiTheme="majorBidi" w:hAnsiTheme="majorBidi" w:cstheme="majorBidi"/>
          <w:b/>
          <w:bCs/>
          <w:i/>
          <w:iCs/>
        </w:rPr>
        <w:t>Baseline Hemoglobin 5-7 g/</w:t>
      </w:r>
      <w:proofErr w:type="spellStart"/>
      <w:r w:rsidRPr="00B12504">
        <w:rPr>
          <w:rFonts w:asciiTheme="majorBidi" w:hAnsiTheme="majorBidi" w:cstheme="majorBidi"/>
          <w:b/>
          <w:bCs/>
          <w:i/>
          <w:iCs/>
        </w:rPr>
        <w:t>dL</w:t>
      </w:r>
      <w:proofErr w:type="spellEnd"/>
      <w:r w:rsidRPr="00B12504">
        <w:rPr>
          <w:rFonts w:asciiTheme="majorBidi" w:hAnsiTheme="majorBidi" w:cstheme="majorBidi"/>
          <w:b/>
          <w:bCs/>
          <w:i/>
          <w:iCs/>
        </w:rPr>
        <w:t xml:space="preserve"> </w:t>
      </w:r>
    </w:p>
    <w:p w:rsidR="00BB4E3E" w:rsidRPr="00B12504" w:rsidRDefault="00BB4E3E" w:rsidP="00BB4E3E">
      <w:pPr>
        <w:pStyle w:val="ListParagraph"/>
        <w:numPr>
          <w:ilvl w:val="0"/>
          <w:numId w:val="8"/>
        </w:numPr>
        <w:spacing w:after="0" w:line="480" w:lineRule="auto"/>
        <w:rPr>
          <w:rFonts w:asciiTheme="majorBidi" w:hAnsiTheme="majorBidi" w:cstheme="majorBidi"/>
        </w:rPr>
      </w:pPr>
      <w:proofErr w:type="spellStart"/>
      <w:r w:rsidRPr="00B12504">
        <w:rPr>
          <w:rFonts w:asciiTheme="majorBidi" w:hAnsiTheme="majorBidi" w:cstheme="majorBidi"/>
        </w:rPr>
        <w:t>Epoetin</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alfa</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Procrit</w:t>
      </w:r>
      <w:proofErr w:type="spellEnd"/>
      <w:r w:rsidRPr="00B12504">
        <w:rPr>
          <w:rFonts w:asciiTheme="majorBidi" w:hAnsiTheme="majorBidi" w:cstheme="majorBidi"/>
        </w:rPr>
        <w:t xml:space="preserve">®): 20,000 units </w:t>
      </w:r>
      <w:proofErr w:type="spellStart"/>
      <w:r w:rsidRPr="00B12504">
        <w:rPr>
          <w:rFonts w:asciiTheme="majorBidi" w:hAnsiTheme="majorBidi" w:cstheme="majorBidi"/>
        </w:rPr>
        <w:t>subQ</w:t>
      </w:r>
      <w:proofErr w:type="spellEnd"/>
      <w:r w:rsidRPr="00B12504">
        <w:rPr>
          <w:rFonts w:asciiTheme="majorBidi" w:hAnsiTheme="majorBidi" w:cstheme="majorBidi"/>
        </w:rPr>
        <w:t xml:space="preserve"> once daily for 5 days (use IV only if </w:t>
      </w:r>
      <w:proofErr w:type="spellStart"/>
      <w:r w:rsidRPr="00B12504">
        <w:rPr>
          <w:rFonts w:asciiTheme="majorBidi" w:hAnsiTheme="majorBidi" w:cstheme="majorBidi"/>
        </w:rPr>
        <w:t>subQ</w:t>
      </w:r>
      <w:proofErr w:type="spellEnd"/>
      <w:r w:rsidRPr="00B12504">
        <w:rPr>
          <w:rFonts w:asciiTheme="majorBidi" w:hAnsiTheme="majorBidi" w:cstheme="majorBidi"/>
        </w:rPr>
        <w:t xml:space="preserve"> unsuitable)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Iron dextran (</w:t>
      </w:r>
      <w:proofErr w:type="spellStart"/>
      <w:r w:rsidRPr="00B12504">
        <w:rPr>
          <w:rFonts w:asciiTheme="majorBidi" w:hAnsiTheme="majorBidi" w:cstheme="majorBidi"/>
        </w:rPr>
        <w:t>Infed</w:t>
      </w:r>
      <w:proofErr w:type="spellEnd"/>
      <w:r w:rsidRPr="00B12504">
        <w:rPr>
          <w:rFonts w:asciiTheme="majorBidi" w:hAnsiTheme="majorBidi" w:cstheme="majorBidi"/>
        </w:rPr>
        <w:t xml:space="preserve">®): 100 mg IV push once daily for 10 days. For first time Iron dextran patients, administer 25 mg IV push test dose, wait 30 minutes, then 75 mg IV push if no reaction to the test dose. </w:t>
      </w:r>
    </w:p>
    <w:p w:rsidR="00BB4E3E" w:rsidRPr="00B12504" w:rsidRDefault="00BB4E3E" w:rsidP="00BB4E3E">
      <w:pPr>
        <w:pStyle w:val="ListParagraph"/>
        <w:spacing w:after="0" w:line="480" w:lineRule="auto"/>
        <w:jc w:val="center"/>
        <w:rPr>
          <w:rFonts w:asciiTheme="majorBidi" w:hAnsiTheme="majorBidi" w:cstheme="majorBidi"/>
        </w:rPr>
      </w:pPr>
      <w:r w:rsidRPr="00B12504">
        <w:rPr>
          <w:rFonts w:asciiTheme="majorBidi" w:hAnsiTheme="majorBidi" w:cstheme="majorBidi"/>
        </w:rPr>
        <w:lastRenderedPageBreak/>
        <w:t>OR</w:t>
      </w:r>
    </w:p>
    <w:p w:rsidR="00BB4E3E" w:rsidRPr="00B12504" w:rsidRDefault="00BB4E3E" w:rsidP="00BB4E3E">
      <w:pPr>
        <w:pStyle w:val="ListParagraph"/>
        <w:spacing w:after="0" w:line="480" w:lineRule="auto"/>
        <w:rPr>
          <w:rFonts w:asciiTheme="majorBidi" w:hAnsiTheme="majorBidi" w:cstheme="majorBidi"/>
        </w:rPr>
      </w:pPr>
      <w:r w:rsidRPr="00B12504">
        <w:rPr>
          <w:rFonts w:asciiTheme="majorBidi" w:hAnsiTheme="majorBidi" w:cstheme="majorBidi"/>
        </w:rPr>
        <w:t>Iron sucrose (</w:t>
      </w:r>
      <w:proofErr w:type="spellStart"/>
      <w:r w:rsidRPr="00B12504">
        <w:rPr>
          <w:rFonts w:asciiTheme="majorBidi" w:hAnsiTheme="majorBidi" w:cstheme="majorBidi"/>
        </w:rPr>
        <w:t>Venofer</w:t>
      </w:r>
      <w:proofErr w:type="spellEnd"/>
      <w:r w:rsidRPr="00B12504">
        <w:rPr>
          <w:rFonts w:asciiTheme="majorBidi" w:hAnsiTheme="majorBidi" w:cstheme="majorBidi"/>
        </w:rPr>
        <w:t>®): 100 mg IV push once daily for up to10 days (If patient is NOT a candidate for Iron dextran (</w:t>
      </w:r>
      <w:proofErr w:type="spellStart"/>
      <w:r w:rsidRPr="00B12504">
        <w:rPr>
          <w:rFonts w:asciiTheme="majorBidi" w:hAnsiTheme="majorBidi" w:cstheme="majorBidi"/>
        </w:rPr>
        <w:t>Infed</w:t>
      </w:r>
      <w:proofErr w:type="spellEnd"/>
      <w:r w:rsidRPr="00B12504">
        <w:rPr>
          <w:rFonts w:asciiTheme="majorBidi" w:hAnsiTheme="majorBidi" w:cstheme="majorBidi"/>
        </w:rPr>
        <w:t xml:space="preserve">®). No test dose required for </w:t>
      </w:r>
      <w:proofErr w:type="spellStart"/>
      <w:r w:rsidRPr="00B12504">
        <w:rPr>
          <w:rFonts w:asciiTheme="majorBidi" w:hAnsiTheme="majorBidi" w:cstheme="majorBidi"/>
        </w:rPr>
        <w:t>Venofer</w:t>
      </w:r>
      <w:proofErr w:type="spellEnd"/>
      <w:r w:rsidRPr="00B12504">
        <w:rPr>
          <w:rFonts w:asciiTheme="majorBidi" w:hAnsiTheme="majorBidi" w:cstheme="majorBidi"/>
        </w:rPr>
        <w:t xml:space="preserve">.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Folic acid (</w:t>
      </w:r>
      <w:proofErr w:type="spellStart"/>
      <w:r w:rsidRPr="00B12504">
        <w:rPr>
          <w:rFonts w:asciiTheme="majorBidi" w:hAnsiTheme="majorBidi" w:cstheme="majorBidi"/>
        </w:rPr>
        <w:t>Folate</w:t>
      </w:r>
      <w:proofErr w:type="spellEnd"/>
      <w:r w:rsidRPr="00B12504">
        <w:rPr>
          <w:rFonts w:asciiTheme="majorBidi" w:hAnsiTheme="majorBidi" w:cstheme="majorBidi"/>
        </w:rPr>
        <w:t xml:space="preserve">): 1 mg IVPB once daily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Vitamin C (Ascorbic acid): 500 mg every 12 hours </w:t>
      </w:r>
      <w:proofErr w:type="spellStart"/>
      <w:r w:rsidRPr="00B12504">
        <w:rPr>
          <w:rFonts w:asciiTheme="majorBidi" w:hAnsiTheme="majorBidi" w:cstheme="majorBidi"/>
        </w:rPr>
        <w:t>enterally</w:t>
      </w:r>
      <w:proofErr w:type="spellEnd"/>
      <w:r w:rsidRPr="00B12504">
        <w:rPr>
          <w:rFonts w:asciiTheme="majorBidi" w:hAnsiTheme="majorBidi" w:cstheme="majorBidi"/>
        </w:rPr>
        <w:t xml:space="preserve">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Vitamin B12 (</w:t>
      </w:r>
      <w:proofErr w:type="spellStart"/>
      <w:r w:rsidRPr="00B12504">
        <w:rPr>
          <w:rFonts w:asciiTheme="majorBidi" w:hAnsiTheme="majorBidi" w:cstheme="majorBidi"/>
        </w:rPr>
        <w:t>Cyanocobalamin</w:t>
      </w:r>
      <w:proofErr w:type="spellEnd"/>
      <w:r w:rsidRPr="00B12504">
        <w:rPr>
          <w:rFonts w:asciiTheme="majorBidi" w:hAnsiTheme="majorBidi" w:cstheme="majorBidi"/>
        </w:rPr>
        <w:t xml:space="preserve">): 1000 mcg IM x 1 dose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If weekly corrected </w:t>
      </w:r>
      <w:proofErr w:type="spellStart"/>
      <w:r w:rsidRPr="00B12504">
        <w:rPr>
          <w:rFonts w:asciiTheme="majorBidi" w:hAnsiTheme="majorBidi" w:cstheme="majorBidi"/>
        </w:rPr>
        <w:t>reticulocyte</w:t>
      </w:r>
      <w:proofErr w:type="spellEnd"/>
      <w:r w:rsidRPr="00B12504">
        <w:rPr>
          <w:rFonts w:asciiTheme="majorBidi" w:hAnsiTheme="majorBidi" w:cstheme="majorBidi"/>
        </w:rPr>
        <w:t xml:space="preserve"> count &lt; 6% then </w:t>
      </w:r>
      <w:proofErr w:type="spellStart"/>
      <w:r w:rsidRPr="00B12504">
        <w:rPr>
          <w:rFonts w:asciiTheme="majorBidi" w:hAnsiTheme="majorBidi" w:cstheme="majorBidi"/>
        </w:rPr>
        <w:t>redose</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Epoetin</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alfa</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Procrit</w:t>
      </w:r>
      <w:proofErr w:type="spellEnd"/>
      <w:r w:rsidRPr="00B12504">
        <w:rPr>
          <w:rFonts w:asciiTheme="majorBidi" w:hAnsiTheme="majorBidi" w:cstheme="majorBidi"/>
        </w:rPr>
        <w:t xml:space="preserve">®): 40,000 units </w:t>
      </w:r>
      <w:proofErr w:type="spellStart"/>
      <w:r w:rsidRPr="00B12504">
        <w:rPr>
          <w:rFonts w:asciiTheme="majorBidi" w:hAnsiTheme="majorBidi" w:cstheme="majorBidi"/>
        </w:rPr>
        <w:t>subQ</w:t>
      </w:r>
      <w:proofErr w:type="spellEnd"/>
      <w:r w:rsidRPr="00B12504">
        <w:rPr>
          <w:rFonts w:asciiTheme="majorBidi" w:hAnsiTheme="majorBidi" w:cstheme="majorBidi"/>
        </w:rPr>
        <w:t xml:space="preserve"> once daily for 4 day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Monitor for tissue </w:t>
      </w:r>
      <w:proofErr w:type="spellStart"/>
      <w:r w:rsidRPr="00B12504">
        <w:rPr>
          <w:rFonts w:asciiTheme="majorBidi" w:hAnsiTheme="majorBidi" w:cstheme="majorBidi"/>
        </w:rPr>
        <w:t>dysoxia</w:t>
      </w:r>
      <w:proofErr w:type="spellEnd"/>
      <w:r w:rsidRPr="00B12504">
        <w:rPr>
          <w:rFonts w:asciiTheme="majorBidi" w:hAnsiTheme="majorBidi" w:cstheme="majorBidi"/>
        </w:rPr>
        <w:t xml:space="preserve">: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Daily 12 lead ECG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q 4 hr neurological exam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Metabolic acidosis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Progressive renal insufficiency despite </w:t>
      </w:r>
      <w:proofErr w:type="spellStart"/>
      <w:r w:rsidRPr="00B12504">
        <w:rPr>
          <w:rFonts w:asciiTheme="majorBidi" w:hAnsiTheme="majorBidi" w:cstheme="majorBidi"/>
        </w:rPr>
        <w:t>euvolemia</w:t>
      </w:r>
      <w:proofErr w:type="spellEnd"/>
      <w:r w:rsidRPr="00B12504">
        <w:rPr>
          <w:rFonts w:asciiTheme="majorBidi" w:hAnsiTheme="majorBidi" w:cstheme="majorBidi"/>
        </w:rPr>
        <w:t xml:space="preserve">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Alternating mental status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Minimize oxygen utilization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Strict bed rest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Non-selective beta blocker: </w:t>
      </w:r>
      <w:proofErr w:type="spellStart"/>
      <w:r w:rsidRPr="00B12504">
        <w:rPr>
          <w:rFonts w:asciiTheme="majorBidi" w:hAnsiTheme="majorBidi" w:cstheme="majorBidi"/>
        </w:rPr>
        <w:t>Propranolol</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Inderal</w:t>
      </w:r>
      <w:proofErr w:type="spellEnd"/>
      <w:r w:rsidRPr="00B12504">
        <w:rPr>
          <w:rFonts w:asciiTheme="majorBidi" w:hAnsiTheme="majorBidi" w:cstheme="majorBidi"/>
        </w:rPr>
        <w:t xml:space="preserve">®) 150 micrograms (0.15 mg) IV q 4 hours as tolerated by BP. Goal HR 90 - 100 </w:t>
      </w:r>
      <w:proofErr w:type="spellStart"/>
      <w:r w:rsidRPr="00B12504">
        <w:rPr>
          <w:rFonts w:asciiTheme="majorBidi" w:hAnsiTheme="majorBidi" w:cstheme="majorBidi"/>
        </w:rPr>
        <w:t>bpm</w:t>
      </w:r>
      <w:proofErr w:type="spellEnd"/>
      <w:r w:rsidRPr="00B12504">
        <w:rPr>
          <w:rFonts w:asciiTheme="majorBidi" w:hAnsiTheme="majorBidi" w:cstheme="majorBidi"/>
        </w:rPr>
        <w:t xml:space="preserve"> or reduction of HR by 10% but no more than 15 % from baseline tachycardia.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Aggressive nutritional support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Aggressive management of infection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DVT prophylaxis: SCDs, no heparin or </w:t>
      </w:r>
      <w:proofErr w:type="spellStart"/>
      <w:r w:rsidRPr="00B12504">
        <w:rPr>
          <w:rFonts w:asciiTheme="majorBidi" w:hAnsiTheme="majorBidi" w:cstheme="majorBidi"/>
        </w:rPr>
        <w:t>enoxaparin</w:t>
      </w:r>
      <w:proofErr w:type="spellEnd"/>
      <w:r w:rsidRPr="00B12504">
        <w:rPr>
          <w:rFonts w:asciiTheme="majorBidi" w:hAnsiTheme="majorBidi" w:cstheme="majorBidi"/>
        </w:rPr>
        <w:t xml:space="preserve"> (</w:t>
      </w:r>
      <w:proofErr w:type="spellStart"/>
      <w:r w:rsidRPr="00B12504">
        <w:rPr>
          <w:rFonts w:asciiTheme="majorBidi" w:hAnsiTheme="majorBidi" w:cstheme="majorBidi"/>
        </w:rPr>
        <w:t>Lovenox</w:t>
      </w:r>
      <w:proofErr w:type="spellEnd"/>
      <w:r w:rsidRPr="00B12504">
        <w:rPr>
          <w:rFonts w:asciiTheme="majorBidi" w:hAnsiTheme="majorBidi" w:cstheme="majorBidi"/>
        </w:rPr>
        <w:t xml:space="preserve">®)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GI stress ulcer prophylaxis: Proton pump inhibitor ( IV or PO)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Reduce intrapulmonary shunt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Head of bed greater than 30 degrees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“Standing order” bronchodilator therapy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lastRenderedPageBreak/>
        <w:t xml:space="preserve">Chest PT and incentive </w:t>
      </w:r>
      <w:proofErr w:type="spellStart"/>
      <w:r w:rsidRPr="00B12504">
        <w:rPr>
          <w:rFonts w:asciiTheme="majorBidi" w:hAnsiTheme="majorBidi" w:cstheme="majorBidi"/>
        </w:rPr>
        <w:t>spirometry</w:t>
      </w:r>
      <w:proofErr w:type="spellEnd"/>
      <w:r w:rsidRPr="00B12504">
        <w:rPr>
          <w:rFonts w:asciiTheme="majorBidi" w:hAnsiTheme="majorBidi" w:cstheme="majorBidi"/>
        </w:rPr>
        <w:t xml:space="preserve"> (if not ventilated and patient able to perform) </w:t>
      </w:r>
    </w:p>
    <w:p w:rsidR="00BB4E3E" w:rsidRPr="00B12504" w:rsidRDefault="00BB4E3E" w:rsidP="00BB4E3E">
      <w:pPr>
        <w:pStyle w:val="ListParagraph"/>
        <w:numPr>
          <w:ilvl w:val="0"/>
          <w:numId w:val="8"/>
        </w:numPr>
        <w:spacing w:after="0" w:line="480" w:lineRule="auto"/>
        <w:rPr>
          <w:rFonts w:asciiTheme="majorBidi" w:hAnsiTheme="majorBidi" w:cstheme="majorBidi"/>
        </w:rPr>
      </w:pPr>
      <w:r w:rsidRPr="00B12504">
        <w:rPr>
          <w:rFonts w:asciiTheme="majorBidi" w:hAnsiTheme="majorBidi" w:cstheme="majorBidi"/>
        </w:rPr>
        <w:t xml:space="preserve">If signs of end organ </w:t>
      </w:r>
      <w:proofErr w:type="spellStart"/>
      <w:r w:rsidRPr="00B12504">
        <w:rPr>
          <w:rFonts w:asciiTheme="majorBidi" w:hAnsiTheme="majorBidi" w:cstheme="majorBidi"/>
        </w:rPr>
        <w:t>dysoxia</w:t>
      </w:r>
      <w:proofErr w:type="spellEnd"/>
      <w:r w:rsidRPr="00B12504">
        <w:rPr>
          <w:rFonts w:asciiTheme="majorBidi" w:hAnsiTheme="majorBidi" w:cstheme="majorBidi"/>
        </w:rPr>
        <w:t xml:space="preserve">: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Intubation, sedation, ventilation with 100% oxygen (goal PaO2 &gt;250, preferably &gt;300)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Remember to use PEEP to reduce intrapulmonary shunt, maintain FRC and increase PaO2 (make sure patient is </w:t>
      </w:r>
      <w:proofErr w:type="spellStart"/>
      <w:r w:rsidRPr="00B12504">
        <w:rPr>
          <w:rFonts w:asciiTheme="majorBidi" w:hAnsiTheme="majorBidi" w:cstheme="majorBidi"/>
        </w:rPr>
        <w:t>euvolemic</w:t>
      </w:r>
      <w:proofErr w:type="spellEnd"/>
      <w:r w:rsidRPr="00B12504">
        <w:rPr>
          <w:rFonts w:asciiTheme="majorBidi" w:hAnsiTheme="majorBidi" w:cstheme="majorBidi"/>
        </w:rPr>
        <w:t xml:space="preserve">)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Sedation to reduce oxygen consumption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Keep </w:t>
      </w:r>
      <w:proofErr w:type="spellStart"/>
      <w:r w:rsidRPr="00B12504">
        <w:rPr>
          <w:rFonts w:asciiTheme="majorBidi" w:hAnsiTheme="majorBidi" w:cstheme="majorBidi"/>
        </w:rPr>
        <w:t>euthermic</w:t>
      </w:r>
      <w:proofErr w:type="spellEnd"/>
      <w:r w:rsidRPr="00B12504">
        <w:rPr>
          <w:rFonts w:asciiTheme="majorBidi" w:hAnsiTheme="majorBidi" w:cstheme="majorBidi"/>
        </w:rPr>
        <w:t xml:space="preserve">, active cooling if elevated temperature ( fever increases consumption and reduces SaO2) </w:t>
      </w:r>
    </w:p>
    <w:p w:rsidR="00BB4E3E" w:rsidRPr="00B12504" w:rsidRDefault="00BB4E3E" w:rsidP="00BB4E3E">
      <w:pPr>
        <w:pStyle w:val="ListParagraph"/>
        <w:numPr>
          <w:ilvl w:val="1"/>
          <w:numId w:val="8"/>
        </w:numPr>
        <w:spacing w:after="0" w:line="480" w:lineRule="auto"/>
        <w:rPr>
          <w:rFonts w:asciiTheme="majorBidi" w:hAnsiTheme="majorBidi" w:cstheme="majorBidi"/>
        </w:rPr>
      </w:pPr>
      <w:r w:rsidRPr="00B12504">
        <w:rPr>
          <w:rFonts w:asciiTheme="majorBidi" w:hAnsiTheme="majorBidi" w:cstheme="majorBidi"/>
        </w:rPr>
        <w:t xml:space="preserve">Neuromuscular blockers (NMBs) if necessary to facilitate ventilation, minimize oxygen consumption and facilitate cooling by reducing subclinical shivering. NMB (“train-of-four”) monitoring as standard: try to keep patient at ¾. </w:t>
      </w:r>
    </w:p>
    <w:p w:rsidR="00BB4E3E" w:rsidRPr="00B12504" w:rsidRDefault="00BB4E3E" w:rsidP="00BB4E3E">
      <w:pPr>
        <w:spacing w:after="0" w:line="480" w:lineRule="auto"/>
        <w:ind w:left="720" w:hanging="720"/>
        <w:rPr>
          <w:rFonts w:asciiTheme="majorBidi" w:hAnsiTheme="majorBidi" w:cstheme="majorBidi"/>
        </w:rPr>
      </w:pPr>
    </w:p>
    <w:p w:rsidR="00BB4E3E" w:rsidRPr="00B12504" w:rsidRDefault="00BB4E3E" w:rsidP="00BB4E3E">
      <w:pPr>
        <w:pStyle w:val="Default"/>
        <w:spacing w:line="480" w:lineRule="auto"/>
        <w:rPr>
          <w:rFonts w:asciiTheme="majorBidi" w:hAnsiTheme="majorBidi" w:cstheme="majorBidi"/>
          <w:b/>
          <w:bCs/>
          <w:i/>
          <w:iCs/>
          <w:sz w:val="22"/>
          <w:szCs w:val="22"/>
        </w:rPr>
      </w:pPr>
      <w:r w:rsidRPr="00B12504">
        <w:rPr>
          <w:rFonts w:asciiTheme="majorBidi" w:hAnsiTheme="majorBidi" w:cstheme="majorBidi"/>
          <w:b/>
          <w:bCs/>
          <w:i/>
          <w:iCs/>
          <w:sz w:val="22"/>
          <w:szCs w:val="22"/>
        </w:rPr>
        <w:t>Baseline Hemoglobin &lt;5 g/</w:t>
      </w:r>
      <w:proofErr w:type="spellStart"/>
      <w:r w:rsidRPr="00B12504">
        <w:rPr>
          <w:rFonts w:asciiTheme="majorBidi" w:hAnsiTheme="majorBidi" w:cstheme="majorBidi"/>
          <w:b/>
          <w:bCs/>
          <w:i/>
          <w:iCs/>
          <w:sz w:val="22"/>
          <w:szCs w:val="22"/>
        </w:rPr>
        <w:t>dL</w:t>
      </w:r>
      <w:proofErr w:type="spellEnd"/>
      <w:r w:rsidRPr="00B12504">
        <w:rPr>
          <w:rFonts w:asciiTheme="majorBidi" w:hAnsiTheme="majorBidi" w:cstheme="majorBidi"/>
          <w:b/>
          <w:bCs/>
          <w:i/>
          <w:iCs/>
          <w:sz w:val="22"/>
          <w:szCs w:val="22"/>
        </w:rPr>
        <w:t xml:space="preserve">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proofErr w:type="spellStart"/>
      <w:r w:rsidRPr="00B12504">
        <w:rPr>
          <w:rFonts w:asciiTheme="majorBidi" w:hAnsiTheme="majorBidi" w:cstheme="majorBidi"/>
          <w:sz w:val="22"/>
          <w:szCs w:val="22"/>
        </w:rPr>
        <w:t>Epoetin</w:t>
      </w:r>
      <w:proofErr w:type="spellEnd"/>
      <w:r w:rsidRPr="00B12504">
        <w:rPr>
          <w:rFonts w:asciiTheme="majorBidi" w:hAnsiTheme="majorBidi" w:cstheme="majorBidi"/>
          <w:sz w:val="22"/>
          <w:szCs w:val="22"/>
        </w:rPr>
        <w:t xml:space="preserve"> </w:t>
      </w:r>
      <w:proofErr w:type="spellStart"/>
      <w:r w:rsidRPr="00B12504">
        <w:rPr>
          <w:rFonts w:asciiTheme="majorBidi" w:hAnsiTheme="majorBidi" w:cstheme="majorBidi"/>
          <w:sz w:val="22"/>
          <w:szCs w:val="22"/>
        </w:rPr>
        <w:t>alfa</w:t>
      </w:r>
      <w:proofErr w:type="spellEnd"/>
      <w:r w:rsidRPr="00B12504">
        <w:rPr>
          <w:rFonts w:asciiTheme="majorBidi" w:hAnsiTheme="majorBidi" w:cstheme="majorBidi"/>
          <w:sz w:val="22"/>
          <w:szCs w:val="22"/>
        </w:rPr>
        <w:t xml:space="preserve"> (</w:t>
      </w:r>
      <w:proofErr w:type="spellStart"/>
      <w:r w:rsidRPr="00B12504">
        <w:rPr>
          <w:rFonts w:asciiTheme="majorBidi" w:hAnsiTheme="majorBidi" w:cstheme="majorBidi"/>
          <w:sz w:val="22"/>
          <w:szCs w:val="22"/>
        </w:rPr>
        <w:t>Procrit</w:t>
      </w:r>
      <w:proofErr w:type="spellEnd"/>
      <w:r w:rsidRPr="00B12504">
        <w:rPr>
          <w:rFonts w:asciiTheme="majorBidi" w:hAnsiTheme="majorBidi" w:cstheme="majorBidi"/>
          <w:sz w:val="22"/>
          <w:szCs w:val="22"/>
        </w:rPr>
        <w:t xml:space="preserve">®): 20,000 units IV every 12 hours for 5 days (use IV only if </w:t>
      </w:r>
      <w:proofErr w:type="spellStart"/>
      <w:r w:rsidRPr="00B12504">
        <w:rPr>
          <w:rFonts w:asciiTheme="majorBidi" w:hAnsiTheme="majorBidi" w:cstheme="majorBidi"/>
          <w:sz w:val="22"/>
          <w:szCs w:val="22"/>
        </w:rPr>
        <w:t>subQ</w:t>
      </w:r>
      <w:proofErr w:type="spellEnd"/>
      <w:r w:rsidRPr="00B12504">
        <w:rPr>
          <w:rFonts w:asciiTheme="majorBidi" w:hAnsiTheme="majorBidi" w:cstheme="majorBidi"/>
          <w:sz w:val="22"/>
          <w:szCs w:val="22"/>
        </w:rPr>
        <w:t xml:space="preserve"> unsuitable)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Iron dextran (</w:t>
      </w:r>
      <w:proofErr w:type="spellStart"/>
      <w:r w:rsidRPr="00B12504">
        <w:rPr>
          <w:rFonts w:asciiTheme="majorBidi" w:hAnsiTheme="majorBidi" w:cstheme="majorBidi"/>
          <w:sz w:val="22"/>
          <w:szCs w:val="22"/>
        </w:rPr>
        <w:t>Infed</w:t>
      </w:r>
      <w:proofErr w:type="spellEnd"/>
      <w:r w:rsidRPr="00B12504">
        <w:rPr>
          <w:rFonts w:asciiTheme="majorBidi" w:hAnsiTheme="majorBidi" w:cstheme="majorBidi"/>
          <w:sz w:val="22"/>
          <w:szCs w:val="22"/>
        </w:rPr>
        <w:t xml:space="preserve">®): 100mg IV push once daily for 10 days. For first time Iron dextran patients, administer 25 mg IV push test dose, wait 30 minutes, then 75mg IV push if no reaction to the test dose. </w:t>
      </w:r>
    </w:p>
    <w:p w:rsidR="00BB4E3E" w:rsidRPr="00B12504" w:rsidRDefault="00BB4E3E" w:rsidP="00BB4E3E">
      <w:pPr>
        <w:pStyle w:val="Default"/>
        <w:spacing w:line="480" w:lineRule="auto"/>
        <w:ind w:left="720"/>
        <w:jc w:val="center"/>
        <w:rPr>
          <w:rFonts w:asciiTheme="majorBidi" w:hAnsiTheme="majorBidi" w:cstheme="majorBidi"/>
          <w:sz w:val="22"/>
          <w:szCs w:val="22"/>
        </w:rPr>
      </w:pPr>
      <w:r w:rsidRPr="00B12504">
        <w:rPr>
          <w:rFonts w:asciiTheme="majorBidi" w:hAnsiTheme="majorBidi" w:cstheme="majorBidi"/>
          <w:sz w:val="22"/>
          <w:szCs w:val="22"/>
        </w:rPr>
        <w:t>OR</w:t>
      </w:r>
    </w:p>
    <w:p w:rsidR="00BB4E3E" w:rsidRPr="00B12504" w:rsidRDefault="00BB4E3E" w:rsidP="00BB4E3E">
      <w:pPr>
        <w:pStyle w:val="Default"/>
        <w:spacing w:line="480" w:lineRule="auto"/>
        <w:ind w:left="720"/>
        <w:rPr>
          <w:rFonts w:asciiTheme="majorBidi" w:hAnsiTheme="majorBidi" w:cstheme="majorBidi"/>
          <w:sz w:val="22"/>
          <w:szCs w:val="22"/>
        </w:rPr>
      </w:pPr>
      <w:r w:rsidRPr="00B12504">
        <w:rPr>
          <w:rFonts w:asciiTheme="majorBidi" w:hAnsiTheme="majorBidi" w:cstheme="majorBidi"/>
          <w:sz w:val="22"/>
          <w:szCs w:val="22"/>
        </w:rPr>
        <w:t>Iron sucrose (</w:t>
      </w:r>
      <w:proofErr w:type="spellStart"/>
      <w:r w:rsidRPr="00B12504">
        <w:rPr>
          <w:rFonts w:asciiTheme="majorBidi" w:hAnsiTheme="majorBidi" w:cstheme="majorBidi"/>
          <w:sz w:val="22"/>
          <w:szCs w:val="22"/>
        </w:rPr>
        <w:t>Venofer</w:t>
      </w:r>
      <w:proofErr w:type="spellEnd"/>
      <w:r w:rsidRPr="00B12504">
        <w:rPr>
          <w:rFonts w:asciiTheme="majorBidi" w:hAnsiTheme="majorBidi" w:cstheme="majorBidi"/>
          <w:sz w:val="22"/>
          <w:szCs w:val="22"/>
        </w:rPr>
        <w:t>®): 100 mg IV push once daily for up to10 days (If patient is NOT a candidate for Iron dextran (</w:t>
      </w:r>
      <w:proofErr w:type="spellStart"/>
      <w:r w:rsidRPr="00B12504">
        <w:rPr>
          <w:rFonts w:asciiTheme="majorBidi" w:hAnsiTheme="majorBidi" w:cstheme="majorBidi"/>
          <w:sz w:val="22"/>
          <w:szCs w:val="22"/>
        </w:rPr>
        <w:t>Infed</w:t>
      </w:r>
      <w:proofErr w:type="spellEnd"/>
      <w:r w:rsidRPr="00B12504">
        <w:rPr>
          <w:rFonts w:asciiTheme="majorBidi" w:hAnsiTheme="majorBidi" w:cstheme="majorBidi"/>
          <w:sz w:val="22"/>
          <w:szCs w:val="22"/>
        </w:rPr>
        <w:t xml:space="preserve">®). No test dose required for </w:t>
      </w:r>
      <w:proofErr w:type="spellStart"/>
      <w:r w:rsidRPr="00B12504">
        <w:rPr>
          <w:rFonts w:asciiTheme="majorBidi" w:hAnsiTheme="majorBidi" w:cstheme="majorBidi"/>
          <w:sz w:val="22"/>
          <w:szCs w:val="22"/>
        </w:rPr>
        <w:t>Venofer</w:t>
      </w:r>
      <w:proofErr w:type="spellEnd"/>
      <w:r w:rsidRPr="00B12504">
        <w:rPr>
          <w:rFonts w:asciiTheme="majorBidi" w:hAnsiTheme="majorBidi" w:cstheme="majorBidi"/>
          <w:sz w:val="22"/>
          <w:szCs w:val="22"/>
        </w:rPr>
        <w:t xml:space="preserve">.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Folic acid (</w:t>
      </w:r>
      <w:proofErr w:type="spellStart"/>
      <w:r w:rsidRPr="00B12504">
        <w:rPr>
          <w:rFonts w:asciiTheme="majorBidi" w:hAnsiTheme="majorBidi" w:cstheme="majorBidi"/>
          <w:sz w:val="22"/>
          <w:szCs w:val="22"/>
        </w:rPr>
        <w:t>Folate</w:t>
      </w:r>
      <w:proofErr w:type="spellEnd"/>
      <w:r w:rsidRPr="00B12504">
        <w:rPr>
          <w:rFonts w:asciiTheme="majorBidi" w:hAnsiTheme="majorBidi" w:cstheme="majorBidi"/>
          <w:sz w:val="22"/>
          <w:szCs w:val="22"/>
        </w:rPr>
        <w:t xml:space="preserve">): 1 mg IVPB once daily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Vitamin C (Ascorbic acid): 500 mg every 12 hours </w:t>
      </w:r>
      <w:proofErr w:type="spellStart"/>
      <w:r w:rsidRPr="00B12504">
        <w:rPr>
          <w:rFonts w:asciiTheme="majorBidi" w:hAnsiTheme="majorBidi" w:cstheme="majorBidi"/>
          <w:sz w:val="22"/>
          <w:szCs w:val="22"/>
        </w:rPr>
        <w:t>enterally</w:t>
      </w:r>
      <w:proofErr w:type="spellEnd"/>
      <w:r w:rsidRPr="00B12504">
        <w:rPr>
          <w:rFonts w:asciiTheme="majorBidi" w:hAnsiTheme="majorBidi" w:cstheme="majorBidi"/>
          <w:sz w:val="22"/>
          <w:szCs w:val="22"/>
        </w:rPr>
        <w:t xml:space="preserve">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Vitamin B12 (</w:t>
      </w:r>
      <w:proofErr w:type="spellStart"/>
      <w:r w:rsidRPr="00B12504">
        <w:rPr>
          <w:rFonts w:asciiTheme="majorBidi" w:hAnsiTheme="majorBidi" w:cstheme="majorBidi"/>
          <w:sz w:val="22"/>
          <w:szCs w:val="22"/>
        </w:rPr>
        <w:t>Cyanocobalamin</w:t>
      </w:r>
      <w:proofErr w:type="spellEnd"/>
      <w:r w:rsidRPr="00B12504">
        <w:rPr>
          <w:rFonts w:asciiTheme="majorBidi" w:hAnsiTheme="majorBidi" w:cstheme="majorBidi"/>
          <w:sz w:val="22"/>
          <w:szCs w:val="22"/>
        </w:rPr>
        <w:t xml:space="preserve">): 1000 mcg IM x 1 dose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If weekly corrected </w:t>
      </w:r>
      <w:proofErr w:type="spellStart"/>
      <w:r w:rsidRPr="00B12504">
        <w:rPr>
          <w:rFonts w:asciiTheme="majorBidi" w:hAnsiTheme="majorBidi" w:cstheme="majorBidi"/>
          <w:sz w:val="22"/>
          <w:szCs w:val="22"/>
        </w:rPr>
        <w:t>reticulocyte</w:t>
      </w:r>
      <w:proofErr w:type="spellEnd"/>
      <w:r w:rsidRPr="00B12504">
        <w:rPr>
          <w:rFonts w:asciiTheme="majorBidi" w:hAnsiTheme="majorBidi" w:cstheme="majorBidi"/>
          <w:sz w:val="22"/>
          <w:szCs w:val="22"/>
        </w:rPr>
        <w:t xml:space="preserve"> count &lt; 6% then </w:t>
      </w:r>
      <w:proofErr w:type="spellStart"/>
      <w:r w:rsidRPr="00B12504">
        <w:rPr>
          <w:rFonts w:asciiTheme="majorBidi" w:hAnsiTheme="majorBidi" w:cstheme="majorBidi"/>
          <w:sz w:val="22"/>
          <w:szCs w:val="22"/>
        </w:rPr>
        <w:t>redose</w:t>
      </w:r>
      <w:proofErr w:type="spellEnd"/>
      <w:r w:rsidRPr="00B12504">
        <w:rPr>
          <w:rFonts w:asciiTheme="majorBidi" w:hAnsiTheme="majorBidi" w:cstheme="majorBidi"/>
          <w:sz w:val="22"/>
          <w:szCs w:val="22"/>
        </w:rPr>
        <w:t xml:space="preserve"> </w:t>
      </w:r>
      <w:proofErr w:type="spellStart"/>
      <w:r w:rsidRPr="00B12504">
        <w:rPr>
          <w:rFonts w:asciiTheme="majorBidi" w:hAnsiTheme="majorBidi" w:cstheme="majorBidi"/>
          <w:sz w:val="22"/>
          <w:szCs w:val="22"/>
        </w:rPr>
        <w:t>Epoetin</w:t>
      </w:r>
      <w:proofErr w:type="spellEnd"/>
      <w:r w:rsidRPr="00B12504">
        <w:rPr>
          <w:rFonts w:asciiTheme="majorBidi" w:hAnsiTheme="majorBidi" w:cstheme="majorBidi"/>
          <w:sz w:val="22"/>
          <w:szCs w:val="22"/>
        </w:rPr>
        <w:t xml:space="preserve"> </w:t>
      </w:r>
      <w:proofErr w:type="spellStart"/>
      <w:r w:rsidRPr="00B12504">
        <w:rPr>
          <w:rFonts w:asciiTheme="majorBidi" w:hAnsiTheme="majorBidi" w:cstheme="majorBidi"/>
          <w:sz w:val="22"/>
          <w:szCs w:val="22"/>
        </w:rPr>
        <w:t>alfa</w:t>
      </w:r>
      <w:proofErr w:type="spellEnd"/>
      <w:r w:rsidRPr="00B12504">
        <w:rPr>
          <w:rFonts w:asciiTheme="majorBidi" w:hAnsiTheme="majorBidi" w:cstheme="majorBidi"/>
          <w:sz w:val="22"/>
          <w:szCs w:val="22"/>
        </w:rPr>
        <w:t xml:space="preserve"> (</w:t>
      </w:r>
      <w:proofErr w:type="spellStart"/>
      <w:r w:rsidRPr="00B12504">
        <w:rPr>
          <w:rFonts w:asciiTheme="majorBidi" w:hAnsiTheme="majorBidi" w:cstheme="majorBidi"/>
          <w:sz w:val="22"/>
          <w:szCs w:val="22"/>
        </w:rPr>
        <w:t>Procrit</w:t>
      </w:r>
      <w:proofErr w:type="spellEnd"/>
      <w:r w:rsidRPr="00B12504">
        <w:rPr>
          <w:rFonts w:asciiTheme="majorBidi" w:hAnsiTheme="majorBidi" w:cstheme="majorBidi"/>
          <w:sz w:val="22"/>
          <w:szCs w:val="22"/>
        </w:rPr>
        <w:t xml:space="preserve">®): 40,000 units IV every 12 hrs for 5 days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lastRenderedPageBreak/>
        <w:t xml:space="preserve">Maximize dissolved oxygen content: 100% Oxygen therapy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Monitor for tissue </w:t>
      </w:r>
      <w:proofErr w:type="spellStart"/>
      <w:r w:rsidRPr="00B12504">
        <w:rPr>
          <w:rFonts w:asciiTheme="majorBidi" w:hAnsiTheme="majorBidi" w:cstheme="majorBidi"/>
          <w:sz w:val="22"/>
          <w:szCs w:val="22"/>
        </w:rPr>
        <w:t>dysoxia</w:t>
      </w:r>
      <w:proofErr w:type="spellEnd"/>
      <w:r w:rsidRPr="00B12504">
        <w:rPr>
          <w:rFonts w:asciiTheme="majorBidi" w:hAnsiTheme="majorBidi" w:cstheme="majorBidi"/>
          <w:sz w:val="22"/>
          <w:szCs w:val="22"/>
        </w:rPr>
        <w:t xml:space="preserve">: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Daily 12 lead ECG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q 4 hr neurological exam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Metabolic acidosis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Progressive renal insufficiency despite </w:t>
      </w:r>
      <w:proofErr w:type="spellStart"/>
      <w:r w:rsidRPr="00B12504">
        <w:rPr>
          <w:rFonts w:asciiTheme="majorBidi" w:hAnsiTheme="majorBidi" w:cstheme="majorBidi"/>
          <w:sz w:val="22"/>
          <w:szCs w:val="22"/>
        </w:rPr>
        <w:t>euvolemia</w:t>
      </w:r>
      <w:proofErr w:type="spellEnd"/>
      <w:r w:rsidRPr="00B12504">
        <w:rPr>
          <w:rFonts w:asciiTheme="majorBidi" w:hAnsiTheme="majorBidi" w:cstheme="majorBidi"/>
          <w:sz w:val="22"/>
          <w:szCs w:val="22"/>
        </w:rPr>
        <w:t xml:space="preserve">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Alternating mental status and/or inability to concentrate or sleepy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Minimize oxygen utilization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Strict bed rest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Non-selective beta blocker: </w:t>
      </w:r>
      <w:proofErr w:type="spellStart"/>
      <w:r w:rsidRPr="00B12504">
        <w:rPr>
          <w:rFonts w:asciiTheme="majorBidi" w:hAnsiTheme="majorBidi" w:cstheme="majorBidi"/>
          <w:sz w:val="22"/>
          <w:szCs w:val="22"/>
        </w:rPr>
        <w:t>Propranolol</w:t>
      </w:r>
      <w:proofErr w:type="spellEnd"/>
      <w:r w:rsidRPr="00B12504">
        <w:rPr>
          <w:rFonts w:asciiTheme="majorBidi" w:hAnsiTheme="majorBidi" w:cstheme="majorBidi"/>
          <w:sz w:val="22"/>
          <w:szCs w:val="22"/>
        </w:rPr>
        <w:t xml:space="preserve"> (</w:t>
      </w:r>
      <w:proofErr w:type="spellStart"/>
      <w:r w:rsidRPr="00B12504">
        <w:rPr>
          <w:rFonts w:asciiTheme="majorBidi" w:hAnsiTheme="majorBidi" w:cstheme="majorBidi"/>
          <w:sz w:val="22"/>
          <w:szCs w:val="22"/>
        </w:rPr>
        <w:t>Inderal</w:t>
      </w:r>
      <w:proofErr w:type="spellEnd"/>
      <w:r w:rsidRPr="00B12504">
        <w:rPr>
          <w:rFonts w:asciiTheme="majorBidi" w:hAnsiTheme="majorBidi" w:cstheme="majorBidi"/>
          <w:sz w:val="22"/>
          <w:szCs w:val="22"/>
        </w:rPr>
        <w:t xml:space="preserve">®) 150 micrograms (0.15 mg) IV q 4 hours as tolerated by BP. Goal HR 90 - 100 </w:t>
      </w:r>
      <w:proofErr w:type="spellStart"/>
      <w:r w:rsidRPr="00B12504">
        <w:rPr>
          <w:rFonts w:asciiTheme="majorBidi" w:hAnsiTheme="majorBidi" w:cstheme="majorBidi"/>
          <w:sz w:val="22"/>
          <w:szCs w:val="22"/>
        </w:rPr>
        <w:t>bpm</w:t>
      </w:r>
      <w:proofErr w:type="spellEnd"/>
      <w:r w:rsidRPr="00B12504">
        <w:rPr>
          <w:rFonts w:asciiTheme="majorBidi" w:hAnsiTheme="majorBidi" w:cstheme="majorBidi"/>
          <w:sz w:val="22"/>
          <w:szCs w:val="22"/>
        </w:rPr>
        <w:t xml:space="preserve"> or reduction of HR by 10% but no more than 15 % from baseline tachycardia.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Aggressive nutritional support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Aggressive management of infection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DVT prophylaxis: SCDs, no heparin or </w:t>
      </w:r>
      <w:proofErr w:type="spellStart"/>
      <w:r w:rsidRPr="00B12504">
        <w:rPr>
          <w:rFonts w:asciiTheme="majorBidi" w:hAnsiTheme="majorBidi" w:cstheme="majorBidi"/>
          <w:sz w:val="22"/>
          <w:szCs w:val="22"/>
        </w:rPr>
        <w:t>enoxaparin</w:t>
      </w:r>
      <w:proofErr w:type="spellEnd"/>
      <w:r w:rsidRPr="00B12504">
        <w:rPr>
          <w:rFonts w:asciiTheme="majorBidi" w:hAnsiTheme="majorBidi" w:cstheme="majorBidi"/>
          <w:sz w:val="22"/>
          <w:szCs w:val="22"/>
        </w:rPr>
        <w:t xml:space="preserve"> (</w:t>
      </w:r>
      <w:proofErr w:type="spellStart"/>
      <w:r w:rsidRPr="00B12504">
        <w:rPr>
          <w:rFonts w:asciiTheme="majorBidi" w:hAnsiTheme="majorBidi" w:cstheme="majorBidi"/>
          <w:sz w:val="22"/>
          <w:szCs w:val="22"/>
        </w:rPr>
        <w:t>Lovenox</w:t>
      </w:r>
      <w:proofErr w:type="spellEnd"/>
      <w:r w:rsidRPr="00B12504">
        <w:rPr>
          <w:rFonts w:asciiTheme="majorBidi" w:hAnsiTheme="majorBidi" w:cstheme="majorBidi"/>
          <w:sz w:val="22"/>
          <w:szCs w:val="22"/>
        </w:rPr>
        <w:t xml:space="preserve">®)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GI stress ulcer prophylaxis: Proton pump inhibitor ( IV or PO)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Reduce intrapulmonary shunt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Head of bed greater than 30 degrees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“Standing order” bronchodilator therapy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Chest PT and incentive </w:t>
      </w:r>
      <w:proofErr w:type="spellStart"/>
      <w:r w:rsidRPr="00B12504">
        <w:rPr>
          <w:rFonts w:asciiTheme="majorBidi" w:hAnsiTheme="majorBidi" w:cstheme="majorBidi"/>
          <w:sz w:val="22"/>
          <w:szCs w:val="22"/>
        </w:rPr>
        <w:t>spirometry</w:t>
      </w:r>
      <w:proofErr w:type="spellEnd"/>
      <w:r w:rsidRPr="00B12504">
        <w:rPr>
          <w:rFonts w:asciiTheme="majorBidi" w:hAnsiTheme="majorBidi" w:cstheme="majorBidi"/>
          <w:sz w:val="22"/>
          <w:szCs w:val="22"/>
        </w:rPr>
        <w:t xml:space="preserve"> (if not ventilated and patient able to perform) </w:t>
      </w:r>
    </w:p>
    <w:p w:rsidR="00BB4E3E" w:rsidRPr="00B12504" w:rsidRDefault="00BB4E3E" w:rsidP="00BB4E3E">
      <w:pPr>
        <w:pStyle w:val="Default"/>
        <w:numPr>
          <w:ilvl w:val="0"/>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If signs of end organ </w:t>
      </w:r>
      <w:proofErr w:type="spellStart"/>
      <w:r w:rsidRPr="00B12504">
        <w:rPr>
          <w:rFonts w:asciiTheme="majorBidi" w:hAnsiTheme="majorBidi" w:cstheme="majorBidi"/>
          <w:sz w:val="22"/>
          <w:szCs w:val="22"/>
        </w:rPr>
        <w:t>dysoxia</w:t>
      </w:r>
      <w:proofErr w:type="spellEnd"/>
      <w:r w:rsidRPr="00B12504">
        <w:rPr>
          <w:rFonts w:asciiTheme="majorBidi" w:hAnsiTheme="majorBidi" w:cstheme="majorBidi"/>
          <w:sz w:val="22"/>
          <w:szCs w:val="22"/>
        </w:rPr>
        <w:t xml:space="preserve">: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Intubation, sedation, ventilation with 100% oxygen (goal PaO2 &gt;250, preferably &gt;300)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Remember to use PEEP to reduce intrapulmonary shunt, maintain FRC and increase PaO2 (make sure patient is </w:t>
      </w:r>
      <w:proofErr w:type="spellStart"/>
      <w:r w:rsidRPr="00B12504">
        <w:rPr>
          <w:rFonts w:asciiTheme="majorBidi" w:hAnsiTheme="majorBidi" w:cstheme="majorBidi"/>
          <w:sz w:val="22"/>
          <w:szCs w:val="22"/>
        </w:rPr>
        <w:t>euvolemic</w:t>
      </w:r>
      <w:proofErr w:type="spellEnd"/>
      <w:r w:rsidRPr="00B12504">
        <w:rPr>
          <w:rFonts w:asciiTheme="majorBidi" w:hAnsiTheme="majorBidi" w:cstheme="majorBidi"/>
          <w:sz w:val="22"/>
          <w:szCs w:val="22"/>
        </w:rPr>
        <w:t xml:space="preserve">)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Sedation to reduce oxygen consumption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lastRenderedPageBreak/>
        <w:t xml:space="preserve">Keep </w:t>
      </w:r>
      <w:proofErr w:type="spellStart"/>
      <w:r w:rsidRPr="00B12504">
        <w:rPr>
          <w:rFonts w:asciiTheme="majorBidi" w:hAnsiTheme="majorBidi" w:cstheme="majorBidi"/>
          <w:sz w:val="22"/>
          <w:szCs w:val="22"/>
        </w:rPr>
        <w:t>euthermic</w:t>
      </w:r>
      <w:proofErr w:type="spellEnd"/>
      <w:r w:rsidRPr="00B12504">
        <w:rPr>
          <w:rFonts w:asciiTheme="majorBidi" w:hAnsiTheme="majorBidi" w:cstheme="majorBidi"/>
          <w:sz w:val="22"/>
          <w:szCs w:val="22"/>
        </w:rPr>
        <w:t xml:space="preserve">, active cooling if elevated temperature ( fever increases consumption and reduces SaO2) </w:t>
      </w:r>
    </w:p>
    <w:p w:rsidR="00BB4E3E" w:rsidRPr="00B12504" w:rsidRDefault="00BB4E3E" w:rsidP="00BB4E3E">
      <w:pPr>
        <w:pStyle w:val="Default"/>
        <w:numPr>
          <w:ilvl w:val="1"/>
          <w:numId w:val="10"/>
        </w:numPr>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Neuromuscular blockers (NMBs) if necessary to facilitate ventilation, minimize oxygen consumption and facilitate cooling by reducing subclinical shivering. NMB (“train-of-four”) monitoring as standard: try to keep patient at ¾. </w:t>
      </w:r>
    </w:p>
    <w:p w:rsidR="00BB4E3E" w:rsidRPr="00B12504" w:rsidRDefault="00BB4E3E" w:rsidP="00BB4E3E">
      <w:pPr>
        <w:pStyle w:val="Default"/>
        <w:spacing w:line="480" w:lineRule="auto"/>
        <w:rPr>
          <w:rFonts w:asciiTheme="majorBidi" w:hAnsiTheme="majorBidi" w:cstheme="majorBidi"/>
          <w:sz w:val="22"/>
          <w:szCs w:val="22"/>
        </w:rPr>
      </w:pPr>
    </w:p>
    <w:p w:rsidR="00BB4E3E" w:rsidRPr="00B12504" w:rsidRDefault="00BB4E3E" w:rsidP="00BB4E3E">
      <w:pPr>
        <w:pStyle w:val="Default"/>
        <w:spacing w:line="480" w:lineRule="auto"/>
        <w:rPr>
          <w:rFonts w:asciiTheme="majorBidi" w:hAnsiTheme="majorBidi" w:cstheme="majorBidi"/>
          <w:b/>
          <w:bCs/>
          <w:i/>
          <w:iCs/>
          <w:sz w:val="22"/>
          <w:szCs w:val="22"/>
        </w:rPr>
      </w:pPr>
      <w:r w:rsidRPr="00B12504">
        <w:rPr>
          <w:rFonts w:asciiTheme="majorBidi" w:hAnsiTheme="majorBidi" w:cstheme="majorBidi"/>
          <w:b/>
          <w:bCs/>
          <w:i/>
          <w:iCs/>
          <w:sz w:val="22"/>
          <w:szCs w:val="22"/>
        </w:rPr>
        <w:t>Lab Test Schedule:</w:t>
      </w:r>
    </w:p>
    <w:tbl>
      <w:tblPr>
        <w:tblStyle w:val="TableGrid"/>
        <w:tblW w:w="0" w:type="auto"/>
        <w:tblLook w:val="04A0"/>
      </w:tblPr>
      <w:tblGrid>
        <w:gridCol w:w="1818"/>
        <w:gridCol w:w="1800"/>
        <w:gridCol w:w="555"/>
        <w:gridCol w:w="555"/>
        <w:gridCol w:w="555"/>
        <w:gridCol w:w="555"/>
        <w:gridCol w:w="555"/>
        <w:gridCol w:w="555"/>
      </w:tblGrid>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ICU Day</w:t>
            </w:r>
          </w:p>
        </w:tc>
        <w:tc>
          <w:tcPr>
            <w:tcW w:w="1800"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Baseline (Day 0)</w:t>
            </w:r>
          </w:p>
        </w:tc>
        <w:tc>
          <w:tcPr>
            <w:tcW w:w="555"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3</w:t>
            </w:r>
          </w:p>
        </w:tc>
        <w:tc>
          <w:tcPr>
            <w:tcW w:w="555"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7</w:t>
            </w:r>
          </w:p>
        </w:tc>
        <w:tc>
          <w:tcPr>
            <w:tcW w:w="555"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10</w:t>
            </w:r>
          </w:p>
        </w:tc>
        <w:tc>
          <w:tcPr>
            <w:tcW w:w="555"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14</w:t>
            </w:r>
          </w:p>
        </w:tc>
        <w:tc>
          <w:tcPr>
            <w:tcW w:w="555"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21</w:t>
            </w:r>
          </w:p>
        </w:tc>
        <w:tc>
          <w:tcPr>
            <w:tcW w:w="555"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28</w:t>
            </w: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CBC + diff</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CBC no diff</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Fe</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Ferritin</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proofErr w:type="spellStart"/>
            <w:r w:rsidRPr="00B12504">
              <w:rPr>
                <w:rFonts w:asciiTheme="majorBidi" w:hAnsiTheme="majorBidi" w:cstheme="majorBidi"/>
                <w:b/>
                <w:bCs/>
                <w:sz w:val="22"/>
                <w:szCs w:val="22"/>
              </w:rPr>
              <w:t>Tsat</w:t>
            </w:r>
            <w:proofErr w:type="spellEnd"/>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TIBC</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proofErr w:type="spellStart"/>
            <w:r w:rsidRPr="00B12504">
              <w:rPr>
                <w:rFonts w:asciiTheme="majorBidi" w:hAnsiTheme="majorBidi" w:cstheme="majorBidi"/>
                <w:b/>
                <w:bCs/>
                <w:sz w:val="22"/>
                <w:szCs w:val="22"/>
              </w:rPr>
              <w:t>Folate</w:t>
            </w:r>
            <w:proofErr w:type="spellEnd"/>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B12</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proofErr w:type="spellStart"/>
            <w:r w:rsidRPr="00B12504">
              <w:rPr>
                <w:rFonts w:asciiTheme="majorBidi" w:hAnsiTheme="majorBidi" w:cstheme="majorBidi"/>
                <w:b/>
                <w:bCs/>
                <w:sz w:val="22"/>
                <w:szCs w:val="22"/>
              </w:rPr>
              <w:t>Retic</w:t>
            </w:r>
            <w:proofErr w:type="spellEnd"/>
            <w:r w:rsidRPr="00B12504">
              <w:rPr>
                <w:rFonts w:asciiTheme="majorBidi" w:hAnsiTheme="majorBidi" w:cstheme="majorBidi"/>
                <w:b/>
                <w:bCs/>
                <w:sz w:val="22"/>
                <w:szCs w:val="22"/>
              </w:rPr>
              <w:t xml:space="preserve"> </w:t>
            </w:r>
            <w:proofErr w:type="spellStart"/>
            <w:r w:rsidRPr="00B12504">
              <w:rPr>
                <w:rFonts w:asciiTheme="majorBidi" w:hAnsiTheme="majorBidi" w:cstheme="majorBidi"/>
                <w:b/>
                <w:bCs/>
                <w:sz w:val="22"/>
                <w:szCs w:val="22"/>
              </w:rPr>
              <w:t>Abc</w:t>
            </w:r>
            <w:proofErr w:type="spellEnd"/>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proofErr w:type="spellStart"/>
            <w:r w:rsidRPr="00B12504">
              <w:rPr>
                <w:rFonts w:asciiTheme="majorBidi" w:hAnsiTheme="majorBidi" w:cstheme="majorBidi"/>
                <w:b/>
                <w:bCs/>
                <w:sz w:val="22"/>
                <w:szCs w:val="22"/>
              </w:rPr>
              <w:t>Retic</w:t>
            </w:r>
            <w:proofErr w:type="spellEnd"/>
            <w:r w:rsidRPr="00B12504">
              <w:rPr>
                <w:rFonts w:asciiTheme="majorBidi" w:hAnsiTheme="majorBidi" w:cstheme="majorBidi"/>
                <w:b/>
                <w:bCs/>
                <w:sz w:val="22"/>
                <w:szCs w:val="22"/>
              </w:rPr>
              <w:t xml:space="preserve"> %</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r>
      <w:tr w:rsidR="00BB4E3E" w:rsidRPr="00B12504" w:rsidTr="0063057D">
        <w:tc>
          <w:tcPr>
            <w:tcW w:w="1818" w:type="dxa"/>
          </w:tcPr>
          <w:p w:rsidR="00BB4E3E" w:rsidRPr="00B12504" w:rsidRDefault="00BB4E3E" w:rsidP="0063057D">
            <w:pPr>
              <w:pStyle w:val="Default"/>
              <w:spacing w:line="480" w:lineRule="auto"/>
              <w:rPr>
                <w:rFonts w:asciiTheme="majorBidi" w:hAnsiTheme="majorBidi" w:cstheme="majorBidi"/>
                <w:b/>
                <w:bCs/>
                <w:sz w:val="22"/>
                <w:szCs w:val="22"/>
              </w:rPr>
            </w:pPr>
            <w:r w:rsidRPr="00B12504">
              <w:rPr>
                <w:rFonts w:asciiTheme="majorBidi" w:hAnsiTheme="majorBidi" w:cstheme="majorBidi"/>
                <w:b/>
                <w:bCs/>
                <w:sz w:val="22"/>
                <w:szCs w:val="22"/>
              </w:rPr>
              <w:t>IRF</w:t>
            </w:r>
          </w:p>
        </w:tc>
        <w:tc>
          <w:tcPr>
            <w:tcW w:w="1800"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c>
          <w:tcPr>
            <w:tcW w:w="555" w:type="dxa"/>
          </w:tcPr>
          <w:p w:rsidR="00BB4E3E" w:rsidRPr="00B12504" w:rsidRDefault="00BB4E3E" w:rsidP="0063057D">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X</w:t>
            </w:r>
          </w:p>
        </w:tc>
      </w:tr>
    </w:tbl>
    <w:p w:rsidR="00BB4E3E" w:rsidRPr="00B12504" w:rsidRDefault="00BB4E3E" w:rsidP="00BB4E3E">
      <w:pPr>
        <w:pStyle w:val="Default"/>
        <w:spacing w:line="480" w:lineRule="auto"/>
        <w:rPr>
          <w:rFonts w:asciiTheme="majorBidi" w:hAnsiTheme="majorBidi" w:cstheme="majorBidi"/>
          <w:sz w:val="22"/>
          <w:szCs w:val="22"/>
        </w:rPr>
      </w:pPr>
    </w:p>
    <w:p w:rsidR="00BB4E3E" w:rsidRPr="00B12504" w:rsidRDefault="00BB4E3E" w:rsidP="00BB4E3E">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If advanced directive does not exist, contact Bloodless Medicine team for assistance. </w:t>
      </w:r>
    </w:p>
    <w:p w:rsidR="00BB4E3E" w:rsidRDefault="00BB4E3E" w:rsidP="00BB4E3E">
      <w:pPr>
        <w:pStyle w:val="Default"/>
        <w:spacing w:line="480" w:lineRule="auto"/>
        <w:rPr>
          <w:rFonts w:asciiTheme="majorBidi" w:hAnsiTheme="majorBidi" w:cstheme="majorBidi"/>
          <w:sz w:val="22"/>
          <w:szCs w:val="22"/>
        </w:rPr>
      </w:pPr>
      <w:r w:rsidRPr="00B12504">
        <w:rPr>
          <w:rFonts w:asciiTheme="majorBidi" w:hAnsiTheme="majorBidi" w:cstheme="majorBidi"/>
          <w:sz w:val="22"/>
          <w:szCs w:val="22"/>
        </w:rPr>
        <w:t xml:space="preserve">Blood sampling for all labs: use neonatal tubes; use an in-line device to minimize blood waste. For Witness patients: maintain closed system (blood to remain part of the patient’s circulation) at all times. No “standing order” or “routine” daily labs (final decision as per Intensivist) except: once a day blood gas for </w:t>
      </w:r>
      <w:proofErr w:type="spellStart"/>
      <w:r w:rsidRPr="00B12504">
        <w:rPr>
          <w:rFonts w:asciiTheme="majorBidi" w:hAnsiTheme="majorBidi" w:cstheme="majorBidi"/>
          <w:sz w:val="22"/>
          <w:szCs w:val="22"/>
        </w:rPr>
        <w:t>intubated</w:t>
      </w:r>
      <w:proofErr w:type="spellEnd"/>
      <w:r w:rsidRPr="00B12504">
        <w:rPr>
          <w:rFonts w:asciiTheme="majorBidi" w:hAnsiTheme="majorBidi" w:cstheme="majorBidi"/>
          <w:sz w:val="22"/>
          <w:szCs w:val="22"/>
        </w:rPr>
        <w:t xml:space="preserve"> ventilated patients, unless otherwise specified by Intensivist.</w:t>
      </w:r>
    </w:p>
    <w:p w:rsidR="00BB4E3E" w:rsidRDefault="00BB4E3E" w:rsidP="00BB4E3E">
      <w:pPr>
        <w:pStyle w:val="Default"/>
        <w:spacing w:line="480" w:lineRule="auto"/>
        <w:rPr>
          <w:rFonts w:asciiTheme="majorBidi" w:hAnsiTheme="majorBidi" w:cstheme="majorBidi"/>
          <w:sz w:val="22"/>
          <w:szCs w:val="22"/>
        </w:rPr>
      </w:pPr>
    </w:p>
    <w:p w:rsidR="00BB4E3E" w:rsidRPr="00B12504" w:rsidRDefault="00BB4E3E" w:rsidP="00BB4E3E">
      <w:pPr>
        <w:pStyle w:val="Default"/>
        <w:spacing w:line="480" w:lineRule="auto"/>
        <w:rPr>
          <w:rFonts w:asciiTheme="majorBidi" w:hAnsiTheme="majorBidi" w:cstheme="majorBidi"/>
          <w:b/>
          <w:bCs/>
          <w:i/>
          <w:iCs/>
          <w:sz w:val="22"/>
          <w:szCs w:val="22"/>
        </w:rPr>
      </w:pPr>
      <w:r>
        <w:rPr>
          <w:rFonts w:asciiTheme="majorBidi" w:hAnsiTheme="majorBidi" w:cstheme="majorBidi"/>
          <w:b/>
          <w:bCs/>
          <w:i/>
          <w:iCs/>
          <w:sz w:val="22"/>
          <w:szCs w:val="22"/>
        </w:rPr>
        <w:t>Expected Response to the Treatment</w:t>
      </w:r>
      <w:r w:rsidRPr="00B12504">
        <w:rPr>
          <w:rFonts w:asciiTheme="majorBidi" w:hAnsiTheme="majorBidi" w:cstheme="majorBidi"/>
          <w:b/>
          <w:bCs/>
          <w:i/>
          <w:iCs/>
          <w:sz w:val="22"/>
          <w:szCs w:val="22"/>
        </w:rPr>
        <w:t>:</w:t>
      </w:r>
    </w:p>
    <w:p w:rsidR="00BB4E3E" w:rsidRDefault="00BB4E3E" w:rsidP="00BB4E3E">
      <w:pPr>
        <w:pStyle w:val="Default"/>
        <w:spacing w:line="480" w:lineRule="auto"/>
        <w:rPr>
          <w:rFonts w:asciiTheme="majorBidi" w:hAnsiTheme="majorBidi" w:cstheme="majorBidi"/>
          <w:sz w:val="22"/>
          <w:szCs w:val="22"/>
        </w:rPr>
      </w:pPr>
      <w:r>
        <w:rPr>
          <w:rFonts w:asciiTheme="majorBidi" w:hAnsiTheme="majorBidi" w:cstheme="majorBidi"/>
          <w:sz w:val="22"/>
          <w:szCs w:val="22"/>
        </w:rPr>
        <w:t>Our protocol is designed to increase hemoglobin level in the shortest possible timeframe to minimize the consequences of hypoxia in severely anemic patients managed without transfusion. Our protocol and a similar one (</w:t>
      </w:r>
      <w:proofErr w:type="spellStart"/>
      <w:r w:rsidRPr="00215A07">
        <w:rPr>
          <w:rFonts w:asciiTheme="majorBidi" w:hAnsiTheme="majorBidi" w:cstheme="majorBidi"/>
          <w:sz w:val="22"/>
          <w:szCs w:val="22"/>
        </w:rPr>
        <w:t>Haemoglobin</w:t>
      </w:r>
      <w:proofErr w:type="spellEnd"/>
      <w:r w:rsidRPr="00215A07">
        <w:rPr>
          <w:rFonts w:asciiTheme="majorBidi" w:hAnsiTheme="majorBidi" w:cstheme="majorBidi"/>
          <w:sz w:val="22"/>
          <w:szCs w:val="22"/>
        </w:rPr>
        <w:t xml:space="preserve"> </w:t>
      </w:r>
      <w:proofErr w:type="spellStart"/>
      <w:r>
        <w:rPr>
          <w:rFonts w:asciiTheme="majorBidi" w:hAnsiTheme="majorBidi" w:cstheme="majorBidi"/>
          <w:sz w:val="22"/>
          <w:szCs w:val="22"/>
        </w:rPr>
        <w:t>M</w:t>
      </w:r>
      <w:r w:rsidRPr="00215A07">
        <w:rPr>
          <w:rFonts w:asciiTheme="majorBidi" w:hAnsiTheme="majorBidi" w:cstheme="majorBidi"/>
          <w:sz w:val="22"/>
          <w:szCs w:val="22"/>
        </w:rPr>
        <w:t>aximi</w:t>
      </w:r>
      <w:r>
        <w:rPr>
          <w:rFonts w:asciiTheme="majorBidi" w:hAnsiTheme="majorBidi" w:cstheme="majorBidi"/>
          <w:sz w:val="22"/>
          <w:szCs w:val="22"/>
        </w:rPr>
        <w:t>s</w:t>
      </w:r>
      <w:r w:rsidRPr="00215A07">
        <w:rPr>
          <w:rFonts w:asciiTheme="majorBidi" w:hAnsiTheme="majorBidi" w:cstheme="majorBidi"/>
          <w:sz w:val="22"/>
          <w:szCs w:val="22"/>
        </w:rPr>
        <w:t>ation</w:t>
      </w:r>
      <w:proofErr w:type="spellEnd"/>
      <w:r w:rsidRPr="00215A07">
        <w:rPr>
          <w:rFonts w:asciiTheme="majorBidi" w:hAnsiTheme="majorBidi" w:cstheme="majorBidi"/>
          <w:sz w:val="22"/>
          <w:szCs w:val="22"/>
        </w:rPr>
        <w:t xml:space="preserve"> </w:t>
      </w:r>
      <w:r>
        <w:rPr>
          <w:rFonts w:asciiTheme="majorBidi" w:hAnsiTheme="majorBidi" w:cstheme="majorBidi"/>
          <w:sz w:val="22"/>
          <w:szCs w:val="22"/>
        </w:rPr>
        <w:t>R</w:t>
      </w:r>
      <w:r w:rsidRPr="00215A07">
        <w:rPr>
          <w:rFonts w:asciiTheme="majorBidi" w:hAnsiTheme="majorBidi" w:cstheme="majorBidi"/>
          <w:sz w:val="22"/>
          <w:szCs w:val="22"/>
        </w:rPr>
        <w:t>egimen</w:t>
      </w:r>
      <w:r>
        <w:rPr>
          <w:rFonts w:asciiTheme="majorBidi" w:hAnsiTheme="majorBidi" w:cstheme="majorBidi"/>
          <w:sz w:val="22"/>
          <w:szCs w:val="22"/>
        </w:rPr>
        <w:t xml:space="preserve">, courtesy of </w:t>
      </w:r>
      <w:r w:rsidRPr="007D587C">
        <w:rPr>
          <w:rFonts w:asciiTheme="majorBidi" w:hAnsiTheme="majorBidi" w:cstheme="majorBidi"/>
          <w:sz w:val="22"/>
          <w:szCs w:val="22"/>
        </w:rPr>
        <w:t>Shannon Farmer</w:t>
      </w:r>
      <w:r>
        <w:rPr>
          <w:rFonts w:asciiTheme="majorBidi" w:hAnsiTheme="majorBidi" w:cstheme="majorBidi"/>
          <w:sz w:val="22"/>
          <w:szCs w:val="22"/>
        </w:rPr>
        <w:t xml:space="preserve">, </w:t>
      </w:r>
      <w:r w:rsidRPr="007D587C">
        <w:rPr>
          <w:rFonts w:asciiTheme="majorBidi" w:hAnsiTheme="majorBidi" w:cstheme="majorBidi"/>
          <w:sz w:val="22"/>
          <w:szCs w:val="22"/>
        </w:rPr>
        <w:t>School of Surgery, Faculty of Medicine Dentistry and Health Sciences, University of Western Australia</w:t>
      </w:r>
      <w:r>
        <w:rPr>
          <w:rFonts w:asciiTheme="majorBidi" w:hAnsiTheme="majorBidi" w:cstheme="majorBidi"/>
          <w:sz w:val="22"/>
          <w:szCs w:val="22"/>
        </w:rPr>
        <w:t xml:space="preserve">), have been used extensively in these patients and has been shown to achieve relatively rapid rises in hemoglobin level. </w:t>
      </w:r>
    </w:p>
    <w:p w:rsidR="00BB4E3E" w:rsidRPr="00B12504" w:rsidRDefault="00BB4E3E" w:rsidP="00BB4E3E">
      <w:pPr>
        <w:pStyle w:val="Default"/>
        <w:spacing w:line="480" w:lineRule="auto"/>
        <w:rPr>
          <w:rFonts w:asciiTheme="majorBidi" w:hAnsiTheme="majorBidi" w:cstheme="majorBidi"/>
          <w:sz w:val="22"/>
          <w:szCs w:val="22"/>
        </w:rPr>
      </w:pPr>
      <w:r>
        <w:rPr>
          <w:rFonts w:asciiTheme="majorBidi" w:hAnsiTheme="majorBidi" w:cstheme="majorBidi"/>
          <w:sz w:val="22"/>
          <w:szCs w:val="22"/>
        </w:rPr>
        <w:t>In</w:t>
      </w:r>
      <w:r w:rsidRPr="005F5282">
        <w:rPr>
          <w:rFonts w:asciiTheme="majorBidi" w:hAnsiTheme="majorBidi" w:cstheme="majorBidi"/>
          <w:sz w:val="22"/>
          <w:szCs w:val="22"/>
        </w:rPr>
        <w:t xml:space="preserve"> 24 patients</w:t>
      </w:r>
      <w:r>
        <w:rPr>
          <w:rFonts w:asciiTheme="majorBidi" w:hAnsiTheme="majorBidi" w:cstheme="majorBidi"/>
          <w:sz w:val="22"/>
          <w:szCs w:val="22"/>
        </w:rPr>
        <w:t xml:space="preserve"> admitted to ICU</w:t>
      </w:r>
      <w:r w:rsidRPr="005F5282">
        <w:rPr>
          <w:rFonts w:asciiTheme="majorBidi" w:hAnsiTheme="majorBidi" w:cstheme="majorBidi"/>
          <w:sz w:val="22"/>
          <w:szCs w:val="22"/>
        </w:rPr>
        <w:t xml:space="preserve"> over </w:t>
      </w:r>
      <w:r>
        <w:rPr>
          <w:rFonts w:asciiTheme="majorBidi" w:hAnsiTheme="majorBidi" w:cstheme="majorBidi"/>
          <w:sz w:val="22"/>
          <w:szCs w:val="22"/>
        </w:rPr>
        <w:t xml:space="preserve">a </w:t>
      </w:r>
      <w:r w:rsidRPr="005F5282">
        <w:rPr>
          <w:rFonts w:asciiTheme="majorBidi" w:hAnsiTheme="majorBidi" w:cstheme="majorBidi"/>
          <w:sz w:val="22"/>
          <w:szCs w:val="22"/>
        </w:rPr>
        <w:t>7</w:t>
      </w:r>
      <w:r>
        <w:rPr>
          <w:rFonts w:asciiTheme="majorBidi" w:hAnsiTheme="majorBidi" w:cstheme="majorBidi"/>
          <w:sz w:val="22"/>
          <w:szCs w:val="22"/>
        </w:rPr>
        <w:t>-</w:t>
      </w:r>
      <w:r w:rsidRPr="005F5282">
        <w:rPr>
          <w:rFonts w:asciiTheme="majorBidi" w:hAnsiTheme="majorBidi" w:cstheme="majorBidi"/>
          <w:sz w:val="22"/>
          <w:szCs w:val="22"/>
        </w:rPr>
        <w:t>month period</w:t>
      </w:r>
      <w:r>
        <w:rPr>
          <w:rFonts w:asciiTheme="majorBidi" w:hAnsiTheme="majorBidi" w:cstheme="majorBidi"/>
          <w:sz w:val="22"/>
          <w:szCs w:val="22"/>
        </w:rPr>
        <w:t xml:space="preserve"> in 2006, a p</w:t>
      </w:r>
      <w:r w:rsidRPr="005F5282">
        <w:rPr>
          <w:rFonts w:asciiTheme="majorBidi" w:hAnsiTheme="majorBidi" w:cstheme="majorBidi"/>
          <w:sz w:val="22"/>
          <w:szCs w:val="22"/>
        </w:rPr>
        <w:t xml:space="preserve">ost-nadir </w:t>
      </w:r>
      <w:r>
        <w:rPr>
          <w:rFonts w:asciiTheme="majorBidi" w:hAnsiTheme="majorBidi" w:cstheme="majorBidi"/>
          <w:sz w:val="22"/>
          <w:szCs w:val="22"/>
        </w:rPr>
        <w:t>hemoglobin r</w:t>
      </w:r>
      <w:r w:rsidRPr="005F5282">
        <w:rPr>
          <w:rFonts w:asciiTheme="majorBidi" w:hAnsiTheme="majorBidi" w:cstheme="majorBidi"/>
          <w:sz w:val="22"/>
          <w:szCs w:val="22"/>
        </w:rPr>
        <w:t>ise</w:t>
      </w:r>
      <w:r>
        <w:rPr>
          <w:rFonts w:asciiTheme="majorBidi" w:hAnsiTheme="majorBidi" w:cstheme="majorBidi"/>
          <w:sz w:val="22"/>
          <w:szCs w:val="22"/>
        </w:rPr>
        <w:t xml:space="preserve"> of</w:t>
      </w:r>
      <w:r w:rsidRPr="005F5282">
        <w:rPr>
          <w:rFonts w:asciiTheme="majorBidi" w:hAnsiTheme="majorBidi" w:cstheme="majorBidi"/>
          <w:sz w:val="22"/>
          <w:szCs w:val="22"/>
        </w:rPr>
        <w:t xml:space="preserve"> </w:t>
      </w:r>
      <w:r>
        <w:rPr>
          <w:rFonts w:asciiTheme="majorBidi" w:hAnsiTheme="majorBidi" w:cstheme="majorBidi"/>
          <w:sz w:val="22"/>
          <w:szCs w:val="22"/>
        </w:rPr>
        <w:t>0.</w:t>
      </w:r>
      <w:r w:rsidRPr="005F5282">
        <w:rPr>
          <w:rFonts w:asciiTheme="majorBidi" w:hAnsiTheme="majorBidi" w:cstheme="majorBidi"/>
          <w:sz w:val="22"/>
          <w:szCs w:val="22"/>
        </w:rPr>
        <w:t>19-</w:t>
      </w:r>
      <w:r>
        <w:rPr>
          <w:rFonts w:asciiTheme="majorBidi" w:hAnsiTheme="majorBidi" w:cstheme="majorBidi"/>
          <w:sz w:val="22"/>
          <w:szCs w:val="22"/>
        </w:rPr>
        <w:t>0.</w:t>
      </w:r>
      <w:r w:rsidRPr="005F5282">
        <w:rPr>
          <w:rFonts w:asciiTheme="majorBidi" w:hAnsiTheme="majorBidi" w:cstheme="majorBidi"/>
          <w:sz w:val="22"/>
          <w:szCs w:val="22"/>
        </w:rPr>
        <w:t>62 g/</w:t>
      </w:r>
      <w:proofErr w:type="spellStart"/>
      <w:r>
        <w:rPr>
          <w:rFonts w:asciiTheme="majorBidi" w:hAnsiTheme="majorBidi" w:cstheme="majorBidi"/>
          <w:sz w:val="22"/>
          <w:szCs w:val="22"/>
        </w:rPr>
        <w:t>d</w:t>
      </w:r>
      <w:r w:rsidRPr="005F5282">
        <w:rPr>
          <w:rFonts w:asciiTheme="majorBidi" w:hAnsiTheme="majorBidi" w:cstheme="majorBidi"/>
          <w:sz w:val="22"/>
          <w:szCs w:val="22"/>
        </w:rPr>
        <w:t>L</w:t>
      </w:r>
      <w:proofErr w:type="spellEnd"/>
      <w:r>
        <w:rPr>
          <w:rFonts w:asciiTheme="majorBidi" w:hAnsiTheme="majorBidi" w:cstheme="majorBidi"/>
          <w:sz w:val="22"/>
          <w:szCs w:val="22"/>
        </w:rPr>
        <w:t xml:space="preserve"> per day was achieved (</w:t>
      </w:r>
      <w:r w:rsidRPr="005F5282">
        <w:rPr>
          <w:rFonts w:asciiTheme="majorBidi" w:hAnsiTheme="majorBidi" w:cstheme="majorBidi"/>
          <w:sz w:val="22"/>
          <w:szCs w:val="22"/>
        </w:rPr>
        <w:t>Ironing out problems</w:t>
      </w:r>
      <w:r>
        <w:rPr>
          <w:rFonts w:asciiTheme="majorBidi" w:hAnsiTheme="majorBidi" w:cstheme="majorBidi"/>
          <w:sz w:val="22"/>
          <w:szCs w:val="22"/>
        </w:rPr>
        <w:t>.</w:t>
      </w:r>
      <w:r w:rsidRPr="005F5282">
        <w:rPr>
          <w:rFonts w:asciiTheme="majorBidi" w:hAnsiTheme="majorBidi" w:cstheme="majorBidi"/>
          <w:sz w:val="22"/>
          <w:szCs w:val="22"/>
        </w:rPr>
        <w:t xml:space="preserve"> </w:t>
      </w:r>
      <w:proofErr w:type="spellStart"/>
      <w:r w:rsidRPr="005F5282">
        <w:rPr>
          <w:rFonts w:asciiTheme="majorBidi" w:hAnsiTheme="majorBidi" w:cstheme="majorBidi"/>
          <w:sz w:val="22"/>
          <w:szCs w:val="22"/>
        </w:rPr>
        <w:t>McMorrow</w:t>
      </w:r>
      <w:proofErr w:type="spellEnd"/>
      <w:r w:rsidRPr="005F5282">
        <w:rPr>
          <w:rFonts w:asciiTheme="majorBidi" w:hAnsiTheme="majorBidi" w:cstheme="majorBidi"/>
          <w:sz w:val="22"/>
          <w:szCs w:val="22"/>
        </w:rPr>
        <w:t xml:space="preserve"> J, Farmer S, </w:t>
      </w:r>
      <w:proofErr w:type="spellStart"/>
      <w:r w:rsidRPr="005F5282">
        <w:rPr>
          <w:rFonts w:asciiTheme="majorBidi" w:hAnsiTheme="majorBidi" w:cstheme="majorBidi"/>
          <w:sz w:val="22"/>
          <w:szCs w:val="22"/>
        </w:rPr>
        <w:t>Towler</w:t>
      </w:r>
      <w:proofErr w:type="spellEnd"/>
      <w:r w:rsidRPr="005F5282">
        <w:rPr>
          <w:rFonts w:asciiTheme="majorBidi" w:hAnsiTheme="majorBidi" w:cstheme="majorBidi"/>
          <w:sz w:val="22"/>
          <w:szCs w:val="22"/>
        </w:rPr>
        <w:t xml:space="preserve"> S, </w:t>
      </w:r>
      <w:proofErr w:type="spellStart"/>
      <w:r w:rsidRPr="005F5282">
        <w:rPr>
          <w:rFonts w:asciiTheme="majorBidi" w:hAnsiTheme="majorBidi" w:cstheme="majorBidi"/>
          <w:sz w:val="22"/>
          <w:szCs w:val="22"/>
        </w:rPr>
        <w:t>Carnley</w:t>
      </w:r>
      <w:proofErr w:type="spellEnd"/>
      <w:r w:rsidRPr="005F5282">
        <w:rPr>
          <w:rFonts w:asciiTheme="majorBidi" w:hAnsiTheme="majorBidi" w:cstheme="majorBidi"/>
          <w:sz w:val="22"/>
          <w:szCs w:val="22"/>
        </w:rPr>
        <w:t xml:space="preserve"> B. SHPA 2007 Abstract</w:t>
      </w:r>
      <w:r>
        <w:rPr>
          <w:rFonts w:asciiTheme="majorBidi" w:hAnsiTheme="majorBidi" w:cstheme="majorBidi"/>
          <w:sz w:val="22"/>
          <w:szCs w:val="22"/>
        </w:rPr>
        <w:t xml:space="preserve">). Similarly, in a series of 18 patients including </w:t>
      </w:r>
      <w:r w:rsidRPr="007E18AB">
        <w:rPr>
          <w:rFonts w:asciiTheme="majorBidi" w:hAnsiTheme="majorBidi" w:cstheme="majorBidi"/>
          <w:sz w:val="22"/>
          <w:szCs w:val="22"/>
        </w:rPr>
        <w:t xml:space="preserve">6 severely anemic patients transferred to ICU </w:t>
      </w:r>
      <w:r>
        <w:rPr>
          <w:rFonts w:asciiTheme="majorBidi" w:hAnsiTheme="majorBidi" w:cstheme="majorBidi"/>
          <w:sz w:val="22"/>
          <w:szCs w:val="22"/>
        </w:rPr>
        <w:t xml:space="preserve">with </w:t>
      </w:r>
      <w:r w:rsidRPr="007E18AB">
        <w:rPr>
          <w:rFonts w:asciiTheme="majorBidi" w:hAnsiTheme="majorBidi" w:cstheme="majorBidi"/>
          <w:sz w:val="22"/>
          <w:szCs w:val="22"/>
        </w:rPr>
        <w:t>severe hemorrhage and multiple trauma</w:t>
      </w:r>
      <w:r>
        <w:rPr>
          <w:rFonts w:asciiTheme="majorBidi" w:hAnsiTheme="majorBidi" w:cstheme="majorBidi"/>
          <w:sz w:val="22"/>
          <w:szCs w:val="22"/>
        </w:rPr>
        <w:t xml:space="preserve"> and nadir hemoglobin range of </w:t>
      </w:r>
      <w:r w:rsidRPr="007E18AB">
        <w:rPr>
          <w:rFonts w:asciiTheme="majorBidi" w:hAnsiTheme="majorBidi" w:cstheme="majorBidi"/>
          <w:sz w:val="22"/>
          <w:szCs w:val="22"/>
        </w:rPr>
        <w:t>1</w:t>
      </w:r>
      <w:r>
        <w:rPr>
          <w:rFonts w:asciiTheme="majorBidi" w:hAnsiTheme="majorBidi" w:cstheme="majorBidi"/>
          <w:sz w:val="22"/>
          <w:szCs w:val="22"/>
        </w:rPr>
        <w:t>.</w:t>
      </w:r>
      <w:r w:rsidRPr="007E18AB">
        <w:rPr>
          <w:rFonts w:asciiTheme="majorBidi" w:hAnsiTheme="majorBidi" w:cstheme="majorBidi"/>
          <w:sz w:val="22"/>
          <w:szCs w:val="22"/>
        </w:rPr>
        <w:t>7-</w:t>
      </w:r>
      <w:r>
        <w:rPr>
          <w:rFonts w:asciiTheme="majorBidi" w:hAnsiTheme="majorBidi" w:cstheme="majorBidi"/>
          <w:sz w:val="22"/>
          <w:szCs w:val="22"/>
        </w:rPr>
        <w:t>5.</w:t>
      </w:r>
      <w:r w:rsidRPr="007E18AB">
        <w:rPr>
          <w:rFonts w:asciiTheme="majorBidi" w:hAnsiTheme="majorBidi" w:cstheme="majorBidi"/>
          <w:sz w:val="22"/>
          <w:szCs w:val="22"/>
        </w:rPr>
        <w:t>3 g/</w:t>
      </w:r>
      <w:proofErr w:type="spellStart"/>
      <w:r>
        <w:rPr>
          <w:rFonts w:asciiTheme="majorBidi" w:hAnsiTheme="majorBidi" w:cstheme="majorBidi"/>
          <w:sz w:val="22"/>
          <w:szCs w:val="22"/>
        </w:rPr>
        <w:t>d</w:t>
      </w:r>
      <w:r w:rsidRPr="007E18AB">
        <w:rPr>
          <w:rFonts w:asciiTheme="majorBidi" w:hAnsiTheme="majorBidi" w:cstheme="majorBidi"/>
          <w:sz w:val="22"/>
          <w:szCs w:val="22"/>
        </w:rPr>
        <w:t>L</w:t>
      </w:r>
      <w:proofErr w:type="spellEnd"/>
      <w:r>
        <w:rPr>
          <w:rFonts w:asciiTheme="majorBidi" w:hAnsiTheme="majorBidi" w:cstheme="majorBidi"/>
          <w:sz w:val="22"/>
          <w:szCs w:val="22"/>
        </w:rPr>
        <w:t>, post-nadir hemoglobin rise was 0.39-0.61 g/</w:t>
      </w:r>
      <w:proofErr w:type="spellStart"/>
      <w:r>
        <w:rPr>
          <w:rFonts w:asciiTheme="majorBidi" w:hAnsiTheme="majorBidi" w:cstheme="majorBidi"/>
          <w:sz w:val="22"/>
          <w:szCs w:val="22"/>
        </w:rPr>
        <w:t>dL</w:t>
      </w:r>
      <w:proofErr w:type="spellEnd"/>
      <w:r>
        <w:rPr>
          <w:rFonts w:asciiTheme="majorBidi" w:hAnsiTheme="majorBidi" w:cstheme="majorBidi"/>
          <w:sz w:val="22"/>
          <w:szCs w:val="22"/>
        </w:rPr>
        <w:t xml:space="preserve"> per day, with hemoglobin levels reaching </w:t>
      </w:r>
      <w:r w:rsidRPr="007E18AB">
        <w:rPr>
          <w:rFonts w:asciiTheme="majorBidi" w:hAnsiTheme="majorBidi" w:cstheme="majorBidi"/>
          <w:sz w:val="22"/>
          <w:szCs w:val="22"/>
        </w:rPr>
        <w:t>4</w:t>
      </w:r>
      <w:r>
        <w:rPr>
          <w:rFonts w:asciiTheme="majorBidi" w:hAnsiTheme="majorBidi" w:cstheme="majorBidi"/>
          <w:sz w:val="22"/>
          <w:szCs w:val="22"/>
        </w:rPr>
        <w:t>.</w:t>
      </w:r>
      <w:r w:rsidRPr="007E18AB">
        <w:rPr>
          <w:rFonts w:asciiTheme="majorBidi" w:hAnsiTheme="majorBidi" w:cstheme="majorBidi"/>
          <w:sz w:val="22"/>
          <w:szCs w:val="22"/>
        </w:rPr>
        <w:t>9-8</w:t>
      </w:r>
      <w:r>
        <w:rPr>
          <w:rFonts w:asciiTheme="majorBidi" w:hAnsiTheme="majorBidi" w:cstheme="majorBidi"/>
          <w:sz w:val="22"/>
          <w:szCs w:val="22"/>
        </w:rPr>
        <w:t>.</w:t>
      </w:r>
      <w:r w:rsidRPr="007E18AB">
        <w:rPr>
          <w:rFonts w:asciiTheme="majorBidi" w:hAnsiTheme="majorBidi" w:cstheme="majorBidi"/>
          <w:sz w:val="22"/>
          <w:szCs w:val="22"/>
        </w:rPr>
        <w:t>1 g/</w:t>
      </w:r>
      <w:proofErr w:type="spellStart"/>
      <w:r>
        <w:rPr>
          <w:rFonts w:asciiTheme="majorBidi" w:hAnsiTheme="majorBidi" w:cstheme="majorBidi"/>
          <w:sz w:val="22"/>
          <w:szCs w:val="22"/>
        </w:rPr>
        <w:t>d</w:t>
      </w:r>
      <w:r w:rsidRPr="007E18AB">
        <w:rPr>
          <w:rFonts w:asciiTheme="majorBidi" w:hAnsiTheme="majorBidi" w:cstheme="majorBidi"/>
          <w:sz w:val="22"/>
          <w:szCs w:val="22"/>
        </w:rPr>
        <w:t>L</w:t>
      </w:r>
      <w:proofErr w:type="spellEnd"/>
      <w:r w:rsidRPr="007E18AB">
        <w:rPr>
          <w:rFonts w:asciiTheme="majorBidi" w:hAnsiTheme="majorBidi" w:cstheme="majorBidi"/>
          <w:sz w:val="22"/>
          <w:szCs w:val="22"/>
        </w:rPr>
        <w:t xml:space="preserve"> </w:t>
      </w:r>
      <w:r>
        <w:rPr>
          <w:rFonts w:asciiTheme="majorBidi" w:hAnsiTheme="majorBidi" w:cstheme="majorBidi"/>
          <w:sz w:val="22"/>
          <w:szCs w:val="22"/>
        </w:rPr>
        <w:t xml:space="preserve">at </w:t>
      </w:r>
      <w:r w:rsidRPr="007E18AB">
        <w:rPr>
          <w:rFonts w:asciiTheme="majorBidi" w:hAnsiTheme="majorBidi" w:cstheme="majorBidi"/>
          <w:sz w:val="22"/>
          <w:szCs w:val="22"/>
        </w:rPr>
        <w:t>4-6 days</w:t>
      </w:r>
      <w:r>
        <w:rPr>
          <w:rFonts w:asciiTheme="majorBidi" w:hAnsiTheme="majorBidi" w:cstheme="majorBidi"/>
          <w:sz w:val="22"/>
          <w:szCs w:val="22"/>
        </w:rPr>
        <w:t xml:space="preserve"> and </w:t>
      </w:r>
      <w:r w:rsidRPr="007E18AB">
        <w:rPr>
          <w:rFonts w:asciiTheme="majorBidi" w:hAnsiTheme="majorBidi" w:cstheme="majorBidi"/>
          <w:sz w:val="22"/>
          <w:szCs w:val="22"/>
        </w:rPr>
        <w:t>7</w:t>
      </w:r>
      <w:r>
        <w:rPr>
          <w:rFonts w:asciiTheme="majorBidi" w:hAnsiTheme="majorBidi" w:cstheme="majorBidi"/>
          <w:sz w:val="22"/>
          <w:szCs w:val="22"/>
        </w:rPr>
        <w:t>.</w:t>
      </w:r>
      <w:r w:rsidRPr="007E18AB">
        <w:rPr>
          <w:rFonts w:asciiTheme="majorBidi" w:hAnsiTheme="majorBidi" w:cstheme="majorBidi"/>
          <w:sz w:val="22"/>
          <w:szCs w:val="22"/>
        </w:rPr>
        <w:t>3-10</w:t>
      </w:r>
      <w:r>
        <w:rPr>
          <w:rFonts w:asciiTheme="majorBidi" w:hAnsiTheme="majorBidi" w:cstheme="majorBidi"/>
          <w:sz w:val="22"/>
          <w:szCs w:val="22"/>
        </w:rPr>
        <w:t>.</w:t>
      </w:r>
      <w:r w:rsidRPr="007E18AB">
        <w:rPr>
          <w:rFonts w:asciiTheme="majorBidi" w:hAnsiTheme="majorBidi" w:cstheme="majorBidi"/>
          <w:sz w:val="22"/>
          <w:szCs w:val="22"/>
        </w:rPr>
        <w:t>8 g/</w:t>
      </w:r>
      <w:proofErr w:type="spellStart"/>
      <w:r>
        <w:rPr>
          <w:rFonts w:asciiTheme="majorBidi" w:hAnsiTheme="majorBidi" w:cstheme="majorBidi"/>
          <w:sz w:val="22"/>
          <w:szCs w:val="22"/>
        </w:rPr>
        <w:t>d</w:t>
      </w:r>
      <w:r w:rsidRPr="007E18AB">
        <w:rPr>
          <w:rFonts w:asciiTheme="majorBidi" w:hAnsiTheme="majorBidi" w:cstheme="majorBidi"/>
          <w:sz w:val="22"/>
          <w:szCs w:val="22"/>
        </w:rPr>
        <w:t>L</w:t>
      </w:r>
      <w:proofErr w:type="spellEnd"/>
      <w:r w:rsidRPr="007E18AB">
        <w:rPr>
          <w:rFonts w:asciiTheme="majorBidi" w:hAnsiTheme="majorBidi" w:cstheme="majorBidi"/>
          <w:sz w:val="22"/>
          <w:szCs w:val="22"/>
        </w:rPr>
        <w:t xml:space="preserve"> </w:t>
      </w:r>
      <w:r>
        <w:rPr>
          <w:rFonts w:asciiTheme="majorBidi" w:hAnsiTheme="majorBidi" w:cstheme="majorBidi"/>
          <w:sz w:val="22"/>
          <w:szCs w:val="22"/>
        </w:rPr>
        <w:t xml:space="preserve">at </w:t>
      </w:r>
      <w:r w:rsidRPr="007E18AB">
        <w:rPr>
          <w:rFonts w:asciiTheme="majorBidi" w:hAnsiTheme="majorBidi" w:cstheme="majorBidi"/>
          <w:sz w:val="22"/>
          <w:szCs w:val="22"/>
        </w:rPr>
        <w:t>10 - 12 days</w:t>
      </w:r>
      <w:r>
        <w:rPr>
          <w:rFonts w:asciiTheme="majorBidi" w:hAnsiTheme="majorBidi" w:cstheme="majorBidi"/>
          <w:sz w:val="22"/>
          <w:szCs w:val="22"/>
        </w:rPr>
        <w:t xml:space="preserve"> (</w:t>
      </w:r>
      <w:r w:rsidRPr="007E18AB">
        <w:rPr>
          <w:rFonts w:asciiTheme="majorBidi" w:hAnsiTheme="majorBidi" w:cstheme="majorBidi"/>
          <w:sz w:val="22"/>
          <w:szCs w:val="22"/>
        </w:rPr>
        <w:t>2 patients had further surgery days 3 and 4 post-nadir</w:t>
      </w:r>
      <w:r>
        <w:rPr>
          <w:rFonts w:asciiTheme="majorBidi" w:hAnsiTheme="majorBidi" w:cstheme="majorBidi"/>
          <w:sz w:val="22"/>
          <w:szCs w:val="22"/>
        </w:rPr>
        <w:t xml:space="preserve"> hemoglobin level). In several other cases, the observed hemoglobin level rise achieved under this protocol was around 4 g/</w:t>
      </w:r>
      <w:proofErr w:type="spellStart"/>
      <w:r>
        <w:rPr>
          <w:rFonts w:asciiTheme="majorBidi" w:hAnsiTheme="majorBidi" w:cstheme="majorBidi"/>
          <w:sz w:val="22"/>
          <w:szCs w:val="22"/>
        </w:rPr>
        <w:t>dL</w:t>
      </w:r>
      <w:proofErr w:type="spellEnd"/>
      <w:r>
        <w:rPr>
          <w:rFonts w:asciiTheme="majorBidi" w:hAnsiTheme="majorBidi" w:cstheme="majorBidi"/>
          <w:sz w:val="22"/>
          <w:szCs w:val="22"/>
        </w:rPr>
        <w:t xml:space="preserve"> per week over the first week, 1.7 g/</w:t>
      </w:r>
      <w:proofErr w:type="spellStart"/>
      <w:r>
        <w:rPr>
          <w:rFonts w:asciiTheme="majorBidi" w:hAnsiTheme="majorBidi" w:cstheme="majorBidi"/>
          <w:sz w:val="22"/>
          <w:szCs w:val="22"/>
        </w:rPr>
        <w:t>dL</w:t>
      </w:r>
      <w:proofErr w:type="spellEnd"/>
      <w:r>
        <w:rPr>
          <w:rFonts w:asciiTheme="majorBidi" w:hAnsiTheme="majorBidi" w:cstheme="majorBidi"/>
          <w:sz w:val="22"/>
          <w:szCs w:val="22"/>
        </w:rPr>
        <w:t xml:space="preserve"> per week over the first 2 weeks and 1.6-3.4 g/</w:t>
      </w:r>
      <w:proofErr w:type="spellStart"/>
      <w:r>
        <w:rPr>
          <w:rFonts w:asciiTheme="majorBidi" w:hAnsiTheme="majorBidi" w:cstheme="majorBidi"/>
          <w:sz w:val="22"/>
          <w:szCs w:val="22"/>
        </w:rPr>
        <w:t>dL</w:t>
      </w:r>
      <w:proofErr w:type="spellEnd"/>
      <w:r>
        <w:rPr>
          <w:rFonts w:asciiTheme="majorBidi" w:hAnsiTheme="majorBidi" w:cstheme="majorBidi"/>
          <w:sz w:val="22"/>
          <w:szCs w:val="22"/>
        </w:rPr>
        <w:t xml:space="preserve"> per week over the first 3 weeks. Therefore, our observations support an initial rapid response phase to hematinics in severely anemic patient occurring within the first few days of the treatment which can be critical in minimizing the negative consequences of hypoxia in these patients.</w:t>
      </w:r>
    </w:p>
    <w:p w:rsidR="00CC29FC" w:rsidRPr="00446C3D" w:rsidRDefault="00CC29FC" w:rsidP="00BB4E3E">
      <w:pPr>
        <w:spacing w:after="0" w:line="480" w:lineRule="auto"/>
        <w:ind w:left="720" w:hanging="720"/>
        <w:rPr>
          <w:rFonts w:ascii="Times New Roman" w:hAnsi="Times New Roman" w:cs="Times New Roman"/>
        </w:rPr>
      </w:pPr>
    </w:p>
    <w:sectPr w:rsidR="00CC29FC" w:rsidRPr="00446C3D" w:rsidSect="00C4640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96" w:rsidRDefault="00377A96" w:rsidP="00560A19">
      <w:pPr>
        <w:spacing w:after="0" w:line="240" w:lineRule="auto"/>
      </w:pPr>
      <w:r>
        <w:separator/>
      </w:r>
    </w:p>
  </w:endnote>
  <w:endnote w:type="continuationSeparator" w:id="0">
    <w:p w:rsidR="00377A96" w:rsidRDefault="00377A96" w:rsidP="00560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35016"/>
      <w:docPartObj>
        <w:docPartGallery w:val="Page Numbers (Bottom of Page)"/>
        <w:docPartUnique/>
      </w:docPartObj>
    </w:sdtPr>
    <w:sdtContent>
      <w:p w:rsidR="00A73E44" w:rsidRDefault="007322D5">
        <w:pPr>
          <w:pStyle w:val="Footer"/>
          <w:jc w:val="center"/>
        </w:pPr>
        <w:fldSimple w:instr=" PAGE   \* MERGEFORMAT ">
          <w:r w:rsidR="007E27A1">
            <w:rPr>
              <w:noProof/>
            </w:rPr>
            <w:t>1</w:t>
          </w:r>
        </w:fldSimple>
      </w:p>
    </w:sdtContent>
  </w:sdt>
  <w:p w:rsidR="00A73E44" w:rsidRDefault="00A73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96" w:rsidRDefault="00377A96" w:rsidP="00560A19">
      <w:pPr>
        <w:spacing w:after="0" w:line="240" w:lineRule="auto"/>
      </w:pPr>
      <w:r>
        <w:separator/>
      </w:r>
    </w:p>
  </w:footnote>
  <w:footnote w:type="continuationSeparator" w:id="0">
    <w:p w:rsidR="00377A96" w:rsidRDefault="00377A96" w:rsidP="00560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369"/>
    <w:multiLevelType w:val="hybridMultilevel"/>
    <w:tmpl w:val="897A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B7AA6"/>
    <w:multiLevelType w:val="hybridMultilevel"/>
    <w:tmpl w:val="FBA4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C0A1A"/>
    <w:multiLevelType w:val="hybridMultilevel"/>
    <w:tmpl w:val="E272DFD8"/>
    <w:lvl w:ilvl="0" w:tplc="0409000F">
      <w:start w:val="1"/>
      <w:numFmt w:val="decimal"/>
      <w:lvlText w:val="%1."/>
      <w:lvlJc w:val="left"/>
      <w:pPr>
        <w:ind w:left="720" w:hanging="360"/>
      </w:pPr>
    </w:lvl>
    <w:lvl w:ilvl="1" w:tplc="F30E29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47179"/>
    <w:multiLevelType w:val="hybridMultilevel"/>
    <w:tmpl w:val="473AE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21C96"/>
    <w:multiLevelType w:val="hybridMultilevel"/>
    <w:tmpl w:val="3E0E00D4"/>
    <w:lvl w:ilvl="0" w:tplc="04090011">
      <w:start w:val="1"/>
      <w:numFmt w:val="decimal"/>
      <w:lvlText w:val="%1)"/>
      <w:lvlJc w:val="left"/>
      <w:pPr>
        <w:ind w:left="720" w:hanging="360"/>
      </w:pPr>
    </w:lvl>
    <w:lvl w:ilvl="1" w:tplc="1B303E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B3861"/>
    <w:multiLevelType w:val="hybridMultilevel"/>
    <w:tmpl w:val="36420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73A89"/>
    <w:multiLevelType w:val="hybridMultilevel"/>
    <w:tmpl w:val="9BE29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F28C6"/>
    <w:multiLevelType w:val="hybridMultilevel"/>
    <w:tmpl w:val="965CC04C"/>
    <w:lvl w:ilvl="0" w:tplc="0409000F">
      <w:start w:val="1"/>
      <w:numFmt w:val="decimal"/>
      <w:lvlText w:val="%1."/>
      <w:lvlJc w:val="left"/>
      <w:pPr>
        <w:ind w:left="720" w:hanging="360"/>
      </w:pPr>
    </w:lvl>
    <w:lvl w:ilvl="1" w:tplc="A392CA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B029F"/>
    <w:multiLevelType w:val="hybridMultilevel"/>
    <w:tmpl w:val="059C784C"/>
    <w:lvl w:ilvl="0" w:tplc="0310BFC8">
      <w:start w:val="1"/>
      <w:numFmt w:val="decimal"/>
      <w:lvlText w:val="%1)"/>
      <w:lvlJc w:val="left"/>
      <w:pPr>
        <w:ind w:left="1080" w:hanging="720"/>
      </w:pPr>
      <w:rPr>
        <w:rFonts w:hint="default"/>
      </w:rPr>
    </w:lvl>
    <w:lvl w:ilvl="1" w:tplc="581A6B5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C37AC"/>
    <w:multiLevelType w:val="hybridMultilevel"/>
    <w:tmpl w:val="B2FCF95A"/>
    <w:lvl w:ilvl="0" w:tplc="2854A6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07954"/>
    <w:multiLevelType w:val="hybridMultilevel"/>
    <w:tmpl w:val="8574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9"/>
  </w:num>
  <w:num w:numId="8">
    <w:abstractNumId w:val="0"/>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C:\Program Files (x86)\Reference Manager 11\Styles\JAMA.os&lt;/StartingRefnum&gt;&lt;FontName&gt;Times New Roman&lt;/FontName&gt;&lt;FontSize&gt;11&lt;/FontSize&gt;&lt;ReflistTitle&gt;&lt;b&gt;REFERENCES&lt;/b&gt;&lt;/ReflistTitle&gt;&lt;SpaceAfter&gt;1&lt;/SpaceAfter&gt;&lt;ReflistOrder&gt;0&lt;/ReflistOrder&gt;&lt;CitationOrder&gt;0&lt;/CitationOrder&gt;&lt;NumberReferences&gt;1&lt;/NumberReferences&gt;&lt;FirstLineIndent&gt;0&lt;/FirstLineIndent&gt;&lt;HangingIndent&gt;0&lt;/HangingIndent&gt;&lt;LineSpacing&gt;2&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icu-abt&lt;/item&gt;&lt;/Libraries&gt;&lt;/Databases&gt;"/>
  </w:docVars>
  <w:rsids>
    <w:rsidRoot w:val="008C161E"/>
    <w:rsid w:val="00003371"/>
    <w:rsid w:val="000150C3"/>
    <w:rsid w:val="0001768B"/>
    <w:rsid w:val="00023899"/>
    <w:rsid w:val="00031093"/>
    <w:rsid w:val="00041299"/>
    <w:rsid w:val="00043F4A"/>
    <w:rsid w:val="00044F4F"/>
    <w:rsid w:val="00050839"/>
    <w:rsid w:val="0005370E"/>
    <w:rsid w:val="00055645"/>
    <w:rsid w:val="0005788F"/>
    <w:rsid w:val="00060567"/>
    <w:rsid w:val="00061CBC"/>
    <w:rsid w:val="000660C6"/>
    <w:rsid w:val="00070794"/>
    <w:rsid w:val="00071F85"/>
    <w:rsid w:val="00073FF0"/>
    <w:rsid w:val="0007730F"/>
    <w:rsid w:val="00077E3F"/>
    <w:rsid w:val="00081713"/>
    <w:rsid w:val="00095F17"/>
    <w:rsid w:val="000A1747"/>
    <w:rsid w:val="000A476F"/>
    <w:rsid w:val="000A5A37"/>
    <w:rsid w:val="000C46B0"/>
    <w:rsid w:val="000C4F37"/>
    <w:rsid w:val="000C55B5"/>
    <w:rsid w:val="000D01CF"/>
    <w:rsid w:val="000D05F6"/>
    <w:rsid w:val="000D158E"/>
    <w:rsid w:val="000D17FF"/>
    <w:rsid w:val="000D4ABC"/>
    <w:rsid w:val="000D66A9"/>
    <w:rsid w:val="000D6EEB"/>
    <w:rsid w:val="000E01B9"/>
    <w:rsid w:val="000E07DE"/>
    <w:rsid w:val="000E09C5"/>
    <w:rsid w:val="000E280C"/>
    <w:rsid w:val="000E40AB"/>
    <w:rsid w:val="000F0DBA"/>
    <w:rsid w:val="000F2580"/>
    <w:rsid w:val="000F414E"/>
    <w:rsid w:val="000F6AB5"/>
    <w:rsid w:val="000F7933"/>
    <w:rsid w:val="00103B02"/>
    <w:rsid w:val="001048D6"/>
    <w:rsid w:val="0010643A"/>
    <w:rsid w:val="00107464"/>
    <w:rsid w:val="0011101A"/>
    <w:rsid w:val="00111E6E"/>
    <w:rsid w:val="0011217A"/>
    <w:rsid w:val="00114C1C"/>
    <w:rsid w:val="00117E8E"/>
    <w:rsid w:val="001225D0"/>
    <w:rsid w:val="001264DC"/>
    <w:rsid w:val="00127295"/>
    <w:rsid w:val="00133CA8"/>
    <w:rsid w:val="001348AF"/>
    <w:rsid w:val="001350CF"/>
    <w:rsid w:val="001365D6"/>
    <w:rsid w:val="00142816"/>
    <w:rsid w:val="00144ACC"/>
    <w:rsid w:val="00147B16"/>
    <w:rsid w:val="00147B7E"/>
    <w:rsid w:val="00152C95"/>
    <w:rsid w:val="00157327"/>
    <w:rsid w:val="001617B1"/>
    <w:rsid w:val="001639CD"/>
    <w:rsid w:val="0016724F"/>
    <w:rsid w:val="00170A47"/>
    <w:rsid w:val="00175ADE"/>
    <w:rsid w:val="00182416"/>
    <w:rsid w:val="00186088"/>
    <w:rsid w:val="0019241B"/>
    <w:rsid w:val="001A05BF"/>
    <w:rsid w:val="001A2698"/>
    <w:rsid w:val="001A41B9"/>
    <w:rsid w:val="001A7208"/>
    <w:rsid w:val="001A7E6F"/>
    <w:rsid w:val="001B5EA3"/>
    <w:rsid w:val="001B7D99"/>
    <w:rsid w:val="001C4270"/>
    <w:rsid w:val="001C7855"/>
    <w:rsid w:val="001C7E75"/>
    <w:rsid w:val="001E1AF7"/>
    <w:rsid w:val="001E4663"/>
    <w:rsid w:val="001E7150"/>
    <w:rsid w:val="001F3B5F"/>
    <w:rsid w:val="001F3DFE"/>
    <w:rsid w:val="001F7978"/>
    <w:rsid w:val="00201696"/>
    <w:rsid w:val="002045AA"/>
    <w:rsid w:val="002076F4"/>
    <w:rsid w:val="00215D16"/>
    <w:rsid w:val="0021792D"/>
    <w:rsid w:val="00217FC9"/>
    <w:rsid w:val="00222189"/>
    <w:rsid w:val="002249D2"/>
    <w:rsid w:val="00225826"/>
    <w:rsid w:val="002300D3"/>
    <w:rsid w:val="002305C2"/>
    <w:rsid w:val="00231AA5"/>
    <w:rsid w:val="0023272E"/>
    <w:rsid w:val="00233C93"/>
    <w:rsid w:val="00233FA0"/>
    <w:rsid w:val="00236C20"/>
    <w:rsid w:val="00240617"/>
    <w:rsid w:val="00241E56"/>
    <w:rsid w:val="002463B6"/>
    <w:rsid w:val="0024687C"/>
    <w:rsid w:val="0025037E"/>
    <w:rsid w:val="002506ED"/>
    <w:rsid w:val="0025282D"/>
    <w:rsid w:val="0025400C"/>
    <w:rsid w:val="00254027"/>
    <w:rsid w:val="00255304"/>
    <w:rsid w:val="0026033C"/>
    <w:rsid w:val="002619AE"/>
    <w:rsid w:val="00261C53"/>
    <w:rsid w:val="00270C27"/>
    <w:rsid w:val="00271A2D"/>
    <w:rsid w:val="00276C87"/>
    <w:rsid w:val="00281753"/>
    <w:rsid w:val="00282457"/>
    <w:rsid w:val="00284853"/>
    <w:rsid w:val="0028522F"/>
    <w:rsid w:val="0029167F"/>
    <w:rsid w:val="00294807"/>
    <w:rsid w:val="0029535E"/>
    <w:rsid w:val="002A1CEA"/>
    <w:rsid w:val="002A1F0C"/>
    <w:rsid w:val="002A21B7"/>
    <w:rsid w:val="002A38AF"/>
    <w:rsid w:val="002B0FE4"/>
    <w:rsid w:val="002B1A43"/>
    <w:rsid w:val="002B224B"/>
    <w:rsid w:val="002B5902"/>
    <w:rsid w:val="002B7233"/>
    <w:rsid w:val="002B7F6F"/>
    <w:rsid w:val="002C3A5B"/>
    <w:rsid w:val="002C77AC"/>
    <w:rsid w:val="002C7A93"/>
    <w:rsid w:val="002D2854"/>
    <w:rsid w:val="002D744A"/>
    <w:rsid w:val="002E1243"/>
    <w:rsid w:val="002E12E9"/>
    <w:rsid w:val="002E26F0"/>
    <w:rsid w:val="002E2758"/>
    <w:rsid w:val="002E3167"/>
    <w:rsid w:val="002E4C59"/>
    <w:rsid w:val="002E5385"/>
    <w:rsid w:val="00301318"/>
    <w:rsid w:val="00310CB2"/>
    <w:rsid w:val="00315CFC"/>
    <w:rsid w:val="003163CE"/>
    <w:rsid w:val="003241E9"/>
    <w:rsid w:val="003258E1"/>
    <w:rsid w:val="00325D94"/>
    <w:rsid w:val="003300A7"/>
    <w:rsid w:val="00331199"/>
    <w:rsid w:val="003312F4"/>
    <w:rsid w:val="0033348A"/>
    <w:rsid w:val="00333ADD"/>
    <w:rsid w:val="0034355C"/>
    <w:rsid w:val="0034735B"/>
    <w:rsid w:val="00347C14"/>
    <w:rsid w:val="0035005C"/>
    <w:rsid w:val="00350834"/>
    <w:rsid w:val="003542B7"/>
    <w:rsid w:val="003568AC"/>
    <w:rsid w:val="00365687"/>
    <w:rsid w:val="003659A9"/>
    <w:rsid w:val="0036691E"/>
    <w:rsid w:val="00374C01"/>
    <w:rsid w:val="00375566"/>
    <w:rsid w:val="003777FB"/>
    <w:rsid w:val="00377A96"/>
    <w:rsid w:val="00382BF2"/>
    <w:rsid w:val="00383833"/>
    <w:rsid w:val="00392BF7"/>
    <w:rsid w:val="00393EFD"/>
    <w:rsid w:val="0039430D"/>
    <w:rsid w:val="00397BD8"/>
    <w:rsid w:val="00397C86"/>
    <w:rsid w:val="00397CAB"/>
    <w:rsid w:val="003B18D4"/>
    <w:rsid w:val="003B3897"/>
    <w:rsid w:val="003B6836"/>
    <w:rsid w:val="003C3B63"/>
    <w:rsid w:val="003C5955"/>
    <w:rsid w:val="003D74BD"/>
    <w:rsid w:val="003E337B"/>
    <w:rsid w:val="003F48A8"/>
    <w:rsid w:val="003F4B7C"/>
    <w:rsid w:val="003F71BE"/>
    <w:rsid w:val="003F7A4A"/>
    <w:rsid w:val="0040062E"/>
    <w:rsid w:val="0040468D"/>
    <w:rsid w:val="00406F04"/>
    <w:rsid w:val="00414CD7"/>
    <w:rsid w:val="00416748"/>
    <w:rsid w:val="0042283F"/>
    <w:rsid w:val="004244E2"/>
    <w:rsid w:val="00424692"/>
    <w:rsid w:val="004246AC"/>
    <w:rsid w:val="0043000C"/>
    <w:rsid w:val="00433CF8"/>
    <w:rsid w:val="004341B4"/>
    <w:rsid w:val="004377AE"/>
    <w:rsid w:val="004436ED"/>
    <w:rsid w:val="0044445C"/>
    <w:rsid w:val="00445A91"/>
    <w:rsid w:val="00446892"/>
    <w:rsid w:val="00446C3D"/>
    <w:rsid w:val="00452FBC"/>
    <w:rsid w:val="004549FA"/>
    <w:rsid w:val="00461D9C"/>
    <w:rsid w:val="004704AD"/>
    <w:rsid w:val="00471C15"/>
    <w:rsid w:val="0047404E"/>
    <w:rsid w:val="004836B6"/>
    <w:rsid w:val="00483948"/>
    <w:rsid w:val="00483FB4"/>
    <w:rsid w:val="004855AA"/>
    <w:rsid w:val="00487F24"/>
    <w:rsid w:val="00491723"/>
    <w:rsid w:val="00492DAE"/>
    <w:rsid w:val="004946F4"/>
    <w:rsid w:val="004953AA"/>
    <w:rsid w:val="004971B4"/>
    <w:rsid w:val="004A0F0B"/>
    <w:rsid w:val="004A39AE"/>
    <w:rsid w:val="004A405A"/>
    <w:rsid w:val="004A40C4"/>
    <w:rsid w:val="004A7D48"/>
    <w:rsid w:val="004A7DA7"/>
    <w:rsid w:val="004B0C2E"/>
    <w:rsid w:val="004C023B"/>
    <w:rsid w:val="004C2237"/>
    <w:rsid w:val="004D244A"/>
    <w:rsid w:val="004D2C82"/>
    <w:rsid w:val="004D319D"/>
    <w:rsid w:val="004E0987"/>
    <w:rsid w:val="004E3814"/>
    <w:rsid w:val="004E4C5A"/>
    <w:rsid w:val="004F1EBC"/>
    <w:rsid w:val="004F2D89"/>
    <w:rsid w:val="004F366D"/>
    <w:rsid w:val="004F4563"/>
    <w:rsid w:val="004F4B5A"/>
    <w:rsid w:val="004F58B5"/>
    <w:rsid w:val="00502413"/>
    <w:rsid w:val="00503DE2"/>
    <w:rsid w:val="0050586F"/>
    <w:rsid w:val="005058E1"/>
    <w:rsid w:val="00506761"/>
    <w:rsid w:val="005243A0"/>
    <w:rsid w:val="0053142E"/>
    <w:rsid w:val="00534870"/>
    <w:rsid w:val="00535E38"/>
    <w:rsid w:val="0054008B"/>
    <w:rsid w:val="005405C4"/>
    <w:rsid w:val="00542068"/>
    <w:rsid w:val="005434CD"/>
    <w:rsid w:val="00545C34"/>
    <w:rsid w:val="005510B7"/>
    <w:rsid w:val="00560A19"/>
    <w:rsid w:val="005634D3"/>
    <w:rsid w:val="00563851"/>
    <w:rsid w:val="00565DD3"/>
    <w:rsid w:val="00566216"/>
    <w:rsid w:val="00570714"/>
    <w:rsid w:val="005725B8"/>
    <w:rsid w:val="00576389"/>
    <w:rsid w:val="00577C94"/>
    <w:rsid w:val="00580D99"/>
    <w:rsid w:val="0058210D"/>
    <w:rsid w:val="005847CD"/>
    <w:rsid w:val="00592828"/>
    <w:rsid w:val="00593BC3"/>
    <w:rsid w:val="00597B1A"/>
    <w:rsid w:val="005A6BE3"/>
    <w:rsid w:val="005B1999"/>
    <w:rsid w:val="005B5355"/>
    <w:rsid w:val="005B6E04"/>
    <w:rsid w:val="005B7184"/>
    <w:rsid w:val="005B71C1"/>
    <w:rsid w:val="005B7CEE"/>
    <w:rsid w:val="005C1FC6"/>
    <w:rsid w:val="005C2624"/>
    <w:rsid w:val="005C4C61"/>
    <w:rsid w:val="005C6C67"/>
    <w:rsid w:val="005C7FC3"/>
    <w:rsid w:val="005D268D"/>
    <w:rsid w:val="005D30BE"/>
    <w:rsid w:val="005D6D3E"/>
    <w:rsid w:val="005D7ED3"/>
    <w:rsid w:val="005E0D6E"/>
    <w:rsid w:val="005E1357"/>
    <w:rsid w:val="005E1546"/>
    <w:rsid w:val="005E43A6"/>
    <w:rsid w:val="005E4450"/>
    <w:rsid w:val="005E69B2"/>
    <w:rsid w:val="005F67B3"/>
    <w:rsid w:val="00604452"/>
    <w:rsid w:val="00606A56"/>
    <w:rsid w:val="0060737C"/>
    <w:rsid w:val="00607F28"/>
    <w:rsid w:val="00611724"/>
    <w:rsid w:val="00611C2B"/>
    <w:rsid w:val="00612450"/>
    <w:rsid w:val="0061493E"/>
    <w:rsid w:val="00616340"/>
    <w:rsid w:val="00616B98"/>
    <w:rsid w:val="006217B9"/>
    <w:rsid w:val="00621BE8"/>
    <w:rsid w:val="006233CB"/>
    <w:rsid w:val="00626DA8"/>
    <w:rsid w:val="0063057D"/>
    <w:rsid w:val="00630FE5"/>
    <w:rsid w:val="0063362B"/>
    <w:rsid w:val="0063696A"/>
    <w:rsid w:val="0064125E"/>
    <w:rsid w:val="00642F29"/>
    <w:rsid w:val="00643A7F"/>
    <w:rsid w:val="0065227B"/>
    <w:rsid w:val="00653ACB"/>
    <w:rsid w:val="00655235"/>
    <w:rsid w:val="00655D18"/>
    <w:rsid w:val="00660E06"/>
    <w:rsid w:val="006622AF"/>
    <w:rsid w:val="00666F0F"/>
    <w:rsid w:val="00667650"/>
    <w:rsid w:val="00670C98"/>
    <w:rsid w:val="00672DFB"/>
    <w:rsid w:val="00674132"/>
    <w:rsid w:val="006747C6"/>
    <w:rsid w:val="00675B56"/>
    <w:rsid w:val="00677CFD"/>
    <w:rsid w:val="006802B0"/>
    <w:rsid w:val="00690E1A"/>
    <w:rsid w:val="00692BE2"/>
    <w:rsid w:val="00697351"/>
    <w:rsid w:val="006A16D2"/>
    <w:rsid w:val="006A3773"/>
    <w:rsid w:val="006A4EC8"/>
    <w:rsid w:val="006A773F"/>
    <w:rsid w:val="006B3035"/>
    <w:rsid w:val="006B75C7"/>
    <w:rsid w:val="006C03F2"/>
    <w:rsid w:val="006C277A"/>
    <w:rsid w:val="006C574C"/>
    <w:rsid w:val="006C5C1F"/>
    <w:rsid w:val="006D0460"/>
    <w:rsid w:val="006D12C8"/>
    <w:rsid w:val="006D171E"/>
    <w:rsid w:val="006E137D"/>
    <w:rsid w:val="006E24EE"/>
    <w:rsid w:val="006E331F"/>
    <w:rsid w:val="006E3365"/>
    <w:rsid w:val="006F12B8"/>
    <w:rsid w:val="006F2B31"/>
    <w:rsid w:val="006F4F58"/>
    <w:rsid w:val="006F6220"/>
    <w:rsid w:val="006F6433"/>
    <w:rsid w:val="006F7692"/>
    <w:rsid w:val="00701063"/>
    <w:rsid w:val="00701651"/>
    <w:rsid w:val="00701F5F"/>
    <w:rsid w:val="00704DE8"/>
    <w:rsid w:val="00706394"/>
    <w:rsid w:val="00706BD5"/>
    <w:rsid w:val="007109FB"/>
    <w:rsid w:val="00711A7A"/>
    <w:rsid w:val="007176FE"/>
    <w:rsid w:val="007317F1"/>
    <w:rsid w:val="007322D5"/>
    <w:rsid w:val="00732FB5"/>
    <w:rsid w:val="007336F9"/>
    <w:rsid w:val="00734B92"/>
    <w:rsid w:val="00736BDE"/>
    <w:rsid w:val="007422FF"/>
    <w:rsid w:val="00744DEE"/>
    <w:rsid w:val="007473D5"/>
    <w:rsid w:val="0075126A"/>
    <w:rsid w:val="0075448A"/>
    <w:rsid w:val="00755DB9"/>
    <w:rsid w:val="00757DC1"/>
    <w:rsid w:val="00762666"/>
    <w:rsid w:val="00765A7C"/>
    <w:rsid w:val="00765E65"/>
    <w:rsid w:val="00772279"/>
    <w:rsid w:val="00772469"/>
    <w:rsid w:val="00775FE6"/>
    <w:rsid w:val="00777323"/>
    <w:rsid w:val="00781148"/>
    <w:rsid w:val="00781ABE"/>
    <w:rsid w:val="00786786"/>
    <w:rsid w:val="00793002"/>
    <w:rsid w:val="00793D6A"/>
    <w:rsid w:val="00795F32"/>
    <w:rsid w:val="007A2351"/>
    <w:rsid w:val="007A29A2"/>
    <w:rsid w:val="007A422F"/>
    <w:rsid w:val="007B0114"/>
    <w:rsid w:val="007C5494"/>
    <w:rsid w:val="007C5F3D"/>
    <w:rsid w:val="007D2D09"/>
    <w:rsid w:val="007D7B58"/>
    <w:rsid w:val="007E1438"/>
    <w:rsid w:val="007E2061"/>
    <w:rsid w:val="007E27A1"/>
    <w:rsid w:val="007E5D78"/>
    <w:rsid w:val="007E78E5"/>
    <w:rsid w:val="007F0F38"/>
    <w:rsid w:val="007F1AE3"/>
    <w:rsid w:val="007F3F3C"/>
    <w:rsid w:val="007F55DE"/>
    <w:rsid w:val="008000B2"/>
    <w:rsid w:val="00800214"/>
    <w:rsid w:val="00800D0C"/>
    <w:rsid w:val="00801713"/>
    <w:rsid w:val="008029B2"/>
    <w:rsid w:val="00810BE5"/>
    <w:rsid w:val="008127EE"/>
    <w:rsid w:val="00813B83"/>
    <w:rsid w:val="00814B5E"/>
    <w:rsid w:val="00816E9C"/>
    <w:rsid w:val="00816FC4"/>
    <w:rsid w:val="00820DFE"/>
    <w:rsid w:val="008236C5"/>
    <w:rsid w:val="00827937"/>
    <w:rsid w:val="00830B5F"/>
    <w:rsid w:val="00833DDB"/>
    <w:rsid w:val="00834B19"/>
    <w:rsid w:val="008353D8"/>
    <w:rsid w:val="00837171"/>
    <w:rsid w:val="00840C34"/>
    <w:rsid w:val="0084315E"/>
    <w:rsid w:val="0084707A"/>
    <w:rsid w:val="00847A31"/>
    <w:rsid w:val="00850A8C"/>
    <w:rsid w:val="00853B38"/>
    <w:rsid w:val="008573D3"/>
    <w:rsid w:val="008626AA"/>
    <w:rsid w:val="00864AE4"/>
    <w:rsid w:val="00871032"/>
    <w:rsid w:val="008711B7"/>
    <w:rsid w:val="008729EC"/>
    <w:rsid w:val="00873B0C"/>
    <w:rsid w:val="00875B10"/>
    <w:rsid w:val="008760CD"/>
    <w:rsid w:val="008848F3"/>
    <w:rsid w:val="00885E32"/>
    <w:rsid w:val="00891143"/>
    <w:rsid w:val="00893A11"/>
    <w:rsid w:val="00893FD6"/>
    <w:rsid w:val="008A1F85"/>
    <w:rsid w:val="008A3C63"/>
    <w:rsid w:val="008A3F7B"/>
    <w:rsid w:val="008A5EDD"/>
    <w:rsid w:val="008B3CD2"/>
    <w:rsid w:val="008C161E"/>
    <w:rsid w:val="008C75A0"/>
    <w:rsid w:val="008E2291"/>
    <w:rsid w:val="008F1867"/>
    <w:rsid w:val="008F2C77"/>
    <w:rsid w:val="008F3059"/>
    <w:rsid w:val="008F7D9E"/>
    <w:rsid w:val="00900ABB"/>
    <w:rsid w:val="00904AE3"/>
    <w:rsid w:val="00910BD6"/>
    <w:rsid w:val="00911DED"/>
    <w:rsid w:val="00916208"/>
    <w:rsid w:val="00923A10"/>
    <w:rsid w:val="00923EE2"/>
    <w:rsid w:val="00925D7C"/>
    <w:rsid w:val="00925E44"/>
    <w:rsid w:val="009364B6"/>
    <w:rsid w:val="00947D3F"/>
    <w:rsid w:val="009534EE"/>
    <w:rsid w:val="009565D3"/>
    <w:rsid w:val="009574DB"/>
    <w:rsid w:val="009611FF"/>
    <w:rsid w:val="009729F3"/>
    <w:rsid w:val="00972A21"/>
    <w:rsid w:val="00972D02"/>
    <w:rsid w:val="009768D5"/>
    <w:rsid w:val="009807B6"/>
    <w:rsid w:val="009817F0"/>
    <w:rsid w:val="00981CF5"/>
    <w:rsid w:val="00987D87"/>
    <w:rsid w:val="00990B54"/>
    <w:rsid w:val="00990E25"/>
    <w:rsid w:val="00993B1F"/>
    <w:rsid w:val="0099601D"/>
    <w:rsid w:val="00996F05"/>
    <w:rsid w:val="009A0BA4"/>
    <w:rsid w:val="009A5F11"/>
    <w:rsid w:val="009A6CA2"/>
    <w:rsid w:val="009B5554"/>
    <w:rsid w:val="009B61CF"/>
    <w:rsid w:val="009B7AA9"/>
    <w:rsid w:val="009C24D0"/>
    <w:rsid w:val="009C49E2"/>
    <w:rsid w:val="009D0137"/>
    <w:rsid w:val="009D02D1"/>
    <w:rsid w:val="009D128A"/>
    <w:rsid w:val="009D3888"/>
    <w:rsid w:val="009D7AF9"/>
    <w:rsid w:val="009E05C7"/>
    <w:rsid w:val="009E1CB2"/>
    <w:rsid w:val="009E2FA0"/>
    <w:rsid w:val="009E6010"/>
    <w:rsid w:val="009F10F3"/>
    <w:rsid w:val="009F386A"/>
    <w:rsid w:val="009F7180"/>
    <w:rsid w:val="009F7466"/>
    <w:rsid w:val="00A01306"/>
    <w:rsid w:val="00A060C9"/>
    <w:rsid w:val="00A07581"/>
    <w:rsid w:val="00A07B4F"/>
    <w:rsid w:val="00A11EC3"/>
    <w:rsid w:val="00A13416"/>
    <w:rsid w:val="00A13457"/>
    <w:rsid w:val="00A206C1"/>
    <w:rsid w:val="00A279EA"/>
    <w:rsid w:val="00A316AB"/>
    <w:rsid w:val="00A32350"/>
    <w:rsid w:val="00A32597"/>
    <w:rsid w:val="00A3351D"/>
    <w:rsid w:val="00A40800"/>
    <w:rsid w:val="00A47FD6"/>
    <w:rsid w:val="00A57A3D"/>
    <w:rsid w:val="00A71D55"/>
    <w:rsid w:val="00A73E44"/>
    <w:rsid w:val="00A80119"/>
    <w:rsid w:val="00A81B64"/>
    <w:rsid w:val="00A82908"/>
    <w:rsid w:val="00A836B5"/>
    <w:rsid w:val="00A8407E"/>
    <w:rsid w:val="00A923FA"/>
    <w:rsid w:val="00A95E1C"/>
    <w:rsid w:val="00A95EE1"/>
    <w:rsid w:val="00A95FD4"/>
    <w:rsid w:val="00A9634F"/>
    <w:rsid w:val="00AA1113"/>
    <w:rsid w:val="00AA1828"/>
    <w:rsid w:val="00AA190C"/>
    <w:rsid w:val="00AA5EAC"/>
    <w:rsid w:val="00AB797C"/>
    <w:rsid w:val="00AC1BCB"/>
    <w:rsid w:val="00AC2783"/>
    <w:rsid w:val="00AC58E8"/>
    <w:rsid w:val="00AC78BB"/>
    <w:rsid w:val="00AD123F"/>
    <w:rsid w:val="00AD19D6"/>
    <w:rsid w:val="00AD4977"/>
    <w:rsid w:val="00AE3D94"/>
    <w:rsid w:val="00AE621B"/>
    <w:rsid w:val="00AE77D1"/>
    <w:rsid w:val="00AF62A1"/>
    <w:rsid w:val="00AF6D10"/>
    <w:rsid w:val="00B00989"/>
    <w:rsid w:val="00B037CC"/>
    <w:rsid w:val="00B055B6"/>
    <w:rsid w:val="00B12490"/>
    <w:rsid w:val="00B1500F"/>
    <w:rsid w:val="00B17F68"/>
    <w:rsid w:val="00B20107"/>
    <w:rsid w:val="00B208DD"/>
    <w:rsid w:val="00B267AC"/>
    <w:rsid w:val="00B41D2E"/>
    <w:rsid w:val="00B423AA"/>
    <w:rsid w:val="00B52358"/>
    <w:rsid w:val="00B52B0E"/>
    <w:rsid w:val="00B55641"/>
    <w:rsid w:val="00B57994"/>
    <w:rsid w:val="00B601B3"/>
    <w:rsid w:val="00B606DF"/>
    <w:rsid w:val="00B61AB9"/>
    <w:rsid w:val="00B650AE"/>
    <w:rsid w:val="00B71D25"/>
    <w:rsid w:val="00B720B6"/>
    <w:rsid w:val="00B72C7E"/>
    <w:rsid w:val="00B750C6"/>
    <w:rsid w:val="00B7640C"/>
    <w:rsid w:val="00B84275"/>
    <w:rsid w:val="00B8671C"/>
    <w:rsid w:val="00B87527"/>
    <w:rsid w:val="00BB1602"/>
    <w:rsid w:val="00BB2916"/>
    <w:rsid w:val="00BB4E3E"/>
    <w:rsid w:val="00BB5870"/>
    <w:rsid w:val="00BB67B9"/>
    <w:rsid w:val="00BB6D0B"/>
    <w:rsid w:val="00BC6360"/>
    <w:rsid w:val="00BC7781"/>
    <w:rsid w:val="00BD48E0"/>
    <w:rsid w:val="00BD7ECB"/>
    <w:rsid w:val="00BE0EAF"/>
    <w:rsid w:val="00BE6D1A"/>
    <w:rsid w:val="00BF2B55"/>
    <w:rsid w:val="00BF6864"/>
    <w:rsid w:val="00BF68F5"/>
    <w:rsid w:val="00BF7EB1"/>
    <w:rsid w:val="00C033A6"/>
    <w:rsid w:val="00C11276"/>
    <w:rsid w:val="00C11413"/>
    <w:rsid w:val="00C142BB"/>
    <w:rsid w:val="00C15AA4"/>
    <w:rsid w:val="00C164BD"/>
    <w:rsid w:val="00C177D2"/>
    <w:rsid w:val="00C21E4D"/>
    <w:rsid w:val="00C22943"/>
    <w:rsid w:val="00C238E6"/>
    <w:rsid w:val="00C23B51"/>
    <w:rsid w:val="00C2725B"/>
    <w:rsid w:val="00C30492"/>
    <w:rsid w:val="00C32BCC"/>
    <w:rsid w:val="00C37770"/>
    <w:rsid w:val="00C37AF3"/>
    <w:rsid w:val="00C44876"/>
    <w:rsid w:val="00C46401"/>
    <w:rsid w:val="00C475C3"/>
    <w:rsid w:val="00C47D20"/>
    <w:rsid w:val="00C51416"/>
    <w:rsid w:val="00C51FF3"/>
    <w:rsid w:val="00C55631"/>
    <w:rsid w:val="00C5691C"/>
    <w:rsid w:val="00C5743A"/>
    <w:rsid w:val="00C63598"/>
    <w:rsid w:val="00C66FC9"/>
    <w:rsid w:val="00C7144A"/>
    <w:rsid w:val="00C72062"/>
    <w:rsid w:val="00C73214"/>
    <w:rsid w:val="00C737B5"/>
    <w:rsid w:val="00C74815"/>
    <w:rsid w:val="00C764CD"/>
    <w:rsid w:val="00C76A2B"/>
    <w:rsid w:val="00C77C45"/>
    <w:rsid w:val="00C838B8"/>
    <w:rsid w:val="00C8424E"/>
    <w:rsid w:val="00C847A5"/>
    <w:rsid w:val="00C86C47"/>
    <w:rsid w:val="00C901B6"/>
    <w:rsid w:val="00C94DAB"/>
    <w:rsid w:val="00C94DD6"/>
    <w:rsid w:val="00CA1F3D"/>
    <w:rsid w:val="00CA5793"/>
    <w:rsid w:val="00CB03D1"/>
    <w:rsid w:val="00CB135F"/>
    <w:rsid w:val="00CB1903"/>
    <w:rsid w:val="00CB7470"/>
    <w:rsid w:val="00CB75AF"/>
    <w:rsid w:val="00CC280E"/>
    <w:rsid w:val="00CC29FC"/>
    <w:rsid w:val="00CC3D9B"/>
    <w:rsid w:val="00CC3F93"/>
    <w:rsid w:val="00CD0048"/>
    <w:rsid w:val="00CD0964"/>
    <w:rsid w:val="00CD4326"/>
    <w:rsid w:val="00CD62C7"/>
    <w:rsid w:val="00CD69C7"/>
    <w:rsid w:val="00CD7093"/>
    <w:rsid w:val="00CE13F5"/>
    <w:rsid w:val="00CE4077"/>
    <w:rsid w:val="00CE7317"/>
    <w:rsid w:val="00D07B55"/>
    <w:rsid w:val="00D17606"/>
    <w:rsid w:val="00D17E30"/>
    <w:rsid w:val="00D303F6"/>
    <w:rsid w:val="00D30689"/>
    <w:rsid w:val="00D34B7E"/>
    <w:rsid w:val="00D47222"/>
    <w:rsid w:val="00D472D7"/>
    <w:rsid w:val="00D51750"/>
    <w:rsid w:val="00D6521E"/>
    <w:rsid w:val="00D65D7C"/>
    <w:rsid w:val="00D66597"/>
    <w:rsid w:val="00D72334"/>
    <w:rsid w:val="00D74684"/>
    <w:rsid w:val="00D753F9"/>
    <w:rsid w:val="00D76885"/>
    <w:rsid w:val="00D90174"/>
    <w:rsid w:val="00D90EE9"/>
    <w:rsid w:val="00D975D7"/>
    <w:rsid w:val="00DA6516"/>
    <w:rsid w:val="00DA6686"/>
    <w:rsid w:val="00DB4B1A"/>
    <w:rsid w:val="00DB5BB8"/>
    <w:rsid w:val="00DC247B"/>
    <w:rsid w:val="00DD11AA"/>
    <w:rsid w:val="00DD5904"/>
    <w:rsid w:val="00DD70F5"/>
    <w:rsid w:val="00DD7564"/>
    <w:rsid w:val="00DE2792"/>
    <w:rsid w:val="00DE5995"/>
    <w:rsid w:val="00DE7F5E"/>
    <w:rsid w:val="00DF010F"/>
    <w:rsid w:val="00DF0797"/>
    <w:rsid w:val="00DF1ADE"/>
    <w:rsid w:val="00DF1EA9"/>
    <w:rsid w:val="00E006C3"/>
    <w:rsid w:val="00E018FF"/>
    <w:rsid w:val="00E01A5D"/>
    <w:rsid w:val="00E03DC8"/>
    <w:rsid w:val="00E04D9E"/>
    <w:rsid w:val="00E0638A"/>
    <w:rsid w:val="00E063F8"/>
    <w:rsid w:val="00E10B23"/>
    <w:rsid w:val="00E14C94"/>
    <w:rsid w:val="00E1663F"/>
    <w:rsid w:val="00E16CDC"/>
    <w:rsid w:val="00E337A8"/>
    <w:rsid w:val="00E363D2"/>
    <w:rsid w:val="00E37EB9"/>
    <w:rsid w:val="00E41EAE"/>
    <w:rsid w:val="00E4579D"/>
    <w:rsid w:val="00E54F3F"/>
    <w:rsid w:val="00E55004"/>
    <w:rsid w:val="00E57CDC"/>
    <w:rsid w:val="00E60CBB"/>
    <w:rsid w:val="00E610E9"/>
    <w:rsid w:val="00E62D68"/>
    <w:rsid w:val="00E67F11"/>
    <w:rsid w:val="00E7002D"/>
    <w:rsid w:val="00E71055"/>
    <w:rsid w:val="00E74FB4"/>
    <w:rsid w:val="00E84896"/>
    <w:rsid w:val="00E84FEE"/>
    <w:rsid w:val="00E85546"/>
    <w:rsid w:val="00E90890"/>
    <w:rsid w:val="00E96CDC"/>
    <w:rsid w:val="00EA085B"/>
    <w:rsid w:val="00EA16E9"/>
    <w:rsid w:val="00EA6FFA"/>
    <w:rsid w:val="00EA7B98"/>
    <w:rsid w:val="00EB0C6A"/>
    <w:rsid w:val="00EB18B6"/>
    <w:rsid w:val="00EB23E8"/>
    <w:rsid w:val="00EB3497"/>
    <w:rsid w:val="00EC0E08"/>
    <w:rsid w:val="00EC1190"/>
    <w:rsid w:val="00EC7176"/>
    <w:rsid w:val="00EC717B"/>
    <w:rsid w:val="00EC79CD"/>
    <w:rsid w:val="00EC7F35"/>
    <w:rsid w:val="00ED2B4B"/>
    <w:rsid w:val="00ED30CC"/>
    <w:rsid w:val="00ED58CF"/>
    <w:rsid w:val="00EE0F85"/>
    <w:rsid w:val="00EE12C7"/>
    <w:rsid w:val="00EE1C8C"/>
    <w:rsid w:val="00EE22B3"/>
    <w:rsid w:val="00EE290D"/>
    <w:rsid w:val="00EE57B4"/>
    <w:rsid w:val="00EE5C98"/>
    <w:rsid w:val="00EE6DF9"/>
    <w:rsid w:val="00EE7F50"/>
    <w:rsid w:val="00F05F75"/>
    <w:rsid w:val="00F0674E"/>
    <w:rsid w:val="00F12417"/>
    <w:rsid w:val="00F12837"/>
    <w:rsid w:val="00F155C9"/>
    <w:rsid w:val="00F20E06"/>
    <w:rsid w:val="00F3780A"/>
    <w:rsid w:val="00F40318"/>
    <w:rsid w:val="00F43FF4"/>
    <w:rsid w:val="00F4677E"/>
    <w:rsid w:val="00F476F2"/>
    <w:rsid w:val="00F52071"/>
    <w:rsid w:val="00F535DA"/>
    <w:rsid w:val="00F5492A"/>
    <w:rsid w:val="00F55F9D"/>
    <w:rsid w:val="00F57641"/>
    <w:rsid w:val="00F622DD"/>
    <w:rsid w:val="00F703EB"/>
    <w:rsid w:val="00F74088"/>
    <w:rsid w:val="00F85277"/>
    <w:rsid w:val="00F85401"/>
    <w:rsid w:val="00F91D6E"/>
    <w:rsid w:val="00F93557"/>
    <w:rsid w:val="00F93CC9"/>
    <w:rsid w:val="00F95DF4"/>
    <w:rsid w:val="00FA40A8"/>
    <w:rsid w:val="00FA450B"/>
    <w:rsid w:val="00FA5991"/>
    <w:rsid w:val="00FB10A5"/>
    <w:rsid w:val="00FB2701"/>
    <w:rsid w:val="00FB5F8B"/>
    <w:rsid w:val="00FB739E"/>
    <w:rsid w:val="00FC1E7B"/>
    <w:rsid w:val="00FC461F"/>
    <w:rsid w:val="00FC47E5"/>
    <w:rsid w:val="00FC5C76"/>
    <w:rsid w:val="00FC7BF5"/>
    <w:rsid w:val="00FD1E1A"/>
    <w:rsid w:val="00FD4C75"/>
    <w:rsid w:val="00FD6C35"/>
    <w:rsid w:val="00FD6E20"/>
    <w:rsid w:val="00FD6E8C"/>
    <w:rsid w:val="00FD702F"/>
    <w:rsid w:val="00FE0432"/>
    <w:rsid w:val="00FE17B7"/>
    <w:rsid w:val="00FE5D39"/>
    <w:rsid w:val="00FE6169"/>
    <w:rsid w:val="00FE616B"/>
    <w:rsid w:val="00FF39DF"/>
    <w:rsid w:val="00FF4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C7"/>
    <w:rPr>
      <w:rFonts w:ascii="Tahoma" w:hAnsi="Tahoma" w:cs="Tahoma"/>
      <w:sz w:val="16"/>
      <w:szCs w:val="16"/>
    </w:rPr>
  </w:style>
  <w:style w:type="character" w:styleId="PlaceholderText">
    <w:name w:val="Placeholder Text"/>
    <w:basedOn w:val="DefaultParagraphFont"/>
    <w:uiPriority w:val="99"/>
    <w:semiHidden/>
    <w:rsid w:val="007D7B58"/>
    <w:rPr>
      <w:color w:val="808080"/>
    </w:rPr>
  </w:style>
  <w:style w:type="character" w:styleId="CommentReference">
    <w:name w:val="annotation reference"/>
    <w:basedOn w:val="DefaultParagraphFont"/>
    <w:uiPriority w:val="99"/>
    <w:semiHidden/>
    <w:unhideWhenUsed/>
    <w:rsid w:val="00A07581"/>
    <w:rPr>
      <w:sz w:val="18"/>
      <w:szCs w:val="18"/>
    </w:rPr>
  </w:style>
  <w:style w:type="paragraph" w:styleId="CommentText">
    <w:name w:val="annotation text"/>
    <w:basedOn w:val="Normal"/>
    <w:link w:val="CommentTextChar"/>
    <w:uiPriority w:val="99"/>
    <w:semiHidden/>
    <w:unhideWhenUsed/>
    <w:rsid w:val="00A07581"/>
    <w:pPr>
      <w:spacing w:line="240" w:lineRule="auto"/>
    </w:pPr>
    <w:rPr>
      <w:sz w:val="24"/>
      <w:szCs w:val="24"/>
    </w:rPr>
  </w:style>
  <w:style w:type="character" w:customStyle="1" w:styleId="CommentTextChar">
    <w:name w:val="Comment Text Char"/>
    <w:basedOn w:val="DefaultParagraphFont"/>
    <w:link w:val="CommentText"/>
    <w:uiPriority w:val="99"/>
    <w:semiHidden/>
    <w:rsid w:val="00A07581"/>
    <w:rPr>
      <w:sz w:val="24"/>
      <w:szCs w:val="24"/>
    </w:rPr>
  </w:style>
  <w:style w:type="paragraph" w:styleId="CommentSubject">
    <w:name w:val="annotation subject"/>
    <w:basedOn w:val="CommentText"/>
    <w:next w:val="CommentText"/>
    <w:link w:val="CommentSubjectChar"/>
    <w:uiPriority w:val="99"/>
    <w:semiHidden/>
    <w:unhideWhenUsed/>
    <w:rsid w:val="00A07581"/>
    <w:rPr>
      <w:b/>
      <w:bCs/>
      <w:sz w:val="20"/>
      <w:szCs w:val="20"/>
    </w:rPr>
  </w:style>
  <w:style w:type="character" w:customStyle="1" w:styleId="CommentSubjectChar">
    <w:name w:val="Comment Subject Char"/>
    <w:basedOn w:val="CommentTextChar"/>
    <w:link w:val="CommentSubject"/>
    <w:uiPriority w:val="99"/>
    <w:semiHidden/>
    <w:rsid w:val="00A07581"/>
    <w:rPr>
      <w:b/>
      <w:bCs/>
      <w:sz w:val="20"/>
      <w:szCs w:val="20"/>
    </w:rPr>
  </w:style>
  <w:style w:type="paragraph" w:styleId="FootnoteText">
    <w:name w:val="footnote text"/>
    <w:basedOn w:val="Normal"/>
    <w:link w:val="FootnoteTextChar"/>
    <w:uiPriority w:val="99"/>
    <w:unhideWhenUsed/>
    <w:rsid w:val="00560A19"/>
    <w:pPr>
      <w:spacing w:after="0" w:line="240" w:lineRule="auto"/>
    </w:pPr>
    <w:rPr>
      <w:sz w:val="24"/>
      <w:szCs w:val="24"/>
    </w:rPr>
  </w:style>
  <w:style w:type="character" w:customStyle="1" w:styleId="FootnoteTextChar">
    <w:name w:val="Footnote Text Char"/>
    <w:basedOn w:val="DefaultParagraphFont"/>
    <w:link w:val="FootnoteText"/>
    <w:uiPriority w:val="99"/>
    <w:rsid w:val="00560A19"/>
    <w:rPr>
      <w:sz w:val="24"/>
      <w:szCs w:val="24"/>
    </w:rPr>
  </w:style>
  <w:style w:type="character" w:styleId="FootnoteReference">
    <w:name w:val="footnote reference"/>
    <w:basedOn w:val="DefaultParagraphFont"/>
    <w:uiPriority w:val="99"/>
    <w:unhideWhenUsed/>
    <w:rsid w:val="00560A19"/>
    <w:rPr>
      <w:vertAlign w:val="superscript"/>
    </w:rPr>
  </w:style>
  <w:style w:type="paragraph" w:styleId="ListParagraph">
    <w:name w:val="List Paragraph"/>
    <w:basedOn w:val="Normal"/>
    <w:uiPriority w:val="34"/>
    <w:qFormat/>
    <w:rsid w:val="00C46401"/>
    <w:pPr>
      <w:ind w:left="720"/>
      <w:contextualSpacing/>
    </w:pPr>
  </w:style>
  <w:style w:type="paragraph" w:customStyle="1" w:styleId="Default">
    <w:name w:val="Default"/>
    <w:rsid w:val="004D2C8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619AE"/>
    <w:rPr>
      <w:i/>
      <w:iCs/>
    </w:rPr>
  </w:style>
  <w:style w:type="character" w:styleId="Strong">
    <w:name w:val="Strong"/>
    <w:basedOn w:val="DefaultParagraphFont"/>
    <w:uiPriority w:val="22"/>
    <w:qFormat/>
    <w:rsid w:val="002619AE"/>
    <w:rPr>
      <w:b/>
      <w:bCs/>
    </w:rPr>
  </w:style>
  <w:style w:type="paragraph" w:styleId="NormalWeb">
    <w:name w:val="Normal (Web)"/>
    <w:basedOn w:val="Normal"/>
    <w:uiPriority w:val="99"/>
    <w:semiHidden/>
    <w:unhideWhenUsed/>
    <w:rsid w:val="002619AE"/>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4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C1C"/>
  </w:style>
  <w:style w:type="paragraph" w:styleId="Footer">
    <w:name w:val="footer"/>
    <w:basedOn w:val="Normal"/>
    <w:link w:val="FooterChar"/>
    <w:uiPriority w:val="99"/>
    <w:unhideWhenUsed/>
    <w:rsid w:val="0011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C7"/>
    <w:rPr>
      <w:rFonts w:ascii="Tahoma" w:hAnsi="Tahoma" w:cs="Tahoma"/>
      <w:sz w:val="16"/>
      <w:szCs w:val="16"/>
    </w:rPr>
  </w:style>
  <w:style w:type="character" w:styleId="PlaceholderText">
    <w:name w:val="Placeholder Text"/>
    <w:basedOn w:val="DefaultParagraphFont"/>
    <w:uiPriority w:val="99"/>
    <w:semiHidden/>
    <w:rsid w:val="007D7B58"/>
    <w:rPr>
      <w:color w:val="808080"/>
    </w:rPr>
  </w:style>
  <w:style w:type="character" w:styleId="CommentReference">
    <w:name w:val="annotation reference"/>
    <w:basedOn w:val="DefaultParagraphFont"/>
    <w:uiPriority w:val="99"/>
    <w:semiHidden/>
    <w:unhideWhenUsed/>
    <w:rsid w:val="00A07581"/>
    <w:rPr>
      <w:sz w:val="18"/>
      <w:szCs w:val="18"/>
    </w:rPr>
  </w:style>
  <w:style w:type="paragraph" w:styleId="CommentText">
    <w:name w:val="annotation text"/>
    <w:basedOn w:val="Normal"/>
    <w:link w:val="CommentTextChar"/>
    <w:uiPriority w:val="99"/>
    <w:semiHidden/>
    <w:unhideWhenUsed/>
    <w:rsid w:val="00A07581"/>
    <w:pPr>
      <w:spacing w:line="240" w:lineRule="auto"/>
    </w:pPr>
    <w:rPr>
      <w:sz w:val="24"/>
      <w:szCs w:val="24"/>
    </w:rPr>
  </w:style>
  <w:style w:type="character" w:customStyle="1" w:styleId="CommentTextChar">
    <w:name w:val="Comment Text Char"/>
    <w:basedOn w:val="DefaultParagraphFont"/>
    <w:link w:val="CommentText"/>
    <w:uiPriority w:val="99"/>
    <w:semiHidden/>
    <w:rsid w:val="00A07581"/>
    <w:rPr>
      <w:sz w:val="24"/>
      <w:szCs w:val="24"/>
    </w:rPr>
  </w:style>
  <w:style w:type="paragraph" w:styleId="CommentSubject">
    <w:name w:val="annotation subject"/>
    <w:basedOn w:val="CommentText"/>
    <w:next w:val="CommentText"/>
    <w:link w:val="CommentSubjectChar"/>
    <w:uiPriority w:val="99"/>
    <w:semiHidden/>
    <w:unhideWhenUsed/>
    <w:rsid w:val="00A07581"/>
    <w:rPr>
      <w:b/>
      <w:bCs/>
      <w:sz w:val="20"/>
      <w:szCs w:val="20"/>
    </w:rPr>
  </w:style>
  <w:style w:type="character" w:customStyle="1" w:styleId="CommentSubjectChar">
    <w:name w:val="Comment Subject Char"/>
    <w:basedOn w:val="CommentTextChar"/>
    <w:link w:val="CommentSubject"/>
    <w:uiPriority w:val="99"/>
    <w:semiHidden/>
    <w:rsid w:val="00A07581"/>
    <w:rPr>
      <w:b/>
      <w:bCs/>
      <w:sz w:val="20"/>
      <w:szCs w:val="20"/>
    </w:rPr>
  </w:style>
  <w:style w:type="paragraph" w:styleId="FootnoteText">
    <w:name w:val="footnote text"/>
    <w:basedOn w:val="Normal"/>
    <w:link w:val="FootnoteTextChar"/>
    <w:uiPriority w:val="99"/>
    <w:unhideWhenUsed/>
    <w:rsid w:val="00560A19"/>
    <w:pPr>
      <w:spacing w:after="0" w:line="240" w:lineRule="auto"/>
    </w:pPr>
    <w:rPr>
      <w:sz w:val="24"/>
      <w:szCs w:val="24"/>
    </w:rPr>
  </w:style>
  <w:style w:type="character" w:customStyle="1" w:styleId="FootnoteTextChar">
    <w:name w:val="Footnote Text Char"/>
    <w:basedOn w:val="DefaultParagraphFont"/>
    <w:link w:val="FootnoteText"/>
    <w:uiPriority w:val="99"/>
    <w:rsid w:val="00560A19"/>
    <w:rPr>
      <w:sz w:val="24"/>
      <w:szCs w:val="24"/>
    </w:rPr>
  </w:style>
  <w:style w:type="character" w:styleId="FootnoteReference">
    <w:name w:val="footnote reference"/>
    <w:basedOn w:val="DefaultParagraphFont"/>
    <w:uiPriority w:val="99"/>
    <w:unhideWhenUsed/>
    <w:rsid w:val="00560A19"/>
    <w:rPr>
      <w:vertAlign w:val="superscript"/>
    </w:rPr>
  </w:style>
  <w:style w:type="paragraph" w:styleId="ListParagraph">
    <w:name w:val="List Paragraph"/>
    <w:basedOn w:val="Normal"/>
    <w:uiPriority w:val="34"/>
    <w:qFormat/>
    <w:rsid w:val="00C46401"/>
    <w:pPr>
      <w:ind w:left="720"/>
      <w:contextualSpacing/>
    </w:pPr>
  </w:style>
  <w:style w:type="paragraph" w:customStyle="1" w:styleId="Default">
    <w:name w:val="Default"/>
    <w:rsid w:val="004D2C8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619AE"/>
    <w:rPr>
      <w:i/>
      <w:iCs/>
    </w:rPr>
  </w:style>
  <w:style w:type="character" w:styleId="Strong">
    <w:name w:val="Strong"/>
    <w:basedOn w:val="DefaultParagraphFont"/>
    <w:uiPriority w:val="22"/>
    <w:qFormat/>
    <w:rsid w:val="002619AE"/>
    <w:rPr>
      <w:b/>
      <w:bCs/>
    </w:rPr>
  </w:style>
  <w:style w:type="paragraph" w:styleId="NormalWeb">
    <w:name w:val="Normal (Web)"/>
    <w:basedOn w:val="Normal"/>
    <w:uiPriority w:val="99"/>
    <w:semiHidden/>
    <w:unhideWhenUsed/>
    <w:rsid w:val="002619AE"/>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4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C1C"/>
  </w:style>
  <w:style w:type="paragraph" w:styleId="Footer">
    <w:name w:val="footer"/>
    <w:basedOn w:val="Normal"/>
    <w:link w:val="FooterChar"/>
    <w:uiPriority w:val="99"/>
    <w:unhideWhenUsed/>
    <w:rsid w:val="0011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1C"/>
  </w:style>
</w:styles>
</file>

<file path=word/webSettings.xml><?xml version="1.0" encoding="utf-8"?>
<w:webSettings xmlns:r="http://schemas.openxmlformats.org/officeDocument/2006/relationships" xmlns:w="http://schemas.openxmlformats.org/wordprocessingml/2006/main">
  <w:divs>
    <w:div w:id="1046494108">
      <w:bodyDiv w:val="1"/>
      <w:marLeft w:val="0"/>
      <w:marRight w:val="0"/>
      <w:marTop w:val="0"/>
      <w:marBottom w:val="0"/>
      <w:divBdr>
        <w:top w:val="none" w:sz="0" w:space="0" w:color="auto"/>
        <w:left w:val="none" w:sz="0" w:space="0" w:color="auto"/>
        <w:bottom w:val="none" w:sz="0" w:space="0" w:color="auto"/>
        <w:right w:val="none" w:sz="0" w:space="0" w:color="auto"/>
      </w:divBdr>
      <w:divsChild>
        <w:div w:id="1303536992">
          <w:marLeft w:val="0"/>
          <w:marRight w:val="0"/>
          <w:marTop w:val="0"/>
          <w:marBottom w:val="0"/>
          <w:divBdr>
            <w:top w:val="none" w:sz="0" w:space="0" w:color="auto"/>
            <w:left w:val="none" w:sz="0" w:space="0" w:color="auto"/>
            <w:bottom w:val="none" w:sz="0" w:space="0" w:color="auto"/>
            <w:right w:val="none" w:sz="0" w:space="0" w:color="auto"/>
          </w:divBdr>
          <w:divsChild>
            <w:div w:id="1456832399">
              <w:marLeft w:val="0"/>
              <w:marRight w:val="0"/>
              <w:marTop w:val="0"/>
              <w:marBottom w:val="0"/>
              <w:divBdr>
                <w:top w:val="none" w:sz="0" w:space="0" w:color="auto"/>
                <w:left w:val="none" w:sz="0" w:space="0" w:color="auto"/>
                <w:bottom w:val="none" w:sz="0" w:space="0" w:color="auto"/>
                <w:right w:val="none" w:sz="0" w:space="0" w:color="auto"/>
              </w:divBdr>
              <w:divsChild>
                <w:div w:id="1267885646">
                  <w:marLeft w:val="0"/>
                  <w:marRight w:val="0"/>
                  <w:marTop w:val="0"/>
                  <w:marBottom w:val="0"/>
                  <w:divBdr>
                    <w:top w:val="none" w:sz="0" w:space="0" w:color="auto"/>
                    <w:left w:val="none" w:sz="0" w:space="0" w:color="auto"/>
                    <w:bottom w:val="none" w:sz="0" w:space="0" w:color="auto"/>
                    <w:right w:val="none" w:sz="0" w:space="0" w:color="auto"/>
                  </w:divBdr>
                  <w:divsChild>
                    <w:div w:id="1429619108">
                      <w:marLeft w:val="0"/>
                      <w:marRight w:val="0"/>
                      <w:marTop w:val="0"/>
                      <w:marBottom w:val="0"/>
                      <w:divBdr>
                        <w:top w:val="none" w:sz="0" w:space="0" w:color="auto"/>
                        <w:left w:val="none" w:sz="0" w:space="0" w:color="auto"/>
                        <w:bottom w:val="none" w:sz="0" w:space="0" w:color="auto"/>
                        <w:right w:val="none" w:sz="0" w:space="0" w:color="auto"/>
                      </w:divBdr>
                      <w:divsChild>
                        <w:div w:id="482166237">
                          <w:marLeft w:val="0"/>
                          <w:marRight w:val="0"/>
                          <w:marTop w:val="0"/>
                          <w:marBottom w:val="0"/>
                          <w:divBdr>
                            <w:top w:val="none" w:sz="0" w:space="0" w:color="auto"/>
                            <w:left w:val="none" w:sz="0" w:space="0" w:color="auto"/>
                            <w:bottom w:val="none" w:sz="0" w:space="0" w:color="auto"/>
                            <w:right w:val="none" w:sz="0" w:space="0" w:color="auto"/>
                          </w:divBdr>
                          <w:divsChild>
                            <w:div w:id="1623804634">
                              <w:marLeft w:val="0"/>
                              <w:marRight w:val="0"/>
                              <w:marTop w:val="0"/>
                              <w:marBottom w:val="0"/>
                              <w:divBdr>
                                <w:top w:val="none" w:sz="0" w:space="0" w:color="auto"/>
                                <w:left w:val="none" w:sz="0" w:space="0" w:color="auto"/>
                                <w:bottom w:val="none" w:sz="0" w:space="0" w:color="auto"/>
                                <w:right w:val="none" w:sz="0" w:space="0" w:color="auto"/>
                              </w:divBdr>
                              <w:divsChild>
                                <w:div w:id="120155600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mazyar</dc:creator>
  <cp:lastModifiedBy>mazyarjr@yahoo.com</cp:lastModifiedBy>
  <cp:revision>2</cp:revision>
  <cp:lastPrinted>2014-09-04T18:54:00Z</cp:lastPrinted>
  <dcterms:created xsi:type="dcterms:W3CDTF">2015-05-15T07:18:00Z</dcterms:created>
  <dcterms:modified xsi:type="dcterms:W3CDTF">2015-05-15T07:18:00Z</dcterms:modified>
</cp:coreProperties>
</file>