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CE" w:rsidRDefault="00966D51" w:rsidP="00FB22CE">
      <w:pPr>
        <w:widowContro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 xml:space="preserve">Supplemental </w:t>
      </w:r>
      <w:r w:rsidR="00FB22CE">
        <w:rPr>
          <w:rFonts w:ascii="Times New Roman" w:hAnsi="Times New Roman"/>
          <w:b/>
          <w:bCs/>
        </w:rPr>
        <w:t>Table 1</w:t>
      </w:r>
      <w:r w:rsidR="00FB22CE">
        <w:rPr>
          <w:rFonts w:ascii="Times New Roman" w:hAnsi="Times New Roman"/>
        </w:rPr>
        <w:t>.</w:t>
      </w:r>
      <w:proofErr w:type="gramEnd"/>
      <w:r w:rsidR="00FB22CE">
        <w:rPr>
          <w:rFonts w:ascii="Times New Roman" w:hAnsi="Times New Roman"/>
        </w:rPr>
        <w:t xml:space="preserve"> </w:t>
      </w:r>
      <w:r w:rsidR="007C1D68">
        <w:rPr>
          <w:rFonts w:ascii="Times New Roman" w:hAnsi="Times New Roman"/>
        </w:rPr>
        <w:t xml:space="preserve"> Summary of Finding (</w:t>
      </w:r>
      <w:proofErr w:type="spellStart"/>
      <w:proofErr w:type="gramStart"/>
      <w:r w:rsidR="007C1D68">
        <w:rPr>
          <w:rFonts w:ascii="Times New Roman" w:hAnsi="Times New Roman"/>
        </w:rPr>
        <w:t>SoF</w:t>
      </w:r>
      <w:proofErr w:type="spellEnd"/>
      <w:proofErr w:type="gramEnd"/>
      <w:r w:rsidR="007C1D68">
        <w:rPr>
          <w:rFonts w:ascii="Times New Roman" w:hAnsi="Times New Roman"/>
        </w:rPr>
        <w:t>) table</w:t>
      </w:r>
      <w:r w:rsidR="00FB22CE">
        <w:rPr>
          <w:rFonts w:ascii="Times New Roman" w:hAnsi="Times New Roman"/>
        </w:rPr>
        <w:t xml:space="preserve"> regarding IVC variability and volume responsiveness</w:t>
      </w:r>
    </w:p>
    <w:p w:rsidR="00FB22CE" w:rsidRDefault="00FB22CE" w:rsidP="00FB22CE"/>
    <w:tbl>
      <w:tblPr>
        <w:tblW w:w="51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2"/>
        <w:gridCol w:w="1211"/>
        <w:gridCol w:w="1598"/>
        <w:gridCol w:w="1033"/>
        <w:gridCol w:w="989"/>
        <w:gridCol w:w="1124"/>
        <w:gridCol w:w="1019"/>
        <w:gridCol w:w="869"/>
        <w:gridCol w:w="939"/>
        <w:gridCol w:w="96"/>
      </w:tblGrid>
      <w:tr w:rsidR="00FB22CE" w:rsidRPr="0091054F" w:rsidTr="00FB22CE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2CE" w:rsidRPr="009910DC" w:rsidRDefault="00FB22CE" w:rsidP="00315A45">
            <w:pPr>
              <w:rPr>
                <w:rFonts w:ascii="Arial" w:hAnsi="Arial"/>
                <w:b/>
              </w:rPr>
            </w:pPr>
            <w:r w:rsidRPr="00FB22CE">
              <w:rPr>
                <w:rFonts w:ascii="Arial" w:hAnsi="Arial"/>
                <w:sz w:val="18"/>
                <w:szCs w:val="18"/>
              </w:rPr>
              <w:t>We recommend intensivists consider measuring inferior vena cava (IVC) collapsibility in patients on posit</w:t>
            </w:r>
            <w:r w:rsidR="00E55157">
              <w:rPr>
                <w:rFonts w:ascii="Arial" w:hAnsi="Arial"/>
                <w:sz w:val="18"/>
                <w:szCs w:val="18"/>
              </w:rPr>
              <w:t>ive pressure ventilation, by Bedside cardiac ultrasound</w:t>
            </w:r>
            <w:r w:rsidRPr="00FB22CE">
              <w:rPr>
                <w:rFonts w:ascii="Arial" w:hAnsi="Arial"/>
                <w:sz w:val="18"/>
                <w:szCs w:val="18"/>
              </w:rPr>
              <w:t xml:space="preserve"> to assess fluid responsiveness prior to undergoing large volume fluid resuscitation. Any patient who has &gt;15% change in vena </w:t>
            </w:r>
            <w:proofErr w:type="spellStart"/>
            <w:r w:rsidRPr="00FB22CE">
              <w:rPr>
                <w:rFonts w:ascii="Arial" w:hAnsi="Arial"/>
                <w:sz w:val="18"/>
                <w:szCs w:val="18"/>
              </w:rPr>
              <w:t>caval</w:t>
            </w:r>
            <w:proofErr w:type="spellEnd"/>
            <w:r w:rsidRPr="00FB22CE">
              <w:rPr>
                <w:rFonts w:ascii="Arial" w:hAnsi="Arial"/>
                <w:sz w:val="18"/>
                <w:szCs w:val="18"/>
              </w:rPr>
              <w:t xml:space="preserve"> diameter should be considered preload responsive. Patients with a smaller change in IVC diameter may not respond favorably to volume resuscitation</w:t>
            </w:r>
            <w:r>
              <w:rPr>
                <w:rFonts w:ascii="Arial" w:hAnsi="Arial"/>
              </w:rPr>
              <w:t xml:space="preserve">. </w:t>
            </w:r>
            <w:r w:rsidRPr="001609E1">
              <w:rPr>
                <w:rFonts w:ascii="Arial" w:hAnsi="Arial"/>
                <w:b/>
              </w:rPr>
              <w:t>Grade 1</w:t>
            </w:r>
            <w:r>
              <w:rPr>
                <w:rFonts w:ascii="Arial" w:hAnsi="Arial"/>
                <w:b/>
              </w:rPr>
              <w:t>B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br/>
              <w:t>Bibliography: Ref 14-20</w:t>
            </w:r>
          </w:p>
        </w:tc>
      </w:tr>
      <w:tr w:rsidR="00FB22CE" w:rsidRPr="0091054F" w:rsidTr="00FB22CE">
        <w:tc>
          <w:tcPr>
            <w:tcW w:w="402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vAlign w:val="center"/>
            <w:hideMark/>
          </w:tcPr>
          <w:p w:rsidR="00FB22CE" w:rsidRPr="0091054F" w:rsidRDefault="00FB22CE" w:rsidP="00315A45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91054F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Quality assessment</w:t>
            </w:r>
          </w:p>
        </w:tc>
        <w:tc>
          <w:tcPr>
            <w:tcW w:w="9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vAlign w:val="center"/>
            <w:hideMark/>
          </w:tcPr>
          <w:p w:rsidR="00FB22CE" w:rsidRPr="0091054F" w:rsidRDefault="00FB22CE" w:rsidP="00315A45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91054F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Summary of Findings</w:t>
            </w:r>
          </w:p>
        </w:tc>
      </w:tr>
      <w:tr w:rsidR="00FB22CE" w:rsidRPr="0091054F" w:rsidTr="00FB22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FB22CE" w:rsidRPr="0091054F" w:rsidRDefault="00FB22CE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br/>
              <w:t>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 xml:space="preserve"> studies)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FB22CE" w:rsidRPr="0091054F" w:rsidRDefault="00FB22CE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FB22CE" w:rsidRPr="0091054F" w:rsidRDefault="00FB22CE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FB22CE" w:rsidRPr="0091054F" w:rsidRDefault="00FB22CE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FB22CE" w:rsidRPr="0091054F" w:rsidRDefault="00FB22CE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FB22CE" w:rsidRPr="0091054F" w:rsidRDefault="00FB22CE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Publication bias</w:t>
            </w:r>
          </w:p>
        </w:tc>
        <w:tc>
          <w:tcPr>
            <w:tcW w:w="5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FB22CE" w:rsidRPr="0091054F" w:rsidRDefault="00FB22CE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Overall quality of evidence</w:t>
            </w:r>
          </w:p>
        </w:tc>
        <w:tc>
          <w:tcPr>
            <w:tcW w:w="9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FB22CE" w:rsidRPr="0091054F" w:rsidRDefault="00FB22CE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Studies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 xml:space="preserve"> result 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range</w:t>
            </w:r>
          </w:p>
        </w:tc>
        <w:tc>
          <w:tcPr>
            <w:tcW w:w="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FB22CE" w:rsidRPr="0091054F" w:rsidRDefault="00FB22CE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B22CE" w:rsidRPr="0091054F" w:rsidTr="00FB22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2" w:space="0" w:color="EDEDED"/>
            </w:tcBorders>
            <w:shd w:val="clear" w:color="auto" w:fill="EDEDED"/>
            <w:hideMark/>
          </w:tcPr>
          <w:p w:rsidR="00FB22CE" w:rsidRPr="0091054F" w:rsidRDefault="00FB22CE" w:rsidP="00315A4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sensitivity</w:t>
            </w:r>
          </w:p>
        </w:tc>
        <w:tc>
          <w:tcPr>
            <w:tcW w:w="481" w:type="pct"/>
            <w:tcBorders>
              <w:top w:val="nil"/>
              <w:left w:val="single" w:sz="2" w:space="0" w:color="EDEDED"/>
              <w:bottom w:val="single" w:sz="6" w:space="0" w:color="000000"/>
              <w:right w:val="nil"/>
            </w:tcBorders>
            <w:shd w:val="clear" w:color="auto" w:fill="EDEDED"/>
            <w:hideMark/>
          </w:tcPr>
          <w:p w:rsidR="00FB22CE" w:rsidRPr="0091054F" w:rsidRDefault="00FB22CE" w:rsidP="00315A4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specificity</w:t>
            </w:r>
          </w:p>
          <w:p w:rsidR="00FB22CE" w:rsidRPr="0091054F" w:rsidRDefault="00FB22CE" w:rsidP="00315A4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1054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B22CE" w:rsidRPr="0091054F" w:rsidTr="00FB22CE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FB22CE" w:rsidRPr="0091054F" w:rsidRDefault="00181EC7" w:rsidP="00315A4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</w:rPr>
              <w:t>Diagnostic accuracy</w:t>
            </w:r>
          </w:p>
        </w:tc>
      </w:tr>
      <w:tr w:rsidR="00FB22CE" w:rsidRPr="0091054F" w:rsidTr="00FB22CE">
        <w:trPr>
          <w:trHeight w:val="35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2CE" w:rsidRDefault="00FB22CE" w:rsidP="00315A45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Arial" w:hAnsi="Arial"/>
                <w:sz w:val="16"/>
                <w:szCs w:val="16"/>
              </w:rPr>
              <w:t>observational</w:t>
            </w:r>
          </w:p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studies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Arial" w:hAnsi="Arial"/>
                <w:sz w:val="16"/>
                <w:szCs w:val="16"/>
              </w:rPr>
              <w:t>serious 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91054F">
              <w:rPr>
                <w:rFonts w:ascii="Arial" w:hAnsi="Arial"/>
                <w:sz w:val="16"/>
                <w:szCs w:val="16"/>
              </w:rPr>
              <w:t>o serious 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91054F">
              <w:rPr>
                <w:rFonts w:ascii="Arial" w:hAnsi="Arial"/>
                <w:sz w:val="16"/>
                <w:szCs w:val="16"/>
              </w:rPr>
              <w:t xml:space="preserve">o </w:t>
            </w:r>
            <w:r>
              <w:rPr>
                <w:rFonts w:ascii="Arial" w:hAnsi="Arial"/>
                <w:sz w:val="16"/>
                <w:szCs w:val="16"/>
              </w:rPr>
              <w:t>I</w:t>
            </w:r>
            <w:r w:rsidRPr="0091054F">
              <w:rPr>
                <w:rFonts w:ascii="Arial" w:hAnsi="Arial"/>
                <w:sz w:val="16"/>
                <w:szCs w:val="16"/>
              </w:rPr>
              <w:t>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91054F">
              <w:rPr>
                <w:rFonts w:ascii="Arial" w:hAnsi="Arial"/>
                <w:sz w:val="16"/>
                <w:szCs w:val="16"/>
              </w:rPr>
              <w:t xml:space="preserve">o </w:t>
            </w:r>
            <w:r>
              <w:rPr>
                <w:rFonts w:ascii="Arial" w:hAnsi="Arial"/>
                <w:sz w:val="16"/>
                <w:szCs w:val="16"/>
              </w:rPr>
              <w:t>I</w:t>
            </w:r>
            <w:r w:rsidRPr="0091054F">
              <w:rPr>
                <w:rFonts w:ascii="Arial" w:hAnsi="Arial"/>
                <w:sz w:val="16"/>
                <w:szCs w:val="16"/>
              </w:rPr>
              <w:t>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</w:t>
            </w:r>
            <w:r w:rsidRPr="0091054F">
              <w:rPr>
                <w:rFonts w:ascii="Arial" w:hAnsi="Arial"/>
                <w:sz w:val="16"/>
                <w:szCs w:val="16"/>
              </w:rPr>
              <w:t>ndetected</w:t>
            </w:r>
          </w:p>
        </w:tc>
        <w:tc>
          <w:tcPr>
            <w:tcW w:w="5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Cambria Math" w:hAnsi="Cambria Math" w:cs="Cambria Math"/>
                <w:sz w:val="16"/>
                <w:szCs w:val="16"/>
              </w:rPr>
              <w:t>⊕⊕⊕⊝</w:t>
            </w:r>
            <w:r w:rsidRPr="0091054F">
              <w:rPr>
                <w:rFonts w:ascii="Arial" w:hAnsi="Arial"/>
                <w:sz w:val="16"/>
                <w:szCs w:val="16"/>
              </w:rPr>
              <w:br/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MODERATE</w:t>
            </w: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single" w:sz="6" w:space="0" w:color="000000"/>
              <w:right w:val="single" w:sz="2" w:space="0" w:color="FFFFFF"/>
            </w:tcBorders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90-100%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hideMark/>
          </w:tcPr>
          <w:p w:rsidR="00FB22CE" w:rsidRPr="0091054F" w:rsidRDefault="00FB22CE" w:rsidP="00FB22C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70-90%</w:t>
            </w:r>
            <w:r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B22CE" w:rsidRPr="0091054F" w:rsidTr="00FB22CE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B22CE" w:rsidRPr="0091054F" w:rsidTr="00FB22CE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B22CE" w:rsidRPr="0091054F" w:rsidTr="00FB22CE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2CE" w:rsidRPr="0091054F" w:rsidRDefault="00FB22CE" w:rsidP="00315A45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FB22CE" w:rsidRDefault="00FB22CE" w:rsidP="00FB22CE"/>
    <w:p w:rsidR="00FB22CE" w:rsidRDefault="00FB22CE" w:rsidP="00FB22CE">
      <w:pPr>
        <w:spacing w:after="0" w:line="240" w:lineRule="auto"/>
      </w:pPr>
      <w:r>
        <w:t>Notes</w:t>
      </w:r>
    </w:p>
    <w:p w:rsidR="00FB22CE" w:rsidRDefault="00FB22CE" w:rsidP="00FB22C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Some studies reported correlation coefficient as and end point between Cardiac output and volume </w:t>
      </w:r>
    </w:p>
    <w:p w:rsidR="00FB22CE" w:rsidRDefault="00FB22CE" w:rsidP="00FB22CE">
      <w:pPr>
        <w:pStyle w:val="ListParagraph"/>
        <w:numPr>
          <w:ilvl w:val="0"/>
          <w:numId w:val="2"/>
        </w:numPr>
        <w:spacing w:after="0" w:line="240" w:lineRule="auto"/>
      </w:pPr>
      <w:r>
        <w:t>Higher sensitivity for fluid responsiveness is achieved with using cutoff value  of 15%</w:t>
      </w:r>
    </w:p>
    <w:p w:rsidR="00FB22CE" w:rsidRDefault="00FB22CE" w:rsidP="00FB22CE">
      <w:pPr>
        <w:spacing w:after="0" w:line="240" w:lineRule="auto"/>
        <w:ind w:left="360"/>
      </w:pPr>
    </w:p>
    <w:p w:rsidR="00FB22CE" w:rsidRDefault="00FB22CE" w:rsidP="00FB22CE">
      <w:pPr>
        <w:spacing w:after="0" w:line="240" w:lineRule="auto"/>
        <w:ind w:left="360"/>
      </w:pPr>
    </w:p>
    <w:p w:rsidR="00FB22CE" w:rsidRDefault="00FB22CE" w:rsidP="00FB22CE">
      <w:pPr>
        <w:spacing w:after="0" w:line="240" w:lineRule="auto"/>
        <w:ind w:left="360"/>
      </w:pPr>
    </w:p>
    <w:p w:rsidR="007C1D68" w:rsidRDefault="007C1D68">
      <w:r>
        <w:br w:type="page"/>
      </w:r>
    </w:p>
    <w:p w:rsidR="002221C5" w:rsidRDefault="002221C5" w:rsidP="007C1D68">
      <w:pPr>
        <w:widowControl w:val="0"/>
        <w:rPr>
          <w:rFonts w:ascii="Times New Roman" w:hAnsi="Times New Roman"/>
          <w:b/>
          <w:bCs/>
        </w:rPr>
      </w:pPr>
    </w:p>
    <w:p w:rsidR="007C1D68" w:rsidRPr="00A86783" w:rsidRDefault="00966D51" w:rsidP="00A86783">
      <w:pPr>
        <w:widowContro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 xml:space="preserve">Supplemental </w:t>
      </w:r>
      <w:r w:rsidR="007C1D68">
        <w:rPr>
          <w:rFonts w:ascii="Times New Roman" w:hAnsi="Times New Roman"/>
          <w:b/>
          <w:bCs/>
        </w:rPr>
        <w:t>Table 2</w:t>
      </w:r>
      <w:r w:rsidR="007C1D68">
        <w:rPr>
          <w:rFonts w:ascii="Times New Roman" w:hAnsi="Times New Roman"/>
        </w:rPr>
        <w:t>.</w:t>
      </w:r>
      <w:proofErr w:type="gramEnd"/>
      <w:r w:rsidR="007C1D68">
        <w:rPr>
          <w:rFonts w:ascii="Times New Roman" w:hAnsi="Times New Roman"/>
        </w:rPr>
        <w:t xml:space="preserve">  Summary of Finding (</w:t>
      </w:r>
      <w:proofErr w:type="spellStart"/>
      <w:proofErr w:type="gramStart"/>
      <w:r w:rsidR="007C1D68">
        <w:rPr>
          <w:rFonts w:ascii="Times New Roman" w:hAnsi="Times New Roman"/>
        </w:rPr>
        <w:t>SoF</w:t>
      </w:r>
      <w:proofErr w:type="spellEnd"/>
      <w:proofErr w:type="gramEnd"/>
      <w:r w:rsidR="007C1D68">
        <w:rPr>
          <w:rFonts w:ascii="Times New Roman" w:hAnsi="Times New Roman"/>
        </w:rPr>
        <w:t xml:space="preserve">) table regarding </w:t>
      </w:r>
      <w:r w:rsidR="002221C5">
        <w:rPr>
          <w:rFonts w:ascii="Times New Roman" w:hAnsi="Times New Roman"/>
        </w:rPr>
        <w:t xml:space="preserve">TEE for volume responsiveness </w:t>
      </w:r>
    </w:p>
    <w:tbl>
      <w:tblPr>
        <w:tblW w:w="51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2"/>
        <w:gridCol w:w="1211"/>
        <w:gridCol w:w="1598"/>
        <w:gridCol w:w="1033"/>
        <w:gridCol w:w="989"/>
        <w:gridCol w:w="1124"/>
        <w:gridCol w:w="1019"/>
        <w:gridCol w:w="869"/>
        <w:gridCol w:w="939"/>
        <w:gridCol w:w="96"/>
      </w:tblGrid>
      <w:tr w:rsidR="007C1D68" w:rsidRPr="0091054F" w:rsidTr="00315A45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D68" w:rsidRPr="009910DC" w:rsidRDefault="00181EC7" w:rsidP="007C1D68">
            <w:pPr>
              <w:rPr>
                <w:rFonts w:ascii="Arial" w:hAnsi="Arial"/>
                <w:b/>
              </w:rPr>
            </w:pPr>
            <w:r w:rsidRPr="00A86783">
              <w:rPr>
                <w:rFonts w:ascii="Arial" w:hAnsi="Arial"/>
                <w:sz w:val="18"/>
                <w:szCs w:val="18"/>
              </w:rPr>
              <w:t>We</w:t>
            </w:r>
            <w:r w:rsidR="00A86783" w:rsidRPr="00A86783">
              <w:rPr>
                <w:rFonts w:ascii="Arial" w:hAnsi="Arial"/>
                <w:sz w:val="18"/>
                <w:szCs w:val="18"/>
              </w:rPr>
              <w:t xml:space="preserve"> recommend that </w:t>
            </w:r>
            <w:proofErr w:type="spellStart"/>
            <w:r w:rsidR="00A86783" w:rsidRPr="00A86783">
              <w:rPr>
                <w:rFonts w:ascii="Arial" w:hAnsi="Arial"/>
                <w:sz w:val="18"/>
                <w:szCs w:val="18"/>
              </w:rPr>
              <w:t>transesophageal</w:t>
            </w:r>
            <w:proofErr w:type="spellEnd"/>
            <w:r w:rsidR="00A86783" w:rsidRPr="00A86783">
              <w:rPr>
                <w:rFonts w:ascii="Arial" w:hAnsi="Arial"/>
                <w:sz w:val="18"/>
                <w:szCs w:val="18"/>
              </w:rPr>
              <w:t xml:space="preserve"> echocardiography (TEE) presents a reliable, low risk, and timely solution to help the practitioner evaluate a patient’s preload responsiveness when transthoracic echocardiography (TTE) cannot be performed. </w:t>
            </w:r>
            <w:r w:rsidR="00A86783" w:rsidRPr="00A86783">
              <w:rPr>
                <w:rFonts w:ascii="Arial" w:hAnsi="Arial"/>
                <w:b/>
                <w:bCs/>
                <w:sz w:val="18"/>
                <w:szCs w:val="18"/>
              </w:rPr>
              <w:t>Grade 1C</w:t>
            </w:r>
            <w:r w:rsidR="007C1D68">
              <w:rPr>
                <w:rFonts w:ascii="Arial" w:hAnsi="Arial"/>
                <w:b/>
                <w:bCs/>
                <w:sz w:val="16"/>
                <w:szCs w:val="16"/>
              </w:rPr>
              <w:br/>
              <w:t>B</w:t>
            </w:r>
            <w:r w:rsidR="002221C5">
              <w:rPr>
                <w:rFonts w:ascii="Arial" w:hAnsi="Arial"/>
                <w:b/>
                <w:bCs/>
                <w:sz w:val="16"/>
                <w:szCs w:val="16"/>
              </w:rPr>
              <w:t>ibliography: Ref 20-34-35</w:t>
            </w:r>
          </w:p>
        </w:tc>
      </w:tr>
      <w:tr w:rsidR="007C1D68" w:rsidRPr="0091054F" w:rsidTr="00315A45">
        <w:tc>
          <w:tcPr>
            <w:tcW w:w="402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vAlign w:val="center"/>
            <w:hideMark/>
          </w:tcPr>
          <w:p w:rsidR="007C1D68" w:rsidRPr="0091054F" w:rsidRDefault="007C1D68" w:rsidP="00315A45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91054F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Quality assessment</w:t>
            </w:r>
          </w:p>
        </w:tc>
        <w:tc>
          <w:tcPr>
            <w:tcW w:w="9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vAlign w:val="center"/>
            <w:hideMark/>
          </w:tcPr>
          <w:p w:rsidR="007C1D68" w:rsidRPr="0091054F" w:rsidRDefault="007C1D68" w:rsidP="00315A45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91054F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Summary of Findings</w:t>
            </w:r>
          </w:p>
        </w:tc>
      </w:tr>
      <w:tr w:rsidR="007C1D68" w:rsidRPr="0091054F" w:rsidTr="00315A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7C1D68" w:rsidRPr="0091054F" w:rsidRDefault="007C1D68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br/>
              <w:t>(</w:t>
            </w:r>
            <w:r w:rsidR="00A86783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 xml:space="preserve"> studies)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7C1D68" w:rsidRPr="0091054F" w:rsidRDefault="007C1D68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7C1D68" w:rsidRPr="0091054F" w:rsidRDefault="007C1D68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7C1D68" w:rsidRPr="0091054F" w:rsidRDefault="007C1D68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7C1D68" w:rsidRPr="0091054F" w:rsidRDefault="007C1D68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7C1D68" w:rsidRPr="0091054F" w:rsidRDefault="007C1D68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Publication bias</w:t>
            </w:r>
          </w:p>
        </w:tc>
        <w:tc>
          <w:tcPr>
            <w:tcW w:w="5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7C1D68" w:rsidRPr="0091054F" w:rsidRDefault="007C1D68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Overall quality of evidence</w:t>
            </w:r>
          </w:p>
        </w:tc>
        <w:tc>
          <w:tcPr>
            <w:tcW w:w="9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7C1D68" w:rsidRPr="0091054F" w:rsidRDefault="007C1D68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Studies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 xml:space="preserve"> result 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range</w:t>
            </w:r>
          </w:p>
        </w:tc>
        <w:tc>
          <w:tcPr>
            <w:tcW w:w="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7C1D68" w:rsidRPr="0091054F" w:rsidRDefault="007C1D68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C1D68" w:rsidRPr="0091054F" w:rsidTr="00315A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2" w:space="0" w:color="EDEDED"/>
            </w:tcBorders>
            <w:shd w:val="clear" w:color="auto" w:fill="EDEDED"/>
            <w:hideMark/>
          </w:tcPr>
          <w:p w:rsidR="007C1D68" w:rsidRPr="0091054F" w:rsidRDefault="007C1D68" w:rsidP="00315A4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sensitivity</w:t>
            </w:r>
          </w:p>
        </w:tc>
        <w:tc>
          <w:tcPr>
            <w:tcW w:w="481" w:type="pct"/>
            <w:tcBorders>
              <w:top w:val="nil"/>
              <w:left w:val="single" w:sz="2" w:space="0" w:color="EDEDED"/>
              <w:bottom w:val="single" w:sz="6" w:space="0" w:color="000000"/>
              <w:right w:val="nil"/>
            </w:tcBorders>
            <w:shd w:val="clear" w:color="auto" w:fill="EDEDED"/>
            <w:hideMark/>
          </w:tcPr>
          <w:p w:rsidR="007C1D68" w:rsidRPr="0091054F" w:rsidRDefault="007C1D68" w:rsidP="00315A4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specificity</w:t>
            </w:r>
          </w:p>
          <w:p w:rsidR="007C1D68" w:rsidRPr="0091054F" w:rsidRDefault="007C1D68" w:rsidP="00315A4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1054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C1D68" w:rsidRPr="0091054F" w:rsidTr="00315A45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7C1D68" w:rsidRPr="0091054F" w:rsidRDefault="00181EC7" w:rsidP="00315A4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</w:rPr>
              <w:t>Diagnostic accuracy</w:t>
            </w:r>
          </w:p>
        </w:tc>
      </w:tr>
      <w:tr w:rsidR="007C1D68" w:rsidRPr="0091054F" w:rsidTr="00315A45">
        <w:trPr>
          <w:trHeight w:val="35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D68" w:rsidRDefault="007C1D68" w:rsidP="00315A45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Arial" w:hAnsi="Arial"/>
                <w:sz w:val="16"/>
                <w:szCs w:val="16"/>
              </w:rPr>
              <w:t>observational</w:t>
            </w:r>
          </w:p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studies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Arial" w:hAnsi="Arial"/>
                <w:sz w:val="16"/>
                <w:szCs w:val="16"/>
              </w:rPr>
              <w:t>serious 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91054F">
              <w:rPr>
                <w:rFonts w:ascii="Arial" w:hAnsi="Arial"/>
                <w:sz w:val="16"/>
                <w:szCs w:val="16"/>
              </w:rPr>
              <w:t>o serious 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91054F">
              <w:rPr>
                <w:rFonts w:ascii="Arial" w:hAnsi="Arial"/>
                <w:sz w:val="16"/>
                <w:szCs w:val="16"/>
              </w:rPr>
              <w:t xml:space="preserve">o </w:t>
            </w:r>
            <w:r>
              <w:rPr>
                <w:rFonts w:ascii="Arial" w:hAnsi="Arial"/>
                <w:sz w:val="16"/>
                <w:szCs w:val="16"/>
              </w:rPr>
              <w:t>I</w:t>
            </w:r>
            <w:r w:rsidRPr="0091054F">
              <w:rPr>
                <w:rFonts w:ascii="Arial" w:hAnsi="Arial"/>
                <w:sz w:val="16"/>
                <w:szCs w:val="16"/>
              </w:rPr>
              <w:t>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91054F">
              <w:rPr>
                <w:rFonts w:ascii="Arial" w:hAnsi="Arial"/>
                <w:sz w:val="16"/>
                <w:szCs w:val="16"/>
              </w:rPr>
              <w:t xml:space="preserve">o </w:t>
            </w:r>
            <w:r>
              <w:rPr>
                <w:rFonts w:ascii="Arial" w:hAnsi="Arial"/>
                <w:sz w:val="16"/>
                <w:szCs w:val="16"/>
              </w:rPr>
              <w:t>I</w:t>
            </w:r>
            <w:r w:rsidRPr="0091054F">
              <w:rPr>
                <w:rFonts w:ascii="Arial" w:hAnsi="Arial"/>
                <w:sz w:val="16"/>
                <w:szCs w:val="16"/>
              </w:rPr>
              <w:t>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</w:t>
            </w:r>
            <w:r w:rsidRPr="0091054F">
              <w:rPr>
                <w:rFonts w:ascii="Arial" w:hAnsi="Arial"/>
                <w:sz w:val="16"/>
                <w:szCs w:val="16"/>
              </w:rPr>
              <w:t>ndetected</w:t>
            </w:r>
          </w:p>
        </w:tc>
        <w:tc>
          <w:tcPr>
            <w:tcW w:w="5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D68" w:rsidRPr="0091054F" w:rsidRDefault="007C1D68" w:rsidP="00E5289B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Cambria Math" w:hAnsi="Cambria Math" w:cs="Cambria Math"/>
                <w:sz w:val="16"/>
                <w:szCs w:val="16"/>
              </w:rPr>
              <w:t>⊕⊕</w:t>
            </w:r>
            <w:r w:rsidR="00E5289B" w:rsidRPr="0091054F">
              <w:rPr>
                <w:rFonts w:ascii="Cambria Math" w:hAnsi="Cambria Math" w:cs="Cambria Math"/>
                <w:sz w:val="16"/>
                <w:szCs w:val="16"/>
              </w:rPr>
              <w:t>⊝</w:t>
            </w:r>
            <w:r w:rsidRPr="0091054F">
              <w:rPr>
                <w:rFonts w:ascii="Cambria Math" w:hAnsi="Cambria Math" w:cs="Cambria Math"/>
                <w:sz w:val="16"/>
                <w:szCs w:val="16"/>
              </w:rPr>
              <w:t>⊝</w:t>
            </w:r>
            <w:r w:rsidRPr="0091054F">
              <w:rPr>
                <w:rFonts w:ascii="Arial" w:hAnsi="Arial"/>
                <w:sz w:val="16"/>
                <w:szCs w:val="16"/>
              </w:rPr>
              <w:br/>
            </w:r>
            <w:r w:rsidR="00E5289B">
              <w:rPr>
                <w:rFonts w:ascii="Arial" w:hAnsi="Arial"/>
                <w:b/>
                <w:bCs/>
                <w:sz w:val="16"/>
                <w:szCs w:val="16"/>
              </w:rPr>
              <w:t>LOW</w:t>
            </w: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single" w:sz="6" w:space="0" w:color="000000"/>
              <w:right w:val="single" w:sz="2" w:space="0" w:color="FFFFFF"/>
            </w:tcBorders>
            <w:hideMark/>
          </w:tcPr>
          <w:p w:rsidR="007C1D68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90-93</w:t>
            </w:r>
            <w:r w:rsidR="007C1D68">
              <w:rPr>
                <w:rFonts w:ascii="Arial" w:hAnsi="Arial"/>
                <w:sz w:val="16"/>
                <w:szCs w:val="16"/>
              </w:rPr>
              <w:t>%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hideMark/>
          </w:tcPr>
          <w:p w:rsidR="007C1D68" w:rsidRPr="0091054F" w:rsidRDefault="007C1D68" w:rsidP="00606F6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606F62">
              <w:rPr>
                <w:rFonts w:ascii="Arial" w:hAnsi="Arial"/>
                <w:sz w:val="16"/>
                <w:szCs w:val="16"/>
              </w:rPr>
              <w:t>83-100</w:t>
            </w:r>
            <w:r>
              <w:rPr>
                <w:rFonts w:ascii="Arial" w:hAnsi="Arial"/>
                <w:sz w:val="16"/>
                <w:szCs w:val="16"/>
              </w:rPr>
              <w:t>%</w:t>
            </w:r>
            <w:r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1D68" w:rsidRPr="0091054F" w:rsidTr="00315A45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1D68" w:rsidRPr="0091054F" w:rsidTr="00315A45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1D68" w:rsidRPr="0091054F" w:rsidTr="00315A45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D68" w:rsidRPr="0091054F" w:rsidRDefault="007C1D68" w:rsidP="00315A45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7C1D68" w:rsidRDefault="007C1D68" w:rsidP="007C1D68"/>
    <w:p w:rsidR="007C1D68" w:rsidRDefault="007C1D68" w:rsidP="007C1D68">
      <w:pPr>
        <w:spacing w:after="0" w:line="240" w:lineRule="auto"/>
      </w:pPr>
      <w:r>
        <w:t>Notes</w:t>
      </w:r>
    </w:p>
    <w:p w:rsidR="007C1D68" w:rsidRDefault="00B81008" w:rsidP="00B81008">
      <w:pPr>
        <w:pStyle w:val="ListParagraph"/>
        <w:numPr>
          <w:ilvl w:val="0"/>
          <w:numId w:val="3"/>
        </w:numPr>
        <w:spacing w:after="0" w:line="240" w:lineRule="auto"/>
      </w:pPr>
      <w:r>
        <w:t>Also</w:t>
      </w:r>
      <w:r w:rsidR="007C1D68">
        <w:t xml:space="preserve"> reported </w:t>
      </w:r>
      <w:r w:rsidR="00606F62">
        <w:t xml:space="preserve">high </w:t>
      </w:r>
      <w:r w:rsidR="007C1D68">
        <w:t xml:space="preserve">correlation coefficient </w:t>
      </w:r>
      <w:r>
        <w:t xml:space="preserve">( r=0.923) </w:t>
      </w:r>
    </w:p>
    <w:p w:rsidR="007C1D68" w:rsidRDefault="00A86783" w:rsidP="00606F6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SVC by TEE yielded better accuracy </w:t>
      </w:r>
      <w:r w:rsidR="00606F62">
        <w:t xml:space="preserve">(sensitivity 90% and specificity 100%) </w:t>
      </w:r>
      <w:r>
        <w:t xml:space="preserve"> </w:t>
      </w:r>
    </w:p>
    <w:p w:rsidR="007C1D68" w:rsidRDefault="007C1D68" w:rsidP="007C1D68">
      <w:pPr>
        <w:spacing w:after="0" w:line="240" w:lineRule="auto"/>
        <w:ind w:left="360"/>
      </w:pPr>
    </w:p>
    <w:p w:rsidR="007C1D68" w:rsidRDefault="007C1D68" w:rsidP="007C1D68">
      <w:pPr>
        <w:spacing w:after="0" w:line="240" w:lineRule="auto"/>
        <w:ind w:left="360"/>
      </w:pPr>
    </w:p>
    <w:p w:rsidR="00A86783" w:rsidRDefault="00A86783" w:rsidP="00A86783">
      <w:pPr>
        <w:spacing w:after="0" w:line="240" w:lineRule="auto"/>
        <w:ind w:left="360"/>
      </w:pPr>
    </w:p>
    <w:p w:rsidR="00A86783" w:rsidRDefault="00A86783">
      <w:r>
        <w:br w:type="page"/>
      </w:r>
    </w:p>
    <w:p w:rsidR="00606F62" w:rsidRPr="00A86783" w:rsidRDefault="00966D51" w:rsidP="00761CDD">
      <w:pPr>
        <w:widowContro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 xml:space="preserve">Supplemental </w:t>
      </w:r>
      <w:r w:rsidR="00315A45">
        <w:rPr>
          <w:rFonts w:ascii="Times New Roman" w:hAnsi="Times New Roman"/>
          <w:b/>
          <w:bCs/>
        </w:rPr>
        <w:t>Table 3</w:t>
      </w:r>
      <w:r w:rsidR="00606F62">
        <w:rPr>
          <w:rFonts w:ascii="Times New Roman" w:hAnsi="Times New Roman"/>
        </w:rPr>
        <w:t>.</w:t>
      </w:r>
      <w:proofErr w:type="gramEnd"/>
      <w:r w:rsidR="00606F62">
        <w:rPr>
          <w:rFonts w:ascii="Times New Roman" w:hAnsi="Times New Roman"/>
        </w:rPr>
        <w:t xml:space="preserve">  Summary of Finding (</w:t>
      </w:r>
      <w:proofErr w:type="spellStart"/>
      <w:proofErr w:type="gramStart"/>
      <w:r w:rsidR="00606F62">
        <w:rPr>
          <w:rFonts w:ascii="Times New Roman" w:hAnsi="Times New Roman"/>
        </w:rPr>
        <w:t>SoF</w:t>
      </w:r>
      <w:proofErr w:type="spellEnd"/>
      <w:proofErr w:type="gramEnd"/>
      <w:r w:rsidR="00606F62">
        <w:rPr>
          <w:rFonts w:ascii="Times New Roman" w:hAnsi="Times New Roman"/>
        </w:rPr>
        <w:t xml:space="preserve">) table regarding </w:t>
      </w:r>
      <w:r w:rsidR="00761CDD">
        <w:rPr>
          <w:rFonts w:ascii="Times New Roman" w:hAnsi="Times New Roman"/>
        </w:rPr>
        <w:t>assessment of pulmonary hypertension</w:t>
      </w:r>
    </w:p>
    <w:tbl>
      <w:tblPr>
        <w:tblW w:w="51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2"/>
        <w:gridCol w:w="1211"/>
        <w:gridCol w:w="1598"/>
        <w:gridCol w:w="1033"/>
        <w:gridCol w:w="989"/>
        <w:gridCol w:w="1124"/>
        <w:gridCol w:w="1019"/>
        <w:gridCol w:w="869"/>
        <w:gridCol w:w="939"/>
        <w:gridCol w:w="96"/>
      </w:tblGrid>
      <w:tr w:rsidR="00606F62" w:rsidRPr="0091054F" w:rsidTr="00315A45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6F62" w:rsidRPr="009910DC" w:rsidRDefault="00E5289B" w:rsidP="00606F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  <w:szCs w:val="18"/>
              </w:rPr>
              <w:t>We</w:t>
            </w:r>
            <w:r w:rsidR="000D7923" w:rsidRPr="000D7923">
              <w:rPr>
                <w:rFonts w:ascii="Arial" w:hAnsi="Arial"/>
                <w:sz w:val="18"/>
                <w:szCs w:val="18"/>
              </w:rPr>
              <w:t xml:space="preserve"> recommend bedside cardiac ultrasonography should be used to measure pulmonary arterial pressures in all patients with suspected primary or secondary pulmonary hypertension</w:t>
            </w:r>
            <w:r w:rsidR="00561B2D">
              <w:rPr>
                <w:rFonts w:ascii="Arial" w:hAnsi="Arial"/>
                <w:sz w:val="18"/>
                <w:szCs w:val="18"/>
              </w:rPr>
              <w:t xml:space="preserve"> provided that operator has the required training for this </w:t>
            </w:r>
            <w:r w:rsidR="000D7923" w:rsidRPr="000D7923">
              <w:rPr>
                <w:rFonts w:ascii="Arial" w:hAnsi="Arial"/>
                <w:sz w:val="18"/>
                <w:szCs w:val="18"/>
              </w:rPr>
              <w:t>. Grade 1B</w:t>
            </w:r>
            <w:r w:rsidR="00761CDD">
              <w:rPr>
                <w:rFonts w:ascii="Arial" w:hAnsi="Arial"/>
                <w:b/>
                <w:bCs/>
                <w:sz w:val="16"/>
                <w:szCs w:val="16"/>
              </w:rPr>
              <w:br/>
              <w:t xml:space="preserve">Bibliography: Ref 35, </w:t>
            </w:r>
            <w:r w:rsidR="00606F62"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  <w:r w:rsidR="000D7923">
              <w:rPr>
                <w:rFonts w:ascii="Arial" w:hAnsi="Arial"/>
                <w:b/>
                <w:bCs/>
                <w:sz w:val="16"/>
                <w:szCs w:val="16"/>
              </w:rPr>
              <w:t>3-58</w:t>
            </w:r>
          </w:p>
        </w:tc>
      </w:tr>
      <w:tr w:rsidR="00606F62" w:rsidRPr="0091054F" w:rsidTr="00315A45">
        <w:tc>
          <w:tcPr>
            <w:tcW w:w="402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vAlign w:val="center"/>
            <w:hideMark/>
          </w:tcPr>
          <w:p w:rsidR="00606F62" w:rsidRPr="0091054F" w:rsidRDefault="00606F62" w:rsidP="00315A45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91054F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Quality assessment</w:t>
            </w:r>
          </w:p>
        </w:tc>
        <w:tc>
          <w:tcPr>
            <w:tcW w:w="9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vAlign w:val="center"/>
            <w:hideMark/>
          </w:tcPr>
          <w:p w:rsidR="00606F62" w:rsidRPr="0091054F" w:rsidRDefault="00606F62" w:rsidP="00315A45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91054F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Summary of Findings</w:t>
            </w:r>
          </w:p>
        </w:tc>
      </w:tr>
      <w:tr w:rsidR="00606F62" w:rsidRPr="0091054F" w:rsidTr="00315A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06F62" w:rsidRPr="0091054F" w:rsidRDefault="00606F62" w:rsidP="00E5289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br/>
              <w:t>(</w:t>
            </w:r>
            <w:r w:rsidR="00E5289B">
              <w:rPr>
                <w:rFonts w:ascii="Arial" w:hAnsi="Arial"/>
                <w:b/>
                <w:bCs/>
                <w:sz w:val="16"/>
                <w:szCs w:val="16"/>
              </w:rPr>
              <w:t>17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 xml:space="preserve"> studies)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06F62" w:rsidRPr="0091054F" w:rsidRDefault="00606F62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06F62" w:rsidRPr="0091054F" w:rsidRDefault="00606F62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06F62" w:rsidRPr="0091054F" w:rsidRDefault="00606F62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06F62" w:rsidRPr="0091054F" w:rsidRDefault="00606F62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06F62" w:rsidRPr="0091054F" w:rsidRDefault="00606F62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Publication bias</w:t>
            </w:r>
          </w:p>
        </w:tc>
        <w:tc>
          <w:tcPr>
            <w:tcW w:w="5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06F62" w:rsidRPr="0091054F" w:rsidRDefault="00606F62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Overall quality of evidence</w:t>
            </w:r>
          </w:p>
        </w:tc>
        <w:tc>
          <w:tcPr>
            <w:tcW w:w="9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06F62" w:rsidRPr="0091054F" w:rsidRDefault="00606F62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Studies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 xml:space="preserve"> result 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range</w:t>
            </w:r>
          </w:p>
        </w:tc>
        <w:tc>
          <w:tcPr>
            <w:tcW w:w="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06F62" w:rsidRPr="0091054F" w:rsidRDefault="00606F62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06F62" w:rsidRPr="0091054F" w:rsidTr="00315A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2" w:space="0" w:color="EDEDED"/>
            </w:tcBorders>
            <w:shd w:val="clear" w:color="auto" w:fill="EDEDED"/>
            <w:hideMark/>
          </w:tcPr>
          <w:p w:rsidR="00606F62" w:rsidRPr="0091054F" w:rsidRDefault="00606F62" w:rsidP="00315A4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sensitivity</w:t>
            </w:r>
          </w:p>
        </w:tc>
        <w:tc>
          <w:tcPr>
            <w:tcW w:w="481" w:type="pct"/>
            <w:tcBorders>
              <w:top w:val="nil"/>
              <w:left w:val="single" w:sz="2" w:space="0" w:color="EDEDED"/>
              <w:bottom w:val="single" w:sz="6" w:space="0" w:color="000000"/>
              <w:right w:val="nil"/>
            </w:tcBorders>
            <w:shd w:val="clear" w:color="auto" w:fill="EDEDED"/>
            <w:hideMark/>
          </w:tcPr>
          <w:p w:rsidR="00606F62" w:rsidRPr="0091054F" w:rsidRDefault="00606F62" w:rsidP="00315A4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specificity</w:t>
            </w:r>
          </w:p>
          <w:p w:rsidR="00606F62" w:rsidRPr="0091054F" w:rsidRDefault="00606F62" w:rsidP="00315A4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1054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06F62" w:rsidRPr="0091054F" w:rsidTr="00315A45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606F62" w:rsidRPr="0091054F" w:rsidRDefault="00181EC7" w:rsidP="00315A4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</w:rPr>
              <w:t>Diagnostic accuracy</w:t>
            </w:r>
          </w:p>
        </w:tc>
      </w:tr>
      <w:tr w:rsidR="00606F62" w:rsidRPr="0091054F" w:rsidTr="00315A45">
        <w:trPr>
          <w:trHeight w:val="35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F62" w:rsidRDefault="00606F62" w:rsidP="00315A45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Arial" w:hAnsi="Arial"/>
                <w:sz w:val="16"/>
                <w:szCs w:val="16"/>
              </w:rPr>
              <w:t>observational</w:t>
            </w:r>
          </w:p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studies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Arial" w:hAnsi="Arial"/>
                <w:sz w:val="16"/>
                <w:szCs w:val="16"/>
              </w:rPr>
              <w:t>serious 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91054F">
              <w:rPr>
                <w:rFonts w:ascii="Arial" w:hAnsi="Arial"/>
                <w:sz w:val="16"/>
                <w:szCs w:val="16"/>
              </w:rPr>
              <w:t>o serious 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F62" w:rsidRPr="0091054F" w:rsidRDefault="000D7923" w:rsidP="00315A4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No </w:t>
            </w:r>
            <w:r w:rsidR="00606F62">
              <w:rPr>
                <w:rFonts w:ascii="Arial" w:hAnsi="Arial"/>
                <w:sz w:val="16"/>
                <w:szCs w:val="16"/>
              </w:rPr>
              <w:t>I</w:t>
            </w:r>
            <w:r w:rsidR="00606F62" w:rsidRPr="0091054F">
              <w:rPr>
                <w:rFonts w:ascii="Arial" w:hAnsi="Arial"/>
                <w:sz w:val="16"/>
                <w:szCs w:val="16"/>
              </w:rPr>
              <w:t>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91054F">
              <w:rPr>
                <w:rFonts w:ascii="Arial" w:hAnsi="Arial"/>
                <w:sz w:val="16"/>
                <w:szCs w:val="16"/>
              </w:rPr>
              <w:t xml:space="preserve">o </w:t>
            </w:r>
            <w:r>
              <w:rPr>
                <w:rFonts w:ascii="Arial" w:hAnsi="Arial"/>
                <w:sz w:val="16"/>
                <w:szCs w:val="16"/>
              </w:rPr>
              <w:t>I</w:t>
            </w:r>
            <w:r w:rsidRPr="0091054F">
              <w:rPr>
                <w:rFonts w:ascii="Arial" w:hAnsi="Arial"/>
                <w:sz w:val="16"/>
                <w:szCs w:val="16"/>
              </w:rPr>
              <w:t>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</w:t>
            </w:r>
            <w:r w:rsidRPr="0091054F">
              <w:rPr>
                <w:rFonts w:ascii="Arial" w:hAnsi="Arial"/>
                <w:sz w:val="16"/>
                <w:szCs w:val="16"/>
              </w:rPr>
              <w:t>ndetected</w:t>
            </w:r>
          </w:p>
        </w:tc>
        <w:tc>
          <w:tcPr>
            <w:tcW w:w="5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Cambria Math" w:hAnsi="Cambria Math" w:cs="Cambria Math"/>
                <w:sz w:val="16"/>
                <w:szCs w:val="16"/>
              </w:rPr>
              <w:t>⊕⊕⊕⊝</w:t>
            </w:r>
            <w:r w:rsidRPr="0091054F">
              <w:rPr>
                <w:rFonts w:ascii="Arial" w:hAnsi="Arial"/>
                <w:sz w:val="16"/>
                <w:szCs w:val="16"/>
              </w:rPr>
              <w:br/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MODERATE</w:t>
            </w: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single" w:sz="6" w:space="0" w:color="000000"/>
              <w:right w:val="single" w:sz="2" w:space="0" w:color="FFFFFF"/>
            </w:tcBorders>
            <w:hideMark/>
          </w:tcPr>
          <w:p w:rsidR="00606F62" w:rsidRPr="0091054F" w:rsidRDefault="00B465D8" w:rsidP="00315A4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specificity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hideMark/>
          </w:tcPr>
          <w:p w:rsidR="00606F62" w:rsidRPr="0091054F" w:rsidRDefault="006D219D" w:rsidP="00AE301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76-96</w:t>
            </w:r>
            <w:r w:rsidR="00606F62">
              <w:rPr>
                <w:rFonts w:ascii="Arial" w:hAnsi="Arial"/>
                <w:sz w:val="16"/>
                <w:szCs w:val="16"/>
              </w:rPr>
              <w:t>%</w:t>
            </w:r>
            <w:r w:rsidR="00606F62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06F62" w:rsidRPr="0091054F" w:rsidTr="00315A45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06F62" w:rsidRPr="0091054F" w:rsidTr="00315A45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06F62" w:rsidRPr="0091054F" w:rsidTr="00315A45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F62" w:rsidRPr="0091054F" w:rsidRDefault="00606F62" w:rsidP="00315A45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06F62" w:rsidRDefault="00606F62" w:rsidP="00606F62"/>
    <w:p w:rsidR="00606F62" w:rsidRDefault="00606F62" w:rsidP="00606F62">
      <w:pPr>
        <w:spacing w:after="0" w:line="240" w:lineRule="auto"/>
      </w:pPr>
      <w:r>
        <w:t>Notes</w:t>
      </w:r>
    </w:p>
    <w:p w:rsidR="00B465D8" w:rsidRDefault="00E5289B" w:rsidP="005D3ABC">
      <w:pPr>
        <w:pStyle w:val="ListParagraph"/>
        <w:numPr>
          <w:ilvl w:val="0"/>
          <w:numId w:val="6"/>
        </w:numPr>
        <w:spacing w:after="0" w:line="240" w:lineRule="auto"/>
      </w:pPr>
      <w:r>
        <w:t>End point is</w:t>
      </w:r>
      <w:r w:rsidR="00B465D8">
        <w:t xml:space="preserve"> diagnostic accuracy </w:t>
      </w:r>
      <w:r>
        <w:t>for</w:t>
      </w:r>
      <w:r w:rsidR="005D3ABC">
        <w:t xml:space="preserve"> measure</w:t>
      </w:r>
      <w:r>
        <w:t>ment of</w:t>
      </w:r>
      <w:r w:rsidR="00B465D8">
        <w:t xml:space="preserve"> pulmonary </w:t>
      </w:r>
      <w:r w:rsidR="005D3ABC">
        <w:t>hypertension</w:t>
      </w:r>
      <w:r>
        <w:t xml:space="preserve"> (non-therapeutic end point). Cohort </w:t>
      </w:r>
      <w:r w:rsidR="001E4A55">
        <w:t xml:space="preserve">observational </w:t>
      </w:r>
      <w:r>
        <w:t xml:space="preserve">design considered </w:t>
      </w:r>
      <w:r w:rsidR="001E4A55">
        <w:t xml:space="preserve">as </w:t>
      </w:r>
      <w:r>
        <w:t>appropriate for this end-point</w:t>
      </w:r>
    </w:p>
    <w:p w:rsidR="00A86783" w:rsidRDefault="00A86783" w:rsidP="00A86783">
      <w:pPr>
        <w:spacing w:after="0" w:line="240" w:lineRule="auto"/>
      </w:pPr>
    </w:p>
    <w:p w:rsidR="00315A45" w:rsidRDefault="00315A45" w:rsidP="00A86783">
      <w:pPr>
        <w:spacing w:after="0" w:line="240" w:lineRule="auto"/>
      </w:pPr>
    </w:p>
    <w:p w:rsidR="005D3ABC" w:rsidRDefault="005D3ABC" w:rsidP="00A86783">
      <w:pPr>
        <w:spacing w:after="0" w:line="240" w:lineRule="auto"/>
      </w:pPr>
    </w:p>
    <w:p w:rsidR="005D3ABC" w:rsidRDefault="005D3AB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5D3ABC" w:rsidRPr="00A86783" w:rsidRDefault="00966D51" w:rsidP="005D3ABC">
      <w:pPr>
        <w:widowContro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 xml:space="preserve">Supplemental </w:t>
      </w:r>
      <w:r w:rsidR="005D3ABC">
        <w:rPr>
          <w:rFonts w:ascii="Times New Roman" w:hAnsi="Times New Roman"/>
          <w:b/>
          <w:bCs/>
        </w:rPr>
        <w:t>Table 4</w:t>
      </w:r>
      <w:r w:rsidR="005D3ABC">
        <w:rPr>
          <w:rFonts w:ascii="Times New Roman" w:hAnsi="Times New Roman"/>
        </w:rPr>
        <w:t>.</w:t>
      </w:r>
      <w:proofErr w:type="gramEnd"/>
      <w:r w:rsidR="005D3ABC">
        <w:rPr>
          <w:rFonts w:ascii="Times New Roman" w:hAnsi="Times New Roman"/>
        </w:rPr>
        <w:t xml:space="preserve">  Summary of Finding (</w:t>
      </w:r>
      <w:proofErr w:type="spellStart"/>
      <w:proofErr w:type="gramStart"/>
      <w:r w:rsidR="005D3ABC">
        <w:rPr>
          <w:rFonts w:ascii="Times New Roman" w:hAnsi="Times New Roman"/>
        </w:rPr>
        <w:t>SoF</w:t>
      </w:r>
      <w:proofErr w:type="spellEnd"/>
      <w:proofErr w:type="gramEnd"/>
      <w:r w:rsidR="005D3ABC">
        <w:rPr>
          <w:rFonts w:ascii="Times New Roman" w:hAnsi="Times New Roman"/>
        </w:rPr>
        <w:t xml:space="preserve">) table regarding pulmonary embolism </w:t>
      </w:r>
    </w:p>
    <w:tbl>
      <w:tblPr>
        <w:tblW w:w="51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2"/>
        <w:gridCol w:w="1232"/>
        <w:gridCol w:w="1623"/>
        <w:gridCol w:w="1042"/>
        <w:gridCol w:w="1005"/>
        <w:gridCol w:w="1144"/>
        <w:gridCol w:w="988"/>
        <w:gridCol w:w="839"/>
        <w:gridCol w:w="909"/>
        <w:gridCol w:w="96"/>
      </w:tblGrid>
      <w:tr w:rsidR="005D3ABC" w:rsidRPr="0091054F" w:rsidTr="00810B39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BC" w:rsidRPr="009910DC" w:rsidRDefault="005D3ABC" w:rsidP="00810B39">
            <w:pPr>
              <w:rPr>
                <w:rFonts w:ascii="Arial" w:hAnsi="Arial"/>
                <w:b/>
              </w:rPr>
            </w:pPr>
            <w:r w:rsidRPr="005D3ABC">
              <w:rPr>
                <w:rFonts w:ascii="Arial" w:hAnsi="Arial"/>
                <w:sz w:val="18"/>
                <w:szCs w:val="18"/>
              </w:rPr>
              <w:t xml:space="preserve">We recommend that bedside cardiac ultrasonography and a venous exam of the proximal bilateral lower extremities should be performed in patients with suspected pulmonary embolism and should be used prior to </w:t>
            </w:r>
            <w:proofErr w:type="gramStart"/>
            <w:r w:rsidRPr="005D3ABC">
              <w:rPr>
                <w:rFonts w:ascii="Arial" w:hAnsi="Arial"/>
                <w:sz w:val="18"/>
                <w:szCs w:val="18"/>
              </w:rPr>
              <w:t>computed</w:t>
            </w:r>
            <w:proofErr w:type="gramEnd"/>
            <w:r w:rsidRPr="005D3ABC">
              <w:rPr>
                <w:rFonts w:ascii="Arial" w:hAnsi="Arial"/>
                <w:sz w:val="18"/>
                <w:szCs w:val="18"/>
              </w:rPr>
              <w:t xml:space="preserve"> tomography in unstable patients. Grade 1C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br/>
              <w:t>Bibliography: Ref 50-58</w:t>
            </w:r>
          </w:p>
        </w:tc>
      </w:tr>
      <w:tr w:rsidR="005D3ABC" w:rsidRPr="0091054F" w:rsidTr="005D3ABC">
        <w:tc>
          <w:tcPr>
            <w:tcW w:w="405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vAlign w:val="center"/>
            <w:hideMark/>
          </w:tcPr>
          <w:p w:rsidR="005D3ABC" w:rsidRPr="0091054F" w:rsidRDefault="005D3ABC" w:rsidP="00810B39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91054F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Quality assessment</w:t>
            </w:r>
          </w:p>
        </w:tc>
        <w:tc>
          <w:tcPr>
            <w:tcW w:w="9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vAlign w:val="center"/>
            <w:hideMark/>
          </w:tcPr>
          <w:p w:rsidR="005D3ABC" w:rsidRPr="0091054F" w:rsidRDefault="005D3ABC" w:rsidP="00810B39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91054F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Summary of Findings</w:t>
            </w:r>
          </w:p>
        </w:tc>
      </w:tr>
      <w:tr w:rsidR="00CE5D76" w:rsidRPr="0091054F" w:rsidTr="005D3A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5D3ABC" w:rsidRPr="0091054F" w:rsidRDefault="005D3ABC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br/>
              <w:t>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 xml:space="preserve"> studies)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5D3ABC" w:rsidRPr="0091054F" w:rsidRDefault="005D3ABC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5D3ABC" w:rsidRPr="0091054F" w:rsidRDefault="005D3ABC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5D3ABC" w:rsidRPr="0091054F" w:rsidRDefault="005D3ABC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5D3ABC" w:rsidRPr="0091054F" w:rsidRDefault="005D3ABC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5D3ABC" w:rsidRPr="0091054F" w:rsidRDefault="005D3ABC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Publication bias</w:t>
            </w:r>
          </w:p>
        </w:tc>
        <w:tc>
          <w:tcPr>
            <w:tcW w:w="5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5D3ABC" w:rsidRPr="0091054F" w:rsidRDefault="005D3ABC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Overall quality of evidence</w:t>
            </w: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5D3ABC" w:rsidRPr="0091054F" w:rsidRDefault="005D3ABC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Studies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 xml:space="preserve"> result 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range</w:t>
            </w:r>
          </w:p>
        </w:tc>
        <w:tc>
          <w:tcPr>
            <w:tcW w:w="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5D3ABC" w:rsidRPr="0091054F" w:rsidRDefault="005D3ABC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D3ABC" w:rsidRPr="0091054F" w:rsidTr="005D3A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6" w:space="0" w:color="000000"/>
              <w:right w:val="single" w:sz="2" w:space="0" w:color="EDEDED"/>
            </w:tcBorders>
            <w:shd w:val="clear" w:color="auto" w:fill="EDEDED"/>
            <w:hideMark/>
          </w:tcPr>
          <w:p w:rsidR="005D3ABC" w:rsidRPr="0091054F" w:rsidRDefault="005D3ABC" w:rsidP="00810B3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sensitivity</w:t>
            </w:r>
          </w:p>
        </w:tc>
        <w:tc>
          <w:tcPr>
            <w:tcW w:w="465" w:type="pct"/>
            <w:tcBorders>
              <w:top w:val="nil"/>
              <w:left w:val="single" w:sz="2" w:space="0" w:color="EDEDED"/>
              <w:bottom w:val="single" w:sz="6" w:space="0" w:color="000000"/>
              <w:right w:val="nil"/>
            </w:tcBorders>
            <w:shd w:val="clear" w:color="auto" w:fill="EDEDED"/>
            <w:hideMark/>
          </w:tcPr>
          <w:p w:rsidR="005D3ABC" w:rsidRPr="0091054F" w:rsidRDefault="005D3ABC" w:rsidP="00810B3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specificity</w:t>
            </w:r>
          </w:p>
          <w:p w:rsidR="005D3ABC" w:rsidRPr="0091054F" w:rsidRDefault="005D3ABC" w:rsidP="00810B3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1054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D3ABC" w:rsidRPr="0091054F" w:rsidTr="00810B39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5D3ABC" w:rsidRPr="0091054F" w:rsidRDefault="00181EC7" w:rsidP="00810B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</w:rPr>
              <w:t>Diagnostic accuracy</w:t>
            </w:r>
          </w:p>
        </w:tc>
      </w:tr>
      <w:tr w:rsidR="005D3ABC" w:rsidRPr="0091054F" w:rsidTr="005D3ABC">
        <w:trPr>
          <w:trHeight w:val="35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BC" w:rsidRDefault="005D3ABC" w:rsidP="00810B39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Arial" w:hAnsi="Arial"/>
                <w:sz w:val="16"/>
                <w:szCs w:val="16"/>
              </w:rPr>
              <w:t>observational</w:t>
            </w:r>
          </w:p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studies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Arial" w:hAnsi="Arial"/>
                <w:sz w:val="16"/>
                <w:szCs w:val="16"/>
              </w:rPr>
              <w:t>serious 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91054F">
              <w:rPr>
                <w:rFonts w:ascii="Arial" w:hAnsi="Arial"/>
                <w:sz w:val="16"/>
                <w:szCs w:val="16"/>
              </w:rPr>
              <w:t>o serious 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 I</w:t>
            </w:r>
            <w:r w:rsidRPr="0091054F">
              <w:rPr>
                <w:rFonts w:ascii="Arial" w:hAnsi="Arial"/>
                <w:sz w:val="16"/>
                <w:szCs w:val="16"/>
              </w:rPr>
              <w:t>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91054F">
              <w:rPr>
                <w:rFonts w:ascii="Arial" w:hAnsi="Arial"/>
                <w:sz w:val="16"/>
                <w:szCs w:val="16"/>
              </w:rPr>
              <w:t xml:space="preserve">o </w:t>
            </w:r>
            <w:r>
              <w:rPr>
                <w:rFonts w:ascii="Arial" w:hAnsi="Arial"/>
                <w:sz w:val="16"/>
                <w:szCs w:val="16"/>
              </w:rPr>
              <w:t>I</w:t>
            </w:r>
            <w:r w:rsidRPr="0091054F">
              <w:rPr>
                <w:rFonts w:ascii="Arial" w:hAnsi="Arial"/>
                <w:sz w:val="16"/>
                <w:szCs w:val="16"/>
              </w:rPr>
              <w:t>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</w:t>
            </w:r>
            <w:r w:rsidRPr="0091054F">
              <w:rPr>
                <w:rFonts w:ascii="Arial" w:hAnsi="Arial"/>
                <w:sz w:val="16"/>
                <w:szCs w:val="16"/>
              </w:rPr>
              <w:t>ndetected</w:t>
            </w:r>
          </w:p>
        </w:tc>
        <w:tc>
          <w:tcPr>
            <w:tcW w:w="5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BC" w:rsidRPr="0091054F" w:rsidRDefault="005D3ABC" w:rsidP="005D3ABC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Cambria Math" w:hAnsi="Cambria Math" w:cs="Cambria Math"/>
                <w:sz w:val="16"/>
                <w:szCs w:val="16"/>
              </w:rPr>
              <w:t>⊕⊕⊝⊝</w:t>
            </w:r>
            <w:r w:rsidRPr="0091054F"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LOW</w:t>
            </w:r>
          </w:p>
        </w:tc>
        <w:tc>
          <w:tcPr>
            <w:tcW w:w="430" w:type="pct"/>
            <w:vMerge w:val="restart"/>
            <w:tcBorders>
              <w:top w:val="nil"/>
              <w:left w:val="nil"/>
              <w:bottom w:val="single" w:sz="6" w:space="0" w:color="000000"/>
              <w:right w:val="single" w:sz="2" w:space="0" w:color="FFFFFF"/>
            </w:tcBorders>
            <w:hideMark/>
          </w:tcPr>
          <w:p w:rsidR="005D3ABC" w:rsidRPr="005D3ABC" w:rsidRDefault="005D3ABC" w:rsidP="00810B39">
            <w:pPr>
              <w:rPr>
                <w:rFonts w:asciiTheme="minorBidi" w:hAnsiTheme="minorBidi"/>
                <w:sz w:val="16"/>
                <w:szCs w:val="16"/>
              </w:rPr>
            </w:pPr>
            <w:r w:rsidRPr="005D3ABC">
              <w:rPr>
                <w:rFonts w:asciiTheme="minorBidi" w:hAnsiTheme="minorBidi"/>
                <w:sz w:val="16"/>
                <w:szCs w:val="16"/>
              </w:rPr>
              <w:t xml:space="preserve">13-76% 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76-96%</w:t>
            </w:r>
            <w:r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D3ABC" w:rsidRPr="0091054F" w:rsidTr="005D3ABC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top w:val="nil"/>
              <w:left w:val="nil"/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D3ABC" w:rsidRPr="0091054F" w:rsidTr="005D3ABC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top w:val="nil"/>
              <w:left w:val="nil"/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D3ABC" w:rsidRPr="0091054F" w:rsidTr="005D3ABC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top w:val="nil"/>
              <w:left w:val="nil"/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BC" w:rsidRPr="0091054F" w:rsidRDefault="005D3ABC" w:rsidP="00810B39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D3ABC" w:rsidRDefault="005D3ABC" w:rsidP="005D3ABC"/>
    <w:p w:rsidR="005D3ABC" w:rsidRDefault="005D3ABC" w:rsidP="005D3ABC">
      <w:pPr>
        <w:spacing w:after="0" w:line="240" w:lineRule="auto"/>
      </w:pPr>
      <w:r>
        <w:t>Notes</w:t>
      </w:r>
    </w:p>
    <w:p w:rsidR="005D3ABC" w:rsidRDefault="005D3ABC" w:rsidP="001E4A55">
      <w:pPr>
        <w:pStyle w:val="ListParagraph"/>
        <w:numPr>
          <w:ilvl w:val="0"/>
          <w:numId w:val="9"/>
        </w:numPr>
        <w:spacing w:after="0" w:line="240" w:lineRule="auto"/>
      </w:pPr>
      <w:r>
        <w:t>Two end points were considered, as diagnostic utility (alone or in combination with venous Doppler) and as a management utility (for follow-up or as predictor)</w:t>
      </w:r>
    </w:p>
    <w:p w:rsidR="005D3ABC" w:rsidRDefault="005D3ABC" w:rsidP="005D3AB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Very wide variability and low sensitivity of </w:t>
      </w:r>
      <w:r>
        <w:rPr>
          <w:rFonts w:ascii="Times New Roman" w:hAnsi="Times New Roman" w:cs="Times New Roman"/>
        </w:rPr>
        <w:t>McConnell’s Sign</w:t>
      </w:r>
      <w:r>
        <w:t xml:space="preserve"> (13-76%)</w:t>
      </w:r>
    </w:p>
    <w:p w:rsidR="005D3ABC" w:rsidRDefault="005D3ABC" w:rsidP="00A86783">
      <w:pPr>
        <w:spacing w:after="0" w:line="240" w:lineRule="auto"/>
      </w:pPr>
    </w:p>
    <w:p w:rsidR="005D3ABC" w:rsidRDefault="005D3ABC" w:rsidP="00A86783">
      <w:pPr>
        <w:spacing w:after="0" w:line="240" w:lineRule="auto"/>
      </w:pPr>
    </w:p>
    <w:p w:rsidR="005D3ABC" w:rsidRDefault="005D3ABC" w:rsidP="00A86783">
      <w:pPr>
        <w:spacing w:after="0" w:line="240" w:lineRule="auto"/>
      </w:pPr>
    </w:p>
    <w:p w:rsidR="002E6A0F" w:rsidRDefault="002E6A0F" w:rsidP="00A86783">
      <w:pPr>
        <w:spacing w:after="0" w:line="240" w:lineRule="auto"/>
      </w:pPr>
    </w:p>
    <w:p w:rsidR="002E6A0F" w:rsidRDefault="002E6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6A0F" w:rsidRDefault="002E6A0F" w:rsidP="00A86783">
      <w:pPr>
        <w:spacing w:after="0" w:line="240" w:lineRule="auto"/>
      </w:pPr>
    </w:p>
    <w:p w:rsidR="002E6A0F" w:rsidRDefault="002E6A0F" w:rsidP="00A86783">
      <w:pPr>
        <w:spacing w:after="0" w:line="240" w:lineRule="auto"/>
      </w:pPr>
    </w:p>
    <w:p w:rsidR="002E6A0F" w:rsidRDefault="002E6A0F" w:rsidP="00A86783">
      <w:pPr>
        <w:spacing w:after="0" w:line="240" w:lineRule="auto"/>
      </w:pPr>
    </w:p>
    <w:p w:rsidR="001E4A55" w:rsidRDefault="00966D51" w:rsidP="001E4A55">
      <w:pPr>
        <w:spacing w:after="0" w:line="240" w:lineRule="auto"/>
      </w:pPr>
      <w:proofErr w:type="gramStart"/>
      <w:r>
        <w:rPr>
          <w:rFonts w:ascii="Times New Roman" w:hAnsi="Times New Roman"/>
          <w:b/>
          <w:bCs/>
        </w:rPr>
        <w:t xml:space="preserve">Supplemental </w:t>
      </w:r>
      <w:r w:rsidR="001E4A55">
        <w:rPr>
          <w:rFonts w:ascii="Times New Roman" w:hAnsi="Times New Roman"/>
          <w:b/>
          <w:bCs/>
        </w:rPr>
        <w:t>Table</w:t>
      </w:r>
      <w:r>
        <w:rPr>
          <w:rFonts w:ascii="Times New Roman" w:hAnsi="Times New Roman"/>
          <w:b/>
          <w:bCs/>
        </w:rPr>
        <w:t xml:space="preserve"> </w:t>
      </w:r>
      <w:r w:rsidR="001E4A55">
        <w:rPr>
          <w:rFonts w:ascii="Times New Roman" w:hAnsi="Times New Roman"/>
          <w:b/>
          <w:bCs/>
        </w:rPr>
        <w:t>5</w:t>
      </w:r>
      <w:r w:rsidR="001E4A55">
        <w:rPr>
          <w:rFonts w:ascii="Times New Roman" w:hAnsi="Times New Roman"/>
        </w:rPr>
        <w:t>.</w:t>
      </w:r>
      <w:proofErr w:type="gramEnd"/>
      <w:r w:rsidR="001E4A55">
        <w:rPr>
          <w:rFonts w:ascii="Times New Roman" w:hAnsi="Times New Roman"/>
        </w:rPr>
        <w:t xml:space="preserve">  Summary of Finding (</w:t>
      </w:r>
      <w:proofErr w:type="spellStart"/>
      <w:proofErr w:type="gramStart"/>
      <w:r w:rsidR="001E4A55">
        <w:rPr>
          <w:rFonts w:ascii="Times New Roman" w:hAnsi="Times New Roman"/>
        </w:rPr>
        <w:t>SoF</w:t>
      </w:r>
      <w:proofErr w:type="spellEnd"/>
      <w:proofErr w:type="gramEnd"/>
      <w:r w:rsidR="001E4A55">
        <w:rPr>
          <w:rFonts w:ascii="Times New Roman" w:hAnsi="Times New Roman"/>
        </w:rPr>
        <w:t>) table regarding Sepsis</w:t>
      </w:r>
    </w:p>
    <w:p w:rsidR="001E4A55" w:rsidRDefault="001E4A55" w:rsidP="00A86783">
      <w:pPr>
        <w:spacing w:after="0" w:line="240" w:lineRule="auto"/>
      </w:pPr>
    </w:p>
    <w:tbl>
      <w:tblPr>
        <w:tblW w:w="9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95"/>
        <w:gridCol w:w="876"/>
        <w:gridCol w:w="1260"/>
        <w:gridCol w:w="1277"/>
        <w:gridCol w:w="1203"/>
        <w:gridCol w:w="1085"/>
        <w:gridCol w:w="1118"/>
        <w:gridCol w:w="1188"/>
      </w:tblGrid>
      <w:tr w:rsidR="00210C48" w:rsidRPr="0091054F" w:rsidTr="006A4F94">
        <w:trPr>
          <w:trHeight w:val="964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0C48" w:rsidRPr="0091054F" w:rsidRDefault="00210C48" w:rsidP="004E0B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1D00DB">
              <w:rPr>
                <w:rFonts w:ascii="Arial" w:hAnsi="Arial"/>
              </w:rPr>
              <w:t>We suggest that all patients admitted for sepsis may receive a bedside cardiac ultrasonography to evaluate for signs of LV dysfunctions both systolic and diastolic to help guide inotropic therapy. Grade 2C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br/>
              <w:t xml:space="preserve">Bibliography: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66-77 plus MA</w:t>
            </w:r>
            <w:r w:rsidRPr="00CE5D76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$</w:t>
            </w:r>
          </w:p>
        </w:tc>
      </w:tr>
      <w:tr w:rsidR="00210C48" w:rsidRPr="0091054F" w:rsidTr="006A4F94">
        <w:trPr>
          <w:trHeight w:val="494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vAlign w:val="center"/>
            <w:hideMark/>
          </w:tcPr>
          <w:p w:rsidR="00210C48" w:rsidRPr="0091054F" w:rsidRDefault="00210C48" w:rsidP="00810B39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91054F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Quality assessment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vAlign w:val="center"/>
            <w:hideMark/>
          </w:tcPr>
          <w:p w:rsidR="00210C48" w:rsidRPr="0091054F" w:rsidRDefault="00210C48" w:rsidP="00810B39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91054F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Summary of Findings</w:t>
            </w:r>
          </w:p>
        </w:tc>
      </w:tr>
      <w:tr w:rsidR="00621DC7" w:rsidRPr="0091054F" w:rsidTr="006A4F94">
        <w:trPr>
          <w:trHeight w:val="35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210C48" w:rsidRPr="0091054F" w:rsidRDefault="00210C48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 multi</w:t>
            </w:r>
            <w:r w:rsidR="004E0BC5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ce</w:t>
            </w:r>
            <w:r w:rsidR="004E0BC5">
              <w:rPr>
                <w:rFonts w:ascii="Arial" w:hAnsi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tral trials</w:t>
            </w:r>
            <w:r w:rsidR="006A4F94">
              <w:rPr>
                <w:rFonts w:ascii="Arial" w:hAnsi="Arial"/>
                <w:b/>
                <w:bCs/>
                <w:sz w:val="16"/>
                <w:szCs w:val="16"/>
              </w:rPr>
              <w:t>*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 xml:space="preserve"> and </w:t>
            </w:r>
            <w:r w:rsidR="006A4F94">
              <w:rPr>
                <w:rFonts w:ascii="Arial" w:hAnsi="Arial"/>
                <w:b/>
                <w:bCs/>
                <w:sz w:val="16"/>
                <w:szCs w:val="16"/>
              </w:rPr>
              <w:t xml:space="preserve">1 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meta-analysis</w:t>
            </w:r>
            <w:r w:rsidR="006A4F94" w:rsidRPr="00CE5D76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$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210C48" w:rsidRPr="0091054F" w:rsidRDefault="00210C48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210C48" w:rsidRPr="0091054F" w:rsidRDefault="00210C48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210C48" w:rsidRPr="0091054F" w:rsidRDefault="00210C48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210C48" w:rsidRPr="0091054F" w:rsidRDefault="00210C48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210C48" w:rsidRPr="0091054F" w:rsidRDefault="00210C48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Publication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210C48" w:rsidRPr="0091054F" w:rsidRDefault="00210C48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Overall quality of evidence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210C48" w:rsidRPr="0091054F" w:rsidRDefault="00210C48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RR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br/>
            </w:r>
            <w:r w:rsidRPr="0091054F">
              <w:rPr>
                <w:rFonts w:ascii="Arial" w:hAnsi="Arial"/>
                <w:sz w:val="16"/>
                <w:szCs w:val="16"/>
              </w:rPr>
              <w:t>(95% CI)</w:t>
            </w:r>
          </w:p>
        </w:tc>
      </w:tr>
      <w:tr w:rsidR="00621DC7" w:rsidRPr="0091054F" w:rsidTr="006A4F94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10C48" w:rsidRPr="0091054F" w:rsidTr="006A4F94">
        <w:trPr>
          <w:trHeight w:val="353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</w:rPr>
              <w:t>Early Goal Directed Therapy (EGDT) subgroups in first 6 hours</w:t>
            </w:r>
          </w:p>
        </w:tc>
      </w:tr>
      <w:tr w:rsidR="00621DC7" w:rsidRPr="0091054F" w:rsidTr="006A4F94">
        <w:trPr>
          <w:trHeight w:val="35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C48" w:rsidRPr="0091054F" w:rsidRDefault="00210C48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C48" w:rsidRPr="0091054F" w:rsidRDefault="00210C48" w:rsidP="00810B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91054F">
              <w:rPr>
                <w:rFonts w:ascii="Arial" w:hAnsi="Arial"/>
                <w:sz w:val="16"/>
                <w:szCs w:val="16"/>
              </w:rPr>
              <w:t>o serious 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C48" w:rsidRPr="0091054F" w:rsidRDefault="00210C48" w:rsidP="00810B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91054F">
              <w:rPr>
                <w:rFonts w:ascii="Arial" w:hAnsi="Arial"/>
                <w:sz w:val="16"/>
                <w:szCs w:val="16"/>
              </w:rPr>
              <w:t>o  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C48" w:rsidRPr="0091054F" w:rsidRDefault="006A4F94" w:rsidP="00810B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Very serious </w:t>
            </w:r>
            <w:r w:rsidR="00210C48" w:rsidRPr="0091054F">
              <w:rPr>
                <w:rFonts w:ascii="Arial" w:hAnsi="Arial"/>
                <w:sz w:val="16"/>
                <w:szCs w:val="16"/>
              </w:rPr>
              <w:t>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C48" w:rsidRPr="0091054F" w:rsidRDefault="00210C48" w:rsidP="00810B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91054F">
              <w:rPr>
                <w:rFonts w:ascii="Arial" w:hAnsi="Arial"/>
                <w:sz w:val="16"/>
                <w:szCs w:val="16"/>
              </w:rPr>
              <w:t>o serious imprecision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C48" w:rsidRPr="0091054F" w:rsidRDefault="00210C48" w:rsidP="00810B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</w:t>
            </w:r>
            <w:r w:rsidRPr="0091054F">
              <w:rPr>
                <w:rFonts w:ascii="Arial" w:hAnsi="Arial"/>
                <w:sz w:val="16"/>
                <w:szCs w:val="16"/>
              </w:rPr>
              <w:t>ndetected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C48" w:rsidRPr="0091054F" w:rsidRDefault="006A4F94" w:rsidP="00810B39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Cambria Math" w:hAnsi="Cambria Math" w:cs="Cambria Math"/>
                <w:sz w:val="16"/>
                <w:szCs w:val="16"/>
              </w:rPr>
              <w:t>⊕⊝⊝⊝</w:t>
            </w:r>
            <w:r w:rsidRPr="0091054F">
              <w:rPr>
                <w:rFonts w:ascii="Arial" w:hAnsi="Arial"/>
                <w:sz w:val="16"/>
                <w:szCs w:val="16"/>
              </w:rPr>
              <w:br/>
            </w:r>
            <w:r w:rsidR="00621DC7">
              <w:rPr>
                <w:rFonts w:ascii="Arial" w:hAnsi="Arial"/>
                <w:b/>
                <w:bCs/>
                <w:sz w:val="16"/>
                <w:szCs w:val="16"/>
              </w:rPr>
              <w:t xml:space="preserve">VERY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LOW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C48" w:rsidRPr="0091054F" w:rsidRDefault="00210C48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0.77</w:t>
            </w:r>
          </w:p>
          <w:p w:rsidR="00210C48" w:rsidRPr="0091054F" w:rsidRDefault="00210C48" w:rsidP="00810B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(CI 0.67-0.89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</w:tr>
      <w:tr w:rsidR="00621DC7" w:rsidRPr="0091054F" w:rsidTr="006A4F94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1DC7" w:rsidRPr="0091054F" w:rsidTr="006A4F94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1DC7" w:rsidRPr="0091054F" w:rsidTr="006A4F94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C48" w:rsidRPr="0091054F" w:rsidRDefault="00210C48" w:rsidP="00810B39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210C48" w:rsidRDefault="00210C48" w:rsidP="00210C48">
      <w:pPr>
        <w:spacing w:after="0" w:line="240" w:lineRule="auto"/>
        <w:ind w:left="360"/>
      </w:pPr>
    </w:p>
    <w:p w:rsidR="00210C48" w:rsidRDefault="00210C48" w:rsidP="00210C48">
      <w:pPr>
        <w:spacing w:after="0" w:line="240" w:lineRule="auto"/>
      </w:pPr>
      <w:proofErr w:type="gramStart"/>
      <w:r w:rsidRPr="00CE5D76">
        <w:rPr>
          <w:vertAlign w:val="superscript"/>
        </w:rPr>
        <w:t>$</w:t>
      </w:r>
      <w:r w:rsidR="006A4F94">
        <w:rPr>
          <w:vertAlign w:val="superscript"/>
        </w:rPr>
        <w:t xml:space="preserve">  </w:t>
      </w:r>
      <w:r w:rsidRPr="00CE5D76">
        <w:t>MA</w:t>
      </w:r>
      <w:proofErr w:type="gramEnd"/>
      <w:r>
        <w:t xml:space="preserve"> = meta-analysis    </w:t>
      </w:r>
      <w:r w:rsidRPr="00CE5D76">
        <w:t>www.ccforum.com/content/18/5/570</w:t>
      </w:r>
      <w:r>
        <w:t xml:space="preserve"> </w:t>
      </w:r>
    </w:p>
    <w:p w:rsidR="00210C48" w:rsidRDefault="00210C48" w:rsidP="00210C48">
      <w:pPr>
        <w:spacing w:after="0" w:line="240" w:lineRule="auto"/>
      </w:pPr>
      <w:r>
        <w:t xml:space="preserve"> </w:t>
      </w:r>
    </w:p>
    <w:p w:rsidR="006A4F94" w:rsidRDefault="006A4F94" w:rsidP="006A4F94">
      <w:pPr>
        <w:pStyle w:val="ListParagraph"/>
        <w:numPr>
          <w:ilvl w:val="0"/>
          <w:numId w:val="12"/>
        </w:numPr>
        <w:spacing w:after="0" w:line="240" w:lineRule="auto"/>
      </w:pPr>
      <w:r>
        <w:t>Meta-analysis with  predefined subgroup analysis according to the timing of EGDT for resuscitation suggested that a mortality benefit was seen only in the subgroup of EGDT within the first 6 hours (seven trials)</w:t>
      </w:r>
    </w:p>
    <w:p w:rsidR="00210C48" w:rsidRDefault="00210C48" w:rsidP="006A4F94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All 3 SSC multi-central trials </w:t>
      </w:r>
      <w:r w:rsidR="006A4F94">
        <w:t>f</w:t>
      </w:r>
      <w:r>
        <w:t>ailed to show proven beneficial effect for data driven from Central line to guide early goal directed therapy (EGDT), therefore ECHO was proposed as a monitoring alternative</w:t>
      </w:r>
      <w:r w:rsidR="006A4F94">
        <w:t xml:space="preserve"> for the 6 hours bundle</w:t>
      </w:r>
      <w:r>
        <w:t>.</w:t>
      </w:r>
    </w:p>
    <w:p w:rsidR="006A4F94" w:rsidRDefault="006A4F94" w:rsidP="006A4F94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Very serious indirectness in the intervention (no head to head comparison of ECHO versus Central line) and restricted benefit to certain subgroup warranted downgrading of evidence to </w:t>
      </w:r>
      <w:r w:rsidR="002C521C">
        <w:t xml:space="preserve">be </w:t>
      </w:r>
      <w:r>
        <w:t xml:space="preserve">very low </w:t>
      </w:r>
      <w:r w:rsidR="002C521C">
        <w:t>and considered</w:t>
      </w:r>
      <w:r>
        <w:t xml:space="preserve"> as best practice based on expert opinion.</w:t>
      </w:r>
    </w:p>
    <w:p w:rsidR="006A4F94" w:rsidRDefault="006A4F94" w:rsidP="006A4F94">
      <w:pPr>
        <w:spacing w:after="0" w:line="240" w:lineRule="auto"/>
      </w:pPr>
    </w:p>
    <w:p w:rsidR="002C521C" w:rsidRDefault="002C521C"/>
    <w:p w:rsidR="002C521C" w:rsidRDefault="002C521C"/>
    <w:p w:rsidR="002C521C" w:rsidRDefault="002C521C"/>
    <w:p w:rsidR="002C521C" w:rsidRDefault="002C521C"/>
    <w:p w:rsidR="00181EC7" w:rsidRDefault="00181EC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181EC7" w:rsidRDefault="00181EC7" w:rsidP="002C521C">
      <w:pPr>
        <w:spacing w:after="0" w:line="240" w:lineRule="auto"/>
        <w:rPr>
          <w:rFonts w:ascii="Times New Roman" w:hAnsi="Times New Roman"/>
          <w:b/>
          <w:bCs/>
        </w:rPr>
      </w:pPr>
    </w:p>
    <w:p w:rsidR="00181EC7" w:rsidRDefault="00181EC7" w:rsidP="002C521C">
      <w:pPr>
        <w:spacing w:after="0" w:line="240" w:lineRule="auto"/>
        <w:rPr>
          <w:rFonts w:ascii="Times New Roman" w:hAnsi="Times New Roman"/>
          <w:b/>
          <w:bCs/>
        </w:rPr>
      </w:pPr>
    </w:p>
    <w:p w:rsidR="002C521C" w:rsidRDefault="00966D51" w:rsidP="002C521C">
      <w:pPr>
        <w:spacing w:after="0" w:line="240" w:lineRule="auto"/>
      </w:pPr>
      <w:proofErr w:type="gramStart"/>
      <w:r>
        <w:rPr>
          <w:rFonts w:ascii="Times New Roman" w:hAnsi="Times New Roman"/>
          <w:b/>
          <w:bCs/>
        </w:rPr>
        <w:t xml:space="preserve">Supplemental </w:t>
      </w:r>
      <w:r w:rsidR="002C521C">
        <w:rPr>
          <w:rFonts w:ascii="Times New Roman" w:hAnsi="Times New Roman"/>
          <w:b/>
          <w:bCs/>
        </w:rPr>
        <w:t>Table 6</w:t>
      </w:r>
      <w:r w:rsidR="002C521C">
        <w:rPr>
          <w:rFonts w:ascii="Times New Roman" w:hAnsi="Times New Roman"/>
        </w:rPr>
        <w:t>.</w:t>
      </w:r>
      <w:proofErr w:type="gramEnd"/>
      <w:r w:rsidR="002C521C">
        <w:rPr>
          <w:rFonts w:ascii="Times New Roman" w:hAnsi="Times New Roman"/>
        </w:rPr>
        <w:t xml:space="preserve">  Summary of Finding (</w:t>
      </w:r>
      <w:proofErr w:type="spellStart"/>
      <w:proofErr w:type="gramStart"/>
      <w:r w:rsidR="002C521C">
        <w:rPr>
          <w:rFonts w:ascii="Times New Roman" w:hAnsi="Times New Roman"/>
        </w:rPr>
        <w:t>SoF</w:t>
      </w:r>
      <w:proofErr w:type="spellEnd"/>
      <w:proofErr w:type="gramEnd"/>
      <w:r w:rsidR="002C521C">
        <w:rPr>
          <w:rFonts w:ascii="Times New Roman" w:hAnsi="Times New Roman"/>
        </w:rPr>
        <w:t>) table regarding ACLS</w:t>
      </w:r>
    </w:p>
    <w:p w:rsidR="000E7FB1" w:rsidRDefault="000E7FB1" w:rsidP="002C521C">
      <w:pPr>
        <w:spacing w:after="0" w:line="240" w:lineRule="auto"/>
      </w:pPr>
    </w:p>
    <w:tbl>
      <w:tblPr>
        <w:tblW w:w="500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6"/>
        <w:gridCol w:w="865"/>
        <w:gridCol w:w="548"/>
        <w:gridCol w:w="899"/>
        <w:gridCol w:w="810"/>
        <w:gridCol w:w="779"/>
        <w:gridCol w:w="989"/>
        <w:gridCol w:w="656"/>
        <w:gridCol w:w="1362"/>
        <w:gridCol w:w="1073"/>
        <w:gridCol w:w="1231"/>
      </w:tblGrid>
      <w:tr w:rsidR="000E7FB1" w:rsidTr="00AF2C57">
        <w:trPr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E7FB1" w:rsidRDefault="000E7FB1" w:rsidP="000E7FB1">
            <w:pPr>
              <w:spacing w:line="140" w:lineRule="atLeast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0E7FB1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We suggest that bedside cardiac ultrasonography may be performed during asystole to guide further resuscitative efforts. Grade 2C</w:t>
            </w:r>
          </w:p>
          <w:p w:rsidR="000E7FB1" w:rsidRPr="000E7FB1" w:rsidRDefault="000E7FB1" w:rsidP="000E7FB1">
            <w:pPr>
              <w:spacing w:line="140" w:lineRule="atLeast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 xml:space="preserve">Bibliography: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81-111</w:t>
            </w:r>
          </w:p>
        </w:tc>
      </w:tr>
      <w:tr w:rsidR="00621DC7" w:rsidTr="00621DC7">
        <w:trPr>
          <w:tblHeader/>
        </w:trPr>
        <w:tc>
          <w:tcPr>
            <w:tcW w:w="279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21DC7" w:rsidRDefault="00621DC7" w:rsidP="00810B39">
            <w:pPr>
              <w:spacing w:line="140" w:lineRule="atLeast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>Quality assessment</w:t>
            </w:r>
          </w:p>
        </w:tc>
        <w:tc>
          <w:tcPr>
            <w:tcW w:w="10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21DC7" w:rsidRDefault="00621DC7" w:rsidP="00810B39">
            <w:pPr>
              <w:spacing w:line="140" w:lineRule="atLeast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>Effect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21DC7" w:rsidRDefault="00621DC7" w:rsidP="00810B39">
            <w:pPr>
              <w:spacing w:line="140" w:lineRule="atLeast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>Quality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21DC7" w:rsidRDefault="00621DC7" w:rsidP="00810B39">
            <w:pPr>
              <w:spacing w:line="140" w:lineRule="atLeast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>Importance</w:t>
            </w:r>
          </w:p>
        </w:tc>
      </w:tr>
      <w:tr w:rsidR="00621DC7" w:rsidTr="00621DC7">
        <w:trPr>
          <w:tblHeader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21DC7" w:rsidRDefault="00621DC7" w:rsidP="00810B39">
            <w:pPr>
              <w:spacing w:line="140" w:lineRule="atLeast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>№ of studies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21DC7" w:rsidRDefault="00621DC7" w:rsidP="00810B39">
            <w:pPr>
              <w:spacing w:line="140" w:lineRule="atLeast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>Study design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21DC7" w:rsidRDefault="00621DC7" w:rsidP="00810B39">
            <w:pPr>
              <w:spacing w:line="140" w:lineRule="atLeast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>Risk of bias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21DC7" w:rsidRDefault="00621DC7" w:rsidP="00810B39">
            <w:pPr>
              <w:spacing w:line="140" w:lineRule="atLeast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>Inconsistency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21DC7" w:rsidRDefault="00621DC7" w:rsidP="00810B39">
            <w:pPr>
              <w:spacing w:line="140" w:lineRule="atLeast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>Indirectness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21DC7" w:rsidRDefault="00621DC7" w:rsidP="00810B39">
            <w:pPr>
              <w:spacing w:line="140" w:lineRule="atLeast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>Imprecision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21DC7" w:rsidRDefault="00621DC7" w:rsidP="00810B39">
            <w:pPr>
              <w:spacing w:line="140" w:lineRule="atLeast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>Other considerations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21DC7" w:rsidRDefault="00621DC7" w:rsidP="00810B39">
            <w:pPr>
              <w:spacing w:line="140" w:lineRule="atLeast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>Relative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br/>
              <w:t>(95% CI)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21DC7" w:rsidRDefault="00621DC7" w:rsidP="00810B39">
            <w:pPr>
              <w:spacing w:line="140" w:lineRule="atLeast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>Absolute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br/>
              <w:t>(95% CI)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21DC7" w:rsidRDefault="00621DC7" w:rsidP="00810B39">
            <w:pPr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21DC7" w:rsidRDefault="00621DC7" w:rsidP="00810B39">
            <w:pPr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0E7FB1" w:rsidTr="00621DC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E7FB1" w:rsidRDefault="00621DC7" w:rsidP="00810B39">
            <w:pPr>
              <w:spacing w:line="140" w:lineRule="atLeast"/>
              <w:rPr>
                <w:rFonts w:ascii="Arial Narrow" w:eastAsia="Times New Roman" w:hAnsi="Arial Narrow"/>
                <w:color w:val="000000"/>
                <w:sz w:val="13"/>
                <w:szCs w:val="13"/>
              </w:rPr>
            </w:pPr>
            <w:r>
              <w:rPr>
                <w:rStyle w:val="label"/>
              </w:rPr>
              <w:t xml:space="preserve">Electrical </w:t>
            </w:r>
            <w:r w:rsidR="000E7FB1">
              <w:rPr>
                <w:rStyle w:val="label"/>
              </w:rPr>
              <w:t>Asystole</w:t>
            </w:r>
          </w:p>
        </w:tc>
      </w:tr>
      <w:tr w:rsidR="00621DC7" w:rsidTr="00621DC7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DC7" w:rsidRDefault="00621DC7" w:rsidP="00810B39">
            <w:pPr>
              <w:spacing w:line="140" w:lineRule="atLeast"/>
              <w:rPr>
                <w:rFonts w:ascii="Arial Narrow" w:eastAsia="Times New Roman" w:hAnsi="Arial Narrow"/>
                <w:color w:val="000000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color w:val="000000"/>
                <w:sz w:val="13"/>
                <w:szCs w:val="13"/>
              </w:rPr>
              <w:t>11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DC7" w:rsidRDefault="00621DC7" w:rsidP="00810B39">
            <w:pPr>
              <w:spacing w:line="140" w:lineRule="atLeast"/>
              <w:rPr>
                <w:rFonts w:ascii="Arial Narrow" w:eastAsia="Times New Roman" w:hAnsi="Arial Narrow"/>
                <w:color w:val="000000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color w:val="000000"/>
                <w:sz w:val="13"/>
                <w:szCs w:val="13"/>
              </w:rPr>
              <w:t xml:space="preserve">observational studies 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DC7" w:rsidRDefault="00621DC7" w:rsidP="00810B39">
            <w:pPr>
              <w:spacing w:line="140" w:lineRule="atLeast"/>
              <w:rPr>
                <w:rFonts w:ascii="Arial Narrow" w:eastAsia="Times New Roman" w:hAnsi="Arial Narrow"/>
                <w:color w:val="000000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color w:val="000000"/>
                <w:sz w:val="13"/>
                <w:szCs w:val="13"/>
              </w:rPr>
              <w:t xml:space="preserve">Very serious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DC7" w:rsidRDefault="00621DC7" w:rsidP="00621DC7">
            <w:pPr>
              <w:spacing w:line="140" w:lineRule="atLeast"/>
              <w:rPr>
                <w:rFonts w:ascii="Arial Narrow" w:eastAsia="Times New Roman" w:hAnsi="Arial Narrow"/>
                <w:color w:val="000000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color w:val="000000"/>
                <w:sz w:val="13"/>
                <w:szCs w:val="13"/>
              </w:rPr>
              <w:t>No serious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DC7" w:rsidRDefault="00621DC7" w:rsidP="00810B39">
            <w:pPr>
              <w:spacing w:line="140" w:lineRule="atLeast"/>
              <w:rPr>
                <w:rFonts w:ascii="Arial Narrow" w:eastAsia="Times New Roman" w:hAnsi="Arial Narrow"/>
                <w:color w:val="000000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color w:val="000000"/>
                <w:sz w:val="13"/>
                <w:szCs w:val="13"/>
              </w:rPr>
              <w:t xml:space="preserve">serious 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DC7" w:rsidRDefault="00621DC7" w:rsidP="00810B39">
            <w:pPr>
              <w:spacing w:line="140" w:lineRule="atLeast"/>
              <w:rPr>
                <w:rFonts w:ascii="Arial Narrow" w:eastAsia="Times New Roman" w:hAnsi="Arial Narrow"/>
                <w:color w:val="000000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color w:val="000000"/>
                <w:sz w:val="13"/>
                <w:szCs w:val="13"/>
              </w:rPr>
              <w:t xml:space="preserve">not serious 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DC7" w:rsidRDefault="00621DC7" w:rsidP="00810B39">
            <w:pPr>
              <w:spacing w:line="140" w:lineRule="atLeast"/>
              <w:rPr>
                <w:rFonts w:ascii="Arial Narrow" w:eastAsia="Times New Roman" w:hAnsi="Arial Narrow"/>
                <w:color w:val="000000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color w:val="000000"/>
                <w:sz w:val="13"/>
                <w:szCs w:val="13"/>
              </w:rPr>
              <w:t xml:space="preserve">none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DC7" w:rsidRDefault="00621DC7" w:rsidP="00810B39">
            <w:pPr>
              <w:spacing w:line="140" w:lineRule="atLeast"/>
              <w:jc w:val="center"/>
              <w:rPr>
                <w:rFonts w:ascii="Arial Narrow" w:eastAsia="Times New Roman" w:hAnsi="Arial Narrow"/>
                <w:color w:val="000000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color w:val="000000"/>
                <w:sz w:val="13"/>
                <w:szCs w:val="13"/>
              </w:rPr>
              <w:t>not estimable</w:t>
            </w:r>
            <w:r>
              <w:rPr>
                <w:rFonts w:ascii="Arial Narrow" w:eastAsia="Times New Roman" w:hAnsi="Arial Narrow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DC7" w:rsidRDefault="00621DC7" w:rsidP="00810B39">
            <w:pPr>
              <w:spacing w:line="140" w:lineRule="atLeast"/>
              <w:jc w:val="center"/>
              <w:rPr>
                <w:rFonts w:ascii="Arial Narrow" w:eastAsia="Times New Roman" w:hAnsi="Arial Narrow"/>
                <w:color w:val="000000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color w:val="000000"/>
                <w:sz w:val="13"/>
                <w:szCs w:val="13"/>
              </w:rPr>
              <w:t xml:space="preserve">not estimable 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DC7" w:rsidRDefault="00621DC7" w:rsidP="00810B39">
            <w:pPr>
              <w:spacing w:line="140" w:lineRule="atLeast"/>
              <w:jc w:val="center"/>
              <w:rPr>
                <w:rFonts w:ascii="Arial Narrow" w:eastAsia="Times New Roman" w:hAnsi="Arial Narrow"/>
                <w:color w:val="000000"/>
                <w:sz w:val="13"/>
                <w:szCs w:val="13"/>
              </w:rPr>
            </w:pPr>
            <w:r w:rsidRPr="0091054F">
              <w:rPr>
                <w:rFonts w:ascii="Cambria Math" w:hAnsi="Cambria Math" w:cs="Cambria Math"/>
                <w:sz w:val="16"/>
                <w:szCs w:val="16"/>
              </w:rPr>
              <w:t>⊕⊝⊝⊝</w:t>
            </w:r>
            <w:r w:rsidRPr="0091054F"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VERY LOW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DC7" w:rsidRDefault="00621DC7" w:rsidP="00810B39">
            <w:pPr>
              <w:spacing w:line="140" w:lineRule="atLeast"/>
              <w:rPr>
                <w:rFonts w:ascii="Arial Narrow" w:eastAsia="Times New Roman" w:hAnsi="Arial Narrow"/>
                <w:color w:val="000000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color w:val="000000"/>
                <w:sz w:val="13"/>
                <w:szCs w:val="13"/>
              </w:rPr>
              <w:t>Critical</w:t>
            </w:r>
          </w:p>
        </w:tc>
      </w:tr>
      <w:tr w:rsidR="000E7FB1" w:rsidTr="00621DC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E7FB1" w:rsidRDefault="00621DC7" w:rsidP="00810B39">
            <w:pPr>
              <w:spacing w:line="140" w:lineRule="atLeast"/>
              <w:rPr>
                <w:rFonts w:ascii="Arial Narrow" w:eastAsia="Times New Roman" w:hAnsi="Arial Narrow"/>
                <w:color w:val="000000"/>
                <w:sz w:val="13"/>
                <w:szCs w:val="13"/>
              </w:rPr>
            </w:pPr>
            <w:r w:rsidRPr="00621DC7">
              <w:rPr>
                <w:rStyle w:val="label"/>
              </w:rPr>
              <w:t xml:space="preserve">Pulseless Electrical Activity </w:t>
            </w:r>
            <w:r>
              <w:rPr>
                <w:rStyle w:val="label"/>
              </w:rPr>
              <w:t>(</w:t>
            </w:r>
            <w:r w:rsidR="000E7FB1">
              <w:rPr>
                <w:rStyle w:val="label"/>
              </w:rPr>
              <w:t>PEA</w:t>
            </w:r>
            <w:r>
              <w:rPr>
                <w:rStyle w:val="label"/>
              </w:rPr>
              <w:t>)</w:t>
            </w:r>
          </w:p>
        </w:tc>
      </w:tr>
      <w:tr w:rsidR="00621DC7" w:rsidTr="00621DC7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DC7" w:rsidRDefault="00621DC7" w:rsidP="00810B39">
            <w:pPr>
              <w:spacing w:line="140" w:lineRule="atLeast"/>
              <w:rPr>
                <w:rFonts w:ascii="Arial Narrow" w:eastAsia="Times New Roman" w:hAnsi="Arial Narrow"/>
                <w:color w:val="000000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color w:val="000000"/>
                <w:sz w:val="13"/>
                <w:szCs w:val="13"/>
              </w:rPr>
              <w:t>14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DC7" w:rsidRDefault="00621DC7" w:rsidP="00810B39">
            <w:pPr>
              <w:spacing w:line="140" w:lineRule="atLeast"/>
              <w:rPr>
                <w:rFonts w:ascii="Arial Narrow" w:eastAsia="Times New Roman" w:hAnsi="Arial Narrow"/>
                <w:color w:val="000000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color w:val="000000"/>
                <w:sz w:val="13"/>
                <w:szCs w:val="13"/>
              </w:rPr>
              <w:t xml:space="preserve">observational studies 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DC7" w:rsidRDefault="00621DC7" w:rsidP="00810B39">
            <w:pPr>
              <w:spacing w:line="140" w:lineRule="atLeast"/>
              <w:rPr>
                <w:rFonts w:ascii="Arial Narrow" w:eastAsia="Times New Roman" w:hAnsi="Arial Narrow"/>
                <w:color w:val="000000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color w:val="000000"/>
                <w:sz w:val="13"/>
                <w:szCs w:val="13"/>
              </w:rPr>
              <w:t xml:space="preserve">Very serious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DC7" w:rsidRDefault="00621DC7" w:rsidP="00810B39">
            <w:pPr>
              <w:spacing w:line="140" w:lineRule="atLeast"/>
              <w:rPr>
                <w:rFonts w:ascii="Arial Narrow" w:eastAsia="Times New Roman" w:hAnsi="Arial Narrow"/>
                <w:color w:val="000000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color w:val="000000"/>
                <w:sz w:val="13"/>
                <w:szCs w:val="13"/>
              </w:rPr>
              <w:t xml:space="preserve">No serious 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DC7" w:rsidRDefault="00621DC7" w:rsidP="00810B39">
            <w:pPr>
              <w:spacing w:line="140" w:lineRule="atLeast"/>
              <w:rPr>
                <w:rFonts w:ascii="Arial Narrow" w:eastAsia="Times New Roman" w:hAnsi="Arial Narrow"/>
                <w:color w:val="000000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color w:val="000000"/>
                <w:sz w:val="13"/>
                <w:szCs w:val="13"/>
              </w:rPr>
              <w:t xml:space="preserve">serious 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DC7" w:rsidRDefault="00621DC7" w:rsidP="00810B39">
            <w:pPr>
              <w:spacing w:line="140" w:lineRule="atLeast"/>
              <w:rPr>
                <w:rFonts w:ascii="Arial Narrow" w:eastAsia="Times New Roman" w:hAnsi="Arial Narrow"/>
                <w:color w:val="000000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color w:val="000000"/>
                <w:sz w:val="13"/>
                <w:szCs w:val="13"/>
              </w:rPr>
              <w:t xml:space="preserve">not serious 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DC7" w:rsidRDefault="00621DC7" w:rsidP="00810B39">
            <w:pPr>
              <w:spacing w:line="140" w:lineRule="atLeast"/>
              <w:rPr>
                <w:rFonts w:ascii="Arial Narrow" w:eastAsia="Times New Roman" w:hAnsi="Arial Narrow"/>
                <w:color w:val="000000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color w:val="000000"/>
                <w:sz w:val="13"/>
                <w:szCs w:val="13"/>
              </w:rPr>
              <w:t xml:space="preserve">none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DC7" w:rsidRDefault="00621DC7" w:rsidP="00810B39">
            <w:pPr>
              <w:spacing w:line="140" w:lineRule="atLeast"/>
              <w:jc w:val="center"/>
              <w:rPr>
                <w:rFonts w:ascii="Arial Narrow" w:eastAsia="Times New Roman" w:hAnsi="Arial Narrow"/>
                <w:color w:val="000000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color w:val="000000"/>
                <w:sz w:val="13"/>
                <w:szCs w:val="13"/>
              </w:rPr>
              <w:t>not estimable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DC7" w:rsidRDefault="00621DC7" w:rsidP="00810B39">
            <w:pPr>
              <w:spacing w:line="140" w:lineRule="atLeast"/>
              <w:jc w:val="center"/>
              <w:rPr>
                <w:rFonts w:ascii="Arial Narrow" w:eastAsia="Times New Roman" w:hAnsi="Arial Narrow"/>
                <w:color w:val="000000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color w:val="000000"/>
                <w:sz w:val="13"/>
                <w:szCs w:val="13"/>
              </w:rPr>
              <w:t>not estimable</w:t>
            </w:r>
            <w:r>
              <w:rPr>
                <w:rStyle w:val="cell-value"/>
                <w:rFonts w:ascii="Arial Narrow" w:eastAsia="Times New Roman" w:hAnsi="Arial Narrow"/>
                <w:color w:val="000000"/>
                <w:sz w:val="13"/>
                <w:szCs w:val="13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DC7" w:rsidRDefault="00621DC7" w:rsidP="00810B39">
            <w:pPr>
              <w:spacing w:line="140" w:lineRule="atLeast"/>
              <w:jc w:val="center"/>
              <w:rPr>
                <w:rFonts w:ascii="Arial Narrow" w:eastAsia="Times New Roman" w:hAnsi="Arial Narrow"/>
                <w:color w:val="000000"/>
                <w:sz w:val="13"/>
                <w:szCs w:val="13"/>
              </w:rPr>
            </w:pPr>
            <w:r w:rsidRPr="0091054F">
              <w:rPr>
                <w:rFonts w:ascii="Cambria Math" w:hAnsi="Cambria Math" w:cs="Cambria Math"/>
                <w:sz w:val="16"/>
                <w:szCs w:val="16"/>
              </w:rPr>
              <w:t>⊕⊝⊝⊝</w:t>
            </w:r>
            <w:r w:rsidRPr="0091054F"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VERY LOW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DC7" w:rsidRDefault="00621DC7" w:rsidP="00810B39">
            <w:pPr>
              <w:spacing w:line="140" w:lineRule="atLeast"/>
              <w:rPr>
                <w:rFonts w:ascii="Arial Narrow" w:eastAsia="Times New Roman" w:hAnsi="Arial Narrow"/>
                <w:color w:val="000000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color w:val="000000"/>
                <w:sz w:val="13"/>
                <w:szCs w:val="13"/>
              </w:rPr>
              <w:t>Critical</w:t>
            </w:r>
          </w:p>
        </w:tc>
      </w:tr>
    </w:tbl>
    <w:p w:rsidR="000E7FB1" w:rsidRDefault="000E7FB1" w:rsidP="002C521C">
      <w:pPr>
        <w:spacing w:after="0" w:line="240" w:lineRule="auto"/>
      </w:pPr>
    </w:p>
    <w:p w:rsidR="002C521C" w:rsidRDefault="00621DC7" w:rsidP="00621DC7">
      <w:pPr>
        <w:pStyle w:val="ListParagraph"/>
        <w:numPr>
          <w:ilvl w:val="0"/>
          <w:numId w:val="14"/>
        </w:numPr>
        <w:spacing w:after="0" w:line="240" w:lineRule="auto"/>
      </w:pPr>
      <w:r>
        <w:t>All studies done in ACLS context are of low quality</w:t>
      </w:r>
    </w:p>
    <w:p w:rsidR="00621DC7" w:rsidRDefault="00621DC7" w:rsidP="00621DC7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Despite ultrasound capabilities of </w:t>
      </w:r>
      <w:r w:rsidR="00AF2C57">
        <w:t xml:space="preserve">diagnosis and of </w:t>
      </w:r>
      <w:r>
        <w:t xml:space="preserve">detecting </w:t>
      </w:r>
      <w:r w:rsidR="00AF2C57">
        <w:t xml:space="preserve">some of the </w:t>
      </w:r>
      <w:r>
        <w:t xml:space="preserve">etiological </w:t>
      </w:r>
      <w:r w:rsidR="00AF2C57">
        <w:t>causes,</w:t>
      </w:r>
      <w:r>
        <w:t xml:space="preserve"> however the benefit out of this on resuscitation outcome was not estimable. </w:t>
      </w:r>
    </w:p>
    <w:p w:rsidR="00AF2C57" w:rsidRDefault="00AF2C57"/>
    <w:p w:rsidR="00AF2C57" w:rsidRDefault="00AF2C57">
      <w:r>
        <w:br w:type="page"/>
      </w:r>
    </w:p>
    <w:p w:rsidR="00BB247B" w:rsidRDefault="00966D51" w:rsidP="00966D51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 xml:space="preserve">Supplemental </w:t>
      </w:r>
      <w:r w:rsidR="00BB247B">
        <w:rPr>
          <w:rFonts w:ascii="Times New Roman" w:hAnsi="Times New Roman"/>
          <w:b/>
          <w:bCs/>
        </w:rPr>
        <w:t>Table 7</w:t>
      </w:r>
      <w:r w:rsidR="00BB247B">
        <w:rPr>
          <w:rFonts w:ascii="Times New Roman" w:hAnsi="Times New Roman"/>
        </w:rPr>
        <w:t>.</w:t>
      </w:r>
      <w:proofErr w:type="gramEnd"/>
      <w:r w:rsidR="00BB247B">
        <w:rPr>
          <w:rFonts w:ascii="Times New Roman" w:hAnsi="Times New Roman"/>
        </w:rPr>
        <w:t xml:space="preserve">  Summary of Finding (</w:t>
      </w:r>
      <w:proofErr w:type="spellStart"/>
      <w:proofErr w:type="gramStart"/>
      <w:r w:rsidR="00BB247B">
        <w:rPr>
          <w:rFonts w:ascii="Times New Roman" w:hAnsi="Times New Roman"/>
        </w:rPr>
        <w:t>SoF</w:t>
      </w:r>
      <w:proofErr w:type="spellEnd"/>
      <w:proofErr w:type="gramEnd"/>
      <w:r w:rsidR="00BB247B">
        <w:rPr>
          <w:rFonts w:ascii="Times New Roman" w:hAnsi="Times New Roman"/>
        </w:rPr>
        <w:t xml:space="preserve">) table regarding CAD induced arrhythmia </w:t>
      </w:r>
    </w:p>
    <w:p w:rsidR="00966D51" w:rsidRPr="00966D51" w:rsidRDefault="00966D51" w:rsidP="00966D51">
      <w:pPr>
        <w:spacing w:after="0" w:line="240" w:lineRule="auto"/>
      </w:pPr>
    </w:p>
    <w:tbl>
      <w:tblPr>
        <w:tblW w:w="51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2"/>
        <w:gridCol w:w="1235"/>
        <w:gridCol w:w="1630"/>
        <w:gridCol w:w="1046"/>
        <w:gridCol w:w="1009"/>
        <w:gridCol w:w="1151"/>
        <w:gridCol w:w="1006"/>
        <w:gridCol w:w="816"/>
        <w:gridCol w:w="889"/>
        <w:gridCol w:w="96"/>
      </w:tblGrid>
      <w:tr w:rsidR="0071337B" w:rsidRPr="0091054F" w:rsidTr="00810B39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337B" w:rsidRPr="009910DC" w:rsidRDefault="0071337B" w:rsidP="00810B39">
            <w:pPr>
              <w:rPr>
                <w:rFonts w:ascii="Arial" w:hAnsi="Arial"/>
                <w:b/>
              </w:rPr>
            </w:pPr>
            <w:r w:rsidRPr="0071337B">
              <w:rPr>
                <w:rFonts w:ascii="Arial" w:hAnsi="Arial"/>
                <w:sz w:val="18"/>
                <w:szCs w:val="18"/>
              </w:rPr>
              <w:t>We recommend that bedside cardiac ultrasonography should be performed in patients with ventricular tachycardia/fibrillation arrest following return of spontaneous circulation (ROSC) to look for segmental wall motion abnormalities as a surrogate for CAD being the primary cause of cardiac arrest. Grade 1B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br/>
              <w:t>Bibliography: Ref 112-115 plus 1 handheld study*</w:t>
            </w:r>
          </w:p>
        </w:tc>
      </w:tr>
      <w:tr w:rsidR="0071337B" w:rsidRPr="0091054F" w:rsidTr="0071337B">
        <w:tc>
          <w:tcPr>
            <w:tcW w:w="407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vAlign w:val="center"/>
            <w:hideMark/>
          </w:tcPr>
          <w:p w:rsidR="0071337B" w:rsidRPr="0091054F" w:rsidRDefault="0071337B" w:rsidP="00810B39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91054F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Quality assessment</w:t>
            </w:r>
          </w:p>
        </w:tc>
        <w:tc>
          <w:tcPr>
            <w:tcW w:w="9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vAlign w:val="center"/>
            <w:hideMark/>
          </w:tcPr>
          <w:p w:rsidR="0071337B" w:rsidRPr="0091054F" w:rsidRDefault="0071337B" w:rsidP="00810B39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91054F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Summary of Findings</w:t>
            </w:r>
          </w:p>
        </w:tc>
      </w:tr>
      <w:tr w:rsidR="0071337B" w:rsidRPr="0091054F" w:rsidTr="007133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71337B" w:rsidRPr="0091054F" w:rsidRDefault="0071337B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br/>
              <w:t>(</w:t>
            </w:r>
            <w:r w:rsidR="00610BCF"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 xml:space="preserve"> studies)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71337B" w:rsidRPr="0091054F" w:rsidRDefault="0071337B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71337B" w:rsidRPr="0091054F" w:rsidRDefault="0071337B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71337B" w:rsidRPr="0091054F" w:rsidRDefault="0071337B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71337B" w:rsidRPr="0091054F" w:rsidRDefault="0071337B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71337B" w:rsidRPr="0091054F" w:rsidRDefault="0071337B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Publication bias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71337B" w:rsidRPr="0091054F" w:rsidRDefault="0071337B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Overall quality of evidence</w:t>
            </w:r>
          </w:p>
        </w:tc>
        <w:tc>
          <w:tcPr>
            <w:tcW w:w="8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71337B" w:rsidRPr="0091054F" w:rsidRDefault="0071337B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Studies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 xml:space="preserve"> result 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range</w:t>
            </w:r>
          </w:p>
        </w:tc>
        <w:tc>
          <w:tcPr>
            <w:tcW w:w="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71337B" w:rsidRPr="0091054F" w:rsidRDefault="0071337B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1337B" w:rsidRPr="0091054F" w:rsidTr="007133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6" w:space="0" w:color="000000"/>
              <w:right w:val="single" w:sz="2" w:space="0" w:color="EDEDED"/>
            </w:tcBorders>
            <w:shd w:val="clear" w:color="auto" w:fill="EDEDED"/>
            <w:hideMark/>
          </w:tcPr>
          <w:p w:rsidR="0071337B" w:rsidRPr="0091054F" w:rsidRDefault="0071337B" w:rsidP="00810B3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sensitivity</w:t>
            </w:r>
          </w:p>
        </w:tc>
        <w:tc>
          <w:tcPr>
            <w:tcW w:w="455" w:type="pct"/>
            <w:tcBorders>
              <w:top w:val="nil"/>
              <w:left w:val="single" w:sz="2" w:space="0" w:color="EDEDED"/>
              <w:bottom w:val="single" w:sz="6" w:space="0" w:color="000000"/>
              <w:right w:val="nil"/>
            </w:tcBorders>
            <w:shd w:val="clear" w:color="auto" w:fill="EDEDED"/>
            <w:hideMark/>
          </w:tcPr>
          <w:p w:rsidR="0071337B" w:rsidRPr="0091054F" w:rsidRDefault="0071337B" w:rsidP="00810B3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specificity</w:t>
            </w:r>
          </w:p>
          <w:p w:rsidR="0071337B" w:rsidRPr="0091054F" w:rsidRDefault="0071337B" w:rsidP="00810B3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1054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1337B" w:rsidRPr="0091054F" w:rsidTr="00810B39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71337B" w:rsidRPr="0091054F" w:rsidRDefault="00610BCF" w:rsidP="00810B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</w:rPr>
              <w:t>Diagnostic accuracy</w:t>
            </w:r>
          </w:p>
        </w:tc>
      </w:tr>
      <w:tr w:rsidR="0071337B" w:rsidRPr="0091054F" w:rsidTr="0071337B">
        <w:trPr>
          <w:trHeight w:val="35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37B" w:rsidRDefault="0071337B" w:rsidP="00810B39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Arial" w:hAnsi="Arial"/>
                <w:sz w:val="16"/>
                <w:szCs w:val="16"/>
              </w:rPr>
              <w:t>observational</w:t>
            </w:r>
          </w:p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studies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Arial" w:hAnsi="Arial"/>
                <w:sz w:val="16"/>
                <w:szCs w:val="16"/>
              </w:rPr>
              <w:t>serious 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91054F">
              <w:rPr>
                <w:rFonts w:ascii="Arial" w:hAnsi="Arial"/>
                <w:sz w:val="16"/>
                <w:szCs w:val="16"/>
              </w:rPr>
              <w:t>o serious 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 I</w:t>
            </w:r>
            <w:r w:rsidRPr="0091054F">
              <w:rPr>
                <w:rFonts w:ascii="Arial" w:hAnsi="Arial"/>
                <w:sz w:val="16"/>
                <w:szCs w:val="16"/>
              </w:rPr>
              <w:t>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91054F">
              <w:rPr>
                <w:rFonts w:ascii="Arial" w:hAnsi="Arial"/>
                <w:sz w:val="16"/>
                <w:szCs w:val="16"/>
              </w:rPr>
              <w:t xml:space="preserve">o </w:t>
            </w:r>
            <w:r>
              <w:rPr>
                <w:rFonts w:ascii="Arial" w:hAnsi="Arial"/>
                <w:sz w:val="16"/>
                <w:szCs w:val="16"/>
              </w:rPr>
              <w:t>I</w:t>
            </w:r>
            <w:r w:rsidRPr="0091054F">
              <w:rPr>
                <w:rFonts w:ascii="Arial" w:hAnsi="Arial"/>
                <w:sz w:val="16"/>
                <w:szCs w:val="16"/>
              </w:rPr>
              <w:t>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</w:t>
            </w:r>
            <w:r w:rsidRPr="0091054F">
              <w:rPr>
                <w:rFonts w:ascii="Arial" w:hAnsi="Arial"/>
                <w:sz w:val="16"/>
                <w:szCs w:val="16"/>
              </w:rPr>
              <w:t>ndetected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Cambria Math" w:hAnsi="Cambria Math" w:cs="Cambria Math"/>
                <w:sz w:val="16"/>
                <w:szCs w:val="16"/>
              </w:rPr>
              <w:t>⊕⊕⊕⊝</w:t>
            </w:r>
            <w:r w:rsidRPr="0091054F">
              <w:rPr>
                <w:rFonts w:ascii="Arial" w:hAnsi="Arial"/>
                <w:sz w:val="16"/>
                <w:szCs w:val="16"/>
              </w:rPr>
              <w:br/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MODERATE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6" w:space="0" w:color="000000"/>
              <w:right w:val="single" w:sz="2" w:space="0" w:color="FFFFFF"/>
            </w:tcBorders>
            <w:hideMark/>
          </w:tcPr>
          <w:p w:rsidR="0071337B" w:rsidRPr="005D3ABC" w:rsidRDefault="0071337B" w:rsidP="00810B39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92-100</w:t>
            </w:r>
            <w:r w:rsidRPr="005D3ABC">
              <w:rPr>
                <w:rFonts w:asciiTheme="minorBidi" w:hAnsiTheme="minorBidi"/>
                <w:sz w:val="16"/>
                <w:szCs w:val="16"/>
              </w:rPr>
              <w:t xml:space="preserve">% 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82-93%</w:t>
            </w:r>
            <w:r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1337B" w:rsidRPr="0091054F" w:rsidTr="0071337B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1337B" w:rsidRPr="0091054F" w:rsidTr="0071337B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1337B" w:rsidRPr="0091054F" w:rsidTr="0071337B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37B" w:rsidRPr="0091054F" w:rsidRDefault="0071337B" w:rsidP="00810B39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71337B" w:rsidRDefault="0071337B" w:rsidP="0071337B">
      <w:pPr>
        <w:pStyle w:val="AuthorsNameInfo"/>
        <w:spacing w:line="240" w:lineRule="auto"/>
        <w:rPr>
          <w:rFonts w:ascii="Arial" w:hAnsi="Arial"/>
          <w:b/>
          <w:bCs/>
          <w:sz w:val="16"/>
          <w:szCs w:val="16"/>
        </w:rPr>
      </w:pPr>
    </w:p>
    <w:p w:rsidR="0071337B" w:rsidRPr="0071337B" w:rsidRDefault="0071337B" w:rsidP="0071337B">
      <w:pPr>
        <w:pStyle w:val="AuthorsNameInfo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iCs/>
          <w:szCs w:val="24"/>
        </w:rPr>
      </w:pPr>
      <w:r>
        <w:rPr>
          <w:rFonts w:ascii="Arial" w:hAnsi="Arial"/>
          <w:b/>
          <w:bCs/>
          <w:sz w:val="16"/>
          <w:szCs w:val="16"/>
        </w:rPr>
        <w:t>*</w:t>
      </w:r>
      <w:r w:rsidRPr="0071337B">
        <w:rPr>
          <w:rFonts w:ascii="Arial" w:hAnsi="Arial"/>
          <w:sz w:val="16"/>
          <w:szCs w:val="16"/>
        </w:rPr>
        <w:t xml:space="preserve">study </w:t>
      </w:r>
      <w:r>
        <w:rPr>
          <w:rFonts w:ascii="Arial" w:hAnsi="Arial"/>
          <w:sz w:val="16"/>
          <w:szCs w:val="16"/>
        </w:rPr>
        <w:t>for</w:t>
      </w:r>
      <w:r w:rsidRPr="0071337B">
        <w:rPr>
          <w:rFonts w:ascii="Arial" w:hAnsi="Arial"/>
          <w:sz w:val="16"/>
          <w:szCs w:val="16"/>
        </w:rPr>
        <w:t xml:space="preserve"> accuracy of handheld ECHO to detect CAD</w:t>
      </w:r>
      <w:r>
        <w:rPr>
          <w:rFonts w:ascii="Arial" w:hAnsi="Arial"/>
          <w:sz w:val="16"/>
          <w:szCs w:val="16"/>
        </w:rPr>
        <w:t xml:space="preserve">  </w:t>
      </w:r>
      <w:hyperlink r:id="rId7" w:history="1">
        <w:r w:rsidRPr="00436238">
          <w:rPr>
            <w:rStyle w:val="Hyperlink"/>
            <w:rFonts w:ascii="Arial" w:hAnsi="Arial"/>
            <w:sz w:val="16"/>
            <w:szCs w:val="16"/>
          </w:rPr>
          <w:t>www.ncbi.nlm.nih.gov/pubmed/15276122</w:t>
        </w:r>
      </w:hyperlink>
    </w:p>
    <w:p w:rsidR="00531BF3" w:rsidRPr="00531BF3" w:rsidRDefault="0048288A" w:rsidP="0048288A">
      <w:pPr>
        <w:pStyle w:val="AuthorsNameInfo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iCs/>
          <w:szCs w:val="24"/>
        </w:rPr>
      </w:pPr>
      <w:r>
        <w:rPr>
          <w:rFonts w:ascii="Arial" w:hAnsi="Arial"/>
          <w:sz w:val="16"/>
          <w:szCs w:val="16"/>
        </w:rPr>
        <w:t>S</w:t>
      </w:r>
      <w:r w:rsidR="0071337B">
        <w:rPr>
          <w:rFonts w:ascii="Arial" w:hAnsi="Arial"/>
          <w:sz w:val="16"/>
          <w:szCs w:val="16"/>
        </w:rPr>
        <w:t xml:space="preserve">tudies diagnosing CAD </w:t>
      </w:r>
      <w:r>
        <w:rPr>
          <w:rFonts w:ascii="Arial" w:hAnsi="Arial"/>
          <w:sz w:val="16"/>
          <w:szCs w:val="16"/>
        </w:rPr>
        <w:t xml:space="preserve">with consideration of </w:t>
      </w:r>
      <w:r w:rsidR="0071337B">
        <w:rPr>
          <w:rFonts w:ascii="Arial" w:hAnsi="Arial"/>
          <w:sz w:val="16"/>
          <w:szCs w:val="16"/>
        </w:rPr>
        <w:t xml:space="preserve">studies diagnosing complications of CAD (such as </w:t>
      </w:r>
      <w:proofErr w:type="spellStart"/>
      <w:r>
        <w:rPr>
          <w:rFonts w:ascii="Arial" w:hAnsi="Arial"/>
          <w:sz w:val="16"/>
          <w:szCs w:val="16"/>
        </w:rPr>
        <w:t>valvualr</w:t>
      </w:r>
      <w:proofErr w:type="spellEnd"/>
      <w:r>
        <w:rPr>
          <w:rFonts w:ascii="Arial" w:hAnsi="Arial"/>
          <w:sz w:val="16"/>
          <w:szCs w:val="16"/>
        </w:rPr>
        <w:t xml:space="preserve"> dysfunction, </w:t>
      </w:r>
      <w:r w:rsidR="0071337B">
        <w:rPr>
          <w:rFonts w:ascii="Arial" w:hAnsi="Arial"/>
          <w:sz w:val="16"/>
          <w:szCs w:val="16"/>
        </w:rPr>
        <w:t>rapture wall or tamponade) yielded moderate level of evidence</w:t>
      </w:r>
      <w:r>
        <w:rPr>
          <w:rFonts w:ascii="Arial" w:hAnsi="Arial"/>
          <w:sz w:val="16"/>
          <w:szCs w:val="16"/>
        </w:rPr>
        <w:t xml:space="preserve"> for this recommendation</w:t>
      </w:r>
      <w:r w:rsidR="00810B39">
        <w:rPr>
          <w:rFonts w:ascii="Arial" w:hAnsi="Arial"/>
          <w:sz w:val="16"/>
          <w:szCs w:val="16"/>
        </w:rPr>
        <w:t xml:space="preserve"> (see table Sof-8)</w:t>
      </w:r>
      <w:r>
        <w:rPr>
          <w:rFonts w:ascii="Arial" w:hAnsi="Arial"/>
          <w:sz w:val="16"/>
          <w:szCs w:val="16"/>
        </w:rPr>
        <w:t>.</w:t>
      </w:r>
      <w:r w:rsidR="0071337B">
        <w:rPr>
          <w:rFonts w:ascii="Arial" w:hAnsi="Arial"/>
          <w:sz w:val="16"/>
          <w:szCs w:val="16"/>
        </w:rPr>
        <w:t xml:space="preserve"> </w:t>
      </w:r>
    </w:p>
    <w:p w:rsidR="00BB247B" w:rsidRPr="00531BF3" w:rsidRDefault="00531BF3" w:rsidP="00346E39">
      <w:pPr>
        <w:pStyle w:val="AuthorsNameInfo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iCs/>
          <w:szCs w:val="24"/>
        </w:rPr>
      </w:pPr>
      <w:r>
        <w:rPr>
          <w:rFonts w:ascii="Arial" w:hAnsi="Arial"/>
          <w:sz w:val="16"/>
          <w:szCs w:val="16"/>
        </w:rPr>
        <w:t xml:space="preserve">Settings </w:t>
      </w:r>
      <w:r w:rsidRPr="00531BF3">
        <w:rPr>
          <w:rFonts w:ascii="Arial" w:hAnsi="Arial"/>
          <w:sz w:val="16"/>
          <w:szCs w:val="16"/>
        </w:rPr>
        <w:t xml:space="preserve"> is semi-urgent </w:t>
      </w:r>
      <w:r>
        <w:rPr>
          <w:rFonts w:ascii="Arial" w:hAnsi="Arial"/>
          <w:sz w:val="16"/>
          <w:szCs w:val="16"/>
        </w:rPr>
        <w:t xml:space="preserve">to rule out major CAD related complications </w:t>
      </w:r>
    </w:p>
    <w:p w:rsidR="0048288A" w:rsidRDefault="0048288A" w:rsidP="0071337B">
      <w:pPr>
        <w:pStyle w:val="AuthorsNameInfo"/>
        <w:rPr>
          <w:rFonts w:ascii="Times New Roman" w:hAnsi="Times New Roman" w:cs="Times New Roman"/>
          <w:iCs/>
          <w:szCs w:val="24"/>
        </w:rPr>
      </w:pPr>
    </w:p>
    <w:p w:rsidR="0048288A" w:rsidRDefault="0048288A" w:rsidP="0071337B">
      <w:pPr>
        <w:pStyle w:val="AuthorsNameInfo"/>
        <w:rPr>
          <w:rFonts w:ascii="Times New Roman" w:hAnsi="Times New Roman" w:cs="Times New Roman"/>
          <w:iCs/>
          <w:szCs w:val="24"/>
        </w:rPr>
      </w:pPr>
    </w:p>
    <w:p w:rsidR="0048288A" w:rsidRDefault="0048288A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iCs/>
          <w:szCs w:val="24"/>
        </w:rPr>
        <w:br w:type="page"/>
      </w:r>
    </w:p>
    <w:p w:rsidR="0048288A" w:rsidRDefault="0048288A" w:rsidP="0071337B">
      <w:pPr>
        <w:pStyle w:val="AuthorsNameInfo"/>
        <w:rPr>
          <w:rFonts w:ascii="Times New Roman" w:hAnsi="Times New Roman" w:cs="Times New Roman"/>
          <w:iCs/>
          <w:szCs w:val="24"/>
        </w:rPr>
      </w:pPr>
    </w:p>
    <w:p w:rsidR="00810B39" w:rsidRDefault="00966D51" w:rsidP="00966D51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 xml:space="preserve">Supplemental </w:t>
      </w:r>
      <w:r w:rsidR="00810B39">
        <w:rPr>
          <w:rFonts w:ascii="Times New Roman" w:hAnsi="Times New Roman"/>
          <w:b/>
          <w:bCs/>
        </w:rPr>
        <w:t>Table 8</w:t>
      </w:r>
      <w:r w:rsidR="00810B39">
        <w:rPr>
          <w:rFonts w:ascii="Times New Roman" w:hAnsi="Times New Roman"/>
        </w:rPr>
        <w:t>.</w:t>
      </w:r>
      <w:proofErr w:type="gramEnd"/>
      <w:r w:rsidR="00810B39">
        <w:rPr>
          <w:rFonts w:ascii="Times New Roman" w:hAnsi="Times New Roman"/>
        </w:rPr>
        <w:t xml:space="preserve">  Summary of Finding (</w:t>
      </w:r>
      <w:proofErr w:type="spellStart"/>
      <w:proofErr w:type="gramStart"/>
      <w:r w:rsidR="00810B39">
        <w:rPr>
          <w:rFonts w:ascii="Times New Roman" w:hAnsi="Times New Roman"/>
        </w:rPr>
        <w:t>SoF</w:t>
      </w:r>
      <w:proofErr w:type="spellEnd"/>
      <w:proofErr w:type="gramEnd"/>
      <w:r w:rsidR="00810B39">
        <w:rPr>
          <w:rFonts w:ascii="Times New Roman" w:hAnsi="Times New Roman"/>
        </w:rPr>
        <w:t>) table regarding ACS</w:t>
      </w:r>
    </w:p>
    <w:p w:rsidR="00966D51" w:rsidRPr="00966D51" w:rsidRDefault="00966D51" w:rsidP="00966D51">
      <w:pPr>
        <w:spacing w:after="0" w:line="240" w:lineRule="auto"/>
      </w:pPr>
    </w:p>
    <w:tbl>
      <w:tblPr>
        <w:tblW w:w="51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2"/>
        <w:gridCol w:w="1177"/>
        <w:gridCol w:w="1554"/>
        <w:gridCol w:w="1282"/>
        <w:gridCol w:w="989"/>
        <w:gridCol w:w="1094"/>
        <w:gridCol w:w="996"/>
        <w:gridCol w:w="809"/>
        <w:gridCol w:w="881"/>
        <w:gridCol w:w="96"/>
      </w:tblGrid>
      <w:tr w:rsidR="00810B39" w:rsidRPr="0091054F" w:rsidTr="00810B39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0B39" w:rsidRDefault="00810B39" w:rsidP="00810B39">
            <w:pPr>
              <w:spacing w:line="140" w:lineRule="atLeast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810B39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We recommend that patients with suspected ACS and AMI should receive a bedside cardiac ultrasonography.  Grade 1C</w:t>
            </w:r>
          </w:p>
          <w:p w:rsidR="00810B39" w:rsidRPr="009910DC" w:rsidRDefault="00810B39" w:rsidP="00810B39">
            <w:pPr>
              <w:rPr>
                <w:rFonts w:ascii="Arial" w:hAnsi="Arial"/>
                <w:b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 xml:space="preserve">Bibliography: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="00610BCF">
              <w:rPr>
                <w:rFonts w:ascii="Arial" w:hAnsi="Arial"/>
                <w:b/>
                <w:bCs/>
                <w:sz w:val="16"/>
                <w:szCs w:val="16"/>
              </w:rPr>
              <w:t>ee table SoF-7 plus</w:t>
            </w:r>
            <w:r w:rsidR="00531BF3">
              <w:rPr>
                <w:rFonts w:ascii="Arial" w:hAnsi="Arial"/>
                <w:b/>
                <w:bCs/>
                <w:sz w:val="16"/>
                <w:szCs w:val="16"/>
              </w:rPr>
              <w:t xml:space="preserve"> 119-122</w:t>
            </w:r>
          </w:p>
        </w:tc>
      </w:tr>
      <w:tr w:rsidR="00810B39" w:rsidRPr="0091054F" w:rsidTr="00810B39">
        <w:tc>
          <w:tcPr>
            <w:tcW w:w="407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vAlign w:val="center"/>
            <w:hideMark/>
          </w:tcPr>
          <w:p w:rsidR="00810B39" w:rsidRPr="0091054F" w:rsidRDefault="00810B39" w:rsidP="00810B39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91054F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Quality assessment</w:t>
            </w:r>
          </w:p>
        </w:tc>
        <w:tc>
          <w:tcPr>
            <w:tcW w:w="9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vAlign w:val="center"/>
            <w:hideMark/>
          </w:tcPr>
          <w:p w:rsidR="00810B39" w:rsidRPr="0091054F" w:rsidRDefault="00810B39" w:rsidP="00810B39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91054F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Summary of Findings</w:t>
            </w:r>
          </w:p>
        </w:tc>
      </w:tr>
      <w:tr w:rsidR="00810B39" w:rsidRPr="0091054F" w:rsidTr="00810B3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810B39" w:rsidRPr="0091054F" w:rsidRDefault="00810B39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br/>
              <w:t>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 xml:space="preserve"> studies)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810B39" w:rsidRPr="0091054F" w:rsidRDefault="00810B39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810B39" w:rsidRPr="0091054F" w:rsidRDefault="00810B39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810B39" w:rsidRPr="0091054F" w:rsidRDefault="00810B39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810B39" w:rsidRPr="0091054F" w:rsidRDefault="00810B39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810B39" w:rsidRPr="0091054F" w:rsidRDefault="00810B39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Publication bias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810B39" w:rsidRPr="0091054F" w:rsidRDefault="00810B39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Overall quality of evidence</w:t>
            </w:r>
          </w:p>
        </w:tc>
        <w:tc>
          <w:tcPr>
            <w:tcW w:w="8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810B39" w:rsidRPr="0091054F" w:rsidRDefault="00810B39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Studies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 xml:space="preserve"> result 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range</w:t>
            </w:r>
          </w:p>
        </w:tc>
        <w:tc>
          <w:tcPr>
            <w:tcW w:w="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810B39" w:rsidRPr="0091054F" w:rsidRDefault="00810B39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810B39" w:rsidRPr="0091054F" w:rsidTr="00810B3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6" w:space="0" w:color="000000"/>
              <w:right w:val="single" w:sz="2" w:space="0" w:color="EDEDED"/>
            </w:tcBorders>
            <w:shd w:val="clear" w:color="auto" w:fill="EDEDED"/>
            <w:hideMark/>
          </w:tcPr>
          <w:p w:rsidR="00810B39" w:rsidRPr="0091054F" w:rsidRDefault="00810B39" w:rsidP="00810B3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sensitivity</w:t>
            </w:r>
          </w:p>
        </w:tc>
        <w:tc>
          <w:tcPr>
            <w:tcW w:w="455" w:type="pct"/>
            <w:tcBorders>
              <w:top w:val="nil"/>
              <w:left w:val="single" w:sz="2" w:space="0" w:color="EDEDED"/>
              <w:bottom w:val="single" w:sz="6" w:space="0" w:color="000000"/>
              <w:right w:val="nil"/>
            </w:tcBorders>
            <w:shd w:val="clear" w:color="auto" w:fill="EDEDED"/>
            <w:hideMark/>
          </w:tcPr>
          <w:p w:rsidR="00810B39" w:rsidRPr="0091054F" w:rsidRDefault="00810B39" w:rsidP="00810B3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specificity</w:t>
            </w:r>
          </w:p>
          <w:p w:rsidR="00810B39" w:rsidRPr="0091054F" w:rsidRDefault="00810B39" w:rsidP="00810B3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1054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810B39" w:rsidRPr="0091054F" w:rsidTr="00810B39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810B39" w:rsidRPr="0091054F" w:rsidRDefault="00610BCF" w:rsidP="00810B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</w:rPr>
              <w:t>Diagnostic accuracy</w:t>
            </w:r>
          </w:p>
        </w:tc>
      </w:tr>
      <w:tr w:rsidR="00810B39" w:rsidRPr="0091054F" w:rsidTr="00810B39">
        <w:trPr>
          <w:trHeight w:val="35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B39" w:rsidRDefault="00810B39" w:rsidP="00810B39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Arial" w:hAnsi="Arial"/>
                <w:sz w:val="16"/>
                <w:szCs w:val="16"/>
              </w:rPr>
              <w:t>observational</w:t>
            </w:r>
          </w:p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studies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Arial" w:hAnsi="Arial"/>
                <w:sz w:val="16"/>
                <w:szCs w:val="16"/>
              </w:rPr>
              <w:t>serious 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91054F">
              <w:rPr>
                <w:rFonts w:ascii="Arial" w:hAnsi="Arial"/>
                <w:sz w:val="16"/>
                <w:szCs w:val="16"/>
              </w:rPr>
              <w:t>o serious 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B39" w:rsidRPr="0091054F" w:rsidRDefault="00531BF3" w:rsidP="00810B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Serious </w:t>
            </w:r>
            <w:r w:rsidR="00810B39">
              <w:rPr>
                <w:rFonts w:ascii="Arial" w:hAnsi="Arial"/>
                <w:sz w:val="16"/>
                <w:szCs w:val="16"/>
              </w:rPr>
              <w:t>I</w:t>
            </w:r>
            <w:r w:rsidR="00810B39" w:rsidRPr="0091054F">
              <w:rPr>
                <w:rFonts w:ascii="Arial" w:hAnsi="Arial"/>
                <w:sz w:val="16"/>
                <w:szCs w:val="16"/>
              </w:rPr>
              <w:t>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91054F">
              <w:rPr>
                <w:rFonts w:ascii="Arial" w:hAnsi="Arial"/>
                <w:sz w:val="16"/>
                <w:szCs w:val="16"/>
              </w:rPr>
              <w:t xml:space="preserve">o </w:t>
            </w:r>
            <w:r>
              <w:rPr>
                <w:rFonts w:ascii="Arial" w:hAnsi="Arial"/>
                <w:sz w:val="16"/>
                <w:szCs w:val="16"/>
              </w:rPr>
              <w:t>I</w:t>
            </w:r>
            <w:r w:rsidRPr="0091054F">
              <w:rPr>
                <w:rFonts w:ascii="Arial" w:hAnsi="Arial"/>
                <w:sz w:val="16"/>
                <w:szCs w:val="16"/>
              </w:rPr>
              <w:t>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</w:t>
            </w:r>
            <w:r w:rsidRPr="0091054F">
              <w:rPr>
                <w:rFonts w:ascii="Arial" w:hAnsi="Arial"/>
                <w:sz w:val="16"/>
                <w:szCs w:val="16"/>
              </w:rPr>
              <w:t>ndetected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Cambria Math" w:hAnsi="Cambria Math" w:cs="Cambria Math"/>
                <w:sz w:val="16"/>
                <w:szCs w:val="16"/>
              </w:rPr>
              <w:t>⊕⊕⊝⊝</w:t>
            </w:r>
            <w:r w:rsidRPr="0091054F"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LOW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6" w:space="0" w:color="000000"/>
              <w:right w:val="single" w:sz="2" w:space="0" w:color="FFFFFF"/>
            </w:tcBorders>
            <w:hideMark/>
          </w:tcPr>
          <w:p w:rsidR="00810B39" w:rsidRPr="005D3ABC" w:rsidRDefault="00810B39" w:rsidP="00810B39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92-100</w:t>
            </w:r>
            <w:r w:rsidRPr="005D3ABC">
              <w:rPr>
                <w:rFonts w:asciiTheme="minorBidi" w:hAnsiTheme="minorBidi"/>
                <w:sz w:val="16"/>
                <w:szCs w:val="16"/>
              </w:rPr>
              <w:t xml:space="preserve">% 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82-93%</w:t>
            </w:r>
            <w:r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10B39" w:rsidRPr="0091054F" w:rsidTr="00810B39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10B39" w:rsidRPr="0091054F" w:rsidTr="00810B39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10B39" w:rsidRPr="0091054F" w:rsidTr="00810B39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B39" w:rsidRPr="0091054F" w:rsidRDefault="00810B39" w:rsidP="00810B39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810B39" w:rsidRDefault="00810B39" w:rsidP="00531BF3">
      <w:pPr>
        <w:pStyle w:val="AuthorsNameInfo"/>
        <w:spacing w:line="240" w:lineRule="auto"/>
        <w:rPr>
          <w:rFonts w:ascii="Arial" w:hAnsi="Arial"/>
          <w:b/>
          <w:bCs/>
          <w:sz w:val="16"/>
          <w:szCs w:val="16"/>
        </w:rPr>
      </w:pPr>
    </w:p>
    <w:p w:rsidR="00531BF3" w:rsidRPr="00531BF3" w:rsidRDefault="00531BF3" w:rsidP="004E0BC5">
      <w:pPr>
        <w:pStyle w:val="AuthorsNameInfo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iCs/>
          <w:szCs w:val="24"/>
        </w:rPr>
      </w:pPr>
      <w:r>
        <w:rPr>
          <w:rFonts w:ascii="Arial" w:hAnsi="Arial"/>
          <w:sz w:val="16"/>
          <w:szCs w:val="16"/>
        </w:rPr>
        <w:t xml:space="preserve">Studies similar to table SoF-7, however the settings is semi-elective and has to be compared to full study ECHO. </w:t>
      </w:r>
      <w:r w:rsidR="00610BCF">
        <w:rPr>
          <w:rFonts w:ascii="Arial" w:hAnsi="Arial"/>
          <w:sz w:val="16"/>
          <w:szCs w:val="16"/>
        </w:rPr>
        <w:t>Therefore</w:t>
      </w:r>
      <w:r>
        <w:rPr>
          <w:rFonts w:ascii="Arial" w:hAnsi="Arial"/>
          <w:sz w:val="16"/>
          <w:szCs w:val="16"/>
        </w:rPr>
        <w:t xml:space="preserve">, the evidence was downgraded for the </w:t>
      </w:r>
      <w:r w:rsidR="004E0BC5">
        <w:rPr>
          <w:rFonts w:ascii="Arial" w:hAnsi="Arial"/>
          <w:sz w:val="16"/>
          <w:szCs w:val="16"/>
        </w:rPr>
        <w:t>indirectness of settings.</w:t>
      </w:r>
    </w:p>
    <w:p w:rsidR="00531BF3" w:rsidRDefault="00531BF3" w:rsidP="00531BF3">
      <w:pPr>
        <w:pStyle w:val="AuthorsNameInfo"/>
        <w:spacing w:line="240" w:lineRule="auto"/>
        <w:rPr>
          <w:rFonts w:ascii="Arial" w:hAnsi="Arial"/>
          <w:sz w:val="16"/>
          <w:szCs w:val="16"/>
        </w:rPr>
      </w:pPr>
    </w:p>
    <w:p w:rsidR="00531BF3" w:rsidRDefault="00531BF3" w:rsidP="00531BF3">
      <w:pPr>
        <w:pStyle w:val="AuthorsNameInfo"/>
        <w:spacing w:line="240" w:lineRule="auto"/>
        <w:rPr>
          <w:rFonts w:ascii="Arial" w:hAnsi="Arial"/>
          <w:sz w:val="16"/>
          <w:szCs w:val="16"/>
        </w:rPr>
      </w:pPr>
    </w:p>
    <w:p w:rsidR="00531BF3" w:rsidRDefault="00531BF3" w:rsidP="00531BF3">
      <w:pPr>
        <w:pStyle w:val="AuthorsNameInfo"/>
        <w:spacing w:line="240" w:lineRule="auto"/>
        <w:rPr>
          <w:rFonts w:ascii="Arial" w:hAnsi="Arial"/>
          <w:sz w:val="16"/>
          <w:szCs w:val="16"/>
        </w:rPr>
      </w:pPr>
    </w:p>
    <w:p w:rsidR="00531BF3" w:rsidRDefault="00531BF3">
      <w:pPr>
        <w:rPr>
          <w:rFonts w:ascii="Arial" w:eastAsia="Times New Roman" w:hAnsi="Arial" w:cs="Helvetica"/>
          <w:color w:val="000000"/>
          <w:sz w:val="16"/>
          <w:szCs w:val="16"/>
          <w:lang w:eastAsia="zh-CN"/>
        </w:rPr>
      </w:pPr>
      <w:r>
        <w:rPr>
          <w:rFonts w:ascii="Arial" w:hAnsi="Arial"/>
          <w:sz w:val="16"/>
          <w:szCs w:val="16"/>
        </w:rPr>
        <w:br w:type="page"/>
      </w:r>
    </w:p>
    <w:p w:rsidR="00531BF3" w:rsidRDefault="00531BF3" w:rsidP="00531BF3">
      <w:pPr>
        <w:pStyle w:val="AuthorsNameInfo"/>
        <w:spacing w:line="240" w:lineRule="auto"/>
        <w:rPr>
          <w:rFonts w:ascii="Arial" w:hAnsi="Arial"/>
          <w:sz w:val="16"/>
          <w:szCs w:val="16"/>
        </w:rPr>
      </w:pPr>
    </w:p>
    <w:p w:rsidR="00531BF3" w:rsidRDefault="00531BF3" w:rsidP="00531BF3">
      <w:pPr>
        <w:pStyle w:val="AuthorsNameInfo"/>
        <w:spacing w:line="240" w:lineRule="auto"/>
        <w:rPr>
          <w:rFonts w:ascii="Arial" w:hAnsi="Arial"/>
          <w:sz w:val="16"/>
          <w:szCs w:val="16"/>
        </w:rPr>
      </w:pPr>
    </w:p>
    <w:p w:rsidR="008853D0" w:rsidRDefault="00966D51" w:rsidP="00A564E3">
      <w:pPr>
        <w:spacing w:after="0" w:line="240" w:lineRule="auto"/>
      </w:pPr>
      <w:bookmarkStart w:id="0" w:name="OLE_LINK380"/>
      <w:bookmarkStart w:id="1" w:name="OLE_LINK381"/>
      <w:bookmarkStart w:id="2" w:name="OLE_LINK382"/>
      <w:bookmarkStart w:id="3" w:name="OLE_LINK383"/>
      <w:bookmarkStart w:id="4" w:name="OLE_LINK384"/>
      <w:bookmarkStart w:id="5" w:name="OLE_LINK385"/>
      <w:bookmarkStart w:id="6" w:name="OLE_LINK386"/>
      <w:bookmarkStart w:id="7" w:name="OLE_LINK387"/>
      <w:proofErr w:type="gramStart"/>
      <w:r>
        <w:rPr>
          <w:rFonts w:ascii="Times New Roman" w:hAnsi="Times New Roman"/>
          <w:b/>
          <w:bCs/>
        </w:rPr>
        <w:t xml:space="preserve">Supplemental </w:t>
      </w:r>
      <w:r w:rsidR="008853D0">
        <w:rPr>
          <w:rFonts w:ascii="Times New Roman" w:hAnsi="Times New Roman"/>
          <w:b/>
          <w:bCs/>
        </w:rPr>
        <w:t xml:space="preserve">Table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8853D0">
        <w:rPr>
          <w:rFonts w:ascii="Times New Roman" w:hAnsi="Times New Roman"/>
          <w:b/>
          <w:bCs/>
        </w:rPr>
        <w:t>9</w:t>
      </w:r>
      <w:r w:rsidR="008853D0">
        <w:rPr>
          <w:rFonts w:ascii="Times New Roman" w:hAnsi="Times New Roman"/>
        </w:rPr>
        <w:t>.</w:t>
      </w:r>
      <w:proofErr w:type="gramEnd"/>
      <w:r w:rsidR="008853D0">
        <w:rPr>
          <w:rFonts w:ascii="Times New Roman" w:hAnsi="Times New Roman"/>
        </w:rPr>
        <w:t xml:space="preserve">  Summary of Finding (</w:t>
      </w:r>
      <w:proofErr w:type="spellStart"/>
      <w:proofErr w:type="gramStart"/>
      <w:r w:rsidR="008853D0">
        <w:rPr>
          <w:rFonts w:ascii="Times New Roman" w:hAnsi="Times New Roman"/>
        </w:rPr>
        <w:t>SoF</w:t>
      </w:r>
      <w:proofErr w:type="spellEnd"/>
      <w:proofErr w:type="gramEnd"/>
      <w:r w:rsidR="008853D0">
        <w:rPr>
          <w:rFonts w:ascii="Times New Roman" w:hAnsi="Times New Roman"/>
        </w:rPr>
        <w:t xml:space="preserve">) table regarding </w:t>
      </w:r>
      <w:proofErr w:type="spellStart"/>
      <w:r w:rsidR="00A564E3">
        <w:rPr>
          <w:rFonts w:ascii="Times New Roman" w:hAnsi="Times New Roman"/>
        </w:rPr>
        <w:t>tamponade</w:t>
      </w:r>
      <w:proofErr w:type="spellEnd"/>
      <w:r w:rsidR="00A564E3">
        <w:rPr>
          <w:rFonts w:ascii="Times New Roman" w:hAnsi="Times New Roman"/>
        </w:rPr>
        <w:t xml:space="preserve"> and pericardial effusion</w:t>
      </w:r>
    </w:p>
    <w:p w:rsidR="008853D0" w:rsidRDefault="008853D0" w:rsidP="008853D0">
      <w:pPr>
        <w:pStyle w:val="AuthorsNameInfo"/>
        <w:rPr>
          <w:rFonts w:ascii="Times New Roman" w:hAnsi="Times New Roman" w:cs="Times New Roman"/>
          <w:iCs/>
          <w:szCs w:val="24"/>
        </w:rPr>
      </w:pPr>
    </w:p>
    <w:tbl>
      <w:tblPr>
        <w:tblW w:w="51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2"/>
        <w:gridCol w:w="1203"/>
        <w:gridCol w:w="1598"/>
        <w:gridCol w:w="1033"/>
        <w:gridCol w:w="989"/>
        <w:gridCol w:w="1106"/>
        <w:gridCol w:w="1006"/>
        <w:gridCol w:w="1015"/>
        <w:gridCol w:w="832"/>
        <w:gridCol w:w="96"/>
      </w:tblGrid>
      <w:tr w:rsidR="008853D0" w:rsidRPr="0091054F" w:rsidTr="00346E39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53D0" w:rsidRPr="009910DC" w:rsidRDefault="008853D0" w:rsidP="00610BCF">
            <w:pPr>
              <w:rPr>
                <w:rFonts w:ascii="Arial" w:hAnsi="Arial"/>
                <w:b/>
              </w:rPr>
            </w:pPr>
            <w:r w:rsidRPr="008853D0">
              <w:rPr>
                <w:rFonts w:ascii="Arial" w:hAnsi="Arial"/>
                <w:sz w:val="18"/>
                <w:szCs w:val="18"/>
              </w:rPr>
              <w:t xml:space="preserve">We recommend that bedside cardiac ultrasonography should be performed to diagnose cardiac tamponade and to increase the effectiveness and safety of </w:t>
            </w:r>
            <w:proofErr w:type="spellStart"/>
            <w:r w:rsidRPr="008853D0">
              <w:rPr>
                <w:rFonts w:ascii="Arial" w:hAnsi="Arial"/>
                <w:sz w:val="18"/>
                <w:szCs w:val="18"/>
              </w:rPr>
              <w:t>pericardiocentesis</w:t>
            </w:r>
            <w:proofErr w:type="spellEnd"/>
            <w:r w:rsidRPr="008853D0">
              <w:rPr>
                <w:rFonts w:ascii="Arial" w:hAnsi="Arial"/>
                <w:sz w:val="18"/>
                <w:szCs w:val="18"/>
              </w:rPr>
              <w:t xml:space="preserve"> and guide performance of the procedure. Grade 1B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br/>
              <w:t xml:space="preserve">Bibliography: Ref 123-134 plus </w:t>
            </w:r>
            <w:r w:rsidR="00610BCF">
              <w:rPr>
                <w:rFonts w:ascii="Arial" w:hAnsi="Arial"/>
                <w:b/>
                <w:bCs/>
                <w:sz w:val="16"/>
                <w:szCs w:val="16"/>
              </w:rPr>
              <w:t>2 studies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*</w:t>
            </w:r>
          </w:p>
        </w:tc>
      </w:tr>
      <w:tr w:rsidR="008853D0" w:rsidRPr="0091054F" w:rsidTr="00610BCF">
        <w:tc>
          <w:tcPr>
            <w:tcW w:w="41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vAlign w:val="center"/>
            <w:hideMark/>
          </w:tcPr>
          <w:p w:rsidR="008853D0" w:rsidRPr="0091054F" w:rsidRDefault="008853D0" w:rsidP="00346E39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91054F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Quality assessment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vAlign w:val="center"/>
            <w:hideMark/>
          </w:tcPr>
          <w:p w:rsidR="008853D0" w:rsidRPr="0091054F" w:rsidRDefault="008853D0" w:rsidP="00346E39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91054F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Summary of Findings</w:t>
            </w:r>
          </w:p>
        </w:tc>
      </w:tr>
      <w:tr w:rsidR="008853D0" w:rsidRPr="0091054F" w:rsidTr="00346E3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8853D0" w:rsidRPr="0091054F" w:rsidRDefault="008853D0" w:rsidP="00610B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br/>
              <w:t>(</w:t>
            </w:r>
            <w:r w:rsidR="00610BCF">
              <w:rPr>
                <w:rFonts w:ascii="Arial" w:hAnsi="Arial"/>
                <w:b/>
                <w:bCs/>
                <w:sz w:val="16"/>
                <w:szCs w:val="16"/>
              </w:rPr>
              <w:t xml:space="preserve">14 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studies)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8853D0" w:rsidRPr="0091054F" w:rsidRDefault="008853D0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8853D0" w:rsidRPr="0091054F" w:rsidRDefault="008853D0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8853D0" w:rsidRPr="0091054F" w:rsidRDefault="008853D0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8853D0" w:rsidRPr="0091054F" w:rsidRDefault="008853D0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8853D0" w:rsidRPr="0091054F" w:rsidRDefault="008853D0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Publication bias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8853D0" w:rsidRPr="0091054F" w:rsidRDefault="008853D0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Overall quality of evidence</w:t>
            </w:r>
          </w:p>
        </w:tc>
        <w:tc>
          <w:tcPr>
            <w:tcW w:w="8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8853D0" w:rsidRPr="0091054F" w:rsidRDefault="008853D0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Studies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 xml:space="preserve"> result 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range</w:t>
            </w:r>
          </w:p>
        </w:tc>
        <w:tc>
          <w:tcPr>
            <w:tcW w:w="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8853D0" w:rsidRPr="0091054F" w:rsidRDefault="008853D0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8853D0" w:rsidRPr="0091054F" w:rsidTr="00346E3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6" w:space="0" w:color="000000"/>
              <w:right w:val="single" w:sz="2" w:space="0" w:color="EDEDED"/>
            </w:tcBorders>
            <w:shd w:val="clear" w:color="auto" w:fill="EDEDED"/>
            <w:hideMark/>
          </w:tcPr>
          <w:p w:rsidR="008853D0" w:rsidRPr="0091054F" w:rsidRDefault="008853D0" w:rsidP="00346E3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sensitivity</w:t>
            </w:r>
          </w:p>
        </w:tc>
        <w:tc>
          <w:tcPr>
            <w:tcW w:w="455" w:type="pct"/>
            <w:tcBorders>
              <w:top w:val="nil"/>
              <w:left w:val="single" w:sz="2" w:space="0" w:color="EDEDED"/>
              <w:bottom w:val="single" w:sz="6" w:space="0" w:color="000000"/>
              <w:right w:val="nil"/>
            </w:tcBorders>
            <w:shd w:val="clear" w:color="auto" w:fill="EDEDED"/>
            <w:hideMark/>
          </w:tcPr>
          <w:p w:rsidR="008853D0" w:rsidRPr="0091054F" w:rsidRDefault="008853D0" w:rsidP="00346E3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specificity</w:t>
            </w:r>
          </w:p>
          <w:p w:rsidR="008853D0" w:rsidRPr="0091054F" w:rsidRDefault="008853D0" w:rsidP="00346E3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1054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8853D0" w:rsidRPr="0091054F" w:rsidTr="00346E39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8853D0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</w:rPr>
              <w:t>Diagnostic accuracy</w:t>
            </w:r>
          </w:p>
        </w:tc>
      </w:tr>
      <w:tr w:rsidR="008853D0" w:rsidRPr="0091054F" w:rsidTr="00346E39">
        <w:trPr>
          <w:trHeight w:val="35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3D0" w:rsidRDefault="008853D0" w:rsidP="00346E39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Arial" w:hAnsi="Arial"/>
                <w:sz w:val="16"/>
                <w:szCs w:val="16"/>
              </w:rPr>
              <w:t>observational</w:t>
            </w:r>
          </w:p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studies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3D0" w:rsidRPr="0091054F" w:rsidRDefault="005B0E6A" w:rsidP="00346E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</w:t>
            </w:r>
            <w:r w:rsidR="008853D0" w:rsidRPr="0091054F">
              <w:rPr>
                <w:rFonts w:ascii="Arial" w:hAnsi="Arial"/>
                <w:sz w:val="16"/>
                <w:szCs w:val="16"/>
              </w:rPr>
              <w:t xml:space="preserve"> 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91054F">
              <w:rPr>
                <w:rFonts w:ascii="Arial" w:hAnsi="Arial"/>
                <w:sz w:val="16"/>
                <w:szCs w:val="16"/>
              </w:rPr>
              <w:t>o serious 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 I</w:t>
            </w:r>
            <w:r w:rsidRPr="0091054F">
              <w:rPr>
                <w:rFonts w:ascii="Arial" w:hAnsi="Arial"/>
                <w:sz w:val="16"/>
                <w:szCs w:val="16"/>
              </w:rPr>
              <w:t>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91054F">
              <w:rPr>
                <w:rFonts w:ascii="Arial" w:hAnsi="Arial"/>
                <w:sz w:val="16"/>
                <w:szCs w:val="16"/>
              </w:rPr>
              <w:t xml:space="preserve">o </w:t>
            </w:r>
            <w:r>
              <w:rPr>
                <w:rFonts w:ascii="Arial" w:hAnsi="Arial"/>
                <w:sz w:val="16"/>
                <w:szCs w:val="16"/>
              </w:rPr>
              <w:t>I</w:t>
            </w:r>
            <w:r w:rsidRPr="0091054F">
              <w:rPr>
                <w:rFonts w:ascii="Arial" w:hAnsi="Arial"/>
                <w:sz w:val="16"/>
                <w:szCs w:val="16"/>
              </w:rPr>
              <w:t>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</w:t>
            </w:r>
            <w:r w:rsidRPr="0091054F">
              <w:rPr>
                <w:rFonts w:ascii="Arial" w:hAnsi="Arial"/>
                <w:sz w:val="16"/>
                <w:szCs w:val="16"/>
              </w:rPr>
              <w:t>ndetected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Cambria Math" w:hAnsi="Cambria Math" w:cs="Cambria Math"/>
                <w:sz w:val="16"/>
                <w:szCs w:val="16"/>
              </w:rPr>
              <w:t>⊕⊕⊕⊝</w:t>
            </w:r>
            <w:r w:rsidRPr="0091054F">
              <w:rPr>
                <w:rFonts w:ascii="Arial" w:hAnsi="Arial"/>
                <w:sz w:val="16"/>
                <w:szCs w:val="16"/>
              </w:rPr>
              <w:br/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MODERATE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6" w:space="0" w:color="000000"/>
              <w:right w:val="single" w:sz="2" w:space="0" w:color="FFFFFF"/>
            </w:tcBorders>
            <w:hideMark/>
          </w:tcPr>
          <w:p w:rsidR="008853D0" w:rsidRPr="005D3ABC" w:rsidRDefault="005B0E6A" w:rsidP="00346E39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96</w:t>
            </w:r>
            <w:r w:rsidR="008853D0" w:rsidRPr="005D3ABC">
              <w:rPr>
                <w:rFonts w:asciiTheme="minorBidi" w:hAnsiTheme="minorBidi"/>
                <w:sz w:val="16"/>
                <w:szCs w:val="16"/>
              </w:rPr>
              <w:t xml:space="preserve">% 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hideMark/>
          </w:tcPr>
          <w:p w:rsidR="008853D0" w:rsidRPr="0091054F" w:rsidRDefault="005B0E6A" w:rsidP="00346E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</w:t>
            </w:r>
            <w:r w:rsidR="008853D0">
              <w:rPr>
                <w:rFonts w:ascii="Arial" w:hAnsi="Arial"/>
                <w:sz w:val="16"/>
                <w:szCs w:val="16"/>
              </w:rPr>
              <w:t>%</w:t>
            </w:r>
            <w:r w:rsidR="008853D0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853D0" w:rsidRPr="0091054F" w:rsidTr="00346E39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853D0" w:rsidRPr="0091054F" w:rsidTr="00346E39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853D0" w:rsidRPr="0091054F" w:rsidTr="00346E39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3D0" w:rsidRPr="0091054F" w:rsidRDefault="008853D0" w:rsidP="00346E3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10BCF" w:rsidRPr="0091054F" w:rsidTr="00346E39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</w:rPr>
              <w:t>Success and Complication rate</w:t>
            </w:r>
          </w:p>
        </w:tc>
      </w:tr>
      <w:tr w:rsidR="00610BCF" w:rsidRPr="0091054F" w:rsidTr="00610BCF">
        <w:trPr>
          <w:trHeight w:val="35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BCF" w:rsidRDefault="00610BCF" w:rsidP="00346E39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Arial" w:hAnsi="Arial"/>
                <w:sz w:val="16"/>
                <w:szCs w:val="16"/>
              </w:rPr>
              <w:t>observational</w:t>
            </w:r>
          </w:p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studies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Arial" w:hAnsi="Arial"/>
                <w:sz w:val="16"/>
                <w:szCs w:val="16"/>
              </w:rPr>
              <w:t>serious 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91054F">
              <w:rPr>
                <w:rFonts w:ascii="Arial" w:hAnsi="Arial"/>
                <w:sz w:val="16"/>
                <w:szCs w:val="16"/>
              </w:rPr>
              <w:t>o serious 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 I</w:t>
            </w:r>
            <w:r w:rsidRPr="0091054F">
              <w:rPr>
                <w:rFonts w:ascii="Arial" w:hAnsi="Arial"/>
                <w:sz w:val="16"/>
                <w:szCs w:val="16"/>
              </w:rPr>
              <w:t>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91054F">
              <w:rPr>
                <w:rFonts w:ascii="Arial" w:hAnsi="Arial"/>
                <w:sz w:val="16"/>
                <w:szCs w:val="16"/>
              </w:rPr>
              <w:t xml:space="preserve">o </w:t>
            </w:r>
            <w:r>
              <w:rPr>
                <w:rFonts w:ascii="Arial" w:hAnsi="Arial"/>
                <w:sz w:val="16"/>
                <w:szCs w:val="16"/>
              </w:rPr>
              <w:t>I</w:t>
            </w:r>
            <w:r w:rsidRPr="0091054F">
              <w:rPr>
                <w:rFonts w:ascii="Arial" w:hAnsi="Arial"/>
                <w:sz w:val="16"/>
                <w:szCs w:val="16"/>
              </w:rPr>
              <w:t>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</w:t>
            </w:r>
            <w:r w:rsidRPr="0091054F">
              <w:rPr>
                <w:rFonts w:ascii="Arial" w:hAnsi="Arial"/>
                <w:sz w:val="16"/>
                <w:szCs w:val="16"/>
              </w:rPr>
              <w:t>ndetected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BCF" w:rsidRPr="0091054F" w:rsidRDefault="005B0E6A" w:rsidP="00346E39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Cambria Math" w:hAnsi="Cambria Math" w:cs="Cambria Math"/>
                <w:sz w:val="16"/>
                <w:szCs w:val="16"/>
              </w:rPr>
              <w:t>⊕⊕⊝⊝</w:t>
            </w:r>
            <w:r w:rsidRPr="0091054F"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LOW</w:t>
            </w:r>
          </w:p>
        </w:tc>
        <w:tc>
          <w:tcPr>
            <w:tcW w:w="404" w:type="pct"/>
            <w:vMerge w:val="restart"/>
            <w:tcBorders>
              <w:top w:val="nil"/>
              <w:left w:val="nil"/>
              <w:bottom w:val="single" w:sz="6" w:space="0" w:color="000000"/>
              <w:right w:val="single" w:sz="2" w:space="0" w:color="FFFFFF"/>
            </w:tcBorders>
            <w:hideMark/>
          </w:tcPr>
          <w:p w:rsidR="00610BCF" w:rsidRDefault="00CB3A9F" w:rsidP="00346E39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Success</w:t>
            </w:r>
            <w:r w:rsidR="00610BCF">
              <w:rPr>
                <w:rFonts w:asciiTheme="minorBidi" w:hAnsiTheme="minorBidi"/>
                <w:sz w:val="16"/>
                <w:szCs w:val="16"/>
              </w:rPr>
              <w:t xml:space="preserve"> rate</w:t>
            </w:r>
          </w:p>
          <w:p w:rsidR="00610BCF" w:rsidRDefault="005B0E6A" w:rsidP="00346E39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Complication rate                    </w:t>
            </w:r>
          </w:p>
          <w:p w:rsidR="00610BCF" w:rsidRPr="005D3ABC" w:rsidRDefault="00610BCF" w:rsidP="005B0E6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hideMark/>
          </w:tcPr>
          <w:p w:rsidR="00610BCF" w:rsidRDefault="005B0E6A" w:rsidP="00346E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</w:t>
            </w:r>
            <w:r w:rsidR="00610BCF">
              <w:rPr>
                <w:rFonts w:ascii="Arial" w:hAnsi="Arial"/>
                <w:sz w:val="16"/>
                <w:szCs w:val="16"/>
              </w:rPr>
              <w:t>%</w:t>
            </w:r>
            <w:r w:rsidR="00610BCF">
              <w:rPr>
                <w:rFonts w:ascii="Arial" w:hAnsi="Arial"/>
                <w:sz w:val="16"/>
                <w:szCs w:val="16"/>
              </w:rPr>
              <w:br/>
            </w:r>
          </w:p>
          <w:p w:rsidR="005B0E6A" w:rsidRPr="0091054F" w:rsidRDefault="005B0E6A" w:rsidP="00346E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4.7%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10BCF" w:rsidRPr="0091054F" w:rsidTr="00610BCF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top w:val="nil"/>
              <w:left w:val="nil"/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vAlign w:val="center"/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10BCF" w:rsidRPr="0091054F" w:rsidTr="00610BCF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top w:val="nil"/>
              <w:left w:val="nil"/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vAlign w:val="center"/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10BCF" w:rsidRPr="0091054F" w:rsidTr="00610BCF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top w:val="nil"/>
              <w:left w:val="nil"/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vAlign w:val="center"/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BCF" w:rsidRPr="0091054F" w:rsidRDefault="00610BCF" w:rsidP="00346E39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8853D0" w:rsidRDefault="008853D0" w:rsidP="008853D0">
      <w:pPr>
        <w:pStyle w:val="AuthorsNameInfo"/>
        <w:spacing w:line="240" w:lineRule="auto"/>
        <w:rPr>
          <w:rFonts w:ascii="Arial" w:hAnsi="Arial"/>
          <w:b/>
          <w:bCs/>
          <w:sz w:val="16"/>
          <w:szCs w:val="16"/>
        </w:rPr>
      </w:pPr>
    </w:p>
    <w:p w:rsidR="008853D0" w:rsidRDefault="008853D0" w:rsidP="00610BCF">
      <w:pPr>
        <w:pStyle w:val="AuthorsNameInfo"/>
        <w:spacing w:line="240" w:lineRule="auto"/>
        <w:ind w:left="360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*</w:t>
      </w:r>
      <w:r w:rsidR="00610BCF">
        <w:rPr>
          <w:rFonts w:ascii="Arial" w:hAnsi="Arial"/>
          <w:b/>
          <w:bCs/>
          <w:sz w:val="16"/>
          <w:szCs w:val="16"/>
        </w:rPr>
        <w:t xml:space="preserve">2 </w:t>
      </w:r>
      <w:r w:rsidR="00610BCF">
        <w:rPr>
          <w:rFonts w:ascii="Arial" w:hAnsi="Arial"/>
          <w:sz w:val="16"/>
          <w:szCs w:val="16"/>
        </w:rPr>
        <w:t xml:space="preserve">studies </w:t>
      </w:r>
      <w:r w:rsidR="00CB3A9F">
        <w:rPr>
          <w:rFonts w:ascii="Arial" w:hAnsi="Arial"/>
          <w:sz w:val="16"/>
          <w:szCs w:val="16"/>
        </w:rPr>
        <w:t xml:space="preserve">were </w:t>
      </w:r>
      <w:r w:rsidR="00610BCF">
        <w:rPr>
          <w:rFonts w:ascii="Arial" w:hAnsi="Arial"/>
          <w:sz w:val="16"/>
          <w:szCs w:val="16"/>
        </w:rPr>
        <w:t>added</w:t>
      </w:r>
    </w:p>
    <w:p w:rsidR="00610BCF" w:rsidRPr="00610BCF" w:rsidRDefault="00610BCF" w:rsidP="00610BCF">
      <w:pPr>
        <w:pStyle w:val="AuthorsNameInfo"/>
        <w:spacing w:line="240" w:lineRule="auto"/>
        <w:ind w:left="360"/>
        <w:rPr>
          <w:rFonts w:ascii="Arial" w:hAnsi="Arial"/>
          <w:sz w:val="16"/>
          <w:szCs w:val="16"/>
        </w:rPr>
      </w:pPr>
      <w:r w:rsidRPr="00610BCF">
        <w:rPr>
          <w:rFonts w:ascii="Arial" w:hAnsi="Arial"/>
          <w:sz w:val="16"/>
          <w:szCs w:val="16"/>
        </w:rPr>
        <w:t>1. Diagnostic accuracy study</w:t>
      </w:r>
      <w:r w:rsidRPr="00610BCF">
        <w:rPr>
          <w:rFonts w:ascii="Arial" w:hAnsi="Arial"/>
          <w:sz w:val="16"/>
          <w:szCs w:val="16"/>
        </w:rPr>
        <w:tab/>
        <w:t>http://www.ncbi.nlm.nih.gov/pubmed/11574793</w:t>
      </w:r>
    </w:p>
    <w:p w:rsidR="005B0E6A" w:rsidRPr="005B0E6A" w:rsidRDefault="00610BCF" w:rsidP="00610BCF">
      <w:pPr>
        <w:pStyle w:val="AuthorsNameInfo"/>
        <w:spacing w:line="240" w:lineRule="auto"/>
        <w:ind w:left="360"/>
        <w:rPr>
          <w:rFonts w:ascii="Arial" w:hAnsi="Arial"/>
          <w:color w:val="auto"/>
          <w:sz w:val="16"/>
          <w:szCs w:val="16"/>
        </w:rPr>
      </w:pPr>
      <w:r w:rsidRPr="00610BCF">
        <w:rPr>
          <w:rFonts w:ascii="Arial" w:hAnsi="Arial"/>
          <w:sz w:val="16"/>
          <w:szCs w:val="16"/>
        </w:rPr>
        <w:t>2. Success rate study</w:t>
      </w:r>
      <w:r w:rsidRPr="00610BCF">
        <w:rPr>
          <w:rFonts w:ascii="Arial" w:hAnsi="Arial"/>
          <w:sz w:val="16"/>
          <w:szCs w:val="16"/>
        </w:rPr>
        <w:tab/>
      </w:r>
      <w:r w:rsidRPr="00610BCF">
        <w:rPr>
          <w:rFonts w:ascii="Arial" w:hAnsi="Arial"/>
          <w:sz w:val="16"/>
          <w:szCs w:val="16"/>
        </w:rPr>
        <w:tab/>
      </w:r>
      <w:r w:rsidR="005B0E6A" w:rsidRPr="005B0E6A">
        <w:rPr>
          <w:rFonts w:ascii="Arial" w:hAnsi="Arial"/>
          <w:color w:val="auto"/>
          <w:sz w:val="16"/>
          <w:szCs w:val="16"/>
        </w:rPr>
        <w:fldChar w:fldCharType="begin"/>
      </w:r>
      <w:r w:rsidR="005B0E6A" w:rsidRPr="005B0E6A">
        <w:rPr>
          <w:rFonts w:ascii="Arial" w:hAnsi="Arial"/>
          <w:color w:val="auto"/>
          <w:sz w:val="16"/>
          <w:szCs w:val="16"/>
        </w:rPr>
        <w:instrText xml:space="preserve"> HYPERLINK "http://www.mayoclinicproceedings.org/article/S0025-6196(11)62211-8/fulltext </w:instrText>
      </w:r>
    </w:p>
    <w:p w:rsidR="005B0E6A" w:rsidRPr="005B0E6A" w:rsidRDefault="005B0E6A" w:rsidP="00610BCF">
      <w:pPr>
        <w:pStyle w:val="AuthorsNameInfo"/>
        <w:spacing w:line="240" w:lineRule="auto"/>
        <w:ind w:left="360"/>
        <w:rPr>
          <w:rStyle w:val="Hyperlink"/>
          <w:rFonts w:ascii="Arial" w:hAnsi="Arial"/>
          <w:color w:val="auto"/>
          <w:sz w:val="16"/>
          <w:szCs w:val="16"/>
        </w:rPr>
      </w:pPr>
      <w:r w:rsidRPr="005B0E6A">
        <w:rPr>
          <w:rFonts w:ascii="Arial" w:hAnsi="Arial"/>
          <w:color w:val="auto"/>
          <w:sz w:val="16"/>
          <w:szCs w:val="16"/>
        </w:rPr>
        <w:instrText xml:space="preserve">3" </w:instrText>
      </w:r>
      <w:r w:rsidRPr="005B0E6A">
        <w:rPr>
          <w:rFonts w:ascii="Arial" w:hAnsi="Arial"/>
          <w:color w:val="auto"/>
          <w:sz w:val="16"/>
          <w:szCs w:val="16"/>
        </w:rPr>
        <w:fldChar w:fldCharType="separate"/>
      </w:r>
      <w:r w:rsidRPr="005B0E6A">
        <w:rPr>
          <w:rStyle w:val="Hyperlink"/>
          <w:rFonts w:ascii="Arial" w:hAnsi="Arial"/>
          <w:color w:val="auto"/>
          <w:sz w:val="16"/>
          <w:szCs w:val="16"/>
        </w:rPr>
        <w:t xml:space="preserve">http://www.mayoclinicproceedings.org/article/S0025-6196(11)62211-8/fulltext </w:t>
      </w:r>
    </w:p>
    <w:p w:rsidR="005B0E6A" w:rsidRPr="005B0E6A" w:rsidRDefault="005B0E6A" w:rsidP="005B0E6A">
      <w:pPr>
        <w:pStyle w:val="AuthorsNameInfo"/>
        <w:spacing w:line="240" w:lineRule="auto"/>
        <w:ind w:left="360"/>
        <w:rPr>
          <w:rFonts w:ascii="Times New Roman" w:hAnsi="Times New Roman" w:cs="Times New Roman"/>
          <w:iCs/>
          <w:color w:val="auto"/>
          <w:szCs w:val="24"/>
        </w:rPr>
      </w:pPr>
      <w:r w:rsidRPr="005B0E6A">
        <w:rPr>
          <w:rStyle w:val="Hyperlink"/>
          <w:rFonts w:ascii="Arial" w:hAnsi="Arial"/>
          <w:color w:val="auto"/>
          <w:sz w:val="16"/>
          <w:szCs w:val="16"/>
        </w:rPr>
        <w:t>3</w:t>
      </w:r>
      <w:r w:rsidRPr="005B0E6A">
        <w:rPr>
          <w:rFonts w:ascii="Arial" w:hAnsi="Arial"/>
          <w:color w:val="auto"/>
          <w:sz w:val="16"/>
          <w:szCs w:val="16"/>
        </w:rPr>
        <w:fldChar w:fldCharType="end"/>
      </w:r>
      <w:r w:rsidRPr="005B0E6A">
        <w:rPr>
          <w:rFonts w:ascii="Arial" w:hAnsi="Arial"/>
          <w:color w:val="auto"/>
          <w:sz w:val="16"/>
          <w:szCs w:val="16"/>
        </w:rPr>
        <w:t xml:space="preserve">. </w:t>
      </w:r>
      <w:r w:rsidR="00CB3A9F">
        <w:rPr>
          <w:rFonts w:ascii="Arial" w:hAnsi="Arial"/>
          <w:color w:val="auto"/>
          <w:sz w:val="16"/>
          <w:szCs w:val="16"/>
        </w:rPr>
        <w:t>Contrast</w:t>
      </w:r>
      <w:r w:rsidRPr="005B0E6A">
        <w:rPr>
          <w:rFonts w:ascii="Arial" w:hAnsi="Arial"/>
          <w:color w:val="auto"/>
          <w:sz w:val="16"/>
          <w:szCs w:val="16"/>
        </w:rPr>
        <w:t xml:space="preserve"> stud</w:t>
      </w:r>
      <w:r>
        <w:rPr>
          <w:rFonts w:ascii="Arial" w:hAnsi="Arial"/>
          <w:color w:val="auto"/>
          <w:sz w:val="16"/>
          <w:szCs w:val="16"/>
        </w:rPr>
        <w:t>ies</w:t>
      </w:r>
      <w:r>
        <w:rPr>
          <w:rFonts w:ascii="Arial" w:hAnsi="Arial"/>
          <w:color w:val="auto"/>
          <w:sz w:val="16"/>
          <w:szCs w:val="16"/>
        </w:rPr>
        <w:tab/>
      </w:r>
      <w:r>
        <w:rPr>
          <w:rFonts w:ascii="Arial" w:hAnsi="Arial"/>
          <w:color w:val="auto"/>
          <w:sz w:val="16"/>
          <w:szCs w:val="16"/>
        </w:rPr>
        <w:tab/>
        <w:t xml:space="preserve"> are case series</w:t>
      </w:r>
      <w:r w:rsidRPr="005B0E6A">
        <w:rPr>
          <w:rFonts w:ascii="Arial" w:hAnsi="Arial"/>
          <w:color w:val="auto"/>
          <w:sz w:val="16"/>
          <w:szCs w:val="16"/>
        </w:rPr>
        <w:t xml:space="preserve"> </w:t>
      </w:r>
    </w:p>
    <w:p w:rsidR="00610BCF" w:rsidRPr="0071337B" w:rsidRDefault="00610BCF" w:rsidP="00610BCF">
      <w:pPr>
        <w:pStyle w:val="AuthorsNameInfo"/>
        <w:spacing w:line="240" w:lineRule="auto"/>
        <w:ind w:left="720"/>
        <w:rPr>
          <w:rFonts w:ascii="Times New Roman" w:hAnsi="Times New Roman" w:cs="Times New Roman"/>
          <w:iCs/>
          <w:szCs w:val="24"/>
        </w:rPr>
      </w:pPr>
    </w:p>
    <w:p w:rsidR="00531BF3" w:rsidRDefault="00531BF3" w:rsidP="00531BF3">
      <w:pPr>
        <w:pStyle w:val="AuthorsNameInfo"/>
        <w:rPr>
          <w:rFonts w:ascii="Times New Roman" w:hAnsi="Times New Roman" w:cs="Times New Roman"/>
          <w:b/>
          <w:szCs w:val="24"/>
        </w:rPr>
      </w:pPr>
    </w:p>
    <w:p w:rsidR="00531BF3" w:rsidRDefault="00531BF3" w:rsidP="00531BF3">
      <w:pPr>
        <w:pStyle w:val="AuthorsNameInfo"/>
        <w:spacing w:line="240" w:lineRule="auto"/>
        <w:rPr>
          <w:rFonts w:ascii="Arial" w:hAnsi="Arial"/>
          <w:sz w:val="16"/>
          <w:szCs w:val="16"/>
        </w:rPr>
      </w:pPr>
    </w:p>
    <w:p w:rsidR="00531BF3" w:rsidRDefault="00531BF3" w:rsidP="00531BF3">
      <w:pPr>
        <w:pStyle w:val="AuthorsNameInfo"/>
        <w:spacing w:line="240" w:lineRule="auto"/>
        <w:rPr>
          <w:rFonts w:ascii="Arial" w:hAnsi="Arial"/>
          <w:sz w:val="16"/>
          <w:szCs w:val="16"/>
        </w:rPr>
      </w:pPr>
    </w:p>
    <w:p w:rsidR="00531BF3" w:rsidRDefault="00531BF3">
      <w:pPr>
        <w:rPr>
          <w:rFonts w:ascii="Arial" w:eastAsia="Times New Roman" w:hAnsi="Arial" w:cs="Helvetica"/>
          <w:color w:val="000000"/>
          <w:sz w:val="16"/>
          <w:szCs w:val="16"/>
          <w:lang w:eastAsia="zh-CN"/>
        </w:rPr>
      </w:pPr>
      <w:r>
        <w:rPr>
          <w:rFonts w:ascii="Arial" w:hAnsi="Arial"/>
          <w:sz w:val="16"/>
          <w:szCs w:val="16"/>
        </w:rPr>
        <w:br w:type="page"/>
      </w:r>
    </w:p>
    <w:p w:rsidR="00092CC7" w:rsidRDefault="00966D51" w:rsidP="00092CC7">
      <w:pPr>
        <w:spacing w:after="0" w:line="240" w:lineRule="auto"/>
      </w:pPr>
      <w:proofErr w:type="gramStart"/>
      <w:r>
        <w:rPr>
          <w:rFonts w:ascii="Times New Roman" w:hAnsi="Times New Roman"/>
          <w:b/>
          <w:bCs/>
        </w:rPr>
        <w:t xml:space="preserve">Supplemental Table </w:t>
      </w:r>
      <w:r w:rsidR="00092CC7">
        <w:rPr>
          <w:rFonts w:ascii="Times New Roman" w:hAnsi="Times New Roman"/>
          <w:b/>
          <w:bCs/>
        </w:rPr>
        <w:t>10</w:t>
      </w:r>
      <w:r w:rsidR="00092CC7">
        <w:rPr>
          <w:rFonts w:ascii="Times New Roman" w:hAnsi="Times New Roman"/>
        </w:rPr>
        <w:t>.</w:t>
      </w:r>
      <w:proofErr w:type="gramEnd"/>
      <w:r w:rsidR="00092CC7">
        <w:rPr>
          <w:rFonts w:ascii="Times New Roman" w:hAnsi="Times New Roman"/>
        </w:rPr>
        <w:t xml:space="preserve">  Summary of Finding (</w:t>
      </w:r>
      <w:proofErr w:type="spellStart"/>
      <w:proofErr w:type="gramStart"/>
      <w:r w:rsidR="00092CC7">
        <w:rPr>
          <w:rFonts w:ascii="Times New Roman" w:hAnsi="Times New Roman"/>
        </w:rPr>
        <w:t>SoF</w:t>
      </w:r>
      <w:proofErr w:type="spellEnd"/>
      <w:proofErr w:type="gramEnd"/>
      <w:r w:rsidR="00092CC7">
        <w:rPr>
          <w:rFonts w:ascii="Times New Roman" w:hAnsi="Times New Roman"/>
        </w:rPr>
        <w:t xml:space="preserve">) table regarding undifferentiated hemodynamic instability </w:t>
      </w:r>
    </w:p>
    <w:p w:rsidR="00F742B7" w:rsidRDefault="00F742B7" w:rsidP="00F742B7"/>
    <w:tbl>
      <w:tblPr>
        <w:tblW w:w="458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98"/>
        <w:gridCol w:w="1003"/>
        <w:gridCol w:w="1588"/>
        <w:gridCol w:w="1044"/>
        <w:gridCol w:w="1001"/>
        <w:gridCol w:w="1140"/>
        <w:gridCol w:w="1935"/>
      </w:tblGrid>
      <w:tr w:rsidR="00F742B7" w:rsidRPr="0091054F" w:rsidTr="00190480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42B7" w:rsidRPr="0091054F" w:rsidRDefault="00F742B7" w:rsidP="00346E39">
            <w:r w:rsidRPr="00F742B7">
              <w:rPr>
                <w:rFonts w:ascii="Arial" w:hAnsi="Arial"/>
              </w:rPr>
              <w:t xml:space="preserve">We recommend that bedside cardiac ultrasonography should be performed in patients with hemodynamic instability to identify underlying treatable causes and to help with fluid resuscitation. </w:t>
            </w:r>
            <w:r w:rsidRPr="008D1D0E">
              <w:rPr>
                <w:rFonts w:ascii="Arial" w:hAnsi="Arial"/>
                <w:b/>
                <w:bCs/>
              </w:rPr>
              <w:t>Grade 1B</w:t>
            </w:r>
            <w:r>
              <w:rPr>
                <w:rFonts w:ascii="Arial" w:hAnsi="Arial"/>
              </w:rPr>
              <w:t xml:space="preserve"> </w:t>
            </w:r>
          </w:p>
          <w:p w:rsidR="00F742B7" w:rsidRPr="00EB0630" w:rsidRDefault="00F742B7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EB0630">
              <w:rPr>
                <w:rFonts w:ascii="Arial" w:hAnsi="Arial"/>
                <w:sz w:val="16"/>
                <w:szCs w:val="16"/>
              </w:rPr>
              <w:t xml:space="preserve">Bibliography </w:t>
            </w:r>
            <w:r w:rsidR="00D449E1">
              <w:rPr>
                <w:rFonts w:ascii="Arial" w:hAnsi="Arial"/>
                <w:sz w:val="16"/>
                <w:szCs w:val="16"/>
              </w:rPr>
              <w:t>135-136</w:t>
            </w:r>
          </w:p>
        </w:tc>
      </w:tr>
      <w:tr w:rsidR="00190480" w:rsidRPr="0091054F" w:rsidTr="00190480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vAlign w:val="center"/>
            <w:hideMark/>
          </w:tcPr>
          <w:p w:rsidR="00190480" w:rsidRPr="0091054F" w:rsidRDefault="00190480" w:rsidP="00346E39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91054F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Quality assessment</w:t>
            </w:r>
          </w:p>
        </w:tc>
      </w:tr>
      <w:tr w:rsidR="00190480" w:rsidRPr="0091054F" w:rsidTr="00190480">
        <w:trPr>
          <w:trHeight w:val="359"/>
        </w:trPr>
        <w:tc>
          <w:tcPr>
            <w:tcW w:w="6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190480" w:rsidRDefault="00190480" w:rsidP="00F742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2 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studies</w:t>
            </w:r>
          </w:p>
          <w:p w:rsidR="00190480" w:rsidRPr="0091054F" w:rsidRDefault="00190480" w:rsidP="00F742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 RCT and 1 observational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5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190480" w:rsidRPr="0091054F" w:rsidRDefault="00190480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Risk of bias</w:t>
            </w:r>
          </w:p>
        </w:tc>
        <w:tc>
          <w:tcPr>
            <w:tcW w:w="8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190480" w:rsidRPr="0091054F" w:rsidRDefault="00190480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Inconsistency</w:t>
            </w:r>
          </w:p>
        </w:tc>
        <w:tc>
          <w:tcPr>
            <w:tcW w:w="5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190480" w:rsidRPr="0091054F" w:rsidRDefault="00190480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Indirectness</w:t>
            </w:r>
          </w:p>
        </w:tc>
        <w:tc>
          <w:tcPr>
            <w:tcW w:w="5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190480" w:rsidRPr="0091054F" w:rsidRDefault="00190480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Imprecision</w:t>
            </w:r>
          </w:p>
        </w:tc>
        <w:tc>
          <w:tcPr>
            <w:tcW w:w="6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190480" w:rsidRPr="0091054F" w:rsidRDefault="00190480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Publication bias</w:t>
            </w:r>
          </w:p>
        </w:tc>
        <w:tc>
          <w:tcPr>
            <w:tcW w:w="10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190480" w:rsidRPr="0091054F" w:rsidRDefault="00190480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Overall quality of evidence</w:t>
            </w:r>
          </w:p>
        </w:tc>
      </w:tr>
      <w:tr w:rsidR="00190480" w:rsidRPr="0091054F" w:rsidTr="00190480">
        <w:trPr>
          <w:trHeight w:val="359"/>
        </w:trPr>
        <w:tc>
          <w:tcPr>
            <w:tcW w:w="6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480" w:rsidRPr="0091054F" w:rsidRDefault="00190480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480" w:rsidRPr="0091054F" w:rsidRDefault="00190480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480" w:rsidRPr="0091054F" w:rsidRDefault="00190480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480" w:rsidRPr="0091054F" w:rsidRDefault="00190480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480" w:rsidRPr="0091054F" w:rsidRDefault="00190480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480" w:rsidRPr="0091054F" w:rsidRDefault="00190480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0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480" w:rsidRPr="0091054F" w:rsidRDefault="00190480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90480" w:rsidRPr="0091054F" w:rsidTr="00190480">
        <w:trPr>
          <w:trHeight w:val="1751"/>
        </w:trPr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480" w:rsidRPr="0091054F" w:rsidRDefault="00190480" w:rsidP="00346E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Pr="0091054F">
              <w:rPr>
                <w:rFonts w:ascii="Arial" w:hAnsi="Arial"/>
                <w:sz w:val="16"/>
                <w:szCs w:val="16"/>
              </w:rPr>
              <w:t xml:space="preserve"> RCT 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480" w:rsidRPr="0091054F" w:rsidRDefault="00190480" w:rsidP="00346E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No </w:t>
            </w:r>
            <w:r w:rsidR="00287E4A">
              <w:rPr>
                <w:rFonts w:ascii="Arial" w:hAnsi="Arial"/>
                <w:sz w:val="16"/>
                <w:szCs w:val="16"/>
              </w:rPr>
              <w:t>serious</w:t>
            </w:r>
            <w:r w:rsidRPr="0091054F">
              <w:rPr>
                <w:rFonts w:ascii="Arial" w:hAnsi="Arial"/>
                <w:sz w:val="16"/>
                <w:szCs w:val="16"/>
              </w:rPr>
              <w:t xml:space="preserve"> risk of bias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480" w:rsidRPr="0091054F" w:rsidRDefault="00190480" w:rsidP="00346E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91054F">
              <w:rPr>
                <w:rFonts w:ascii="Arial" w:hAnsi="Arial"/>
                <w:sz w:val="16"/>
                <w:szCs w:val="16"/>
              </w:rPr>
              <w:t>o serious inconsistency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480" w:rsidRPr="0091054F" w:rsidRDefault="00190480" w:rsidP="00346E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Serious </w:t>
            </w:r>
            <w:r w:rsidRPr="0091054F">
              <w:rPr>
                <w:rFonts w:ascii="Arial" w:hAnsi="Arial"/>
                <w:sz w:val="16"/>
                <w:szCs w:val="16"/>
              </w:rPr>
              <w:t>indirectness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480" w:rsidRPr="0091054F" w:rsidRDefault="00190480" w:rsidP="00346E39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Arial" w:hAnsi="Arial"/>
                <w:sz w:val="16"/>
                <w:szCs w:val="16"/>
              </w:rPr>
              <w:t>No imprecision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480" w:rsidRPr="0091054F" w:rsidRDefault="00190480" w:rsidP="00346E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</w:t>
            </w:r>
            <w:r w:rsidRPr="0091054F">
              <w:rPr>
                <w:rFonts w:ascii="Arial" w:hAnsi="Arial"/>
                <w:sz w:val="16"/>
                <w:szCs w:val="16"/>
              </w:rPr>
              <w:t>ndetected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0480" w:rsidRPr="0091054F" w:rsidRDefault="00190480" w:rsidP="00346E39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Cambria Math" w:hAnsi="Cambria Math" w:cs="Cambria Math"/>
                <w:sz w:val="16"/>
                <w:szCs w:val="16"/>
              </w:rPr>
              <w:t>⊕⊕⊕⊝</w:t>
            </w:r>
            <w:r w:rsidRPr="0091054F">
              <w:rPr>
                <w:rFonts w:ascii="Arial" w:hAnsi="Arial"/>
                <w:sz w:val="16"/>
                <w:szCs w:val="16"/>
              </w:rPr>
              <w:br/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MODERATE</w:t>
            </w:r>
          </w:p>
        </w:tc>
      </w:tr>
    </w:tbl>
    <w:p w:rsidR="00F742B7" w:rsidRDefault="00F742B7" w:rsidP="00F742B7"/>
    <w:tbl>
      <w:tblPr>
        <w:tblW w:w="8852" w:type="dxa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672"/>
        <w:gridCol w:w="2430"/>
        <w:gridCol w:w="2750"/>
      </w:tblGrid>
      <w:tr w:rsidR="00561B2D" w:rsidTr="00BB52B1">
        <w:trPr>
          <w:trHeight w:val="185"/>
        </w:trPr>
        <w:tc>
          <w:tcPr>
            <w:tcW w:w="3672" w:type="dxa"/>
            <w:vMerge w:val="restart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1B2D" w:rsidRDefault="00561B2D" w:rsidP="00346E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Outcome (ref 134)</w:t>
            </w:r>
          </w:p>
        </w:tc>
        <w:tc>
          <w:tcPr>
            <w:tcW w:w="5180" w:type="dxa"/>
            <w:gridSpan w:val="2"/>
            <w:tcBorders>
              <w:bottom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1B2D" w:rsidRDefault="00561B2D" w:rsidP="00561B2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Illustrative comparative</w:t>
            </w:r>
          </w:p>
        </w:tc>
      </w:tr>
      <w:tr w:rsidR="00D36379" w:rsidTr="00D36379">
        <w:trPr>
          <w:trHeight w:val="137"/>
        </w:trPr>
        <w:tc>
          <w:tcPr>
            <w:tcW w:w="3672" w:type="dxa"/>
            <w:vMerge/>
            <w:shd w:val="clear" w:color="auto" w:fill="FFFFFF"/>
            <w:vAlign w:val="center"/>
            <w:hideMark/>
          </w:tcPr>
          <w:p w:rsidR="00D36379" w:rsidRDefault="00D36379" w:rsidP="00346E3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379" w:rsidRDefault="00D36379" w:rsidP="00346E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Early US</w:t>
            </w:r>
          </w:p>
        </w:tc>
        <w:tc>
          <w:tcPr>
            <w:tcW w:w="2750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379" w:rsidRDefault="00D36379" w:rsidP="00346E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Late  US</w:t>
            </w:r>
          </w:p>
        </w:tc>
      </w:tr>
      <w:tr w:rsidR="00D36379" w:rsidTr="00D36379">
        <w:tc>
          <w:tcPr>
            <w:tcW w:w="367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379" w:rsidRDefault="00D36379" w:rsidP="00346E39">
            <w:pPr>
              <w:jc w:val="center"/>
            </w:pPr>
          </w:p>
        </w:tc>
        <w:tc>
          <w:tcPr>
            <w:tcW w:w="24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379" w:rsidRDefault="00D36379" w:rsidP="00346E39">
            <w:pPr>
              <w:jc w:val="center"/>
            </w:pPr>
          </w:p>
        </w:tc>
        <w:tc>
          <w:tcPr>
            <w:tcW w:w="2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379" w:rsidRDefault="00D36379" w:rsidP="00346E39">
            <w:pPr>
              <w:jc w:val="center"/>
            </w:pPr>
          </w:p>
        </w:tc>
      </w:tr>
      <w:tr w:rsidR="00D36379" w:rsidTr="00D36379">
        <w:trPr>
          <w:trHeight w:val="889"/>
        </w:trPr>
        <w:tc>
          <w:tcPr>
            <w:tcW w:w="367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379" w:rsidRPr="0091054F" w:rsidRDefault="00D36379" w:rsidP="00346E3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Success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in reaching diagnosis</w:t>
            </w:r>
          </w:p>
          <w:p w:rsidR="00D36379" w:rsidRDefault="00D36379" w:rsidP="00346E3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379" w:rsidRDefault="00D36379" w:rsidP="00346E39">
            <w:pPr>
              <w:jc w:val="center"/>
            </w:pPr>
            <w:r>
              <w:t>80</w:t>
            </w:r>
            <w:r w:rsidRPr="0091054F">
              <w:t>%</w:t>
            </w:r>
          </w:p>
          <w:p w:rsidR="00D36379" w:rsidRDefault="00D36379" w:rsidP="00D36379">
            <w:pPr>
              <w:jc w:val="center"/>
            </w:pPr>
            <w:r>
              <w:t>(C.I. 70%-80%)</w:t>
            </w:r>
          </w:p>
        </w:tc>
        <w:tc>
          <w:tcPr>
            <w:tcW w:w="2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379" w:rsidRPr="0091054F" w:rsidRDefault="00D36379" w:rsidP="00346E39">
            <w:pPr>
              <w:jc w:val="center"/>
            </w:pPr>
            <w:r>
              <w:t>50</w:t>
            </w:r>
            <w:r w:rsidRPr="0091054F">
              <w:t>%</w:t>
            </w:r>
          </w:p>
          <w:p w:rsidR="00D36379" w:rsidRDefault="00D36379" w:rsidP="00346E39">
            <w:pPr>
              <w:jc w:val="center"/>
            </w:pPr>
            <w:r>
              <w:t>(C.I. 40%-60%)</w:t>
            </w:r>
          </w:p>
        </w:tc>
      </w:tr>
    </w:tbl>
    <w:p w:rsidR="00190480" w:rsidRDefault="00190480" w:rsidP="00D36379">
      <w:pPr>
        <w:pStyle w:val="AuthorsNameInfo"/>
        <w:spacing w:line="240" w:lineRule="auto"/>
        <w:ind w:firstLine="360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1. *</w:t>
      </w:r>
      <w:r w:rsidRPr="00190480">
        <w:rPr>
          <w:rFonts w:ascii="Arial" w:hAnsi="Arial"/>
          <w:sz w:val="16"/>
          <w:szCs w:val="16"/>
        </w:rPr>
        <w:t>additional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observational</w:t>
      </w:r>
      <w:r w:rsidR="00D36379">
        <w:rPr>
          <w:rFonts w:ascii="Arial" w:hAnsi="Arial"/>
          <w:sz w:val="16"/>
          <w:szCs w:val="16"/>
        </w:rPr>
        <w:t xml:space="preserve"> study</w:t>
      </w:r>
      <w:r>
        <w:rPr>
          <w:rFonts w:ascii="Arial" w:hAnsi="Arial"/>
          <w:sz w:val="16"/>
          <w:szCs w:val="16"/>
        </w:rPr>
        <w:tab/>
      </w:r>
      <w:r w:rsidRPr="00190480">
        <w:rPr>
          <w:rFonts w:ascii="Arial" w:hAnsi="Arial"/>
          <w:sz w:val="16"/>
          <w:szCs w:val="16"/>
        </w:rPr>
        <w:t>http://www.ncbi.nlm.nih.gov/pubmed/23584471</w:t>
      </w:r>
      <w:r w:rsidR="00D36379"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/>
          <w:sz w:val="16"/>
          <w:szCs w:val="16"/>
        </w:rPr>
        <w:t xml:space="preserve">Reported high agreement </w:t>
      </w:r>
      <w:proofErr w:type="gramStart"/>
      <w:r>
        <w:rPr>
          <w:rFonts w:ascii="Arial" w:hAnsi="Arial"/>
          <w:sz w:val="16"/>
          <w:szCs w:val="16"/>
        </w:rPr>
        <w:t>with  K</w:t>
      </w:r>
      <w:proofErr w:type="gramEnd"/>
      <w:r>
        <w:rPr>
          <w:rFonts w:ascii="Arial" w:hAnsi="Arial"/>
          <w:sz w:val="16"/>
          <w:szCs w:val="16"/>
        </w:rPr>
        <w:t>=0.97</w:t>
      </w:r>
    </w:p>
    <w:p w:rsidR="00190480" w:rsidRDefault="00190480" w:rsidP="00190480">
      <w:pPr>
        <w:pStyle w:val="AuthorsNameInfo"/>
        <w:numPr>
          <w:ilvl w:val="0"/>
          <w:numId w:val="20"/>
        </w:numPr>
        <w:spacing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Downgrading </w:t>
      </w:r>
      <w:r w:rsidR="00D36379">
        <w:rPr>
          <w:rFonts w:ascii="Arial" w:hAnsi="Arial"/>
          <w:sz w:val="16"/>
          <w:szCs w:val="16"/>
        </w:rPr>
        <w:t xml:space="preserve">the evidence </w:t>
      </w:r>
      <w:r>
        <w:rPr>
          <w:rFonts w:ascii="Arial" w:hAnsi="Arial"/>
          <w:sz w:val="16"/>
          <w:szCs w:val="16"/>
        </w:rPr>
        <w:t xml:space="preserve">for indirectness </w:t>
      </w:r>
    </w:p>
    <w:p w:rsidR="00531BF3" w:rsidRDefault="00190480" w:rsidP="00190480">
      <w:pPr>
        <w:pStyle w:val="AuthorsNameInfo"/>
        <w:spacing w:line="240" w:lineRule="auto"/>
        <w:ind w:left="360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 </w:t>
      </w:r>
    </w:p>
    <w:p w:rsidR="00F742B7" w:rsidRPr="0071337B" w:rsidRDefault="00F742B7" w:rsidP="00531BF3">
      <w:pPr>
        <w:pStyle w:val="AuthorsNameInfo"/>
        <w:spacing w:line="240" w:lineRule="auto"/>
        <w:rPr>
          <w:rFonts w:ascii="Times New Roman" w:hAnsi="Times New Roman" w:cs="Times New Roman"/>
          <w:iCs/>
          <w:szCs w:val="24"/>
        </w:rPr>
      </w:pPr>
    </w:p>
    <w:p w:rsidR="00A564E3" w:rsidRDefault="00A564E3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iCs/>
          <w:szCs w:val="24"/>
        </w:rPr>
        <w:br w:type="page"/>
      </w:r>
    </w:p>
    <w:p w:rsidR="00A23147" w:rsidRDefault="00966D51" w:rsidP="00A23147">
      <w:pPr>
        <w:spacing w:after="0" w:line="240" w:lineRule="auto"/>
      </w:pPr>
      <w:proofErr w:type="gramStart"/>
      <w:r>
        <w:rPr>
          <w:rFonts w:ascii="Times New Roman" w:hAnsi="Times New Roman"/>
          <w:b/>
          <w:bCs/>
        </w:rPr>
        <w:t xml:space="preserve">Supplemental Table </w:t>
      </w:r>
      <w:r w:rsidR="00A23147">
        <w:rPr>
          <w:rFonts w:ascii="Times New Roman" w:hAnsi="Times New Roman"/>
          <w:b/>
          <w:bCs/>
        </w:rPr>
        <w:t>11</w:t>
      </w:r>
      <w:r w:rsidR="00A23147">
        <w:rPr>
          <w:rFonts w:ascii="Times New Roman" w:hAnsi="Times New Roman"/>
        </w:rPr>
        <w:t>.</w:t>
      </w:r>
      <w:proofErr w:type="gramEnd"/>
      <w:r w:rsidR="00A23147">
        <w:rPr>
          <w:rFonts w:ascii="Times New Roman" w:hAnsi="Times New Roman"/>
        </w:rPr>
        <w:t xml:space="preserve">  Summary of Finding (</w:t>
      </w:r>
      <w:proofErr w:type="spellStart"/>
      <w:proofErr w:type="gramStart"/>
      <w:r w:rsidR="00A23147">
        <w:rPr>
          <w:rFonts w:ascii="Times New Roman" w:hAnsi="Times New Roman"/>
        </w:rPr>
        <w:t>SoF</w:t>
      </w:r>
      <w:proofErr w:type="spellEnd"/>
      <w:proofErr w:type="gramEnd"/>
      <w:r w:rsidR="00A23147">
        <w:rPr>
          <w:rFonts w:ascii="Times New Roman" w:hAnsi="Times New Roman"/>
        </w:rPr>
        <w:t xml:space="preserve">) table regarding </w:t>
      </w:r>
      <w:r w:rsidR="00A23147" w:rsidRPr="00C52689">
        <w:rPr>
          <w:rFonts w:ascii="Arial" w:hAnsi="Arial"/>
          <w:bCs/>
        </w:rPr>
        <w:t>prosthetic valve endocarditis</w:t>
      </w:r>
    </w:p>
    <w:p w:rsidR="00D36379" w:rsidRDefault="00D36379" w:rsidP="00BB247B">
      <w:pPr>
        <w:pStyle w:val="AuthorsNameInfo"/>
        <w:rPr>
          <w:rFonts w:ascii="Times New Roman" w:hAnsi="Times New Roman" w:cs="Times New Roman"/>
          <w:iCs/>
          <w:szCs w:val="24"/>
        </w:rPr>
      </w:pPr>
    </w:p>
    <w:tbl>
      <w:tblPr>
        <w:tblW w:w="463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48"/>
        <w:gridCol w:w="1183"/>
        <w:gridCol w:w="1091"/>
        <w:gridCol w:w="1277"/>
        <w:gridCol w:w="1093"/>
        <w:gridCol w:w="1095"/>
        <w:gridCol w:w="547"/>
        <w:gridCol w:w="1269"/>
      </w:tblGrid>
      <w:tr w:rsidR="00C52689" w:rsidRPr="0091054F" w:rsidTr="00144F85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2689" w:rsidRDefault="00C52689" w:rsidP="00346E3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52689">
              <w:rPr>
                <w:rFonts w:ascii="Arial" w:hAnsi="Arial"/>
                <w:bCs/>
              </w:rPr>
              <w:t>We recommend that the evaluation for prosthetic valve endocarditis should best be performed by a trained cardiologist. A TEE can be performed in the ICU by the critical care physician if the physician has advanced training in echocardiography and is adept at performing TEE. Grade 1B</w:t>
            </w:r>
          </w:p>
          <w:p w:rsidR="00C52689" w:rsidRPr="00D62E9E" w:rsidRDefault="00C52689" w:rsidP="00C5268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62E9E">
              <w:rPr>
                <w:rFonts w:ascii="Arial" w:hAnsi="Arial"/>
                <w:b/>
                <w:bCs/>
                <w:sz w:val="16"/>
                <w:szCs w:val="16"/>
              </w:rPr>
              <w:t xml:space="preserve">Bibliography: 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143-145 plus MA*</w:t>
            </w:r>
          </w:p>
        </w:tc>
      </w:tr>
      <w:tr w:rsidR="00144F85" w:rsidRPr="0091054F" w:rsidTr="00144F85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vAlign w:val="center"/>
            <w:hideMark/>
          </w:tcPr>
          <w:p w:rsidR="00144F85" w:rsidRPr="0091054F" w:rsidRDefault="00144F85" w:rsidP="00346E39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91054F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Quality assessment</w:t>
            </w:r>
          </w:p>
        </w:tc>
      </w:tr>
      <w:tr w:rsidR="00586381" w:rsidRPr="0091054F" w:rsidTr="00586381">
        <w:trPr>
          <w:trHeight w:val="462"/>
        </w:trPr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144F85" w:rsidRPr="0091054F" w:rsidRDefault="00144F85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Studies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144F85" w:rsidRPr="0091054F" w:rsidRDefault="00144F85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Design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144F85" w:rsidRPr="0091054F" w:rsidRDefault="00144F85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Risk of bias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144F85" w:rsidRPr="0091054F" w:rsidRDefault="00144F85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Inconsistency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144F85" w:rsidRPr="0091054F" w:rsidRDefault="00144F85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Indirectness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144F85" w:rsidRPr="0091054F" w:rsidRDefault="00144F85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Imprecision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144F85" w:rsidRPr="0091054F" w:rsidRDefault="00144F85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Other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144F85" w:rsidRPr="0091054F" w:rsidRDefault="00144F85" w:rsidP="00346E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Overall quality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of evidence</w:t>
            </w:r>
          </w:p>
        </w:tc>
      </w:tr>
      <w:tr w:rsidR="00C52689" w:rsidRPr="0091054F" w:rsidTr="00144F85">
        <w:trPr>
          <w:trHeight w:val="345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C52689" w:rsidRPr="0091054F" w:rsidRDefault="00C52689" w:rsidP="00346E39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Diagnostic accuracy</w:t>
            </w:r>
          </w:p>
        </w:tc>
      </w:tr>
      <w:tr w:rsidR="00586381" w:rsidRPr="0091054F" w:rsidTr="00586381">
        <w:trPr>
          <w:trHeight w:val="372"/>
        </w:trPr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4F85" w:rsidRPr="0091054F" w:rsidRDefault="00144F85" w:rsidP="00346E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 meta-analysis</w:t>
            </w:r>
            <w:r w:rsidR="00586381">
              <w:rPr>
                <w:rFonts w:ascii="Arial" w:hAnsi="Arial"/>
                <w:b/>
                <w:bCs/>
                <w:sz w:val="16"/>
                <w:szCs w:val="16"/>
              </w:rPr>
              <w:t>*</w:t>
            </w:r>
            <w:r>
              <w:rPr>
                <w:rFonts w:ascii="Arial" w:hAnsi="Arial"/>
                <w:sz w:val="16"/>
                <w:szCs w:val="16"/>
              </w:rPr>
              <w:t xml:space="preserve"> (20 studies) plus 3 </w:t>
            </w:r>
            <w:r w:rsidR="00586381">
              <w:rPr>
                <w:rFonts w:ascii="Arial" w:hAnsi="Arial"/>
                <w:sz w:val="16"/>
                <w:szCs w:val="16"/>
              </w:rPr>
              <w:t>observational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F85" w:rsidRPr="0091054F" w:rsidRDefault="00144F85" w:rsidP="00346E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observational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4F85" w:rsidRPr="0091054F" w:rsidRDefault="00144F85" w:rsidP="00346E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4F85" w:rsidRPr="0091054F" w:rsidRDefault="00144F85" w:rsidP="00346E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4F85" w:rsidRPr="0091054F" w:rsidRDefault="00144F85" w:rsidP="00346E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Yes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4F85" w:rsidRPr="0091054F" w:rsidRDefault="00144F85" w:rsidP="00346E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4F85" w:rsidRPr="0091054F" w:rsidRDefault="00144F85" w:rsidP="00346E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4F85" w:rsidRPr="0091054F" w:rsidRDefault="00144F85" w:rsidP="00346E39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Cambria Math" w:hAnsi="Cambria Math" w:cs="Cambria Math"/>
                <w:sz w:val="16"/>
                <w:szCs w:val="16"/>
              </w:rPr>
              <w:t>⊕⊕⊕⊝</w:t>
            </w:r>
            <w:r w:rsidRPr="0091054F">
              <w:rPr>
                <w:rFonts w:ascii="Arial" w:hAnsi="Arial"/>
                <w:sz w:val="16"/>
                <w:szCs w:val="16"/>
              </w:rPr>
              <w:br/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MODERATE</w:t>
            </w:r>
          </w:p>
        </w:tc>
      </w:tr>
    </w:tbl>
    <w:p w:rsidR="00C52689" w:rsidRDefault="00C52689" w:rsidP="00C52689">
      <w:pPr>
        <w:rPr>
          <w:rFonts w:ascii="Times New Roman" w:hAnsi="Times New Roman"/>
          <w:b/>
          <w:sz w:val="20"/>
          <w:szCs w:val="20"/>
        </w:rPr>
      </w:pPr>
    </w:p>
    <w:p w:rsidR="00C52689" w:rsidRDefault="00C52689" w:rsidP="00C52689">
      <w:pPr>
        <w:rPr>
          <w:rFonts w:ascii="Times New Roman" w:hAnsi="Times New Roman"/>
          <w:b/>
          <w:sz w:val="20"/>
          <w:szCs w:val="20"/>
        </w:rPr>
      </w:pPr>
    </w:p>
    <w:tbl>
      <w:tblPr>
        <w:tblW w:w="8892" w:type="dxa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420"/>
        <w:gridCol w:w="2419"/>
        <w:gridCol w:w="2483"/>
        <w:gridCol w:w="1570"/>
      </w:tblGrid>
      <w:tr w:rsidR="00760B23" w:rsidTr="00346E39">
        <w:trPr>
          <w:trHeight w:val="254"/>
        </w:trPr>
        <w:tc>
          <w:tcPr>
            <w:tcW w:w="2420" w:type="dxa"/>
            <w:vMerge w:val="restart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B23" w:rsidRDefault="00760B23" w:rsidP="00346E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Outcomes</w:t>
            </w:r>
          </w:p>
          <w:p w:rsidR="00760B23" w:rsidRDefault="00760B23" w:rsidP="00C5268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Accuracy of TEE versus TTE*</w:t>
            </w:r>
          </w:p>
          <w:p w:rsidR="00760B23" w:rsidRDefault="00760B23" w:rsidP="00FB599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2" w:type="dxa"/>
            <w:gridSpan w:val="2"/>
            <w:tcBorders>
              <w:bottom w:val="single" w:sz="2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B23" w:rsidRDefault="00760B23" w:rsidP="00346E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Illustrative comparative</w:t>
            </w:r>
          </w:p>
          <w:p w:rsidR="00760B23" w:rsidRDefault="00760B23" w:rsidP="00346E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(95% CI)</w:t>
            </w:r>
          </w:p>
          <w:p w:rsidR="00760B23" w:rsidRDefault="00760B23" w:rsidP="00346E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B23" w:rsidRDefault="00760B23" w:rsidP="00346E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Quality of the evidence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(GRADE)</w:t>
            </w:r>
          </w:p>
        </w:tc>
      </w:tr>
      <w:tr w:rsidR="00144F85" w:rsidTr="00144F85">
        <w:trPr>
          <w:trHeight w:val="117"/>
        </w:trPr>
        <w:tc>
          <w:tcPr>
            <w:tcW w:w="2420" w:type="dxa"/>
            <w:vMerge/>
            <w:shd w:val="clear" w:color="auto" w:fill="FFFFFF"/>
            <w:vAlign w:val="center"/>
            <w:hideMark/>
          </w:tcPr>
          <w:p w:rsidR="00144F85" w:rsidRDefault="00144F85" w:rsidP="00346E3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19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F85" w:rsidRPr="00586381" w:rsidRDefault="00144F85" w:rsidP="00346E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381">
              <w:rPr>
                <w:rFonts w:ascii="Arial" w:hAnsi="Arial" w:cs="Arial"/>
                <w:b/>
                <w:bCs/>
                <w:sz w:val="16"/>
                <w:szCs w:val="16"/>
              </w:rPr>
              <w:t>TTE</w:t>
            </w:r>
          </w:p>
        </w:tc>
        <w:tc>
          <w:tcPr>
            <w:tcW w:w="248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F85" w:rsidRPr="00586381" w:rsidRDefault="00144F85" w:rsidP="00346E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381">
              <w:rPr>
                <w:rFonts w:ascii="Arial" w:hAnsi="Arial" w:cs="Arial"/>
                <w:b/>
                <w:bCs/>
                <w:sz w:val="16"/>
                <w:szCs w:val="16"/>
              </w:rPr>
              <w:t>TEE</w:t>
            </w:r>
          </w:p>
        </w:tc>
        <w:tc>
          <w:tcPr>
            <w:tcW w:w="1570" w:type="dxa"/>
            <w:vMerge w:val="restart"/>
            <w:shd w:val="clear" w:color="auto" w:fill="FFFFFF"/>
            <w:vAlign w:val="center"/>
            <w:hideMark/>
          </w:tcPr>
          <w:p w:rsidR="00144F85" w:rsidRDefault="00144F85" w:rsidP="00346E3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Cambria Math" w:hAnsi="Cambria Math" w:cs="Cambria Math"/>
                <w:sz w:val="16"/>
                <w:szCs w:val="16"/>
              </w:rPr>
              <w:t>⊕⊕⊕⊝</w:t>
            </w:r>
            <w:r w:rsidRPr="0091054F">
              <w:rPr>
                <w:rFonts w:ascii="Arial" w:hAnsi="Arial"/>
                <w:sz w:val="16"/>
                <w:szCs w:val="16"/>
              </w:rPr>
              <w:br/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MODERATE</w:t>
            </w:r>
          </w:p>
          <w:p w:rsidR="00144F85" w:rsidRDefault="00144F85" w:rsidP="00346E39">
            <w:pPr>
              <w:jc w:val="center"/>
            </w:pPr>
          </w:p>
          <w:p w:rsidR="00144F85" w:rsidRDefault="00144F85" w:rsidP="00346E3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44F85" w:rsidTr="00144F85">
        <w:tc>
          <w:tcPr>
            <w:tcW w:w="24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F85" w:rsidRDefault="00586381" w:rsidP="00FB599F">
            <w:pPr>
              <w:spacing w:after="0" w:line="240" w:lineRule="auto"/>
              <w:jc w:val="center"/>
            </w:pPr>
            <w:r>
              <w:t>Vegetation</w:t>
            </w:r>
          </w:p>
          <w:p w:rsidR="00144F85" w:rsidRPr="00C52689" w:rsidRDefault="00144F85" w:rsidP="00FB599F">
            <w:pPr>
              <w:spacing w:after="0" w:line="240" w:lineRule="auto"/>
              <w:jc w:val="center"/>
            </w:pPr>
          </w:p>
        </w:tc>
        <w:tc>
          <w:tcPr>
            <w:tcW w:w="24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F85" w:rsidRDefault="00144F85" w:rsidP="00144F85">
            <w:pPr>
              <w:spacing w:after="0" w:line="240" w:lineRule="auto"/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  <w:t xml:space="preserve">Sen 29 % </w:t>
            </w:r>
          </w:p>
          <w:p w:rsidR="00144F85" w:rsidRDefault="00144F85" w:rsidP="00144F85">
            <w:pPr>
              <w:spacing w:after="0" w:line="240" w:lineRule="auto"/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  <w:t xml:space="preserve">[95 % CI: 9–6 2 %] </w:t>
            </w:r>
          </w:p>
          <w:p w:rsidR="00144F85" w:rsidRDefault="00144F85" w:rsidP="00144F85">
            <w:pPr>
              <w:spacing w:after="0" w:line="240" w:lineRule="auto"/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  <w:t>Sp</w:t>
            </w:r>
            <w:proofErr w:type="spellEnd"/>
            <w:r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  <w:t xml:space="preserve"> 94 % </w:t>
            </w:r>
          </w:p>
          <w:p w:rsidR="00144F85" w:rsidRDefault="00144F85" w:rsidP="00144F85">
            <w:pPr>
              <w:spacing w:after="0" w:line="240" w:lineRule="auto"/>
            </w:pPr>
            <w:r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  <w:t xml:space="preserve">[95 % CI: 86–100 %] </w:t>
            </w:r>
          </w:p>
        </w:tc>
        <w:tc>
          <w:tcPr>
            <w:tcW w:w="2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F85" w:rsidRDefault="00144F85" w:rsidP="00FB599F">
            <w:pPr>
              <w:spacing w:after="0" w:line="240" w:lineRule="auto"/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  <w:t xml:space="preserve">Sn 82 % </w:t>
            </w:r>
          </w:p>
          <w:p w:rsidR="00144F85" w:rsidRDefault="00144F85" w:rsidP="00FB599F">
            <w:pPr>
              <w:spacing w:after="0" w:line="240" w:lineRule="auto"/>
              <w:rPr>
                <w:rStyle w:val="apple-converted-space"/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  <w:t>[95 % CI: 69–90 %])</w:t>
            </w:r>
            <w:r>
              <w:rPr>
                <w:rStyle w:val="apple-converted-space"/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144F85" w:rsidRDefault="00144F85" w:rsidP="00FB599F">
            <w:pPr>
              <w:spacing w:after="0" w:line="240" w:lineRule="auto"/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  <w:t>Sp</w:t>
            </w:r>
            <w:proofErr w:type="spellEnd"/>
            <w:r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  <w:t xml:space="preserve"> 96 % </w:t>
            </w:r>
          </w:p>
          <w:p w:rsidR="00144F85" w:rsidRDefault="00144F85" w:rsidP="00FB599F">
            <w:pPr>
              <w:spacing w:after="0" w:line="240" w:lineRule="auto"/>
            </w:pPr>
            <w:r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  <w:t>[95 % CI: 61–97 %</w:t>
            </w:r>
          </w:p>
        </w:tc>
        <w:tc>
          <w:tcPr>
            <w:tcW w:w="1570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F85" w:rsidRDefault="00144F85" w:rsidP="00346E39">
            <w:pPr>
              <w:jc w:val="center"/>
            </w:pPr>
          </w:p>
        </w:tc>
      </w:tr>
      <w:tr w:rsidR="00144F85" w:rsidTr="00144F85">
        <w:tc>
          <w:tcPr>
            <w:tcW w:w="24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F85" w:rsidRDefault="00144F85" w:rsidP="00144F85">
            <w:pPr>
              <w:spacing w:after="0" w:line="240" w:lineRule="auto"/>
              <w:jc w:val="center"/>
            </w:pPr>
            <w:proofErr w:type="spellStart"/>
            <w:r w:rsidRPr="00FB599F">
              <w:t>Periannular</w:t>
            </w:r>
            <w:proofErr w:type="spellEnd"/>
            <w:r w:rsidRPr="00FB599F">
              <w:t xml:space="preserve"> complications</w:t>
            </w:r>
          </w:p>
        </w:tc>
        <w:tc>
          <w:tcPr>
            <w:tcW w:w="24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F85" w:rsidRDefault="00144F85" w:rsidP="00144F85">
            <w:pPr>
              <w:spacing w:after="0" w:line="240" w:lineRule="auto"/>
            </w:pPr>
            <w:r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  <w:t>Sen</w:t>
            </w:r>
            <w:r w:rsidRPr="00144F85">
              <w:t xml:space="preserve"> 36 % </w:t>
            </w:r>
          </w:p>
          <w:p w:rsidR="00144F85" w:rsidRDefault="00144F85" w:rsidP="00144F85">
            <w:pPr>
              <w:spacing w:after="0" w:line="240" w:lineRule="auto"/>
            </w:pPr>
            <w:r>
              <w:t xml:space="preserve">[95 % CI: 27–46 %] </w:t>
            </w:r>
          </w:p>
          <w:p w:rsidR="00144F85" w:rsidRDefault="00144F85" w:rsidP="00144F85">
            <w:pPr>
              <w:spacing w:after="0" w:line="240" w:lineRule="auto"/>
            </w:pPr>
            <w:proofErr w:type="spellStart"/>
            <w:r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  <w:t>Sp</w:t>
            </w:r>
            <w:proofErr w:type="spellEnd"/>
            <w:r w:rsidRPr="00144F85">
              <w:t xml:space="preserve"> 93 % </w:t>
            </w:r>
          </w:p>
          <w:p w:rsidR="00144F85" w:rsidRDefault="00144F85" w:rsidP="00144F85">
            <w:pPr>
              <w:spacing w:after="0" w:line="240" w:lineRule="auto"/>
            </w:pPr>
            <w:r>
              <w:t>[95 % CI: 84–97 %]</w:t>
            </w:r>
          </w:p>
        </w:tc>
        <w:tc>
          <w:tcPr>
            <w:tcW w:w="2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F85" w:rsidRDefault="00144F85" w:rsidP="00144F85">
            <w:pPr>
              <w:spacing w:after="0" w:line="240" w:lineRule="auto"/>
            </w:pPr>
            <w:r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  <w:t>Sen</w:t>
            </w:r>
            <w:r w:rsidRPr="00144F85">
              <w:t xml:space="preserve"> 86 % </w:t>
            </w:r>
          </w:p>
          <w:p w:rsidR="00144F85" w:rsidRDefault="00144F85" w:rsidP="00144F85">
            <w:pPr>
              <w:spacing w:after="0" w:line="240" w:lineRule="auto"/>
            </w:pPr>
            <w:r>
              <w:t xml:space="preserve">[95 % CI: 81––90 %]) </w:t>
            </w:r>
          </w:p>
          <w:p w:rsidR="00144F85" w:rsidRDefault="00144F85" w:rsidP="00144F85">
            <w:pPr>
              <w:spacing w:after="0" w:line="240" w:lineRule="auto"/>
            </w:pPr>
            <w:proofErr w:type="spellStart"/>
            <w:r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  <w:t>Sp</w:t>
            </w:r>
            <w:proofErr w:type="spellEnd"/>
            <w:r w:rsidRPr="00144F85">
              <w:t xml:space="preserve"> 100 % </w:t>
            </w:r>
          </w:p>
          <w:p w:rsidR="00144F85" w:rsidRDefault="00144F85" w:rsidP="00144F85">
            <w:pPr>
              <w:spacing w:after="0" w:line="240" w:lineRule="auto"/>
            </w:pPr>
            <w:r w:rsidRPr="00144F85">
              <w:t>[95 % CI: 51–100 %])</w:t>
            </w:r>
          </w:p>
        </w:tc>
        <w:tc>
          <w:tcPr>
            <w:tcW w:w="1570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F85" w:rsidRDefault="00144F85" w:rsidP="00346E39">
            <w:pPr>
              <w:jc w:val="center"/>
            </w:pPr>
          </w:p>
        </w:tc>
      </w:tr>
      <w:tr w:rsidR="00144F85" w:rsidTr="00144F85">
        <w:tc>
          <w:tcPr>
            <w:tcW w:w="24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F85" w:rsidRPr="00FB599F" w:rsidRDefault="00144F85" w:rsidP="00346E39">
            <w:pPr>
              <w:jc w:val="center"/>
            </w:pPr>
            <w:r w:rsidRPr="00FB599F">
              <w:t>PHV dehiscence</w:t>
            </w:r>
          </w:p>
        </w:tc>
        <w:tc>
          <w:tcPr>
            <w:tcW w:w="24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F85" w:rsidRDefault="00586381" w:rsidP="00144F85">
            <w:pPr>
              <w:spacing w:after="0" w:line="240" w:lineRule="auto"/>
            </w:pPr>
            <w:r>
              <w:t>Sen</w:t>
            </w:r>
            <w:r w:rsidRPr="00144F85">
              <w:t xml:space="preserve"> </w:t>
            </w:r>
            <w:r w:rsidR="00144F85" w:rsidRPr="00144F85">
              <w:t xml:space="preserve">11 % </w:t>
            </w:r>
          </w:p>
          <w:p w:rsidR="00144F85" w:rsidRDefault="00144F85" w:rsidP="00144F85">
            <w:pPr>
              <w:spacing w:after="0" w:line="240" w:lineRule="auto"/>
            </w:pPr>
            <w:r>
              <w:t>95 % CI: 1–73 %]</w:t>
            </w:r>
          </w:p>
          <w:p w:rsidR="00144F85" w:rsidRDefault="00144F85" w:rsidP="00144F85">
            <w:pPr>
              <w:spacing w:after="0" w:line="240" w:lineRule="auto"/>
            </w:pPr>
            <w:proofErr w:type="spellStart"/>
            <w:r>
              <w:t>Sp</w:t>
            </w:r>
            <w:proofErr w:type="spellEnd"/>
            <w:r>
              <w:t xml:space="preserve"> </w:t>
            </w:r>
            <w:r w:rsidRPr="00144F85">
              <w:t xml:space="preserve">100 % </w:t>
            </w:r>
          </w:p>
          <w:p w:rsidR="00144F85" w:rsidRDefault="00144F85" w:rsidP="00144F85">
            <w:pPr>
              <w:spacing w:after="0" w:line="240" w:lineRule="auto"/>
            </w:pPr>
            <w:r w:rsidRPr="00144F85">
              <w:t>[95 % CI: 72–100 %]</w:t>
            </w:r>
          </w:p>
        </w:tc>
        <w:tc>
          <w:tcPr>
            <w:tcW w:w="2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F85" w:rsidRDefault="00586381" w:rsidP="00144F85">
            <w:pPr>
              <w:spacing w:after="0" w:line="240" w:lineRule="auto"/>
            </w:pPr>
            <w:r>
              <w:t>S</w:t>
            </w:r>
            <w:r w:rsidR="00144F85">
              <w:t xml:space="preserve">en </w:t>
            </w:r>
            <w:r w:rsidR="00144F85" w:rsidRPr="00144F85">
              <w:t xml:space="preserve">94 % </w:t>
            </w:r>
          </w:p>
          <w:p w:rsidR="00144F85" w:rsidRDefault="00144F85" w:rsidP="00144F85">
            <w:pPr>
              <w:spacing w:after="0" w:line="240" w:lineRule="auto"/>
            </w:pPr>
            <w:r>
              <w:t xml:space="preserve">[95 % CI: 37––100 %] </w:t>
            </w:r>
          </w:p>
          <w:p w:rsidR="00144F85" w:rsidRDefault="00144F85" w:rsidP="00144F85">
            <w:pPr>
              <w:spacing w:after="0" w:line="240" w:lineRule="auto"/>
            </w:pPr>
            <w:proofErr w:type="spellStart"/>
            <w:r>
              <w:t>Sp</w:t>
            </w:r>
            <w:proofErr w:type="spellEnd"/>
            <w:r>
              <w:t xml:space="preserve"> </w:t>
            </w:r>
            <w:r w:rsidRPr="00144F85">
              <w:t xml:space="preserve">97 % </w:t>
            </w:r>
          </w:p>
          <w:p w:rsidR="00144F85" w:rsidRDefault="00144F85" w:rsidP="00144F85">
            <w:pPr>
              <w:spacing w:after="0" w:line="240" w:lineRule="auto"/>
            </w:pPr>
            <w:r w:rsidRPr="00144F85">
              <w:t>[95 % CI: 84–99 %])</w:t>
            </w:r>
          </w:p>
        </w:tc>
        <w:tc>
          <w:tcPr>
            <w:tcW w:w="1570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F85" w:rsidRDefault="00144F85" w:rsidP="00346E39">
            <w:pPr>
              <w:jc w:val="center"/>
            </w:pPr>
          </w:p>
        </w:tc>
      </w:tr>
      <w:tr w:rsidR="00144F85" w:rsidTr="00144F85">
        <w:tc>
          <w:tcPr>
            <w:tcW w:w="24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F85" w:rsidRPr="00FB599F" w:rsidRDefault="00144F85" w:rsidP="00346E39">
            <w:pPr>
              <w:jc w:val="center"/>
            </w:pPr>
            <w:r>
              <w:t>Other</w:t>
            </w:r>
            <w:r w:rsidRPr="00FB599F">
              <w:t xml:space="preserve"> signs of PHV endocarditis</w:t>
            </w:r>
          </w:p>
        </w:tc>
        <w:tc>
          <w:tcPr>
            <w:tcW w:w="24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381" w:rsidRDefault="00586381" w:rsidP="00586381">
            <w:pPr>
              <w:spacing w:after="0" w:line="240" w:lineRule="auto"/>
            </w:pPr>
            <w:r>
              <w:t xml:space="preserve">Sen </w:t>
            </w:r>
            <w:r w:rsidRPr="00586381">
              <w:t xml:space="preserve">33 % </w:t>
            </w:r>
          </w:p>
          <w:p w:rsidR="00586381" w:rsidRDefault="00586381" w:rsidP="00586381">
            <w:pPr>
              <w:spacing w:after="0" w:line="240" w:lineRule="auto"/>
            </w:pPr>
            <w:r>
              <w:t xml:space="preserve">[95 % CI: 24–42 %] </w:t>
            </w:r>
          </w:p>
          <w:p w:rsidR="00586381" w:rsidRDefault="00586381" w:rsidP="00586381">
            <w:pPr>
              <w:spacing w:after="0" w:line="240" w:lineRule="auto"/>
            </w:pPr>
            <w:proofErr w:type="spellStart"/>
            <w:r>
              <w:t>Sp</w:t>
            </w:r>
            <w:proofErr w:type="spellEnd"/>
            <w:r w:rsidRPr="00586381">
              <w:t xml:space="preserve"> 100 % </w:t>
            </w:r>
          </w:p>
          <w:p w:rsidR="00144F85" w:rsidRDefault="00586381" w:rsidP="00586381">
            <w:pPr>
              <w:spacing w:after="0" w:line="240" w:lineRule="auto"/>
            </w:pPr>
            <w:r w:rsidRPr="00586381">
              <w:t>[95 % CI: 76–100 %]</w:t>
            </w:r>
          </w:p>
        </w:tc>
        <w:tc>
          <w:tcPr>
            <w:tcW w:w="2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381" w:rsidRDefault="00586381" w:rsidP="00586381">
            <w:pPr>
              <w:spacing w:after="0" w:line="240" w:lineRule="auto"/>
            </w:pPr>
            <w:r>
              <w:t>Sen 86 %</w:t>
            </w:r>
          </w:p>
          <w:p w:rsidR="00144F85" w:rsidRDefault="00586381" w:rsidP="00586381">
            <w:pPr>
              <w:spacing w:after="0" w:line="240" w:lineRule="auto"/>
            </w:pPr>
            <w:r w:rsidRPr="00586381">
              <w:t>[95 % CI: 77–92 %]</w:t>
            </w:r>
          </w:p>
          <w:p w:rsidR="00586381" w:rsidRDefault="00586381" w:rsidP="00586381">
            <w:pPr>
              <w:spacing w:after="0" w:line="240" w:lineRule="auto"/>
            </w:pPr>
            <w:proofErr w:type="spellStart"/>
            <w:r>
              <w:t>Sp</w:t>
            </w:r>
            <w:proofErr w:type="spellEnd"/>
            <w:r>
              <w:t xml:space="preserve"> </w:t>
            </w:r>
            <w:r w:rsidRPr="00586381">
              <w:t xml:space="preserve">95 % </w:t>
            </w:r>
          </w:p>
          <w:p w:rsidR="00586381" w:rsidRDefault="00586381" w:rsidP="00586381">
            <w:pPr>
              <w:spacing w:after="0" w:line="240" w:lineRule="auto"/>
            </w:pPr>
            <w:r w:rsidRPr="00586381">
              <w:t>[95 % CI: 82–99 %]</w:t>
            </w:r>
          </w:p>
        </w:tc>
        <w:tc>
          <w:tcPr>
            <w:tcW w:w="1570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F85" w:rsidRDefault="00144F85" w:rsidP="00346E39">
            <w:pPr>
              <w:jc w:val="center"/>
            </w:pPr>
          </w:p>
        </w:tc>
      </w:tr>
    </w:tbl>
    <w:p w:rsidR="00C52689" w:rsidRDefault="00144F85" w:rsidP="00144F85">
      <w:pPr>
        <w:ind w:firstLine="72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*</w:t>
      </w:r>
      <w:r w:rsidR="00C52689" w:rsidRPr="00BB6977">
        <w:rPr>
          <w:b/>
          <w:bCs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t xml:space="preserve">MA </w:t>
      </w:r>
      <w:r w:rsidR="00586381">
        <w:rPr>
          <w:rFonts w:ascii="Arial" w:hAnsi="Arial"/>
          <w:b/>
          <w:bCs/>
          <w:sz w:val="16"/>
          <w:szCs w:val="16"/>
        </w:rPr>
        <w:t xml:space="preserve">meta-analysis   </w:t>
      </w:r>
      <w:r w:rsidRPr="00144F85">
        <w:rPr>
          <w:rFonts w:ascii="Arial" w:hAnsi="Arial"/>
          <w:b/>
          <w:bCs/>
          <w:sz w:val="16"/>
          <w:szCs w:val="16"/>
        </w:rPr>
        <w:t>http://www.ncbi.nlm.nih.gov/pubmed/25680715</w:t>
      </w:r>
    </w:p>
    <w:p w:rsidR="00287E4A" w:rsidRPr="00843C91" w:rsidRDefault="00287E4A" w:rsidP="00144F85">
      <w:pPr>
        <w:ind w:firstLine="720"/>
      </w:pPr>
      <w:r>
        <w:t>TTE=</w:t>
      </w:r>
      <w:proofErr w:type="spellStart"/>
      <w:r>
        <w:t>transthoeacic</w:t>
      </w:r>
      <w:proofErr w:type="spellEnd"/>
      <w:r>
        <w:t xml:space="preserve"> </w:t>
      </w:r>
      <w:proofErr w:type="gramStart"/>
      <w:r>
        <w:t>Echo  TEE</w:t>
      </w:r>
      <w:proofErr w:type="gramEnd"/>
      <w:r>
        <w:t>= Trans Esophageal Echo</w:t>
      </w:r>
    </w:p>
    <w:p w:rsidR="00C52689" w:rsidRDefault="00C52689" w:rsidP="00C52689"/>
    <w:p w:rsidR="00A23147" w:rsidRDefault="00966D51" w:rsidP="00A23147">
      <w:pPr>
        <w:spacing w:after="0" w:line="240" w:lineRule="auto"/>
      </w:pPr>
      <w:proofErr w:type="gramStart"/>
      <w:r>
        <w:rPr>
          <w:rFonts w:ascii="Times New Roman" w:hAnsi="Times New Roman"/>
          <w:b/>
          <w:bCs/>
        </w:rPr>
        <w:t xml:space="preserve">Supplemental Table </w:t>
      </w:r>
      <w:r w:rsidR="00A23147">
        <w:rPr>
          <w:rFonts w:ascii="Times New Roman" w:hAnsi="Times New Roman"/>
          <w:b/>
          <w:bCs/>
        </w:rPr>
        <w:t>12</w:t>
      </w:r>
      <w:r w:rsidR="00A23147" w:rsidRPr="00A23147">
        <w:rPr>
          <w:rFonts w:ascii="Times New Roman" w:hAnsi="Times New Roman"/>
        </w:rPr>
        <w:t>.</w:t>
      </w:r>
      <w:proofErr w:type="gramEnd"/>
      <w:r w:rsidR="00A23147" w:rsidRPr="00A23147">
        <w:rPr>
          <w:rFonts w:ascii="Times New Roman" w:hAnsi="Times New Roman"/>
        </w:rPr>
        <w:t xml:space="preserve">  Summary of Finding (</w:t>
      </w:r>
      <w:proofErr w:type="spellStart"/>
      <w:proofErr w:type="gramStart"/>
      <w:r w:rsidR="00A23147" w:rsidRPr="00A23147">
        <w:rPr>
          <w:rFonts w:ascii="Times New Roman" w:hAnsi="Times New Roman"/>
        </w:rPr>
        <w:t>SoF</w:t>
      </w:r>
      <w:proofErr w:type="spellEnd"/>
      <w:proofErr w:type="gramEnd"/>
      <w:r w:rsidR="00A23147" w:rsidRPr="00A23147">
        <w:rPr>
          <w:rFonts w:ascii="Times New Roman" w:hAnsi="Times New Roman"/>
        </w:rPr>
        <w:t>) table regarding</w:t>
      </w:r>
      <w:r w:rsidR="00A23147">
        <w:rPr>
          <w:rFonts w:ascii="Times New Roman" w:hAnsi="Times New Roman"/>
        </w:rPr>
        <w:t xml:space="preserve"> </w:t>
      </w:r>
      <w:proofErr w:type="spellStart"/>
      <w:r w:rsidR="00A23147">
        <w:rPr>
          <w:rFonts w:ascii="Times New Roman" w:hAnsi="Times New Roman"/>
        </w:rPr>
        <w:t>transoesphageal</w:t>
      </w:r>
      <w:proofErr w:type="spellEnd"/>
      <w:r w:rsidR="00A23147">
        <w:rPr>
          <w:rFonts w:ascii="Times New Roman" w:hAnsi="Times New Roman"/>
        </w:rPr>
        <w:t xml:space="preserve"> ECHO in poor window of TTE</w:t>
      </w:r>
      <w:r w:rsidR="00A23147" w:rsidRPr="00A23147">
        <w:rPr>
          <w:rFonts w:ascii="Times New Roman" w:hAnsi="Times New Roman"/>
        </w:rPr>
        <w:t xml:space="preserve"> </w:t>
      </w:r>
    </w:p>
    <w:p w:rsidR="00A23147" w:rsidRDefault="00A23147" w:rsidP="00E622D4">
      <w:pPr>
        <w:pStyle w:val="AuthorsNameInfo"/>
        <w:rPr>
          <w:rFonts w:ascii="Times New Roman" w:hAnsi="Times New Roman" w:cs="Times New Roman"/>
          <w:iCs/>
          <w:szCs w:val="24"/>
        </w:rPr>
      </w:pPr>
    </w:p>
    <w:tbl>
      <w:tblPr>
        <w:tblW w:w="463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48"/>
        <w:gridCol w:w="1183"/>
        <w:gridCol w:w="1091"/>
        <w:gridCol w:w="1277"/>
        <w:gridCol w:w="1093"/>
        <w:gridCol w:w="1095"/>
        <w:gridCol w:w="547"/>
        <w:gridCol w:w="1269"/>
      </w:tblGrid>
      <w:tr w:rsidR="00A23147" w:rsidRPr="0091054F" w:rsidTr="0095486C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3147" w:rsidRDefault="00A23147" w:rsidP="0095486C">
            <w:pPr>
              <w:rPr>
                <w:rFonts w:ascii="Arial" w:hAnsi="Arial"/>
                <w:bCs/>
              </w:rPr>
            </w:pPr>
            <w:r w:rsidRPr="00A23147">
              <w:rPr>
                <w:rFonts w:ascii="Arial" w:hAnsi="Arial"/>
                <w:bCs/>
              </w:rPr>
              <w:t>We recommend that a trained physician should perform TEE in patients with poor visualization of cardiac structures with TTE. Grade 1B</w:t>
            </w:r>
          </w:p>
          <w:p w:rsidR="00A23147" w:rsidRPr="00D62E9E" w:rsidRDefault="00A23147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62E9E">
              <w:rPr>
                <w:rFonts w:ascii="Arial" w:hAnsi="Arial"/>
                <w:b/>
                <w:bCs/>
                <w:sz w:val="16"/>
                <w:szCs w:val="16"/>
              </w:rPr>
              <w:t xml:space="preserve">Bibliography: 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170-173</w:t>
            </w:r>
          </w:p>
        </w:tc>
      </w:tr>
      <w:tr w:rsidR="00A23147" w:rsidRPr="0091054F" w:rsidTr="0095486C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vAlign w:val="center"/>
            <w:hideMark/>
          </w:tcPr>
          <w:p w:rsidR="00A23147" w:rsidRPr="0091054F" w:rsidRDefault="00A23147" w:rsidP="0095486C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91054F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Quality assessment</w:t>
            </w:r>
          </w:p>
        </w:tc>
      </w:tr>
      <w:tr w:rsidR="00A23147" w:rsidRPr="0091054F" w:rsidTr="0095486C">
        <w:trPr>
          <w:trHeight w:val="462"/>
        </w:trPr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A23147" w:rsidRPr="0091054F" w:rsidRDefault="00A23147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Studies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A23147" w:rsidRPr="0091054F" w:rsidRDefault="00A23147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Design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A23147" w:rsidRPr="0091054F" w:rsidRDefault="00A23147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Risk of bias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A23147" w:rsidRPr="0091054F" w:rsidRDefault="00A23147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Inconsistency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A23147" w:rsidRPr="0091054F" w:rsidRDefault="00A23147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Indirectness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A23147" w:rsidRPr="0091054F" w:rsidRDefault="00A23147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Imprecision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A23147" w:rsidRPr="0091054F" w:rsidRDefault="00A23147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Other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A23147" w:rsidRPr="0091054F" w:rsidRDefault="00A23147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Overall quality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of evidence</w:t>
            </w:r>
          </w:p>
        </w:tc>
      </w:tr>
      <w:tr w:rsidR="00A23147" w:rsidRPr="0091054F" w:rsidTr="0095486C">
        <w:trPr>
          <w:trHeight w:val="345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A23147" w:rsidRPr="0091054F" w:rsidRDefault="00A23147" w:rsidP="0095486C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Diagnostic accuracy</w:t>
            </w:r>
          </w:p>
        </w:tc>
      </w:tr>
      <w:tr w:rsidR="00A23147" w:rsidRPr="0091054F" w:rsidTr="0095486C">
        <w:trPr>
          <w:trHeight w:val="372"/>
        </w:trPr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147" w:rsidRPr="0091054F" w:rsidRDefault="00A23147" w:rsidP="0095486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meta-analysis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(22 studies) plus 1 observational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147" w:rsidRPr="0091054F" w:rsidRDefault="00A23147" w:rsidP="0095486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observational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147" w:rsidRPr="0091054F" w:rsidRDefault="00A23147" w:rsidP="0095486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147" w:rsidRPr="0091054F" w:rsidRDefault="00A23147" w:rsidP="0095486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147" w:rsidRPr="0091054F" w:rsidRDefault="00A23147" w:rsidP="0095486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Yes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147" w:rsidRPr="0091054F" w:rsidRDefault="00A23147" w:rsidP="0095486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147" w:rsidRPr="0091054F" w:rsidRDefault="00A23147" w:rsidP="0095486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147" w:rsidRPr="0091054F" w:rsidRDefault="00A23147" w:rsidP="0095486C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Cambria Math" w:hAnsi="Cambria Math" w:cs="Cambria Math"/>
                <w:sz w:val="16"/>
                <w:szCs w:val="16"/>
              </w:rPr>
              <w:t>⊕⊕⊕⊝</w:t>
            </w:r>
            <w:r w:rsidRPr="0091054F">
              <w:rPr>
                <w:rFonts w:ascii="Arial" w:hAnsi="Arial"/>
                <w:sz w:val="16"/>
                <w:szCs w:val="16"/>
              </w:rPr>
              <w:br/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MODERATE</w:t>
            </w:r>
          </w:p>
        </w:tc>
      </w:tr>
    </w:tbl>
    <w:p w:rsidR="00A23147" w:rsidRDefault="00A23147" w:rsidP="00A23147">
      <w:pPr>
        <w:pStyle w:val="AuthorsNameInfo"/>
        <w:spacing w:line="240" w:lineRule="auto"/>
        <w:ind w:first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1. Change of management by </w:t>
      </w:r>
      <w:proofErr w:type="gramStart"/>
      <w:r>
        <w:rPr>
          <w:rFonts w:ascii="Arial" w:hAnsi="Arial"/>
          <w:sz w:val="16"/>
          <w:szCs w:val="16"/>
        </w:rPr>
        <w:t>TEE</w:t>
      </w:r>
      <w:r w:rsidR="00287E4A">
        <w:rPr>
          <w:rFonts w:ascii="Arial" w:hAnsi="Arial"/>
          <w:sz w:val="16"/>
          <w:szCs w:val="16"/>
        </w:rPr>
        <w:t xml:space="preserve">  occurred</w:t>
      </w:r>
      <w:proofErr w:type="gramEnd"/>
      <w:r w:rsidR="00287E4A">
        <w:rPr>
          <w:rFonts w:ascii="Arial" w:hAnsi="Arial"/>
          <w:sz w:val="16"/>
          <w:szCs w:val="16"/>
        </w:rPr>
        <w:t xml:space="preserve"> in </w:t>
      </w:r>
      <w:r>
        <w:rPr>
          <w:rFonts w:ascii="Arial" w:hAnsi="Arial"/>
          <w:sz w:val="16"/>
          <w:szCs w:val="16"/>
        </w:rPr>
        <w:t xml:space="preserve"> 80%</w:t>
      </w:r>
    </w:p>
    <w:p w:rsidR="00A23147" w:rsidRDefault="00A23147" w:rsidP="00A23147">
      <w:pPr>
        <w:pStyle w:val="AuthorsNameInfo"/>
        <w:spacing w:line="240" w:lineRule="auto"/>
        <w:ind w:first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2. New diagnosis </w:t>
      </w:r>
      <w:r w:rsidR="00A564E3">
        <w:rPr>
          <w:rFonts w:ascii="Arial" w:hAnsi="Arial"/>
          <w:sz w:val="16"/>
          <w:szCs w:val="16"/>
        </w:rPr>
        <w:t xml:space="preserve">70- </w:t>
      </w:r>
      <w:r>
        <w:rPr>
          <w:rFonts w:ascii="Arial" w:hAnsi="Arial"/>
          <w:sz w:val="16"/>
          <w:szCs w:val="16"/>
        </w:rPr>
        <w:t xml:space="preserve">98 % </w:t>
      </w:r>
    </w:p>
    <w:p w:rsidR="00A23147" w:rsidRPr="00A23147" w:rsidRDefault="00A23147" w:rsidP="00A23147">
      <w:pPr>
        <w:ind w:left="360"/>
        <w:rPr>
          <w:rFonts w:ascii="Times New Roman" w:hAnsi="Times New Roman"/>
          <w:b/>
          <w:sz w:val="20"/>
          <w:szCs w:val="20"/>
        </w:rPr>
      </w:pPr>
    </w:p>
    <w:p w:rsidR="00A23147" w:rsidRDefault="00A23147" w:rsidP="00A23147">
      <w:pPr>
        <w:pStyle w:val="AuthorsNameInfo"/>
        <w:rPr>
          <w:rFonts w:ascii="Times New Roman" w:hAnsi="Times New Roman" w:cs="Times New Roman"/>
          <w:b/>
          <w:szCs w:val="24"/>
        </w:rPr>
      </w:pPr>
    </w:p>
    <w:p w:rsidR="003F2090" w:rsidRPr="00425000" w:rsidRDefault="003F2090" w:rsidP="006763FC">
      <w:pPr>
        <w:rPr>
          <w:rFonts w:ascii="Times New Roman" w:hAnsi="Times New Roman" w:cs="Times New Roman"/>
        </w:rPr>
      </w:pPr>
    </w:p>
    <w:p w:rsidR="00D36379" w:rsidRDefault="00D36379" w:rsidP="00BB247B">
      <w:pPr>
        <w:pStyle w:val="AuthorsNameInfo"/>
        <w:rPr>
          <w:rFonts w:ascii="Times New Roman" w:hAnsi="Times New Roman" w:cs="Times New Roman"/>
          <w:iCs/>
          <w:szCs w:val="24"/>
        </w:rPr>
      </w:pPr>
    </w:p>
    <w:p w:rsidR="00BB247B" w:rsidRDefault="00BB247B"/>
    <w:p w:rsidR="00D449E1" w:rsidRDefault="00D449E1"/>
    <w:p w:rsidR="00D449E1" w:rsidRDefault="00D449E1"/>
    <w:p w:rsidR="00A23147" w:rsidRDefault="00AF2C57" w:rsidP="00A23147">
      <w:pPr>
        <w:ind w:left="360" w:hanging="720"/>
      </w:pPr>
      <w:r>
        <w:br w:type="page"/>
      </w:r>
    </w:p>
    <w:p w:rsidR="00965708" w:rsidRPr="00A86783" w:rsidRDefault="00966D51" w:rsidP="00965708">
      <w:pPr>
        <w:widowContro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 xml:space="preserve">Supplemental Table </w:t>
      </w:r>
      <w:r w:rsidR="00965708">
        <w:rPr>
          <w:rFonts w:ascii="Times New Roman" w:hAnsi="Times New Roman"/>
          <w:b/>
          <w:bCs/>
        </w:rPr>
        <w:t>13</w:t>
      </w:r>
      <w:r w:rsidR="00965708">
        <w:rPr>
          <w:rFonts w:ascii="Times New Roman" w:hAnsi="Times New Roman"/>
        </w:rPr>
        <w:t>.</w:t>
      </w:r>
      <w:proofErr w:type="gramEnd"/>
      <w:r w:rsidR="00965708">
        <w:rPr>
          <w:rFonts w:ascii="Times New Roman" w:hAnsi="Times New Roman"/>
        </w:rPr>
        <w:t xml:space="preserve">  Summary of Finding (</w:t>
      </w:r>
      <w:proofErr w:type="spellStart"/>
      <w:proofErr w:type="gramStart"/>
      <w:r w:rsidR="00965708">
        <w:rPr>
          <w:rFonts w:ascii="Times New Roman" w:hAnsi="Times New Roman"/>
        </w:rPr>
        <w:t>SoF</w:t>
      </w:r>
      <w:proofErr w:type="spellEnd"/>
      <w:proofErr w:type="gramEnd"/>
      <w:r w:rsidR="00965708">
        <w:rPr>
          <w:rFonts w:ascii="Times New Roman" w:hAnsi="Times New Roman"/>
        </w:rPr>
        <w:t xml:space="preserve">) table regarding </w:t>
      </w:r>
      <w:proofErr w:type="spellStart"/>
      <w:r w:rsidR="00965708">
        <w:rPr>
          <w:rFonts w:ascii="Times New Roman" w:hAnsi="Times New Roman"/>
        </w:rPr>
        <w:t>hepatopulmonary</w:t>
      </w:r>
      <w:proofErr w:type="spellEnd"/>
      <w:r w:rsidR="00965708">
        <w:rPr>
          <w:rFonts w:ascii="Times New Roman" w:hAnsi="Times New Roman"/>
        </w:rPr>
        <w:t xml:space="preserve"> syndrome </w:t>
      </w:r>
    </w:p>
    <w:tbl>
      <w:tblPr>
        <w:tblW w:w="51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2"/>
        <w:gridCol w:w="1186"/>
        <w:gridCol w:w="1569"/>
        <w:gridCol w:w="1295"/>
        <w:gridCol w:w="989"/>
        <w:gridCol w:w="1104"/>
        <w:gridCol w:w="955"/>
        <w:gridCol w:w="807"/>
        <w:gridCol w:w="877"/>
        <w:gridCol w:w="96"/>
      </w:tblGrid>
      <w:tr w:rsidR="00965708" w:rsidRPr="0091054F" w:rsidTr="0095486C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708" w:rsidRPr="009910DC" w:rsidRDefault="00965708" w:rsidP="0095486C">
            <w:pPr>
              <w:rPr>
                <w:rFonts w:ascii="Arial" w:hAnsi="Arial"/>
                <w:b/>
              </w:rPr>
            </w:pPr>
            <w:r w:rsidRPr="00965708">
              <w:rPr>
                <w:rFonts w:ascii="Arial" w:hAnsi="Arial"/>
                <w:sz w:val="18"/>
                <w:szCs w:val="18"/>
              </w:rPr>
              <w:t xml:space="preserve">We recommend that a bubble echocardiography study with agitated saline to be used in favor of nuclear scintigraphy to diagnose intrapulmonary shunting in hypoxic patients with chronic liver disease to evaluate </w:t>
            </w:r>
            <w:proofErr w:type="spellStart"/>
            <w:r w:rsidRPr="00965708">
              <w:rPr>
                <w:rFonts w:ascii="Arial" w:hAnsi="Arial"/>
                <w:sz w:val="18"/>
                <w:szCs w:val="18"/>
              </w:rPr>
              <w:t>hepatopulmonary</w:t>
            </w:r>
            <w:proofErr w:type="spellEnd"/>
            <w:r w:rsidRPr="00965708">
              <w:rPr>
                <w:rFonts w:ascii="Arial" w:hAnsi="Arial"/>
                <w:sz w:val="18"/>
                <w:szCs w:val="18"/>
              </w:rPr>
              <w:t xml:space="preserve"> disease. Grade 1C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br/>
              <w:t>Bibliography: Ref 180-188</w:t>
            </w:r>
          </w:p>
        </w:tc>
      </w:tr>
      <w:tr w:rsidR="00965708" w:rsidRPr="0091054F" w:rsidTr="00965708">
        <w:tc>
          <w:tcPr>
            <w:tcW w:w="408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vAlign w:val="center"/>
            <w:hideMark/>
          </w:tcPr>
          <w:p w:rsidR="00965708" w:rsidRPr="0091054F" w:rsidRDefault="00965708" w:rsidP="0095486C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91054F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Quality assessment</w:t>
            </w:r>
          </w:p>
        </w:tc>
        <w:tc>
          <w:tcPr>
            <w:tcW w:w="9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vAlign w:val="center"/>
            <w:hideMark/>
          </w:tcPr>
          <w:p w:rsidR="00965708" w:rsidRPr="0091054F" w:rsidRDefault="00965708" w:rsidP="0095486C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91054F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Summary of Findings</w:t>
            </w:r>
          </w:p>
        </w:tc>
      </w:tr>
      <w:tr w:rsidR="00965708" w:rsidRPr="0091054F" w:rsidTr="0096570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965708" w:rsidRPr="0091054F" w:rsidRDefault="00965708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br/>
              <w:t>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 xml:space="preserve"> studies)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965708" w:rsidRPr="0091054F" w:rsidRDefault="00965708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965708" w:rsidRPr="0091054F" w:rsidRDefault="00965708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965708" w:rsidRPr="0091054F" w:rsidRDefault="00965708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965708" w:rsidRPr="0091054F" w:rsidRDefault="00965708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965708" w:rsidRPr="0091054F" w:rsidRDefault="00965708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Publication bias</w:t>
            </w:r>
          </w:p>
        </w:tc>
        <w:tc>
          <w:tcPr>
            <w:tcW w:w="4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965708" w:rsidRPr="0091054F" w:rsidRDefault="00965708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Overall quality of evidence</w:t>
            </w: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965708" w:rsidRPr="0091054F" w:rsidRDefault="00965708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Studies</w:t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 xml:space="preserve"> result 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range</w:t>
            </w:r>
          </w:p>
        </w:tc>
        <w:tc>
          <w:tcPr>
            <w:tcW w:w="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965708" w:rsidRPr="0091054F" w:rsidRDefault="00965708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965708" w:rsidRPr="0091054F" w:rsidTr="009657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08" w:rsidRPr="0091054F" w:rsidRDefault="00965708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08" w:rsidRPr="0091054F" w:rsidRDefault="00965708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08" w:rsidRPr="0091054F" w:rsidRDefault="00965708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08" w:rsidRPr="0091054F" w:rsidRDefault="00965708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08" w:rsidRPr="0091054F" w:rsidRDefault="00965708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08" w:rsidRPr="0091054F" w:rsidRDefault="00965708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08" w:rsidRPr="0091054F" w:rsidRDefault="00965708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000000"/>
              <w:right w:val="single" w:sz="2" w:space="0" w:color="EDEDED"/>
            </w:tcBorders>
            <w:shd w:val="clear" w:color="auto" w:fill="EDEDED"/>
          </w:tcPr>
          <w:p w:rsidR="00965708" w:rsidRPr="0091054F" w:rsidRDefault="00965708" w:rsidP="0095486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2" w:space="0" w:color="EDEDED"/>
              <w:bottom w:val="single" w:sz="6" w:space="0" w:color="000000"/>
              <w:right w:val="nil"/>
            </w:tcBorders>
            <w:shd w:val="clear" w:color="auto" w:fill="EDEDED"/>
          </w:tcPr>
          <w:p w:rsidR="00965708" w:rsidRPr="0091054F" w:rsidRDefault="00965708" w:rsidP="0095486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08" w:rsidRPr="0091054F" w:rsidRDefault="00965708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965708" w:rsidRPr="0091054F" w:rsidTr="00965708">
        <w:trPr>
          <w:trHeight w:val="17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708" w:rsidRDefault="00965708" w:rsidP="0095486C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Arial" w:hAnsi="Arial"/>
                <w:sz w:val="16"/>
                <w:szCs w:val="16"/>
              </w:rPr>
              <w:t>observational</w:t>
            </w:r>
          </w:p>
          <w:p w:rsidR="00965708" w:rsidRPr="0091054F" w:rsidRDefault="00965708" w:rsidP="0095486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708" w:rsidRPr="0091054F" w:rsidRDefault="00965708" w:rsidP="0095486C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Arial" w:hAnsi="Arial"/>
                <w:sz w:val="16"/>
                <w:szCs w:val="16"/>
              </w:rPr>
              <w:t>serious risk of bias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708" w:rsidRPr="0091054F" w:rsidRDefault="00965708" w:rsidP="0095486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91054F">
              <w:rPr>
                <w:rFonts w:ascii="Arial" w:hAnsi="Arial"/>
                <w:sz w:val="16"/>
                <w:szCs w:val="16"/>
              </w:rPr>
              <w:t>o serious 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708" w:rsidRPr="0091054F" w:rsidRDefault="00965708" w:rsidP="0095486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Serious I</w:t>
            </w:r>
            <w:r w:rsidRPr="0091054F">
              <w:rPr>
                <w:rFonts w:ascii="Arial" w:hAnsi="Arial"/>
                <w:sz w:val="16"/>
                <w:szCs w:val="16"/>
              </w:rPr>
              <w:t>ndirectness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708" w:rsidRPr="0091054F" w:rsidRDefault="00965708" w:rsidP="0095486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91054F">
              <w:rPr>
                <w:rFonts w:ascii="Arial" w:hAnsi="Arial"/>
                <w:sz w:val="16"/>
                <w:szCs w:val="16"/>
              </w:rPr>
              <w:t xml:space="preserve">o </w:t>
            </w:r>
            <w:r>
              <w:rPr>
                <w:rFonts w:ascii="Arial" w:hAnsi="Arial"/>
                <w:sz w:val="16"/>
                <w:szCs w:val="16"/>
              </w:rPr>
              <w:t>I</w:t>
            </w:r>
            <w:r w:rsidRPr="0091054F">
              <w:rPr>
                <w:rFonts w:ascii="Arial" w:hAnsi="Arial"/>
                <w:sz w:val="16"/>
                <w:szCs w:val="16"/>
              </w:rPr>
              <w:t>mprecision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708" w:rsidRPr="0091054F" w:rsidRDefault="00965708" w:rsidP="0095486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</w:t>
            </w:r>
            <w:r w:rsidRPr="0091054F">
              <w:rPr>
                <w:rFonts w:ascii="Arial" w:hAnsi="Arial"/>
                <w:sz w:val="16"/>
                <w:szCs w:val="16"/>
              </w:rPr>
              <w:t>ndetected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708" w:rsidRPr="0091054F" w:rsidRDefault="00965708" w:rsidP="0095486C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Cambria Math" w:hAnsi="Cambria Math" w:cs="Cambria Math"/>
                <w:sz w:val="16"/>
                <w:szCs w:val="16"/>
              </w:rPr>
              <w:t>⊕⊝⊝⊝</w:t>
            </w:r>
            <w:r w:rsidRPr="0091054F"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LOW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right w:val="single" w:sz="2" w:space="0" w:color="FFFFFF"/>
            </w:tcBorders>
          </w:tcPr>
          <w:p w:rsidR="00965708" w:rsidRPr="0091054F" w:rsidRDefault="00965708" w:rsidP="0095486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Good correlation with CT in high grade cases of contrast ECHO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708" w:rsidRPr="0091054F" w:rsidRDefault="00965708" w:rsidP="0095486C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965708" w:rsidRPr="00965708" w:rsidRDefault="00965708" w:rsidP="00965708">
      <w:pPr>
        <w:pStyle w:val="AuthorsNameInfo"/>
        <w:spacing w:line="240" w:lineRule="auto"/>
        <w:rPr>
          <w:rFonts w:ascii="Arial" w:hAnsi="Arial"/>
          <w:sz w:val="16"/>
          <w:szCs w:val="16"/>
        </w:rPr>
      </w:pPr>
      <w:r w:rsidRPr="00965708">
        <w:rPr>
          <w:rFonts w:ascii="Arial" w:hAnsi="Arial"/>
          <w:sz w:val="16"/>
          <w:szCs w:val="16"/>
        </w:rPr>
        <w:t>Notes</w:t>
      </w:r>
    </w:p>
    <w:p w:rsidR="00965708" w:rsidRPr="00965708" w:rsidRDefault="00965708" w:rsidP="00965708">
      <w:pPr>
        <w:pStyle w:val="AuthorsNameInfo"/>
        <w:spacing w:line="240" w:lineRule="auto"/>
        <w:ind w:firstLine="360"/>
        <w:rPr>
          <w:rFonts w:ascii="Arial" w:hAnsi="Arial"/>
          <w:sz w:val="16"/>
          <w:szCs w:val="16"/>
        </w:rPr>
      </w:pPr>
      <w:r w:rsidRPr="00965708">
        <w:rPr>
          <w:rFonts w:ascii="Arial" w:hAnsi="Arial"/>
          <w:sz w:val="16"/>
          <w:szCs w:val="16"/>
        </w:rPr>
        <w:t>1.</w:t>
      </w:r>
      <w:r w:rsidRPr="00965708">
        <w:rPr>
          <w:rFonts w:ascii="Arial" w:hAnsi="Arial"/>
          <w:sz w:val="16"/>
          <w:szCs w:val="16"/>
        </w:rPr>
        <w:tab/>
        <w:t xml:space="preserve">Two end </w:t>
      </w:r>
      <w:proofErr w:type="gramStart"/>
      <w:r w:rsidRPr="00965708">
        <w:rPr>
          <w:rFonts w:ascii="Arial" w:hAnsi="Arial"/>
          <w:sz w:val="16"/>
          <w:szCs w:val="16"/>
        </w:rPr>
        <w:t>points</w:t>
      </w:r>
      <w:proofErr w:type="gramEnd"/>
      <w:r w:rsidRPr="00965708">
        <w:rPr>
          <w:rFonts w:ascii="Arial" w:hAnsi="Arial"/>
          <w:sz w:val="16"/>
          <w:szCs w:val="16"/>
        </w:rPr>
        <w:t xml:space="preserve"> diagnostic accuracy and comparable quantification to CT</w:t>
      </w:r>
    </w:p>
    <w:p w:rsidR="00965708" w:rsidRPr="00965708" w:rsidRDefault="00965708" w:rsidP="00965708">
      <w:pPr>
        <w:pStyle w:val="AuthorsNameInfo"/>
        <w:spacing w:line="240" w:lineRule="auto"/>
        <w:ind w:firstLine="360"/>
        <w:rPr>
          <w:rFonts w:ascii="Arial" w:hAnsi="Arial"/>
          <w:sz w:val="16"/>
          <w:szCs w:val="16"/>
        </w:rPr>
      </w:pPr>
      <w:r w:rsidRPr="00965708">
        <w:rPr>
          <w:rFonts w:ascii="Arial" w:hAnsi="Arial"/>
          <w:sz w:val="16"/>
          <w:szCs w:val="16"/>
        </w:rPr>
        <w:t>2.</w:t>
      </w:r>
      <w:r w:rsidRPr="00965708">
        <w:rPr>
          <w:rFonts w:ascii="Arial" w:hAnsi="Arial"/>
          <w:sz w:val="16"/>
          <w:szCs w:val="16"/>
        </w:rPr>
        <w:tab/>
        <w:t xml:space="preserve">Only high </w:t>
      </w:r>
      <w:r w:rsidR="00130F3E" w:rsidRPr="00965708">
        <w:rPr>
          <w:rFonts w:ascii="Arial" w:hAnsi="Arial"/>
          <w:sz w:val="16"/>
          <w:szCs w:val="16"/>
        </w:rPr>
        <w:t>grade cases</w:t>
      </w:r>
      <w:r w:rsidRPr="00965708">
        <w:rPr>
          <w:rFonts w:ascii="Arial" w:hAnsi="Arial"/>
          <w:sz w:val="16"/>
          <w:szCs w:val="16"/>
        </w:rPr>
        <w:t xml:space="preserve"> by contrast Echo had good correlation with CT</w:t>
      </w:r>
    </w:p>
    <w:p w:rsidR="00965708" w:rsidRDefault="00965708" w:rsidP="00965708">
      <w:pPr>
        <w:pStyle w:val="AuthorsNameInfo"/>
        <w:spacing w:line="240" w:lineRule="auto"/>
        <w:ind w:firstLine="360"/>
        <w:rPr>
          <w:rFonts w:ascii="Arial" w:hAnsi="Arial"/>
          <w:sz w:val="16"/>
          <w:szCs w:val="16"/>
        </w:rPr>
      </w:pPr>
      <w:r w:rsidRPr="00965708">
        <w:rPr>
          <w:rFonts w:ascii="Arial" w:hAnsi="Arial"/>
          <w:sz w:val="16"/>
          <w:szCs w:val="16"/>
        </w:rPr>
        <w:t>3.</w:t>
      </w:r>
      <w:r w:rsidRPr="00965708">
        <w:rPr>
          <w:rFonts w:ascii="Arial" w:hAnsi="Arial"/>
          <w:sz w:val="16"/>
          <w:szCs w:val="16"/>
        </w:rPr>
        <w:tab/>
        <w:t>No reported diagnostic accuracy</w:t>
      </w:r>
    </w:p>
    <w:p w:rsidR="00AF2C57" w:rsidRDefault="00AF2C57" w:rsidP="00965708"/>
    <w:p w:rsidR="00BB39A1" w:rsidRDefault="00BB39A1" w:rsidP="00965708"/>
    <w:p w:rsidR="00BB39A1" w:rsidRDefault="00BB39A1">
      <w:r>
        <w:br w:type="page"/>
      </w:r>
    </w:p>
    <w:p w:rsidR="00657FAE" w:rsidRDefault="00657FAE" w:rsidP="00657FAE">
      <w:pPr>
        <w:spacing w:after="0" w:line="240" w:lineRule="auto"/>
        <w:rPr>
          <w:rFonts w:ascii="Times New Roman" w:hAnsi="Times New Roman"/>
          <w:b/>
          <w:bCs/>
        </w:rPr>
      </w:pPr>
    </w:p>
    <w:p w:rsidR="00E622D4" w:rsidRDefault="00966D51" w:rsidP="00657FAE">
      <w:pPr>
        <w:spacing w:after="0" w:line="240" w:lineRule="auto"/>
      </w:pPr>
      <w:proofErr w:type="gramStart"/>
      <w:r>
        <w:rPr>
          <w:rFonts w:ascii="Times New Roman" w:hAnsi="Times New Roman"/>
          <w:b/>
          <w:bCs/>
        </w:rPr>
        <w:t xml:space="preserve">Supplemental Table </w:t>
      </w:r>
      <w:r w:rsidR="00E622D4" w:rsidRPr="00657FAE">
        <w:rPr>
          <w:rFonts w:ascii="Times New Roman" w:hAnsi="Times New Roman"/>
          <w:b/>
          <w:bCs/>
        </w:rPr>
        <w:t>14</w:t>
      </w:r>
      <w:r w:rsidR="00E622D4" w:rsidRPr="00657FAE">
        <w:rPr>
          <w:rFonts w:ascii="Times New Roman" w:hAnsi="Times New Roman"/>
        </w:rPr>
        <w:t>.</w:t>
      </w:r>
      <w:proofErr w:type="gramEnd"/>
      <w:r w:rsidR="00E622D4" w:rsidRPr="00657FAE">
        <w:rPr>
          <w:rFonts w:ascii="Times New Roman" w:hAnsi="Times New Roman"/>
        </w:rPr>
        <w:t xml:space="preserve">  Summary of Finding (</w:t>
      </w:r>
      <w:proofErr w:type="spellStart"/>
      <w:proofErr w:type="gramStart"/>
      <w:r w:rsidR="00E622D4" w:rsidRPr="00657FAE">
        <w:rPr>
          <w:rFonts w:ascii="Times New Roman" w:hAnsi="Times New Roman"/>
        </w:rPr>
        <w:t>SoF</w:t>
      </w:r>
      <w:proofErr w:type="spellEnd"/>
      <w:proofErr w:type="gramEnd"/>
      <w:r w:rsidR="00E622D4" w:rsidRPr="00657FAE">
        <w:rPr>
          <w:rFonts w:ascii="Times New Roman" w:hAnsi="Times New Roman"/>
        </w:rPr>
        <w:t xml:space="preserve">) table regarding </w:t>
      </w:r>
      <w:r w:rsidR="00E622D4" w:rsidRPr="00657FAE">
        <w:rPr>
          <w:rFonts w:ascii="Times New Roman" w:hAnsi="Times New Roman" w:cs="Times New Roman"/>
        </w:rPr>
        <w:t>reversible causes of cardiac arrest</w:t>
      </w:r>
    </w:p>
    <w:p w:rsidR="00E622D4" w:rsidRDefault="00E622D4" w:rsidP="00E622D4">
      <w:pPr>
        <w:pStyle w:val="AuthorsNameInfo"/>
        <w:ind w:left="720"/>
        <w:rPr>
          <w:rFonts w:ascii="Times New Roman" w:hAnsi="Times New Roman" w:cs="Times New Roman"/>
          <w:iCs/>
          <w:szCs w:val="24"/>
        </w:rPr>
      </w:pPr>
    </w:p>
    <w:tbl>
      <w:tblPr>
        <w:tblW w:w="463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48"/>
        <w:gridCol w:w="1183"/>
        <w:gridCol w:w="1091"/>
        <w:gridCol w:w="1277"/>
        <w:gridCol w:w="1093"/>
        <w:gridCol w:w="1095"/>
        <w:gridCol w:w="547"/>
        <w:gridCol w:w="1269"/>
      </w:tblGrid>
      <w:tr w:rsidR="00E622D4" w:rsidRPr="0091054F" w:rsidTr="0095486C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22D4" w:rsidRDefault="00E622D4" w:rsidP="0095486C">
            <w:pPr>
              <w:rPr>
                <w:rFonts w:ascii="Arial" w:hAnsi="Arial"/>
                <w:bCs/>
              </w:rPr>
            </w:pPr>
            <w:r w:rsidRPr="00E622D4">
              <w:rPr>
                <w:rFonts w:ascii="Arial" w:hAnsi="Arial"/>
                <w:bCs/>
              </w:rPr>
              <w:t>We recommend that BCU be performed to exclude reversible causes of cardiac arrest in c</w:t>
            </w:r>
            <w:r w:rsidR="00657FAE">
              <w:rPr>
                <w:rFonts w:ascii="Arial" w:hAnsi="Arial"/>
                <w:bCs/>
              </w:rPr>
              <w:t>ritically ill children. Grade 1C</w:t>
            </w:r>
          </w:p>
          <w:p w:rsidR="00E622D4" w:rsidRPr="00D62E9E" w:rsidRDefault="00E622D4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62E9E">
              <w:rPr>
                <w:rFonts w:ascii="Arial" w:hAnsi="Arial"/>
                <w:b/>
                <w:bCs/>
                <w:sz w:val="16"/>
                <w:szCs w:val="16"/>
              </w:rPr>
              <w:t xml:space="preserve">Bibliography: 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189-191</w:t>
            </w:r>
          </w:p>
        </w:tc>
      </w:tr>
      <w:tr w:rsidR="00E622D4" w:rsidRPr="0091054F" w:rsidTr="0095486C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vAlign w:val="center"/>
            <w:hideMark/>
          </w:tcPr>
          <w:p w:rsidR="00E622D4" w:rsidRPr="0091054F" w:rsidRDefault="00E622D4" w:rsidP="0095486C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91054F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Quality assessment</w:t>
            </w:r>
          </w:p>
        </w:tc>
      </w:tr>
      <w:tr w:rsidR="00E622D4" w:rsidRPr="0091054F" w:rsidTr="0095486C">
        <w:trPr>
          <w:trHeight w:val="462"/>
        </w:trPr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E622D4" w:rsidRPr="0091054F" w:rsidRDefault="00E622D4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Studies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E622D4" w:rsidRPr="0091054F" w:rsidRDefault="00E622D4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Design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E622D4" w:rsidRPr="0091054F" w:rsidRDefault="00E622D4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Risk of bias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E622D4" w:rsidRPr="0091054F" w:rsidRDefault="00E622D4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Inconsistency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E622D4" w:rsidRPr="0091054F" w:rsidRDefault="00E622D4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Indirectness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E622D4" w:rsidRPr="0091054F" w:rsidRDefault="00E622D4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Imprecision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E622D4" w:rsidRPr="0091054F" w:rsidRDefault="00E622D4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Other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E622D4" w:rsidRPr="0091054F" w:rsidRDefault="00E622D4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Overall quality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of evidence</w:t>
            </w:r>
          </w:p>
        </w:tc>
      </w:tr>
      <w:tr w:rsidR="00E622D4" w:rsidRPr="0091054F" w:rsidTr="0095486C">
        <w:trPr>
          <w:trHeight w:val="372"/>
        </w:trPr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2D4" w:rsidRPr="0091054F" w:rsidRDefault="00657FAE" w:rsidP="00657FA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Case series and </w:t>
            </w:r>
            <w:r w:rsidR="00E622D4">
              <w:rPr>
                <w:rFonts w:ascii="Arial" w:hAnsi="Arial"/>
                <w:sz w:val="16"/>
                <w:szCs w:val="16"/>
              </w:rPr>
              <w:t xml:space="preserve"> observational</w:t>
            </w:r>
            <w:r>
              <w:rPr>
                <w:rFonts w:ascii="Arial" w:hAnsi="Arial"/>
                <w:sz w:val="16"/>
                <w:szCs w:val="16"/>
              </w:rPr>
              <w:t xml:space="preserve"> studies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2D4" w:rsidRPr="0091054F" w:rsidRDefault="00E622D4" w:rsidP="0095486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observational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2D4" w:rsidRPr="0091054F" w:rsidRDefault="00A564E3" w:rsidP="0095486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Very </w:t>
            </w:r>
            <w:r w:rsidR="00657FAE">
              <w:rPr>
                <w:rFonts w:ascii="Arial" w:hAnsi="Arial"/>
                <w:sz w:val="16"/>
                <w:szCs w:val="16"/>
              </w:rPr>
              <w:t>Serious risk of bias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2D4" w:rsidRPr="0091054F" w:rsidRDefault="00E622D4" w:rsidP="0095486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2D4" w:rsidRPr="0091054F" w:rsidRDefault="00657FAE" w:rsidP="0095486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serious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2D4" w:rsidRPr="0091054F" w:rsidRDefault="00E622D4" w:rsidP="0095486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2D4" w:rsidRPr="0091054F" w:rsidRDefault="00E622D4" w:rsidP="0095486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22D4" w:rsidRPr="0091054F" w:rsidRDefault="00912FF7" w:rsidP="0095486C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Cambria Math" w:hAnsi="Cambria Math" w:cs="Cambria Math"/>
                <w:sz w:val="16"/>
                <w:szCs w:val="16"/>
              </w:rPr>
              <w:t>⊕⊝⊝⊝</w:t>
            </w:r>
            <w:r w:rsidRPr="0091054F"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LOW</w:t>
            </w:r>
          </w:p>
        </w:tc>
      </w:tr>
    </w:tbl>
    <w:p w:rsidR="00E622D4" w:rsidRPr="00E622D4" w:rsidRDefault="00E622D4" w:rsidP="00E622D4">
      <w:pPr>
        <w:ind w:left="360"/>
        <w:rPr>
          <w:rFonts w:ascii="Times New Roman" w:hAnsi="Times New Roman"/>
          <w:b/>
          <w:sz w:val="20"/>
          <w:szCs w:val="20"/>
        </w:rPr>
      </w:pPr>
    </w:p>
    <w:p w:rsidR="00657FAE" w:rsidRDefault="00657FAE">
      <w:r>
        <w:br w:type="page"/>
      </w:r>
    </w:p>
    <w:p w:rsidR="00BB39A1" w:rsidRDefault="00966D51" w:rsidP="00965708">
      <w:r>
        <w:rPr>
          <w:rFonts w:ascii="Times New Roman" w:hAnsi="Times New Roman"/>
          <w:b/>
          <w:bCs/>
        </w:rPr>
        <w:t xml:space="preserve">Supplemental Table </w:t>
      </w:r>
      <w:bookmarkStart w:id="8" w:name="_GoBack"/>
      <w:bookmarkEnd w:id="8"/>
      <w:r w:rsidR="006F3CC1">
        <w:rPr>
          <w:rFonts w:ascii="Times New Roman" w:hAnsi="Times New Roman"/>
          <w:b/>
          <w:bCs/>
        </w:rPr>
        <w:t>15</w:t>
      </w:r>
      <w:r w:rsidR="006F3CC1" w:rsidRPr="00657FAE">
        <w:rPr>
          <w:rFonts w:ascii="Times New Roman" w:hAnsi="Times New Roman"/>
        </w:rPr>
        <w:t>.  Summary of Finding (</w:t>
      </w:r>
      <w:proofErr w:type="spellStart"/>
      <w:proofErr w:type="gramStart"/>
      <w:r w:rsidR="006F3CC1" w:rsidRPr="00657FAE">
        <w:rPr>
          <w:rFonts w:ascii="Times New Roman" w:hAnsi="Times New Roman"/>
        </w:rPr>
        <w:t>SoF</w:t>
      </w:r>
      <w:proofErr w:type="spellEnd"/>
      <w:proofErr w:type="gramEnd"/>
      <w:r w:rsidR="006F3CC1" w:rsidRPr="00657FAE">
        <w:rPr>
          <w:rFonts w:ascii="Times New Roman" w:hAnsi="Times New Roman"/>
        </w:rPr>
        <w:t xml:space="preserve">) table regarding </w:t>
      </w:r>
      <w:r w:rsidR="006F3CC1" w:rsidRPr="00657FAE">
        <w:rPr>
          <w:rFonts w:ascii="Times New Roman" w:hAnsi="Times New Roman" w:cs="Times New Roman"/>
        </w:rPr>
        <w:t>reversible causes of cardiac arrest</w:t>
      </w:r>
    </w:p>
    <w:tbl>
      <w:tblPr>
        <w:tblW w:w="463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48"/>
        <w:gridCol w:w="1183"/>
        <w:gridCol w:w="1091"/>
        <w:gridCol w:w="1277"/>
        <w:gridCol w:w="1093"/>
        <w:gridCol w:w="1095"/>
        <w:gridCol w:w="547"/>
        <w:gridCol w:w="1269"/>
      </w:tblGrid>
      <w:tr w:rsidR="00657FAE" w:rsidRPr="0091054F" w:rsidTr="0095486C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2FF7" w:rsidRDefault="00657FAE" w:rsidP="0095486C">
            <w:pPr>
              <w:rPr>
                <w:rFonts w:ascii="Arial" w:hAnsi="Arial"/>
                <w:bCs/>
              </w:rPr>
            </w:pPr>
            <w:r w:rsidRPr="00657FAE">
              <w:rPr>
                <w:rFonts w:ascii="Arial" w:hAnsi="Arial"/>
                <w:bCs/>
              </w:rPr>
              <w:t>We recommend that pediatric BCU be used in the assessment and management of hypovolemic shock to determine preload responsiveness in critically ill children. Grade 1B</w:t>
            </w:r>
          </w:p>
          <w:p w:rsidR="00657FAE" w:rsidRPr="00D62E9E" w:rsidRDefault="00657FAE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62E9E">
              <w:rPr>
                <w:rFonts w:ascii="Arial" w:hAnsi="Arial"/>
                <w:b/>
                <w:bCs/>
                <w:sz w:val="16"/>
                <w:szCs w:val="16"/>
              </w:rPr>
              <w:t xml:space="preserve">Bibliography: 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193-209</w:t>
            </w:r>
          </w:p>
        </w:tc>
      </w:tr>
      <w:tr w:rsidR="00657FAE" w:rsidRPr="0091054F" w:rsidTr="0095486C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vAlign w:val="center"/>
            <w:hideMark/>
          </w:tcPr>
          <w:p w:rsidR="00657FAE" w:rsidRPr="0091054F" w:rsidRDefault="00657FAE" w:rsidP="0095486C">
            <w:pPr>
              <w:jc w:val="center"/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91054F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Quality assessment</w:t>
            </w:r>
          </w:p>
        </w:tc>
      </w:tr>
      <w:tr w:rsidR="00657FAE" w:rsidRPr="0091054F" w:rsidTr="0095486C">
        <w:trPr>
          <w:trHeight w:val="462"/>
        </w:trPr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57FAE" w:rsidRPr="0091054F" w:rsidRDefault="00657FAE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Studies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57FAE" w:rsidRPr="0091054F" w:rsidRDefault="00657FAE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Design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57FAE" w:rsidRPr="0091054F" w:rsidRDefault="00657FAE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Risk of bias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57FAE" w:rsidRPr="0091054F" w:rsidRDefault="00657FAE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Inconsistency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57FAE" w:rsidRPr="0091054F" w:rsidRDefault="00657FAE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Indirectness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57FAE" w:rsidRPr="0091054F" w:rsidRDefault="00657FAE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Imprecision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57FAE" w:rsidRPr="0091054F" w:rsidRDefault="00657FAE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Other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657FAE" w:rsidRPr="0091054F" w:rsidRDefault="00657FAE" w:rsidP="009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Overall quality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of evidence</w:t>
            </w:r>
          </w:p>
        </w:tc>
      </w:tr>
      <w:tr w:rsidR="00657FAE" w:rsidRPr="0091054F" w:rsidTr="0095486C">
        <w:trPr>
          <w:trHeight w:val="372"/>
        </w:trPr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FAE" w:rsidRPr="0091054F" w:rsidRDefault="00657FAE" w:rsidP="0095486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meta-analysis and rest are   observational studies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FAE" w:rsidRPr="0091054F" w:rsidRDefault="00657FAE" w:rsidP="0095486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observational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FAE" w:rsidRPr="0091054F" w:rsidRDefault="00657FAE" w:rsidP="0095486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Serious risk of bias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FAE" w:rsidRPr="0091054F" w:rsidRDefault="00657FAE" w:rsidP="0095486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FAE" w:rsidRPr="0091054F" w:rsidRDefault="00657FAE" w:rsidP="0095486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FAE" w:rsidRPr="0091054F" w:rsidRDefault="00657FAE" w:rsidP="0095486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FAE" w:rsidRPr="0091054F" w:rsidRDefault="00657FAE" w:rsidP="0095486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FAE" w:rsidRPr="0091054F" w:rsidRDefault="00912FF7" w:rsidP="0095486C">
            <w:pPr>
              <w:rPr>
                <w:rFonts w:ascii="Arial" w:hAnsi="Arial"/>
                <w:sz w:val="16"/>
                <w:szCs w:val="16"/>
              </w:rPr>
            </w:pPr>
            <w:r w:rsidRPr="0091054F">
              <w:rPr>
                <w:rFonts w:ascii="Cambria Math" w:hAnsi="Cambria Math" w:cs="Cambria Math"/>
                <w:sz w:val="16"/>
                <w:szCs w:val="16"/>
              </w:rPr>
              <w:t>⊕⊕⊕⊝</w:t>
            </w:r>
            <w:r w:rsidRPr="0091054F">
              <w:rPr>
                <w:rFonts w:ascii="Arial" w:hAnsi="Arial"/>
                <w:sz w:val="16"/>
                <w:szCs w:val="16"/>
              </w:rPr>
              <w:br/>
            </w:r>
            <w:r w:rsidRPr="0091054F">
              <w:rPr>
                <w:rFonts w:ascii="Arial" w:hAnsi="Arial"/>
                <w:b/>
                <w:bCs/>
                <w:sz w:val="16"/>
                <w:szCs w:val="16"/>
              </w:rPr>
              <w:t>MODERATE</w:t>
            </w:r>
          </w:p>
        </w:tc>
      </w:tr>
    </w:tbl>
    <w:p w:rsidR="00657FAE" w:rsidRDefault="006F3CC1" w:rsidP="006F3CC1">
      <w:r>
        <w:t xml:space="preserve">The most </w:t>
      </w:r>
      <w:r w:rsidR="00912FF7" w:rsidRPr="00912FF7">
        <w:t xml:space="preserve">predictor </w:t>
      </w:r>
      <w:r>
        <w:t xml:space="preserve">indicator </w:t>
      </w:r>
      <w:proofErr w:type="gramStart"/>
      <w:r>
        <w:t xml:space="preserve">is </w:t>
      </w:r>
      <w:r w:rsidR="00912FF7" w:rsidRPr="00912FF7">
        <w:t xml:space="preserve"> </w:t>
      </w:r>
      <w:proofErr w:type="spellStart"/>
      <w:r w:rsidR="00912FF7">
        <w:t>Δ</w:t>
      </w:r>
      <w:r w:rsidR="00912FF7" w:rsidRPr="00912FF7">
        <w:t>V</w:t>
      </w:r>
      <w:r w:rsidR="00912FF7" w:rsidRPr="00912FF7">
        <w:rPr>
          <w:vertAlign w:val="subscript"/>
        </w:rPr>
        <w:t>peak</w:t>
      </w:r>
      <w:proofErr w:type="spellEnd"/>
      <w:proofErr w:type="gramEnd"/>
      <w:r w:rsidR="00912FF7" w:rsidRPr="00912FF7">
        <w:t>, in aortic blood flow</w:t>
      </w:r>
      <w:r w:rsidR="00912FF7">
        <w:t xml:space="preserve"> </w:t>
      </w:r>
      <w:r>
        <w:t xml:space="preserve">velocity </w:t>
      </w:r>
      <w:r w:rsidR="00912FF7">
        <w:t>with AUC of ROC between 0.8 to 1</w:t>
      </w:r>
    </w:p>
    <w:p w:rsidR="00251B1A" w:rsidRPr="00251B1A" w:rsidRDefault="00251B1A" w:rsidP="00251B1A">
      <w:proofErr w:type="spellStart"/>
      <w:r>
        <w:t>Δ</w:t>
      </w:r>
      <w:r w:rsidRPr="00912FF7">
        <w:t>V</w:t>
      </w:r>
      <w:r w:rsidRPr="00912FF7">
        <w:rPr>
          <w:vertAlign w:val="subscript"/>
        </w:rPr>
        <w:t>peak</w:t>
      </w:r>
      <w:proofErr w:type="spellEnd"/>
      <w:r>
        <w:rPr>
          <w:vertAlign w:val="subscript"/>
        </w:rPr>
        <w:t xml:space="preserve">= </w:t>
      </w:r>
      <w:r>
        <w:t>the difference of peak Aortic flow velocity during the inspiratory/expiratory phases</w:t>
      </w:r>
    </w:p>
    <w:p w:rsidR="006F3CC1" w:rsidRPr="00A564E3" w:rsidRDefault="006F3CC1" w:rsidP="00A564E3">
      <w:pPr>
        <w:rPr>
          <w:rFonts w:ascii="Trebuchet MS" w:hAnsi="Trebuchet MS"/>
          <w:color w:val="0A0905"/>
          <w:sz w:val="18"/>
          <w:szCs w:val="18"/>
          <w:shd w:val="clear" w:color="auto" w:fill="FFFFFF"/>
        </w:rPr>
      </w:pPr>
      <w:r>
        <w:t>See graph below</w:t>
      </w:r>
      <w:r w:rsidR="00A564E3" w:rsidRPr="00A564E3">
        <w:rPr>
          <w:rFonts w:ascii="Trebuchet MS" w:hAnsi="Trebuchet MS"/>
          <w:color w:val="0A0905"/>
          <w:sz w:val="18"/>
          <w:szCs w:val="18"/>
          <w:shd w:val="clear" w:color="auto" w:fill="FFFFFF"/>
        </w:rPr>
        <w:t xml:space="preserve"> </w:t>
      </w:r>
      <w:proofErr w:type="gramStart"/>
      <w:r w:rsidR="00A564E3">
        <w:rPr>
          <w:rFonts w:ascii="Trebuchet MS" w:hAnsi="Trebuchet MS"/>
          <w:color w:val="0A0905"/>
          <w:sz w:val="18"/>
          <w:szCs w:val="18"/>
          <w:shd w:val="clear" w:color="auto" w:fill="FFFFFF"/>
        </w:rPr>
        <w:t>From</w:t>
      </w:r>
      <w:proofErr w:type="gramEnd"/>
      <w:r w:rsidR="00A564E3">
        <w:rPr>
          <w:rFonts w:ascii="Trebuchet MS" w:hAnsi="Trebuchet MS"/>
          <w:color w:val="0A0905"/>
          <w:sz w:val="18"/>
          <w:szCs w:val="18"/>
          <w:shd w:val="clear" w:color="auto" w:fill="FFFFFF"/>
        </w:rPr>
        <w:t xml:space="preserve"> reference 201 </w:t>
      </w:r>
    </w:p>
    <w:p w:rsidR="00912FF7" w:rsidRDefault="00912FF7">
      <w:r>
        <w:rPr>
          <w:noProof/>
        </w:rPr>
        <w:drawing>
          <wp:inline distT="0" distB="0" distL="0" distR="0">
            <wp:extent cx="3183846" cy="4342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ynamic varaible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744" cy="435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FAE" w:rsidRDefault="00657FAE" w:rsidP="006F3CC1"/>
    <w:p w:rsidR="00657FAE" w:rsidRDefault="00657FAE" w:rsidP="00965708"/>
    <w:sectPr w:rsidR="00657FAE" w:rsidSect="00CE5D76">
      <w:pgSz w:w="12240" w:h="15840"/>
      <w:pgMar w:top="1440" w:right="126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RADE-quality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9"/>
    <w:lvl w:ilvl="0">
      <w:start w:val="1"/>
      <w:numFmt w:val="upperLetter"/>
      <w:lvlText w:val="%1."/>
      <w:lvlJc w:val="left"/>
      <w:pPr>
        <w:tabs>
          <w:tab w:val="num" w:pos="540"/>
        </w:tabs>
        <w:ind w:left="540" w:firstLine="0"/>
      </w:pPr>
      <w:rPr>
        <w:rFonts w:cs="Times New Roman"/>
        <w:i w:val="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280"/>
        </w:tabs>
        <w:ind w:left="280" w:firstLine="620"/>
      </w:pPr>
      <w:rPr>
        <w:rFonts w:cs="Times New Roman"/>
        <w:i w:val="0"/>
        <w:position w:val="0"/>
        <w:sz w:val="24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280"/>
        </w:tabs>
        <w:ind w:left="280" w:firstLine="980"/>
      </w:pPr>
      <w:rPr>
        <w:rFonts w:cs="Times New Roman"/>
        <w:i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280"/>
        </w:tabs>
        <w:ind w:left="280" w:firstLine="1340"/>
      </w:pPr>
      <w:rPr>
        <w:rFonts w:cs="Times New Roman"/>
        <w:i w:val="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280"/>
        </w:tabs>
        <w:ind w:left="280" w:firstLine="1700"/>
      </w:pPr>
      <w:rPr>
        <w:rFonts w:cs="Times New Roman"/>
        <w:i w:val="0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280"/>
        </w:tabs>
        <w:ind w:left="280" w:firstLine="2060"/>
      </w:pPr>
      <w:rPr>
        <w:rFonts w:cs="Times New Roman"/>
        <w:i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280"/>
        </w:tabs>
        <w:ind w:left="280" w:firstLine="2420"/>
      </w:pPr>
      <w:rPr>
        <w:rFonts w:cs="Times New Roman"/>
        <w:i w:val="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280"/>
        </w:tabs>
        <w:ind w:left="280" w:firstLine="2780"/>
      </w:pPr>
      <w:rPr>
        <w:rFonts w:cs="Times New Roman"/>
        <w:i w:val="0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280"/>
        </w:tabs>
        <w:ind w:left="280" w:firstLine="3140"/>
      </w:pPr>
      <w:rPr>
        <w:rFonts w:cs="Times New Roman"/>
        <w:i w:val="0"/>
        <w:position w:val="0"/>
        <w:sz w:val="24"/>
        <w:vertAlign w:val="baseline"/>
      </w:rPr>
    </w:lvl>
  </w:abstractNum>
  <w:abstractNum w:abstractNumId="1">
    <w:nsid w:val="0000001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0"/>
        <w:sz w:val="24"/>
        <w:vertAlign w:val="baseline"/>
      </w:rPr>
    </w:lvl>
  </w:abstractNum>
  <w:abstractNum w:abstractNumId="2">
    <w:nsid w:val="022A45C8"/>
    <w:multiLevelType w:val="hybridMultilevel"/>
    <w:tmpl w:val="30323AE0"/>
    <w:lvl w:ilvl="0" w:tplc="28B88A0C">
      <w:start w:val="1"/>
      <w:numFmt w:val="decimal"/>
      <w:lvlText w:val="%1."/>
      <w:lvlJc w:val="left"/>
      <w:pPr>
        <w:ind w:left="720" w:hanging="360"/>
      </w:pPr>
      <w:rPr>
        <w:rFonts w:ascii="Arial" w:hAnsi="Arial" w:cs="Helvetica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B3DD1"/>
    <w:multiLevelType w:val="hybridMultilevel"/>
    <w:tmpl w:val="DB12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623A0"/>
    <w:multiLevelType w:val="hybridMultilevel"/>
    <w:tmpl w:val="A7003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3F11B6"/>
    <w:multiLevelType w:val="hybridMultilevel"/>
    <w:tmpl w:val="DB12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21B94"/>
    <w:multiLevelType w:val="hybridMultilevel"/>
    <w:tmpl w:val="E0187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5667"/>
    <w:multiLevelType w:val="hybridMultilevel"/>
    <w:tmpl w:val="DB12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06CB"/>
    <w:multiLevelType w:val="hybridMultilevel"/>
    <w:tmpl w:val="F3CA3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72448"/>
    <w:multiLevelType w:val="hybridMultilevel"/>
    <w:tmpl w:val="68D411C2"/>
    <w:lvl w:ilvl="0" w:tplc="28B88A0C">
      <w:start w:val="1"/>
      <w:numFmt w:val="decimal"/>
      <w:lvlText w:val="%1."/>
      <w:lvlJc w:val="left"/>
      <w:pPr>
        <w:ind w:left="720" w:hanging="360"/>
      </w:pPr>
      <w:rPr>
        <w:rFonts w:ascii="Arial" w:hAnsi="Arial" w:cs="Helvetica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048C4"/>
    <w:multiLevelType w:val="hybridMultilevel"/>
    <w:tmpl w:val="975AE1B2"/>
    <w:lvl w:ilvl="0" w:tplc="0000001A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2066C70"/>
    <w:multiLevelType w:val="hybridMultilevel"/>
    <w:tmpl w:val="3850E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0744D"/>
    <w:multiLevelType w:val="hybridMultilevel"/>
    <w:tmpl w:val="2BA0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B0FBB"/>
    <w:multiLevelType w:val="hybridMultilevel"/>
    <w:tmpl w:val="E0187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536EC"/>
    <w:multiLevelType w:val="hybridMultilevel"/>
    <w:tmpl w:val="DB12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448DE"/>
    <w:multiLevelType w:val="multilevel"/>
    <w:tmpl w:val="75A2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B52BC4"/>
    <w:multiLevelType w:val="hybridMultilevel"/>
    <w:tmpl w:val="79BCA92A"/>
    <w:lvl w:ilvl="0" w:tplc="28B88A0C">
      <w:start w:val="1"/>
      <w:numFmt w:val="decimal"/>
      <w:lvlText w:val="%1."/>
      <w:lvlJc w:val="left"/>
      <w:pPr>
        <w:ind w:left="720" w:hanging="360"/>
      </w:pPr>
      <w:rPr>
        <w:rFonts w:ascii="Arial" w:hAnsi="Arial" w:cs="Helvetica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859D2"/>
    <w:multiLevelType w:val="hybridMultilevel"/>
    <w:tmpl w:val="68D411C2"/>
    <w:lvl w:ilvl="0" w:tplc="28B88A0C">
      <w:start w:val="1"/>
      <w:numFmt w:val="decimal"/>
      <w:lvlText w:val="%1."/>
      <w:lvlJc w:val="left"/>
      <w:pPr>
        <w:ind w:left="720" w:hanging="360"/>
      </w:pPr>
      <w:rPr>
        <w:rFonts w:ascii="Arial" w:hAnsi="Arial" w:cs="Helvetica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D5942"/>
    <w:multiLevelType w:val="hybridMultilevel"/>
    <w:tmpl w:val="3850E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072BB"/>
    <w:multiLevelType w:val="hybridMultilevel"/>
    <w:tmpl w:val="617401E6"/>
    <w:lvl w:ilvl="0" w:tplc="29307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817685"/>
    <w:multiLevelType w:val="hybridMultilevel"/>
    <w:tmpl w:val="1BB8AA1A"/>
    <w:lvl w:ilvl="0" w:tplc="000000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733DA"/>
    <w:multiLevelType w:val="hybridMultilevel"/>
    <w:tmpl w:val="817C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A697A"/>
    <w:multiLevelType w:val="hybridMultilevel"/>
    <w:tmpl w:val="68D411C2"/>
    <w:lvl w:ilvl="0" w:tplc="28B88A0C">
      <w:start w:val="1"/>
      <w:numFmt w:val="decimal"/>
      <w:lvlText w:val="%1."/>
      <w:lvlJc w:val="left"/>
      <w:pPr>
        <w:ind w:left="720" w:hanging="360"/>
      </w:pPr>
      <w:rPr>
        <w:rFonts w:ascii="Arial" w:hAnsi="Arial" w:cs="Helvetica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E0C7C"/>
    <w:multiLevelType w:val="hybridMultilevel"/>
    <w:tmpl w:val="8BBAE842"/>
    <w:lvl w:ilvl="0" w:tplc="FA6CB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A85832"/>
    <w:multiLevelType w:val="hybridMultilevel"/>
    <w:tmpl w:val="9E9E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E564E8"/>
    <w:multiLevelType w:val="hybridMultilevel"/>
    <w:tmpl w:val="E0187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96447"/>
    <w:multiLevelType w:val="multilevel"/>
    <w:tmpl w:val="6F84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6"/>
  </w:num>
  <w:num w:numId="5">
    <w:abstractNumId w:val="15"/>
  </w:num>
  <w:num w:numId="6">
    <w:abstractNumId w:val="8"/>
  </w:num>
  <w:num w:numId="7">
    <w:abstractNumId w:val="24"/>
  </w:num>
  <w:num w:numId="8">
    <w:abstractNumId w:val="4"/>
  </w:num>
  <w:num w:numId="9">
    <w:abstractNumId w:val="14"/>
  </w:num>
  <w:num w:numId="10">
    <w:abstractNumId w:val="10"/>
  </w:num>
  <w:num w:numId="11">
    <w:abstractNumId w:val="25"/>
  </w:num>
  <w:num w:numId="12">
    <w:abstractNumId w:val="6"/>
  </w:num>
  <w:num w:numId="13">
    <w:abstractNumId w:val="13"/>
  </w:num>
  <w:num w:numId="14">
    <w:abstractNumId w:val="11"/>
  </w:num>
  <w:num w:numId="15">
    <w:abstractNumId w:val="20"/>
  </w:num>
  <w:num w:numId="16">
    <w:abstractNumId w:val="17"/>
  </w:num>
  <w:num w:numId="17">
    <w:abstractNumId w:val="18"/>
  </w:num>
  <w:num w:numId="18">
    <w:abstractNumId w:val="22"/>
  </w:num>
  <w:num w:numId="19">
    <w:abstractNumId w:val="16"/>
  </w:num>
  <w:num w:numId="20">
    <w:abstractNumId w:val="2"/>
  </w:num>
  <w:num w:numId="21">
    <w:abstractNumId w:val="9"/>
  </w:num>
  <w:num w:numId="22">
    <w:abstractNumId w:val="0"/>
  </w:num>
  <w:num w:numId="23">
    <w:abstractNumId w:val="23"/>
  </w:num>
  <w:num w:numId="24">
    <w:abstractNumId w:val="19"/>
  </w:num>
  <w:num w:numId="25">
    <w:abstractNumId w:val="5"/>
  </w:num>
  <w:num w:numId="26">
    <w:abstractNumId w:val="2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93"/>
    <w:rsid w:val="00001FC8"/>
    <w:rsid w:val="00004168"/>
    <w:rsid w:val="000114FE"/>
    <w:rsid w:val="00013744"/>
    <w:rsid w:val="00014770"/>
    <w:rsid w:val="00014C14"/>
    <w:rsid w:val="000152A0"/>
    <w:rsid w:val="00016717"/>
    <w:rsid w:val="00026461"/>
    <w:rsid w:val="00032F9E"/>
    <w:rsid w:val="000403C2"/>
    <w:rsid w:val="00045851"/>
    <w:rsid w:val="000474B0"/>
    <w:rsid w:val="000475A0"/>
    <w:rsid w:val="000502E0"/>
    <w:rsid w:val="000505EF"/>
    <w:rsid w:val="0005304F"/>
    <w:rsid w:val="000538BB"/>
    <w:rsid w:val="00054374"/>
    <w:rsid w:val="000674FA"/>
    <w:rsid w:val="000712E9"/>
    <w:rsid w:val="00073034"/>
    <w:rsid w:val="00083558"/>
    <w:rsid w:val="00086E4E"/>
    <w:rsid w:val="00092CC7"/>
    <w:rsid w:val="00095AEF"/>
    <w:rsid w:val="000A247F"/>
    <w:rsid w:val="000A49C8"/>
    <w:rsid w:val="000B5C61"/>
    <w:rsid w:val="000C5AD6"/>
    <w:rsid w:val="000D2143"/>
    <w:rsid w:val="000D7923"/>
    <w:rsid w:val="000E0581"/>
    <w:rsid w:val="000E1AD6"/>
    <w:rsid w:val="000E1EBF"/>
    <w:rsid w:val="000E3743"/>
    <w:rsid w:val="000E682C"/>
    <w:rsid w:val="000E7FB1"/>
    <w:rsid w:val="000F497A"/>
    <w:rsid w:val="000F6E5D"/>
    <w:rsid w:val="00104C82"/>
    <w:rsid w:val="00111363"/>
    <w:rsid w:val="0011270A"/>
    <w:rsid w:val="00116B4D"/>
    <w:rsid w:val="00117B23"/>
    <w:rsid w:val="00130F3E"/>
    <w:rsid w:val="00131F60"/>
    <w:rsid w:val="00135183"/>
    <w:rsid w:val="00144F85"/>
    <w:rsid w:val="00150BF0"/>
    <w:rsid w:val="00154971"/>
    <w:rsid w:val="00160625"/>
    <w:rsid w:val="001654C3"/>
    <w:rsid w:val="001664A9"/>
    <w:rsid w:val="0017092E"/>
    <w:rsid w:val="0017185F"/>
    <w:rsid w:val="00172CBF"/>
    <w:rsid w:val="001816BB"/>
    <w:rsid w:val="00181EC7"/>
    <w:rsid w:val="001858E5"/>
    <w:rsid w:val="00190480"/>
    <w:rsid w:val="00192A5E"/>
    <w:rsid w:val="001A4330"/>
    <w:rsid w:val="001A7328"/>
    <w:rsid w:val="001A7FBE"/>
    <w:rsid w:val="001B18E8"/>
    <w:rsid w:val="001C0CE4"/>
    <w:rsid w:val="001C60EF"/>
    <w:rsid w:val="001C7193"/>
    <w:rsid w:val="001D00DB"/>
    <w:rsid w:val="001D016E"/>
    <w:rsid w:val="001D2805"/>
    <w:rsid w:val="001D2F26"/>
    <w:rsid w:val="001D6964"/>
    <w:rsid w:val="001D7684"/>
    <w:rsid w:val="001E36D3"/>
    <w:rsid w:val="001E4A55"/>
    <w:rsid w:val="001F0679"/>
    <w:rsid w:val="001F1FA5"/>
    <w:rsid w:val="001F48F8"/>
    <w:rsid w:val="001F7C6D"/>
    <w:rsid w:val="002014A1"/>
    <w:rsid w:val="002020CD"/>
    <w:rsid w:val="00210C48"/>
    <w:rsid w:val="002163D0"/>
    <w:rsid w:val="00216AB0"/>
    <w:rsid w:val="002215B9"/>
    <w:rsid w:val="0022207C"/>
    <w:rsid w:val="002221C5"/>
    <w:rsid w:val="00223CF3"/>
    <w:rsid w:val="002334E5"/>
    <w:rsid w:val="00240E0A"/>
    <w:rsid w:val="00242AFE"/>
    <w:rsid w:val="00251B1A"/>
    <w:rsid w:val="0026357C"/>
    <w:rsid w:val="002665F4"/>
    <w:rsid w:val="002670F0"/>
    <w:rsid w:val="002708CF"/>
    <w:rsid w:val="00270FE2"/>
    <w:rsid w:val="00276D82"/>
    <w:rsid w:val="00285772"/>
    <w:rsid w:val="0028677C"/>
    <w:rsid w:val="00287E4A"/>
    <w:rsid w:val="002A0134"/>
    <w:rsid w:val="002A1420"/>
    <w:rsid w:val="002A1D34"/>
    <w:rsid w:val="002B1E0F"/>
    <w:rsid w:val="002B21F2"/>
    <w:rsid w:val="002B726D"/>
    <w:rsid w:val="002B735E"/>
    <w:rsid w:val="002C521C"/>
    <w:rsid w:val="002C550C"/>
    <w:rsid w:val="002C5CBE"/>
    <w:rsid w:val="002D2D38"/>
    <w:rsid w:val="002D7B7B"/>
    <w:rsid w:val="002E057F"/>
    <w:rsid w:val="002E1FFA"/>
    <w:rsid w:val="002E6A0F"/>
    <w:rsid w:val="002F3B4B"/>
    <w:rsid w:val="002F3F99"/>
    <w:rsid w:val="00307E83"/>
    <w:rsid w:val="0031089E"/>
    <w:rsid w:val="00315A45"/>
    <w:rsid w:val="00316AF3"/>
    <w:rsid w:val="003239A3"/>
    <w:rsid w:val="00324AF0"/>
    <w:rsid w:val="00327B98"/>
    <w:rsid w:val="003355EC"/>
    <w:rsid w:val="00335F48"/>
    <w:rsid w:val="003368D6"/>
    <w:rsid w:val="003416EE"/>
    <w:rsid w:val="00346E39"/>
    <w:rsid w:val="0035654D"/>
    <w:rsid w:val="00362081"/>
    <w:rsid w:val="00370F73"/>
    <w:rsid w:val="0037265E"/>
    <w:rsid w:val="00377020"/>
    <w:rsid w:val="00387422"/>
    <w:rsid w:val="003B04D7"/>
    <w:rsid w:val="003B0727"/>
    <w:rsid w:val="003B47B6"/>
    <w:rsid w:val="003B61D4"/>
    <w:rsid w:val="003C023E"/>
    <w:rsid w:val="003C5001"/>
    <w:rsid w:val="003C69D5"/>
    <w:rsid w:val="003D0F78"/>
    <w:rsid w:val="003D61E5"/>
    <w:rsid w:val="003E0EFB"/>
    <w:rsid w:val="003E50DD"/>
    <w:rsid w:val="003E7CAB"/>
    <w:rsid w:val="003F05DB"/>
    <w:rsid w:val="003F1D0E"/>
    <w:rsid w:val="003F2090"/>
    <w:rsid w:val="003F5C88"/>
    <w:rsid w:val="004044DD"/>
    <w:rsid w:val="00411414"/>
    <w:rsid w:val="00417AFF"/>
    <w:rsid w:val="00421719"/>
    <w:rsid w:val="004274CC"/>
    <w:rsid w:val="0043483B"/>
    <w:rsid w:val="00437C10"/>
    <w:rsid w:val="004601BB"/>
    <w:rsid w:val="00462377"/>
    <w:rsid w:val="00463C1F"/>
    <w:rsid w:val="004804B9"/>
    <w:rsid w:val="0048288A"/>
    <w:rsid w:val="0048451F"/>
    <w:rsid w:val="0048700B"/>
    <w:rsid w:val="00487A10"/>
    <w:rsid w:val="00494D38"/>
    <w:rsid w:val="004A19AF"/>
    <w:rsid w:val="004A2FBE"/>
    <w:rsid w:val="004A47BE"/>
    <w:rsid w:val="004A6ED4"/>
    <w:rsid w:val="004C02E6"/>
    <w:rsid w:val="004C1FED"/>
    <w:rsid w:val="004C29EA"/>
    <w:rsid w:val="004C4BCA"/>
    <w:rsid w:val="004D2F58"/>
    <w:rsid w:val="004D459C"/>
    <w:rsid w:val="004D6250"/>
    <w:rsid w:val="004E0BC5"/>
    <w:rsid w:val="004E6AEB"/>
    <w:rsid w:val="004E7200"/>
    <w:rsid w:val="004E759F"/>
    <w:rsid w:val="004F2FDE"/>
    <w:rsid w:val="004F69C6"/>
    <w:rsid w:val="005008DB"/>
    <w:rsid w:val="00514947"/>
    <w:rsid w:val="005152E6"/>
    <w:rsid w:val="0051650F"/>
    <w:rsid w:val="0052365B"/>
    <w:rsid w:val="00531BF3"/>
    <w:rsid w:val="005327BA"/>
    <w:rsid w:val="0053613E"/>
    <w:rsid w:val="00543E6E"/>
    <w:rsid w:val="0054621F"/>
    <w:rsid w:val="0055074C"/>
    <w:rsid w:val="00551007"/>
    <w:rsid w:val="00557B0D"/>
    <w:rsid w:val="00561B2D"/>
    <w:rsid w:val="00565970"/>
    <w:rsid w:val="00566797"/>
    <w:rsid w:val="00573F0C"/>
    <w:rsid w:val="00576043"/>
    <w:rsid w:val="0058017F"/>
    <w:rsid w:val="00581384"/>
    <w:rsid w:val="00581CDF"/>
    <w:rsid w:val="00583379"/>
    <w:rsid w:val="00586381"/>
    <w:rsid w:val="0058713C"/>
    <w:rsid w:val="00597502"/>
    <w:rsid w:val="005B0E6A"/>
    <w:rsid w:val="005B0FAD"/>
    <w:rsid w:val="005B237F"/>
    <w:rsid w:val="005B6204"/>
    <w:rsid w:val="005B6595"/>
    <w:rsid w:val="005C0097"/>
    <w:rsid w:val="005C3547"/>
    <w:rsid w:val="005D3ABC"/>
    <w:rsid w:val="005D5DBC"/>
    <w:rsid w:val="005E18AC"/>
    <w:rsid w:val="005F3D94"/>
    <w:rsid w:val="005F5AE4"/>
    <w:rsid w:val="005F5B17"/>
    <w:rsid w:val="0060052A"/>
    <w:rsid w:val="006017C9"/>
    <w:rsid w:val="00601836"/>
    <w:rsid w:val="0060371A"/>
    <w:rsid w:val="00606F62"/>
    <w:rsid w:val="00610BCF"/>
    <w:rsid w:val="00612954"/>
    <w:rsid w:val="0061666B"/>
    <w:rsid w:val="006179B0"/>
    <w:rsid w:val="00621DC7"/>
    <w:rsid w:val="006248AD"/>
    <w:rsid w:val="006309C1"/>
    <w:rsid w:val="00631DF6"/>
    <w:rsid w:val="006351F0"/>
    <w:rsid w:val="006400D8"/>
    <w:rsid w:val="00640CC5"/>
    <w:rsid w:val="00642B68"/>
    <w:rsid w:val="0064417C"/>
    <w:rsid w:val="00651AC4"/>
    <w:rsid w:val="00657FAE"/>
    <w:rsid w:val="00661914"/>
    <w:rsid w:val="00662D01"/>
    <w:rsid w:val="00663BE4"/>
    <w:rsid w:val="00665896"/>
    <w:rsid w:val="006663C8"/>
    <w:rsid w:val="006717B3"/>
    <w:rsid w:val="00672C6D"/>
    <w:rsid w:val="006763FC"/>
    <w:rsid w:val="00687356"/>
    <w:rsid w:val="00692D72"/>
    <w:rsid w:val="00694D42"/>
    <w:rsid w:val="00697480"/>
    <w:rsid w:val="006A2776"/>
    <w:rsid w:val="006A4F94"/>
    <w:rsid w:val="006B4155"/>
    <w:rsid w:val="006C3853"/>
    <w:rsid w:val="006C5672"/>
    <w:rsid w:val="006D219D"/>
    <w:rsid w:val="006D49F3"/>
    <w:rsid w:val="006D5445"/>
    <w:rsid w:val="006E355C"/>
    <w:rsid w:val="006F34AE"/>
    <w:rsid w:val="006F3CC1"/>
    <w:rsid w:val="006F42DF"/>
    <w:rsid w:val="0071337B"/>
    <w:rsid w:val="007142EF"/>
    <w:rsid w:val="00716182"/>
    <w:rsid w:val="0071668C"/>
    <w:rsid w:val="00717AB0"/>
    <w:rsid w:val="007207FF"/>
    <w:rsid w:val="00722EBB"/>
    <w:rsid w:val="007304C4"/>
    <w:rsid w:val="00731393"/>
    <w:rsid w:val="0073312C"/>
    <w:rsid w:val="0073697F"/>
    <w:rsid w:val="007405B8"/>
    <w:rsid w:val="00743BA9"/>
    <w:rsid w:val="007459B8"/>
    <w:rsid w:val="007461C7"/>
    <w:rsid w:val="00760B23"/>
    <w:rsid w:val="00761CDD"/>
    <w:rsid w:val="00763B82"/>
    <w:rsid w:val="00764CAE"/>
    <w:rsid w:val="007663B4"/>
    <w:rsid w:val="00766431"/>
    <w:rsid w:val="00772261"/>
    <w:rsid w:val="00772C17"/>
    <w:rsid w:val="00777C8E"/>
    <w:rsid w:val="007867D1"/>
    <w:rsid w:val="007A3D36"/>
    <w:rsid w:val="007A5DF1"/>
    <w:rsid w:val="007A7DB4"/>
    <w:rsid w:val="007B06ED"/>
    <w:rsid w:val="007C1D68"/>
    <w:rsid w:val="007C2708"/>
    <w:rsid w:val="007C3F54"/>
    <w:rsid w:val="007D5736"/>
    <w:rsid w:val="007E05A3"/>
    <w:rsid w:val="007E0AA9"/>
    <w:rsid w:val="007E2DEA"/>
    <w:rsid w:val="007E2F75"/>
    <w:rsid w:val="007F45BB"/>
    <w:rsid w:val="007F691F"/>
    <w:rsid w:val="00800243"/>
    <w:rsid w:val="008045E2"/>
    <w:rsid w:val="00804CC9"/>
    <w:rsid w:val="008078D9"/>
    <w:rsid w:val="00810B39"/>
    <w:rsid w:val="0082167D"/>
    <w:rsid w:val="00830345"/>
    <w:rsid w:val="008342BC"/>
    <w:rsid w:val="00854F9D"/>
    <w:rsid w:val="008559EB"/>
    <w:rsid w:val="008606B2"/>
    <w:rsid w:val="00860EDC"/>
    <w:rsid w:val="008647C5"/>
    <w:rsid w:val="008724AD"/>
    <w:rsid w:val="00872D20"/>
    <w:rsid w:val="00873255"/>
    <w:rsid w:val="00880AD1"/>
    <w:rsid w:val="00883642"/>
    <w:rsid w:val="00883DFC"/>
    <w:rsid w:val="00884783"/>
    <w:rsid w:val="008853D0"/>
    <w:rsid w:val="00887D34"/>
    <w:rsid w:val="008963AC"/>
    <w:rsid w:val="0089682C"/>
    <w:rsid w:val="008969D9"/>
    <w:rsid w:val="00896E2C"/>
    <w:rsid w:val="008A0BC2"/>
    <w:rsid w:val="008A1874"/>
    <w:rsid w:val="008A20B6"/>
    <w:rsid w:val="008A7C6C"/>
    <w:rsid w:val="008B078D"/>
    <w:rsid w:val="008B5BD1"/>
    <w:rsid w:val="008B6449"/>
    <w:rsid w:val="008B706B"/>
    <w:rsid w:val="008C0131"/>
    <w:rsid w:val="008D10AD"/>
    <w:rsid w:val="008D1D0E"/>
    <w:rsid w:val="008E108C"/>
    <w:rsid w:val="008F16DA"/>
    <w:rsid w:val="008F57BE"/>
    <w:rsid w:val="008F5A3A"/>
    <w:rsid w:val="00904EBA"/>
    <w:rsid w:val="00912FF7"/>
    <w:rsid w:val="00914242"/>
    <w:rsid w:val="0092357D"/>
    <w:rsid w:val="0092430B"/>
    <w:rsid w:val="009310DD"/>
    <w:rsid w:val="00934B7B"/>
    <w:rsid w:val="009433B0"/>
    <w:rsid w:val="00947F48"/>
    <w:rsid w:val="009503F9"/>
    <w:rsid w:val="00951CD8"/>
    <w:rsid w:val="009566DC"/>
    <w:rsid w:val="009578A8"/>
    <w:rsid w:val="009613F7"/>
    <w:rsid w:val="009624B3"/>
    <w:rsid w:val="00965708"/>
    <w:rsid w:val="00966D51"/>
    <w:rsid w:val="00975137"/>
    <w:rsid w:val="0098190D"/>
    <w:rsid w:val="009829EE"/>
    <w:rsid w:val="00991562"/>
    <w:rsid w:val="009A2F95"/>
    <w:rsid w:val="009A6B8D"/>
    <w:rsid w:val="009B307A"/>
    <w:rsid w:val="009B3669"/>
    <w:rsid w:val="009B36E3"/>
    <w:rsid w:val="009B554C"/>
    <w:rsid w:val="009C1BAC"/>
    <w:rsid w:val="009C2309"/>
    <w:rsid w:val="009C31AE"/>
    <w:rsid w:val="009E3A64"/>
    <w:rsid w:val="009E50AE"/>
    <w:rsid w:val="00A016C3"/>
    <w:rsid w:val="00A02264"/>
    <w:rsid w:val="00A04891"/>
    <w:rsid w:val="00A079E6"/>
    <w:rsid w:val="00A23147"/>
    <w:rsid w:val="00A24914"/>
    <w:rsid w:val="00A30D0B"/>
    <w:rsid w:val="00A3275A"/>
    <w:rsid w:val="00A32B00"/>
    <w:rsid w:val="00A35618"/>
    <w:rsid w:val="00A3687C"/>
    <w:rsid w:val="00A465E5"/>
    <w:rsid w:val="00A513A6"/>
    <w:rsid w:val="00A51A40"/>
    <w:rsid w:val="00A51DB7"/>
    <w:rsid w:val="00A564E3"/>
    <w:rsid w:val="00A617C0"/>
    <w:rsid w:val="00A642E6"/>
    <w:rsid w:val="00A6451F"/>
    <w:rsid w:val="00A67DAB"/>
    <w:rsid w:val="00A703F0"/>
    <w:rsid w:val="00A82A66"/>
    <w:rsid w:val="00A83E8C"/>
    <w:rsid w:val="00A8532B"/>
    <w:rsid w:val="00A86783"/>
    <w:rsid w:val="00A956A7"/>
    <w:rsid w:val="00A95E9D"/>
    <w:rsid w:val="00AB020D"/>
    <w:rsid w:val="00AB1877"/>
    <w:rsid w:val="00AB2DE8"/>
    <w:rsid w:val="00AB3265"/>
    <w:rsid w:val="00AB4C60"/>
    <w:rsid w:val="00AB77F0"/>
    <w:rsid w:val="00AC123D"/>
    <w:rsid w:val="00AC413B"/>
    <w:rsid w:val="00AC76B1"/>
    <w:rsid w:val="00AD06BE"/>
    <w:rsid w:val="00AD14A2"/>
    <w:rsid w:val="00AE1ACA"/>
    <w:rsid w:val="00AE3019"/>
    <w:rsid w:val="00AE5848"/>
    <w:rsid w:val="00AE733A"/>
    <w:rsid w:val="00AF2C57"/>
    <w:rsid w:val="00B04080"/>
    <w:rsid w:val="00B40CDF"/>
    <w:rsid w:val="00B455B4"/>
    <w:rsid w:val="00B465D8"/>
    <w:rsid w:val="00B50D4A"/>
    <w:rsid w:val="00B57216"/>
    <w:rsid w:val="00B60E8B"/>
    <w:rsid w:val="00B70A13"/>
    <w:rsid w:val="00B712FC"/>
    <w:rsid w:val="00B740CA"/>
    <w:rsid w:val="00B81008"/>
    <w:rsid w:val="00B81629"/>
    <w:rsid w:val="00B82BED"/>
    <w:rsid w:val="00B8673D"/>
    <w:rsid w:val="00B87200"/>
    <w:rsid w:val="00B87596"/>
    <w:rsid w:val="00BA040B"/>
    <w:rsid w:val="00BB247B"/>
    <w:rsid w:val="00BB39A1"/>
    <w:rsid w:val="00BB580F"/>
    <w:rsid w:val="00BB663B"/>
    <w:rsid w:val="00BC1051"/>
    <w:rsid w:val="00BC235B"/>
    <w:rsid w:val="00BE0152"/>
    <w:rsid w:val="00BE0CED"/>
    <w:rsid w:val="00BE1307"/>
    <w:rsid w:val="00BE1C9B"/>
    <w:rsid w:val="00BE7B2E"/>
    <w:rsid w:val="00BF0649"/>
    <w:rsid w:val="00BF2681"/>
    <w:rsid w:val="00BF3C22"/>
    <w:rsid w:val="00BF542D"/>
    <w:rsid w:val="00C01DEF"/>
    <w:rsid w:val="00C04895"/>
    <w:rsid w:val="00C12544"/>
    <w:rsid w:val="00C17654"/>
    <w:rsid w:val="00C17ED8"/>
    <w:rsid w:val="00C206E1"/>
    <w:rsid w:val="00C24AD2"/>
    <w:rsid w:val="00C2674E"/>
    <w:rsid w:val="00C34E94"/>
    <w:rsid w:val="00C402B0"/>
    <w:rsid w:val="00C450D3"/>
    <w:rsid w:val="00C52689"/>
    <w:rsid w:val="00C63FC8"/>
    <w:rsid w:val="00C67D66"/>
    <w:rsid w:val="00C80129"/>
    <w:rsid w:val="00C857D9"/>
    <w:rsid w:val="00C907BC"/>
    <w:rsid w:val="00C94206"/>
    <w:rsid w:val="00C963E6"/>
    <w:rsid w:val="00C97C8B"/>
    <w:rsid w:val="00CA255F"/>
    <w:rsid w:val="00CA46F8"/>
    <w:rsid w:val="00CA5AC7"/>
    <w:rsid w:val="00CB3A9F"/>
    <w:rsid w:val="00CC0973"/>
    <w:rsid w:val="00CC4944"/>
    <w:rsid w:val="00CC55CF"/>
    <w:rsid w:val="00CC5AF3"/>
    <w:rsid w:val="00CC6A36"/>
    <w:rsid w:val="00CD204A"/>
    <w:rsid w:val="00CD4373"/>
    <w:rsid w:val="00CE4A4E"/>
    <w:rsid w:val="00CE5D76"/>
    <w:rsid w:val="00CF1E13"/>
    <w:rsid w:val="00CF2EA7"/>
    <w:rsid w:val="00CF3450"/>
    <w:rsid w:val="00CF3FE7"/>
    <w:rsid w:val="00D020AB"/>
    <w:rsid w:val="00D0614D"/>
    <w:rsid w:val="00D11AC1"/>
    <w:rsid w:val="00D226CF"/>
    <w:rsid w:val="00D330E5"/>
    <w:rsid w:val="00D36379"/>
    <w:rsid w:val="00D37649"/>
    <w:rsid w:val="00D376C7"/>
    <w:rsid w:val="00D438C8"/>
    <w:rsid w:val="00D449E1"/>
    <w:rsid w:val="00D45AF8"/>
    <w:rsid w:val="00D5179E"/>
    <w:rsid w:val="00D55C05"/>
    <w:rsid w:val="00D72AE6"/>
    <w:rsid w:val="00D7458B"/>
    <w:rsid w:val="00D76F47"/>
    <w:rsid w:val="00D77AB0"/>
    <w:rsid w:val="00D86E8B"/>
    <w:rsid w:val="00D9317E"/>
    <w:rsid w:val="00D96717"/>
    <w:rsid w:val="00DA2D30"/>
    <w:rsid w:val="00DA30CA"/>
    <w:rsid w:val="00DA49C8"/>
    <w:rsid w:val="00DB026B"/>
    <w:rsid w:val="00DB42AA"/>
    <w:rsid w:val="00DB7CA7"/>
    <w:rsid w:val="00DC3605"/>
    <w:rsid w:val="00DC3715"/>
    <w:rsid w:val="00DC71EA"/>
    <w:rsid w:val="00DC74BC"/>
    <w:rsid w:val="00DD733A"/>
    <w:rsid w:val="00DE2292"/>
    <w:rsid w:val="00DE39A9"/>
    <w:rsid w:val="00DE4481"/>
    <w:rsid w:val="00DE70EC"/>
    <w:rsid w:val="00DF3884"/>
    <w:rsid w:val="00DF622A"/>
    <w:rsid w:val="00E111D1"/>
    <w:rsid w:val="00E173F2"/>
    <w:rsid w:val="00E226FC"/>
    <w:rsid w:val="00E25803"/>
    <w:rsid w:val="00E25935"/>
    <w:rsid w:val="00E32E70"/>
    <w:rsid w:val="00E35C2D"/>
    <w:rsid w:val="00E408C8"/>
    <w:rsid w:val="00E5289B"/>
    <w:rsid w:val="00E532C7"/>
    <w:rsid w:val="00E55157"/>
    <w:rsid w:val="00E56E5F"/>
    <w:rsid w:val="00E57E0E"/>
    <w:rsid w:val="00E622D4"/>
    <w:rsid w:val="00E638C8"/>
    <w:rsid w:val="00E83686"/>
    <w:rsid w:val="00E950C5"/>
    <w:rsid w:val="00EA2BC4"/>
    <w:rsid w:val="00EA54BC"/>
    <w:rsid w:val="00EA582E"/>
    <w:rsid w:val="00EA6D75"/>
    <w:rsid w:val="00EB6E86"/>
    <w:rsid w:val="00EC2737"/>
    <w:rsid w:val="00EC58AC"/>
    <w:rsid w:val="00ED6672"/>
    <w:rsid w:val="00EE3DF6"/>
    <w:rsid w:val="00EF06FE"/>
    <w:rsid w:val="00EF1EDB"/>
    <w:rsid w:val="00EF306D"/>
    <w:rsid w:val="00F03826"/>
    <w:rsid w:val="00F05244"/>
    <w:rsid w:val="00F20F8C"/>
    <w:rsid w:val="00F232EA"/>
    <w:rsid w:val="00F3473D"/>
    <w:rsid w:val="00F378E9"/>
    <w:rsid w:val="00F434E8"/>
    <w:rsid w:val="00F562C0"/>
    <w:rsid w:val="00F5760B"/>
    <w:rsid w:val="00F6123D"/>
    <w:rsid w:val="00F742B7"/>
    <w:rsid w:val="00F759B9"/>
    <w:rsid w:val="00F77A81"/>
    <w:rsid w:val="00F87E1E"/>
    <w:rsid w:val="00F92C27"/>
    <w:rsid w:val="00F95C57"/>
    <w:rsid w:val="00FA2673"/>
    <w:rsid w:val="00FA512C"/>
    <w:rsid w:val="00FA7593"/>
    <w:rsid w:val="00FB0E1F"/>
    <w:rsid w:val="00FB22CE"/>
    <w:rsid w:val="00FB4A1F"/>
    <w:rsid w:val="00FB599F"/>
    <w:rsid w:val="00FC0F1C"/>
    <w:rsid w:val="00FC18DF"/>
    <w:rsid w:val="00FC2AF9"/>
    <w:rsid w:val="00FC5B2D"/>
    <w:rsid w:val="00FC62AC"/>
    <w:rsid w:val="00FC68DF"/>
    <w:rsid w:val="00FD0962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2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D06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NameInfo">
    <w:name w:val="Author's Name &amp; Info"/>
    <w:uiPriority w:val="99"/>
    <w:rsid w:val="00FA7593"/>
    <w:pPr>
      <w:suppressAutoHyphens/>
      <w:spacing w:after="0" w:line="480" w:lineRule="auto"/>
    </w:pPr>
    <w:rPr>
      <w:rFonts w:ascii="Helvetica" w:eastAsia="Times New Roman" w:hAnsi="Helvetica" w:cs="Helvetica"/>
      <w:color w:val="000000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D06B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D0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D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AD06BE"/>
  </w:style>
  <w:style w:type="character" w:customStyle="1" w:styleId="Heading3Char">
    <w:name w:val="Heading 3 Char"/>
    <w:basedOn w:val="DefaultParagraphFont"/>
    <w:link w:val="Heading3"/>
    <w:uiPriority w:val="9"/>
    <w:semiHidden/>
    <w:rsid w:val="00FB22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varticle">
    <w:name w:val="svarticle"/>
    <w:basedOn w:val="Normal"/>
    <w:rsid w:val="00FB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22C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21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uthors">
    <w:name w:val="authors"/>
    <w:basedOn w:val="Normal"/>
    <w:rsid w:val="0022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21C5"/>
    <w:rPr>
      <w:b/>
      <w:bCs/>
    </w:rPr>
  </w:style>
  <w:style w:type="paragraph" w:customStyle="1" w:styleId="options">
    <w:name w:val="options"/>
    <w:basedOn w:val="Normal"/>
    <w:rsid w:val="0022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21C5"/>
    <w:rPr>
      <w:i/>
      <w:iCs/>
    </w:rPr>
  </w:style>
  <w:style w:type="character" w:customStyle="1" w:styleId="pseudotab">
    <w:name w:val="pseudotab"/>
    <w:basedOn w:val="DefaultParagraphFont"/>
    <w:rsid w:val="002221C5"/>
  </w:style>
  <w:style w:type="character" w:customStyle="1" w:styleId="ui-ncbitoggler-master-text">
    <w:name w:val="ui-ncbitoggler-master-text"/>
    <w:basedOn w:val="DefaultParagraphFont"/>
    <w:rsid w:val="00B81008"/>
  </w:style>
  <w:style w:type="character" w:customStyle="1" w:styleId="Heading2Char">
    <w:name w:val="Heading 2 Char"/>
    <w:basedOn w:val="DefaultParagraphFont"/>
    <w:link w:val="Heading2"/>
    <w:uiPriority w:val="9"/>
    <w:semiHidden/>
    <w:rsid w:val="00A867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">
    <w:name w:val="para"/>
    <w:basedOn w:val="Normal"/>
    <w:rsid w:val="00A8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6783"/>
    <w:rPr>
      <w:color w:val="954F72" w:themeColor="followedHyperlink"/>
      <w:u w:val="single"/>
    </w:rPr>
  </w:style>
  <w:style w:type="paragraph" w:customStyle="1" w:styleId="authorsnameinfo0">
    <w:name w:val="authorsnameinfo"/>
    <w:basedOn w:val="Normal"/>
    <w:rsid w:val="00315A4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derline1">
    <w:name w:val="underline1"/>
    <w:basedOn w:val="DefaultParagraphFont"/>
    <w:rsid w:val="000E7FB1"/>
    <w:rPr>
      <w:u w:val="single"/>
    </w:rPr>
  </w:style>
  <w:style w:type="character" w:customStyle="1" w:styleId="label">
    <w:name w:val="label"/>
    <w:basedOn w:val="DefaultParagraphFont"/>
    <w:rsid w:val="000E7FB1"/>
  </w:style>
  <w:style w:type="character" w:customStyle="1" w:styleId="cell">
    <w:name w:val="cell"/>
    <w:basedOn w:val="DefaultParagraphFont"/>
    <w:rsid w:val="000E7FB1"/>
  </w:style>
  <w:style w:type="character" w:customStyle="1" w:styleId="quality-sign1">
    <w:name w:val="quality-sign1"/>
    <w:basedOn w:val="DefaultParagraphFont"/>
    <w:rsid w:val="000E7FB1"/>
    <w:rPr>
      <w:rFonts w:ascii="GRADE-quality" w:hAnsi="GRADE-quality" w:hint="default"/>
      <w:sz w:val="21"/>
      <w:szCs w:val="21"/>
    </w:rPr>
  </w:style>
  <w:style w:type="character" w:customStyle="1" w:styleId="cell-value">
    <w:name w:val="cell-value"/>
    <w:basedOn w:val="DefaultParagraphFont"/>
    <w:rsid w:val="000E7FB1"/>
  </w:style>
  <w:style w:type="character" w:customStyle="1" w:styleId="block">
    <w:name w:val="block"/>
    <w:basedOn w:val="DefaultParagraphFont"/>
    <w:rsid w:val="000E7FB1"/>
  </w:style>
  <w:style w:type="paragraph" w:styleId="BalloonText">
    <w:name w:val="Balloon Text"/>
    <w:basedOn w:val="Normal"/>
    <w:link w:val="BalloonTextChar"/>
    <w:uiPriority w:val="99"/>
    <w:semiHidden/>
    <w:unhideWhenUsed/>
    <w:rsid w:val="00190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8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B599F"/>
  </w:style>
  <w:style w:type="character" w:customStyle="1" w:styleId="fulltext-it">
    <w:name w:val="fulltext-it"/>
    <w:basedOn w:val="DefaultParagraphFont"/>
    <w:rsid w:val="00912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2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D06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NameInfo">
    <w:name w:val="Author's Name &amp; Info"/>
    <w:uiPriority w:val="99"/>
    <w:rsid w:val="00FA7593"/>
    <w:pPr>
      <w:suppressAutoHyphens/>
      <w:spacing w:after="0" w:line="480" w:lineRule="auto"/>
    </w:pPr>
    <w:rPr>
      <w:rFonts w:ascii="Helvetica" w:eastAsia="Times New Roman" w:hAnsi="Helvetica" w:cs="Helvetica"/>
      <w:color w:val="000000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D06B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D0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D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AD06BE"/>
  </w:style>
  <w:style w:type="character" w:customStyle="1" w:styleId="Heading3Char">
    <w:name w:val="Heading 3 Char"/>
    <w:basedOn w:val="DefaultParagraphFont"/>
    <w:link w:val="Heading3"/>
    <w:uiPriority w:val="9"/>
    <w:semiHidden/>
    <w:rsid w:val="00FB22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varticle">
    <w:name w:val="svarticle"/>
    <w:basedOn w:val="Normal"/>
    <w:rsid w:val="00FB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22C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21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uthors">
    <w:name w:val="authors"/>
    <w:basedOn w:val="Normal"/>
    <w:rsid w:val="0022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21C5"/>
    <w:rPr>
      <w:b/>
      <w:bCs/>
    </w:rPr>
  </w:style>
  <w:style w:type="paragraph" w:customStyle="1" w:styleId="options">
    <w:name w:val="options"/>
    <w:basedOn w:val="Normal"/>
    <w:rsid w:val="0022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21C5"/>
    <w:rPr>
      <w:i/>
      <w:iCs/>
    </w:rPr>
  </w:style>
  <w:style w:type="character" w:customStyle="1" w:styleId="pseudotab">
    <w:name w:val="pseudotab"/>
    <w:basedOn w:val="DefaultParagraphFont"/>
    <w:rsid w:val="002221C5"/>
  </w:style>
  <w:style w:type="character" w:customStyle="1" w:styleId="ui-ncbitoggler-master-text">
    <w:name w:val="ui-ncbitoggler-master-text"/>
    <w:basedOn w:val="DefaultParagraphFont"/>
    <w:rsid w:val="00B81008"/>
  </w:style>
  <w:style w:type="character" w:customStyle="1" w:styleId="Heading2Char">
    <w:name w:val="Heading 2 Char"/>
    <w:basedOn w:val="DefaultParagraphFont"/>
    <w:link w:val="Heading2"/>
    <w:uiPriority w:val="9"/>
    <w:semiHidden/>
    <w:rsid w:val="00A867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">
    <w:name w:val="para"/>
    <w:basedOn w:val="Normal"/>
    <w:rsid w:val="00A8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6783"/>
    <w:rPr>
      <w:color w:val="954F72" w:themeColor="followedHyperlink"/>
      <w:u w:val="single"/>
    </w:rPr>
  </w:style>
  <w:style w:type="paragraph" w:customStyle="1" w:styleId="authorsnameinfo0">
    <w:name w:val="authorsnameinfo"/>
    <w:basedOn w:val="Normal"/>
    <w:rsid w:val="00315A4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derline1">
    <w:name w:val="underline1"/>
    <w:basedOn w:val="DefaultParagraphFont"/>
    <w:rsid w:val="000E7FB1"/>
    <w:rPr>
      <w:u w:val="single"/>
    </w:rPr>
  </w:style>
  <w:style w:type="character" w:customStyle="1" w:styleId="label">
    <w:name w:val="label"/>
    <w:basedOn w:val="DefaultParagraphFont"/>
    <w:rsid w:val="000E7FB1"/>
  </w:style>
  <w:style w:type="character" w:customStyle="1" w:styleId="cell">
    <w:name w:val="cell"/>
    <w:basedOn w:val="DefaultParagraphFont"/>
    <w:rsid w:val="000E7FB1"/>
  </w:style>
  <w:style w:type="character" w:customStyle="1" w:styleId="quality-sign1">
    <w:name w:val="quality-sign1"/>
    <w:basedOn w:val="DefaultParagraphFont"/>
    <w:rsid w:val="000E7FB1"/>
    <w:rPr>
      <w:rFonts w:ascii="GRADE-quality" w:hAnsi="GRADE-quality" w:hint="default"/>
      <w:sz w:val="21"/>
      <w:szCs w:val="21"/>
    </w:rPr>
  </w:style>
  <w:style w:type="character" w:customStyle="1" w:styleId="cell-value">
    <w:name w:val="cell-value"/>
    <w:basedOn w:val="DefaultParagraphFont"/>
    <w:rsid w:val="000E7FB1"/>
  </w:style>
  <w:style w:type="character" w:customStyle="1" w:styleId="block">
    <w:name w:val="block"/>
    <w:basedOn w:val="DefaultParagraphFont"/>
    <w:rsid w:val="000E7FB1"/>
  </w:style>
  <w:style w:type="paragraph" w:styleId="BalloonText">
    <w:name w:val="Balloon Text"/>
    <w:basedOn w:val="Normal"/>
    <w:link w:val="BalloonTextChar"/>
    <w:uiPriority w:val="99"/>
    <w:semiHidden/>
    <w:unhideWhenUsed/>
    <w:rsid w:val="00190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8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B599F"/>
  </w:style>
  <w:style w:type="character" w:customStyle="1" w:styleId="fulltext-it">
    <w:name w:val="fulltext-it"/>
    <w:basedOn w:val="DefaultParagraphFont"/>
    <w:rsid w:val="0091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3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5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ncbi.nlm.nih.gov/pubmed/152761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14FD-5929-4BA3-B22E-198E2808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Elbarbary</dc:creator>
  <cp:keywords/>
  <dc:description/>
  <cp:lastModifiedBy>Baeuerlein, Christopher</cp:lastModifiedBy>
  <cp:revision>8</cp:revision>
  <dcterms:created xsi:type="dcterms:W3CDTF">2015-09-04T13:05:00Z</dcterms:created>
  <dcterms:modified xsi:type="dcterms:W3CDTF">2016-03-16T14:52:00Z</dcterms:modified>
</cp:coreProperties>
</file>