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C59" w:rsidRDefault="004F0C59" w:rsidP="004F0C59">
      <w:pPr>
        <w:spacing w:line="240" w:lineRule="auto"/>
        <w:rPr>
          <w:rFonts w:cs="Times New Roman"/>
          <w:b/>
        </w:rPr>
      </w:pPr>
      <w:r w:rsidRPr="004F0C59">
        <w:rPr>
          <w:rFonts w:cs="Times New Roman"/>
          <w:b/>
        </w:rPr>
        <w:t>Supplemental Material</w:t>
      </w:r>
    </w:p>
    <w:p w:rsidR="005658C6" w:rsidRPr="004F0C59" w:rsidRDefault="005658C6" w:rsidP="004F0C59">
      <w:pPr>
        <w:spacing w:line="240" w:lineRule="auto"/>
        <w:rPr>
          <w:rFonts w:cs="Times New Roman"/>
          <w:b/>
        </w:rPr>
      </w:pPr>
    </w:p>
    <w:sdt>
      <w:sdtPr>
        <w:rPr>
          <w:rFonts w:asciiTheme="minorHAnsi" w:eastAsiaTheme="minorEastAsia" w:hAnsiTheme="minorHAnsi" w:cs="Times New Roman"/>
          <w:b w:val="0"/>
          <w:bCs w:val="0"/>
          <w:color w:val="auto"/>
          <w:sz w:val="22"/>
          <w:szCs w:val="22"/>
          <w:lang w:eastAsia="en-US"/>
        </w:rPr>
        <w:id w:val="1428077941"/>
        <w:docPartObj>
          <w:docPartGallery w:val="Table of Contents"/>
          <w:docPartUnique/>
        </w:docPartObj>
      </w:sdtPr>
      <w:sdtEndPr>
        <w:rPr>
          <w:rFonts w:eastAsiaTheme="minorHAnsi"/>
        </w:rPr>
      </w:sdtEndPr>
      <w:sdtContent>
        <w:p w:rsidR="004F0C59" w:rsidRPr="005658C6" w:rsidRDefault="004F0C59" w:rsidP="005F338B">
          <w:pPr>
            <w:pStyle w:val="TOCHeading"/>
            <w:spacing w:before="0" w:line="360" w:lineRule="auto"/>
            <w:contextualSpacing/>
            <w:rPr>
              <w:rFonts w:asciiTheme="minorHAnsi" w:eastAsiaTheme="minorEastAsia" w:hAnsiTheme="minorHAnsi" w:cs="Times New Roman"/>
              <w:b w:val="0"/>
              <w:bCs w:val="0"/>
              <w:color w:val="auto"/>
              <w:sz w:val="22"/>
              <w:szCs w:val="22"/>
              <w:lang w:eastAsia="en-US"/>
            </w:rPr>
          </w:pPr>
          <w:r w:rsidRPr="004F0C59">
            <w:rPr>
              <w:rFonts w:asciiTheme="minorHAnsi" w:hAnsiTheme="minorHAnsi" w:cs="Times New Roman"/>
              <w:color w:val="auto"/>
              <w:sz w:val="22"/>
              <w:szCs w:val="22"/>
            </w:rPr>
            <w:t>Table of Contents</w:t>
          </w:r>
        </w:p>
        <w:p w:rsidR="004F0C59" w:rsidRPr="004F0C59" w:rsidRDefault="004F0C59" w:rsidP="005F338B">
          <w:pPr>
            <w:pStyle w:val="TOC1"/>
            <w:spacing w:line="360" w:lineRule="auto"/>
            <w:contextualSpacing/>
            <w:rPr>
              <w:rFonts w:cs="Times New Roman"/>
            </w:rPr>
          </w:pPr>
        </w:p>
        <w:p w:rsidR="004F0C59" w:rsidRDefault="004F0C59" w:rsidP="005F338B">
          <w:pPr>
            <w:pStyle w:val="TOC1"/>
            <w:spacing w:after="0" w:line="360" w:lineRule="auto"/>
            <w:contextualSpacing/>
            <w:rPr>
              <w:rFonts w:cs="Times New Roman"/>
            </w:rPr>
          </w:pPr>
          <w:r w:rsidRPr="005F338B">
            <w:rPr>
              <w:rFonts w:cs="Times New Roman"/>
            </w:rPr>
            <w:t>Methods: V</w:t>
          </w:r>
          <w:r w:rsidR="005658C6">
            <w:rPr>
              <w:rFonts w:cs="Times New Roman"/>
            </w:rPr>
            <w:t>entilator-Associated Event (VAE)</w:t>
          </w:r>
          <w:r>
            <w:rPr>
              <w:rFonts w:cs="Times New Roman"/>
            </w:rPr>
            <w:t xml:space="preserve"> definitions</w:t>
          </w:r>
          <w:r w:rsidRPr="004F0C59">
            <w:rPr>
              <w:rFonts w:cs="Times New Roman"/>
            </w:rPr>
            <w:ptab w:relativeTo="margin" w:alignment="right" w:leader="dot"/>
          </w:r>
          <w:r w:rsidRPr="004F0C59">
            <w:rPr>
              <w:rFonts w:cs="Times New Roman"/>
            </w:rPr>
            <w:t>2</w:t>
          </w:r>
        </w:p>
        <w:p w:rsidR="005F338B" w:rsidRPr="005F338B" w:rsidRDefault="005F338B" w:rsidP="005F338B">
          <w:pPr>
            <w:spacing w:after="0" w:line="360" w:lineRule="auto"/>
            <w:contextualSpacing/>
            <w:rPr>
              <w:b/>
              <w:lang w:eastAsia="ja-JP"/>
            </w:rPr>
          </w:pPr>
          <w:r w:rsidRPr="005F338B">
            <w:rPr>
              <w:b/>
              <w:lang w:eastAsia="ja-JP"/>
            </w:rPr>
            <w:t>Methods: VAE incidence rates</w:t>
          </w:r>
          <w:r w:rsidRPr="005F338B">
            <w:rPr>
              <w:rFonts w:cs="Times New Roman"/>
              <w:b/>
            </w:rPr>
            <w:ptab w:relativeTo="margin" w:alignment="right" w:leader="dot"/>
          </w:r>
          <w:r w:rsidR="00B7505D">
            <w:rPr>
              <w:rFonts w:cs="Times New Roman"/>
              <w:b/>
            </w:rPr>
            <w:t>4</w:t>
          </w:r>
        </w:p>
        <w:p w:rsidR="005F338B" w:rsidRPr="005F338B" w:rsidRDefault="005F338B" w:rsidP="005F338B">
          <w:pPr>
            <w:spacing w:after="0" w:line="360" w:lineRule="auto"/>
            <w:contextualSpacing/>
            <w:rPr>
              <w:lang w:eastAsia="ja-JP"/>
            </w:rPr>
          </w:pPr>
          <w:r w:rsidRPr="005F338B">
            <w:rPr>
              <w:b/>
              <w:lang w:eastAsia="ja-JP"/>
            </w:rPr>
            <w:t>Methods: Pathogen reporting</w:t>
          </w:r>
          <w:r w:rsidRPr="005F338B">
            <w:rPr>
              <w:rFonts w:cs="Times New Roman"/>
              <w:b/>
            </w:rPr>
            <w:ptab w:relativeTo="margin" w:alignment="right" w:leader="dot"/>
          </w:r>
          <w:r w:rsidR="00B7505D">
            <w:rPr>
              <w:rFonts w:cs="Times New Roman"/>
              <w:b/>
            </w:rPr>
            <w:t>5</w:t>
          </w:r>
        </w:p>
        <w:p w:rsidR="00535370" w:rsidRPr="00535370" w:rsidRDefault="005F338B" w:rsidP="005F338B">
          <w:pPr>
            <w:pStyle w:val="TOC1"/>
            <w:spacing w:line="360" w:lineRule="auto"/>
            <w:contextualSpacing/>
            <w:rPr>
              <w:rFonts w:cs="Times New Roman"/>
            </w:rPr>
          </w:pPr>
          <w:r>
            <w:rPr>
              <w:rFonts w:cs="Times New Roman"/>
            </w:rPr>
            <w:t>Results</w:t>
          </w:r>
          <w:r w:rsidR="004F0C59">
            <w:rPr>
              <w:rFonts w:cs="Times New Roman"/>
            </w:rPr>
            <w:t>: VAE incidence rates</w:t>
          </w:r>
          <w:r w:rsidR="001F234A" w:rsidRPr="004F0C59">
            <w:rPr>
              <w:rFonts w:cs="Times New Roman"/>
            </w:rPr>
            <w:ptab w:relativeTo="margin" w:alignment="right" w:leader="dot"/>
          </w:r>
          <w:r w:rsidR="00B7505D">
            <w:rPr>
              <w:rFonts w:cs="Times New Roman"/>
            </w:rPr>
            <w:t>6</w:t>
          </w:r>
        </w:p>
        <w:p w:rsidR="004F0C59" w:rsidRDefault="005658C6" w:rsidP="005658C6">
          <w:pPr>
            <w:pStyle w:val="TOC1"/>
            <w:spacing w:after="0" w:line="360" w:lineRule="auto"/>
            <w:contextualSpacing/>
            <w:rPr>
              <w:rFonts w:cs="Times New Roman"/>
            </w:rPr>
          </w:pPr>
          <w:r>
            <w:rPr>
              <w:rFonts w:cs="Times New Roman"/>
            </w:rPr>
            <w:t>eTable</w:t>
          </w:r>
          <w:r w:rsidR="004F0C59" w:rsidRPr="004F0C59">
            <w:rPr>
              <w:rFonts w:cs="Times New Roman"/>
            </w:rPr>
            <w:ptab w:relativeTo="margin" w:alignment="right" w:leader="dot"/>
          </w:r>
          <w:r w:rsidR="00B7505D">
            <w:rPr>
              <w:rFonts w:cs="Times New Roman"/>
            </w:rPr>
            <w:t>7</w:t>
          </w:r>
        </w:p>
        <w:p w:rsidR="0044328A" w:rsidRPr="005658C6" w:rsidRDefault="005658C6" w:rsidP="005658C6">
          <w:pPr>
            <w:spacing w:after="0"/>
            <w:rPr>
              <w:b/>
              <w:lang w:eastAsia="ja-JP"/>
            </w:rPr>
          </w:pPr>
          <w:r>
            <w:rPr>
              <w:b/>
              <w:lang w:eastAsia="ja-JP"/>
            </w:rPr>
            <w:t>e</w:t>
          </w:r>
          <w:r w:rsidR="0044328A" w:rsidRPr="005658C6">
            <w:rPr>
              <w:b/>
              <w:lang w:eastAsia="ja-JP"/>
            </w:rPr>
            <w:t>Figure</w:t>
          </w:r>
          <w:r w:rsidRPr="005658C6">
            <w:rPr>
              <w:rFonts w:cs="Times New Roman"/>
              <w:b/>
            </w:rPr>
            <w:ptab w:relativeTo="margin" w:alignment="right" w:leader="dot"/>
          </w:r>
          <w:r w:rsidR="00B7505D">
            <w:rPr>
              <w:rFonts w:cs="Times New Roman"/>
              <w:b/>
            </w:rPr>
            <w:t>8</w:t>
          </w:r>
        </w:p>
        <w:p w:rsidR="004F0C59" w:rsidRPr="004F0C59" w:rsidRDefault="004F0C59" w:rsidP="005F338B">
          <w:pPr>
            <w:pStyle w:val="TOC1"/>
            <w:spacing w:line="360" w:lineRule="auto"/>
            <w:contextualSpacing/>
            <w:rPr>
              <w:rFonts w:cs="Times New Roman"/>
            </w:rPr>
          </w:pPr>
        </w:p>
        <w:p w:rsidR="004F0C59" w:rsidRPr="004F0C59" w:rsidRDefault="004F0C59" w:rsidP="004F0C59">
          <w:pPr>
            <w:rPr>
              <w:lang w:eastAsia="ja-JP"/>
            </w:rPr>
          </w:pPr>
        </w:p>
        <w:p w:rsidR="004F0C59" w:rsidRPr="004F0C59" w:rsidRDefault="004F0C59" w:rsidP="004F0C59">
          <w:pPr>
            <w:rPr>
              <w:lang w:eastAsia="ja-JP"/>
            </w:rPr>
          </w:pPr>
        </w:p>
        <w:p w:rsidR="004F0C59" w:rsidRDefault="00B7505D" w:rsidP="004F0C59">
          <w:pPr>
            <w:rPr>
              <w:rFonts w:ascii="Times New Roman" w:hAnsi="Times New Roman" w:cs="Times New Roman"/>
              <w:sz w:val="20"/>
              <w:szCs w:val="20"/>
            </w:rPr>
          </w:pPr>
        </w:p>
      </w:sdtContent>
    </w:sdt>
    <w:p w:rsidR="004F0C59" w:rsidRDefault="004F0C59">
      <w:pPr>
        <w:rPr>
          <w:b/>
        </w:rPr>
      </w:pPr>
      <w:r>
        <w:rPr>
          <w:b/>
        </w:rPr>
        <w:br w:type="page"/>
      </w:r>
    </w:p>
    <w:p w:rsidR="003263F1" w:rsidRDefault="003263F1">
      <w:pPr>
        <w:rPr>
          <w:i/>
        </w:rPr>
      </w:pPr>
      <w:r>
        <w:rPr>
          <w:i/>
        </w:rPr>
        <w:lastRenderedPageBreak/>
        <w:t xml:space="preserve">Methods: </w:t>
      </w:r>
      <w:r w:rsidR="005658C6">
        <w:rPr>
          <w:i/>
        </w:rPr>
        <w:t xml:space="preserve">Ventilator-Associated Event (VAE) </w:t>
      </w:r>
      <w:r>
        <w:rPr>
          <w:i/>
        </w:rPr>
        <w:t>definitions</w:t>
      </w:r>
    </w:p>
    <w:p w:rsidR="003263F1" w:rsidRDefault="005658C6" w:rsidP="003263F1">
      <w:pPr>
        <w:spacing w:line="480" w:lineRule="auto"/>
        <w:ind w:firstLine="720"/>
        <w:rPr>
          <w:rFonts w:ascii="Calibri" w:hAnsi="Calibri"/>
        </w:rPr>
      </w:pPr>
      <w:r>
        <w:rPr>
          <w:rFonts w:ascii="Calibri" w:hAnsi="Calibri"/>
        </w:rPr>
        <w:t>There are</w:t>
      </w:r>
      <w:r w:rsidR="003263F1">
        <w:rPr>
          <w:rFonts w:ascii="Calibri" w:hAnsi="Calibri"/>
        </w:rPr>
        <w:t xml:space="preserve"> three </w:t>
      </w:r>
      <w:r>
        <w:rPr>
          <w:rFonts w:ascii="Calibri" w:hAnsi="Calibri"/>
        </w:rPr>
        <w:t>VAE</w:t>
      </w:r>
      <w:r w:rsidR="003263F1">
        <w:rPr>
          <w:rFonts w:ascii="Calibri" w:hAnsi="Calibri"/>
        </w:rPr>
        <w:t xml:space="preserve"> surveillance definition syndromes</w:t>
      </w:r>
      <w:r>
        <w:rPr>
          <w:rFonts w:ascii="Calibri" w:hAnsi="Calibri"/>
        </w:rPr>
        <w:t>. T</w:t>
      </w:r>
      <w:r w:rsidR="003263F1">
        <w:rPr>
          <w:rFonts w:ascii="Calibri" w:hAnsi="Calibri"/>
        </w:rPr>
        <w:t xml:space="preserve">he most inclusive is </w:t>
      </w:r>
      <w:r>
        <w:rPr>
          <w:rFonts w:ascii="Calibri" w:hAnsi="Calibri"/>
        </w:rPr>
        <w:t>Ventilator-Associated Condition (</w:t>
      </w:r>
      <w:r w:rsidR="003263F1">
        <w:rPr>
          <w:rFonts w:ascii="Calibri" w:hAnsi="Calibri"/>
        </w:rPr>
        <w:t>VAC</w:t>
      </w:r>
      <w:r>
        <w:rPr>
          <w:rFonts w:ascii="Calibri" w:hAnsi="Calibri"/>
        </w:rPr>
        <w:t>)</w:t>
      </w:r>
      <w:r w:rsidR="003263F1">
        <w:rPr>
          <w:rFonts w:ascii="Calibri" w:hAnsi="Calibri"/>
        </w:rPr>
        <w:t>; a subset of VAC is</w:t>
      </w:r>
      <w:r>
        <w:rPr>
          <w:rFonts w:ascii="Calibri" w:hAnsi="Calibri"/>
        </w:rPr>
        <w:t xml:space="preserve"> Infection-related Ventilator-Associated Complication (</w:t>
      </w:r>
      <w:r w:rsidR="003263F1">
        <w:rPr>
          <w:rFonts w:ascii="Calibri" w:hAnsi="Calibri"/>
        </w:rPr>
        <w:t>IVAC</w:t>
      </w:r>
      <w:r>
        <w:rPr>
          <w:rFonts w:ascii="Calibri" w:hAnsi="Calibri"/>
        </w:rPr>
        <w:t>)</w:t>
      </w:r>
      <w:r w:rsidR="003263F1">
        <w:rPr>
          <w:rFonts w:ascii="Calibri" w:hAnsi="Calibri"/>
        </w:rPr>
        <w:t xml:space="preserve">, and a subset of IVAC is </w:t>
      </w:r>
      <w:r>
        <w:rPr>
          <w:rFonts w:ascii="Calibri" w:hAnsi="Calibri"/>
        </w:rPr>
        <w:t>Possible Ventilator-Associated Pneumonia (</w:t>
      </w:r>
      <w:r w:rsidR="003263F1">
        <w:rPr>
          <w:rFonts w:ascii="Calibri" w:hAnsi="Calibri"/>
        </w:rPr>
        <w:t>PoVAP</w:t>
      </w:r>
      <w:r>
        <w:rPr>
          <w:rFonts w:ascii="Calibri" w:hAnsi="Calibri"/>
        </w:rPr>
        <w:t>)</w:t>
      </w:r>
      <w:r w:rsidR="003263F1">
        <w:rPr>
          <w:rFonts w:ascii="Calibri" w:hAnsi="Calibri"/>
        </w:rPr>
        <w:t xml:space="preserve"> and </w:t>
      </w:r>
      <w:r>
        <w:rPr>
          <w:rFonts w:ascii="Calibri" w:hAnsi="Calibri"/>
        </w:rPr>
        <w:t>Probable VAP (</w:t>
      </w:r>
      <w:r w:rsidR="003263F1">
        <w:rPr>
          <w:rFonts w:ascii="Calibri" w:hAnsi="Calibri"/>
        </w:rPr>
        <w:t>PrVAP</w:t>
      </w:r>
      <w:r>
        <w:rPr>
          <w:rFonts w:ascii="Calibri" w:hAnsi="Calibri"/>
        </w:rPr>
        <w:t>). In 2015, PoVAP and PrVAP were c</w:t>
      </w:r>
      <w:r w:rsidR="004F0C59">
        <w:rPr>
          <w:rFonts w:ascii="Calibri" w:hAnsi="Calibri"/>
        </w:rPr>
        <w:t xml:space="preserve">ombined into </w:t>
      </w:r>
      <w:r>
        <w:rPr>
          <w:rFonts w:ascii="Calibri" w:hAnsi="Calibri"/>
        </w:rPr>
        <w:t>a single Possible VAP (</w:t>
      </w:r>
      <w:r w:rsidR="004F0C59">
        <w:rPr>
          <w:rFonts w:ascii="Calibri" w:hAnsi="Calibri"/>
        </w:rPr>
        <w:t>PVAP</w:t>
      </w:r>
      <w:r>
        <w:rPr>
          <w:rFonts w:ascii="Calibri" w:hAnsi="Calibri"/>
        </w:rPr>
        <w:t>) definition</w:t>
      </w:r>
      <w:r w:rsidR="004F0C59">
        <w:rPr>
          <w:rFonts w:ascii="Calibri" w:hAnsi="Calibri"/>
        </w:rPr>
        <w:t xml:space="preserve"> </w:t>
      </w:r>
      <w:r>
        <w:rPr>
          <w:rFonts w:ascii="Calibri" w:hAnsi="Calibri"/>
        </w:rPr>
        <w:t>(</w:t>
      </w:r>
      <w:r w:rsidR="003263F1">
        <w:rPr>
          <w:rFonts w:ascii="Calibri" w:hAnsi="Calibri"/>
        </w:rPr>
        <w:t>Figure 1). VAC is defined by a ≥2-day period of worsening oxygenation following a ≥2-day period of stability or improvement on the ventilator. Worsening oxygenation is defined as a ≥3 cmH</w:t>
      </w:r>
      <w:r w:rsidR="003263F1" w:rsidRPr="00040A9F">
        <w:rPr>
          <w:rFonts w:ascii="Calibri" w:hAnsi="Calibri"/>
          <w:vertAlign w:val="subscript"/>
        </w:rPr>
        <w:t>2</w:t>
      </w:r>
      <w:r w:rsidR="003263F1">
        <w:rPr>
          <w:rFonts w:ascii="Calibri" w:hAnsi="Calibri"/>
        </w:rPr>
        <w:t>O increase in the daily minimum positive end-expiratory pressure (PEEP) or a ≥0.20 increase in the daily minimum fraction of inspired oxygen (FiO</w:t>
      </w:r>
      <w:r w:rsidR="003263F1" w:rsidRPr="00040A9F">
        <w:rPr>
          <w:rFonts w:ascii="Calibri" w:hAnsi="Calibri"/>
          <w:vertAlign w:val="subscript"/>
        </w:rPr>
        <w:t>2</w:t>
      </w:r>
      <w:r w:rsidR="003263F1">
        <w:rPr>
          <w:rFonts w:ascii="Calibri" w:hAnsi="Calibri"/>
        </w:rPr>
        <w:t>). Daily minimum PEEP values between 0 and 5 cmH</w:t>
      </w:r>
      <w:r w:rsidR="003263F1" w:rsidRPr="00040A9F">
        <w:rPr>
          <w:rFonts w:ascii="Calibri" w:hAnsi="Calibri"/>
          <w:vertAlign w:val="subscript"/>
        </w:rPr>
        <w:t>2</w:t>
      </w:r>
      <w:r w:rsidR="003263F1">
        <w:rPr>
          <w:rFonts w:ascii="Calibri" w:hAnsi="Calibri"/>
        </w:rPr>
        <w:t>O are considered equivalent to a daily minimum value of 5 cmH</w:t>
      </w:r>
      <w:r w:rsidR="003263F1" w:rsidRPr="00040A9F">
        <w:rPr>
          <w:rFonts w:ascii="Calibri" w:hAnsi="Calibri"/>
          <w:vertAlign w:val="subscript"/>
        </w:rPr>
        <w:t>2</w:t>
      </w:r>
      <w:r w:rsidR="003263F1">
        <w:rPr>
          <w:rFonts w:ascii="Calibri" w:hAnsi="Calibri"/>
        </w:rPr>
        <w:t>O for the purposes of VAE surveillance, such that a sustained increase in the daily minimum PEEP to 8 cmH</w:t>
      </w:r>
      <w:r w:rsidR="003263F1" w:rsidRPr="00040A9F">
        <w:rPr>
          <w:rFonts w:ascii="Calibri" w:hAnsi="Calibri"/>
          <w:vertAlign w:val="subscript"/>
        </w:rPr>
        <w:t>2</w:t>
      </w:r>
      <w:r w:rsidR="003263F1">
        <w:rPr>
          <w:rFonts w:ascii="Calibri" w:hAnsi="Calibri"/>
        </w:rPr>
        <w:t xml:space="preserve">O is needed to meet the VAC definition. The second syndrome, IVAC, can only be detected in patients with a VAC who also have the following: 1) an abnormal temperature or white blood cell count within a specified time frame around the date of onset of worsening oxygenation; and 2) a new antimicrobial drug started and continued for ≥4 calendar days during the same, specified time frame around the date of onset of worsening oxygenation. The third syndrome in 2014 was composed of the PoVAP and PrVAP surveillance events, which could only be detected in patients with IVAC who also had laboratory evidence of pneumonia (e.g., positive culture of lower respiratory secretions, positive diagnostic test for selected respiratory viruses, objectively-defined purulent lower respiratory secretions, etc.). </w:t>
      </w:r>
    </w:p>
    <w:p w:rsidR="003263F1" w:rsidRDefault="003263F1" w:rsidP="003263F1">
      <w:pPr>
        <w:spacing w:line="480" w:lineRule="auto"/>
        <w:rPr>
          <w:rFonts w:ascii="Calibri" w:hAnsi="Calibri"/>
        </w:rPr>
      </w:pPr>
      <w:r>
        <w:rPr>
          <w:rFonts w:ascii="Calibri" w:hAnsi="Calibri"/>
        </w:rPr>
        <w:tab/>
        <w:t xml:space="preserve">The minimum amount of time on a mechanical ventilator required to meet a VAE definition is 4 calendar days. Patients who are not on a mechanical ventilator for some portion of each of 4 consecutive calendar days cannot meet the VAE definitions. The earliest possible date of VAE onset (defined as the first day of the ≥2-day period of worsening oxygenation) is mechanical ventilation day 3, where the day of intubation or initiation of mechanical ventilation is day 1. According to the VAE </w:t>
      </w:r>
      <w:r>
        <w:rPr>
          <w:rFonts w:ascii="Calibri" w:hAnsi="Calibri"/>
        </w:rPr>
        <w:lastRenderedPageBreak/>
        <w:t>surveillance protocol (8), pathogens can be reported for PoVAP and PrVAP (PVAP in 2015), but not for VAC or IVAC.</w:t>
      </w:r>
    </w:p>
    <w:p w:rsidR="003263F1" w:rsidRDefault="003263F1">
      <w:pPr>
        <w:rPr>
          <w:i/>
        </w:rPr>
      </w:pPr>
    </w:p>
    <w:p w:rsidR="005F338B" w:rsidRDefault="005F338B">
      <w:pPr>
        <w:rPr>
          <w:i/>
        </w:rPr>
      </w:pPr>
      <w:r>
        <w:rPr>
          <w:i/>
        </w:rPr>
        <w:br w:type="page"/>
      </w:r>
    </w:p>
    <w:p w:rsidR="00A43352" w:rsidRPr="00A43352" w:rsidRDefault="002701E3" w:rsidP="005F338B">
      <w:pPr>
        <w:tabs>
          <w:tab w:val="left" w:pos="6405"/>
        </w:tabs>
        <w:rPr>
          <w:i/>
        </w:rPr>
      </w:pPr>
      <w:r>
        <w:rPr>
          <w:i/>
        </w:rPr>
        <w:lastRenderedPageBreak/>
        <w:t xml:space="preserve">Methods: </w:t>
      </w:r>
      <w:r w:rsidR="00A43352" w:rsidRPr="00A43352">
        <w:rPr>
          <w:i/>
        </w:rPr>
        <w:t>VAE incidence rates</w:t>
      </w:r>
      <w:r w:rsidR="005F338B">
        <w:rPr>
          <w:i/>
        </w:rPr>
        <w:tab/>
      </w:r>
    </w:p>
    <w:p w:rsidR="003263F1" w:rsidRDefault="003263F1" w:rsidP="003263F1">
      <w:pPr>
        <w:spacing w:after="0" w:line="480" w:lineRule="auto"/>
        <w:ind w:firstLine="720"/>
        <w:rPr>
          <w:rFonts w:ascii="Calibri" w:hAnsi="Calibri"/>
        </w:rPr>
      </w:pPr>
      <w:r>
        <w:rPr>
          <w:rFonts w:ascii="Calibri" w:hAnsi="Calibri"/>
        </w:rPr>
        <w:t>The VAE definition syndromes potentially appropriate for use in inter-facility rate comparisons are: 1) overall VAE (i.e., all events meeting at least the VAC definition); and 2) IVAC-plus (i.e., all events meeting at least the IVAC definition). The VAC and IVAC definitions are based on objective criteria that are readily-available in mechanically-ventilated patients’ medical records. IVAC-plus events represent those VACs in which there is evidence of infection, not necessarily limited to the respiratory tract (3). Due to variability in diagnostic testing and reporting practices across inpatient locations and facilities, comparisons of PoVAP and PrVAP rates between locations and facilities may not be appropriate (3), and therefore we did not analyze PoVAP or PrVAP rates.</w:t>
      </w:r>
    </w:p>
    <w:p w:rsidR="007D0127" w:rsidRDefault="007D0127">
      <w:r>
        <w:br w:type="page"/>
      </w:r>
    </w:p>
    <w:p w:rsidR="00550BAB" w:rsidRPr="00402818" w:rsidRDefault="007D0127" w:rsidP="00402818">
      <w:pPr>
        <w:spacing w:line="480" w:lineRule="auto"/>
        <w:rPr>
          <w:i/>
        </w:rPr>
      </w:pPr>
      <w:r w:rsidRPr="00402818">
        <w:rPr>
          <w:i/>
        </w:rPr>
        <w:lastRenderedPageBreak/>
        <w:t>Methods: Pathogen reporting</w:t>
      </w:r>
    </w:p>
    <w:p w:rsidR="00402818" w:rsidRDefault="00402818" w:rsidP="00402818">
      <w:pPr>
        <w:pStyle w:val="PlainText"/>
        <w:spacing w:line="480" w:lineRule="auto"/>
        <w:ind w:firstLine="720"/>
        <w:rPr>
          <w:szCs w:val="22"/>
        </w:rPr>
      </w:pPr>
      <w:r>
        <w:rPr>
          <w:rFonts w:asciiTheme="minorHAnsi" w:hAnsiTheme="minorHAnsi"/>
          <w:szCs w:val="22"/>
        </w:rPr>
        <w:t>N</w:t>
      </w:r>
      <w:r w:rsidR="005658C6">
        <w:rPr>
          <w:rFonts w:asciiTheme="minorHAnsi" w:hAnsiTheme="minorHAnsi"/>
          <w:szCs w:val="22"/>
        </w:rPr>
        <w:t>ational Healthcare Safety Network (NHSN)</w:t>
      </w:r>
      <w:r>
        <w:rPr>
          <w:rFonts w:asciiTheme="minorHAnsi" w:hAnsiTheme="minorHAnsi"/>
          <w:szCs w:val="22"/>
        </w:rPr>
        <w:t xml:space="preserve"> users may report up to three pathogens </w:t>
      </w:r>
      <w:r w:rsidR="007D0127">
        <w:rPr>
          <w:szCs w:val="22"/>
        </w:rPr>
        <w:t>for</w:t>
      </w:r>
      <w:r w:rsidR="007D0127" w:rsidRPr="008102E8">
        <w:rPr>
          <w:szCs w:val="22"/>
        </w:rPr>
        <w:t xml:space="preserve"> </w:t>
      </w:r>
      <w:r>
        <w:rPr>
          <w:szCs w:val="22"/>
        </w:rPr>
        <w:t>each PoVAP or</w:t>
      </w:r>
      <w:r w:rsidR="007D0127">
        <w:rPr>
          <w:szCs w:val="22"/>
        </w:rPr>
        <w:t xml:space="preserve"> PrVAP</w:t>
      </w:r>
      <w:r w:rsidR="007D0127" w:rsidRPr="008102E8">
        <w:rPr>
          <w:szCs w:val="22"/>
        </w:rPr>
        <w:t xml:space="preserve"> </w:t>
      </w:r>
      <w:r>
        <w:rPr>
          <w:szCs w:val="22"/>
        </w:rPr>
        <w:t>event. For selected pathogens, a</w:t>
      </w:r>
      <w:r>
        <w:rPr>
          <w:iCs/>
          <w:szCs w:val="22"/>
        </w:rPr>
        <w:t xml:space="preserve">ntimicrobial susceptibility data are submitted to NHSN based on the clinical laboratory’s interpretation (e.g., susceptible, intermediate, resistant); minimum inhibitory concentration data are not submitted. </w:t>
      </w:r>
      <w:r>
        <w:rPr>
          <w:szCs w:val="22"/>
        </w:rPr>
        <w:t>Beginning in 2014, the NHSN annual facility survey included a question pertaining to use of revised Clinical and Laboratory Standards Institute carbapenem susceptibility breakpoints for Enterobacteriaceae</w:t>
      </w:r>
      <w:r w:rsidR="002567C6">
        <w:rPr>
          <w:szCs w:val="22"/>
        </w:rPr>
        <w:t xml:space="preserve"> (for example, see hospital survey, available here: </w:t>
      </w:r>
      <w:hyperlink r:id="rId7" w:history="1">
        <w:r w:rsidR="002567C6">
          <w:rPr>
            <w:rStyle w:val="Hyperlink"/>
          </w:rPr>
          <w:t>http://www.cdc.gov/nhsn/forms/57.103_pshospsurv_blank.pdf</w:t>
        </w:r>
      </w:hyperlink>
      <w:r w:rsidR="002567C6">
        <w:rPr>
          <w:rStyle w:val="Hyperlink"/>
        </w:rPr>
        <w:t>)</w:t>
      </w:r>
      <w:r w:rsidR="002567C6">
        <w:rPr>
          <w:szCs w:val="22"/>
        </w:rPr>
        <w:t>. No information from this</w:t>
      </w:r>
      <w:r>
        <w:rPr>
          <w:szCs w:val="22"/>
        </w:rPr>
        <w:t xml:space="preserve"> 2014 survey </w:t>
      </w:r>
      <w:r w:rsidR="002567C6">
        <w:rPr>
          <w:szCs w:val="22"/>
        </w:rPr>
        <w:t xml:space="preserve">item </w:t>
      </w:r>
      <w:r>
        <w:rPr>
          <w:szCs w:val="22"/>
        </w:rPr>
        <w:t xml:space="preserve">was available for the current </w:t>
      </w:r>
      <w:r w:rsidR="002567C6">
        <w:rPr>
          <w:szCs w:val="22"/>
        </w:rPr>
        <w:t>analysis</w:t>
      </w:r>
      <w:r>
        <w:rPr>
          <w:szCs w:val="22"/>
        </w:rPr>
        <w:t xml:space="preserve">. </w:t>
      </w:r>
    </w:p>
    <w:p w:rsidR="00535370" w:rsidRDefault="00402818" w:rsidP="00402818">
      <w:pPr>
        <w:pStyle w:val="PlainText"/>
        <w:spacing w:line="480" w:lineRule="auto"/>
        <w:ind w:firstLine="720"/>
        <w:rPr>
          <w:szCs w:val="22"/>
        </w:rPr>
      </w:pPr>
      <w:r>
        <w:rPr>
          <w:szCs w:val="22"/>
        </w:rPr>
        <w:t>We tabulated PoVAp and PrVAP pathogens reported in 2014</w:t>
      </w:r>
      <w:r w:rsidR="007D0127">
        <w:rPr>
          <w:szCs w:val="22"/>
        </w:rPr>
        <w:t>, including proportions of pathogens with selected antimicrobial resistance phenotypes: resistance</w:t>
      </w:r>
      <w:r w:rsidR="007D0127" w:rsidRPr="008102E8">
        <w:rPr>
          <w:szCs w:val="22"/>
        </w:rPr>
        <w:t xml:space="preserve"> </w:t>
      </w:r>
      <w:r w:rsidR="007D0127">
        <w:rPr>
          <w:szCs w:val="22"/>
        </w:rPr>
        <w:t xml:space="preserve">to methicillin, oxacillin or cefoxitin </w:t>
      </w:r>
      <w:r w:rsidR="007D0127" w:rsidRPr="008102E8">
        <w:rPr>
          <w:szCs w:val="22"/>
        </w:rPr>
        <w:t xml:space="preserve">in </w:t>
      </w:r>
      <w:r w:rsidR="007D0127">
        <w:rPr>
          <w:i/>
          <w:iCs/>
          <w:szCs w:val="22"/>
        </w:rPr>
        <w:t xml:space="preserve">Staphylococcus </w:t>
      </w:r>
      <w:r w:rsidR="007D0127" w:rsidRPr="008102E8">
        <w:rPr>
          <w:i/>
          <w:iCs/>
          <w:szCs w:val="22"/>
        </w:rPr>
        <w:t>aureus</w:t>
      </w:r>
      <w:r w:rsidR="007D0127">
        <w:rPr>
          <w:iCs/>
          <w:szCs w:val="22"/>
        </w:rPr>
        <w:t>,</w:t>
      </w:r>
      <w:r w:rsidR="007D0127">
        <w:rPr>
          <w:szCs w:val="22"/>
        </w:rPr>
        <w:t xml:space="preserve"> and </w:t>
      </w:r>
      <w:r w:rsidR="007D0127" w:rsidRPr="008102E8">
        <w:rPr>
          <w:szCs w:val="22"/>
        </w:rPr>
        <w:t xml:space="preserve">carbapenem resistance in selected </w:t>
      </w:r>
      <w:r w:rsidR="007D0127">
        <w:rPr>
          <w:szCs w:val="22"/>
        </w:rPr>
        <w:t xml:space="preserve">Enterobacteriaceae and </w:t>
      </w:r>
      <w:r w:rsidR="007D0127" w:rsidRPr="008102E8">
        <w:rPr>
          <w:i/>
          <w:iCs/>
          <w:szCs w:val="22"/>
        </w:rPr>
        <w:t xml:space="preserve">Pseudomonas aeruginosa. </w:t>
      </w:r>
      <w:r>
        <w:rPr>
          <w:szCs w:val="22"/>
        </w:rPr>
        <w:t xml:space="preserve">We </w:t>
      </w:r>
      <w:r w:rsidR="007D0127" w:rsidRPr="008102E8">
        <w:rPr>
          <w:szCs w:val="22"/>
        </w:rPr>
        <w:t xml:space="preserve">defined carbapenem resistance </w:t>
      </w:r>
      <w:r w:rsidR="007D0127">
        <w:rPr>
          <w:szCs w:val="22"/>
        </w:rPr>
        <w:t xml:space="preserve">in Enterobacteriaceae </w:t>
      </w:r>
      <w:r w:rsidR="007D0127" w:rsidRPr="008102E8">
        <w:rPr>
          <w:szCs w:val="22"/>
        </w:rPr>
        <w:t xml:space="preserve">as </w:t>
      </w:r>
      <w:r w:rsidR="007D0127">
        <w:rPr>
          <w:szCs w:val="22"/>
        </w:rPr>
        <w:t>r</w:t>
      </w:r>
      <w:r w:rsidR="007D0127" w:rsidRPr="008102E8">
        <w:rPr>
          <w:szCs w:val="22"/>
        </w:rPr>
        <w:t>e</w:t>
      </w:r>
      <w:r w:rsidR="007D0127">
        <w:rPr>
          <w:szCs w:val="22"/>
        </w:rPr>
        <w:t>sistance</w:t>
      </w:r>
      <w:r w:rsidR="007D0127" w:rsidRPr="008102E8">
        <w:rPr>
          <w:szCs w:val="22"/>
        </w:rPr>
        <w:t xml:space="preserve"> </w:t>
      </w:r>
      <w:r w:rsidR="007D0127">
        <w:rPr>
          <w:szCs w:val="22"/>
        </w:rPr>
        <w:t>to</w:t>
      </w:r>
      <w:r w:rsidR="007D0127" w:rsidRPr="008102E8">
        <w:rPr>
          <w:szCs w:val="22"/>
        </w:rPr>
        <w:t xml:space="preserve"> imipenem</w:t>
      </w:r>
      <w:r w:rsidR="007D0127">
        <w:rPr>
          <w:szCs w:val="22"/>
        </w:rPr>
        <w:t xml:space="preserve">, doripenem, ertapenem, or meropenem, and in </w:t>
      </w:r>
      <w:r w:rsidR="007D0127" w:rsidRPr="00EC448B">
        <w:rPr>
          <w:i/>
          <w:szCs w:val="22"/>
        </w:rPr>
        <w:t>P. aeruginosa</w:t>
      </w:r>
      <w:r w:rsidR="007D0127">
        <w:rPr>
          <w:szCs w:val="22"/>
        </w:rPr>
        <w:t xml:space="preserve"> as intermediate susceptibility or resistance to imipenem, doripenem, or meropenem. </w:t>
      </w:r>
      <w:r w:rsidR="007D0127" w:rsidRPr="00BE76C1">
        <w:rPr>
          <w:szCs w:val="22"/>
        </w:rPr>
        <w:t>For the</w:t>
      </w:r>
      <w:r w:rsidR="007D0127">
        <w:rPr>
          <w:szCs w:val="22"/>
        </w:rPr>
        <w:t>se</w:t>
      </w:r>
      <w:r w:rsidR="007D0127" w:rsidRPr="00BE76C1">
        <w:rPr>
          <w:szCs w:val="22"/>
        </w:rPr>
        <w:t xml:space="preserve"> pathogen/antimicrobial agent combinations, we determined the resistan</w:t>
      </w:r>
      <w:r w:rsidR="007D0127">
        <w:rPr>
          <w:szCs w:val="22"/>
        </w:rPr>
        <w:t>t proportion, defined as the number</w:t>
      </w:r>
      <w:r w:rsidR="007D0127" w:rsidRPr="00BE76C1">
        <w:rPr>
          <w:szCs w:val="22"/>
        </w:rPr>
        <w:t xml:space="preserve"> of resistant isolates divided by the total number of isolates tested. </w:t>
      </w:r>
    </w:p>
    <w:p w:rsidR="00535370" w:rsidRDefault="00535370">
      <w:pPr>
        <w:rPr>
          <w:rFonts w:ascii="Calibri" w:hAnsi="Calibri"/>
        </w:rPr>
      </w:pPr>
      <w:r>
        <w:br w:type="page"/>
      </w:r>
    </w:p>
    <w:p w:rsidR="00402818" w:rsidRPr="00535370" w:rsidRDefault="00535370" w:rsidP="00535370">
      <w:pPr>
        <w:pStyle w:val="PlainText"/>
        <w:spacing w:line="480" w:lineRule="auto"/>
        <w:rPr>
          <w:i/>
        </w:rPr>
      </w:pPr>
      <w:r w:rsidRPr="00535370">
        <w:rPr>
          <w:i/>
        </w:rPr>
        <w:lastRenderedPageBreak/>
        <w:t>Results: VAE incidence rates</w:t>
      </w:r>
    </w:p>
    <w:p w:rsidR="00535370" w:rsidRPr="005658C6" w:rsidRDefault="005658C6" w:rsidP="005658C6">
      <w:pPr>
        <w:spacing w:after="0" w:line="480" w:lineRule="auto"/>
        <w:ind w:firstLine="720"/>
        <w:rPr>
          <w:rFonts w:ascii="Calibri" w:hAnsi="Calibri"/>
        </w:rPr>
      </w:pPr>
      <w:r>
        <w:t xml:space="preserve">The </w:t>
      </w:r>
      <w:r w:rsidR="00535370">
        <w:t>final model used to determine additional stratification of VAE rates beyond location type is</w:t>
      </w:r>
      <w:r>
        <w:rPr>
          <w:rFonts w:ascii="Calibri" w:hAnsi="Calibri"/>
        </w:rPr>
        <w:t xml:space="preserve"> </w:t>
      </w:r>
      <w:r w:rsidR="00535370" w:rsidRPr="005658C6">
        <w:rPr>
          <w:b/>
        </w:rPr>
        <w:t>ln(µ</w:t>
      </w:r>
      <w:r w:rsidR="00535370" w:rsidRPr="005658C6">
        <w:rPr>
          <w:b/>
          <w:vertAlign w:val="subscript"/>
        </w:rPr>
        <w:t>i</w:t>
      </w:r>
      <w:r w:rsidR="00535370" w:rsidRPr="005658C6">
        <w:rPr>
          <w:b/>
        </w:rPr>
        <w:t>)=β</w:t>
      </w:r>
      <w:r w:rsidR="00535370" w:rsidRPr="005658C6">
        <w:rPr>
          <w:b/>
          <w:vertAlign w:val="subscript"/>
        </w:rPr>
        <w:t>0</w:t>
      </w:r>
      <w:r w:rsidR="00535370" w:rsidRPr="005658C6">
        <w:rPr>
          <w:b/>
        </w:rPr>
        <w:t>+β</w:t>
      </w:r>
      <w:r w:rsidR="00535370" w:rsidRPr="005658C6">
        <w:rPr>
          <w:b/>
          <w:vertAlign w:val="subscript"/>
        </w:rPr>
        <w:t>1</w:t>
      </w:r>
      <w:r w:rsidR="00535370" w:rsidRPr="005658C6">
        <w:rPr>
          <w:b/>
        </w:rPr>
        <w:t>x</w:t>
      </w:r>
      <w:r w:rsidR="00535370" w:rsidRPr="005658C6">
        <w:rPr>
          <w:b/>
          <w:vertAlign w:val="subscript"/>
        </w:rPr>
        <w:t>i</w:t>
      </w:r>
      <w:r w:rsidR="00535370" w:rsidRPr="005658C6">
        <w:rPr>
          <w:b/>
        </w:rPr>
        <w:t>+ln(t</w:t>
      </w:r>
      <w:r w:rsidR="00535370" w:rsidRPr="005658C6">
        <w:rPr>
          <w:b/>
          <w:vertAlign w:val="subscript"/>
        </w:rPr>
        <w:t>i</w:t>
      </w:r>
      <w:r w:rsidR="00535370" w:rsidRPr="005658C6">
        <w:rPr>
          <w:b/>
        </w:rPr>
        <w:t>)</w:t>
      </w:r>
      <w:r w:rsidR="00535370">
        <w:t>, where x</w:t>
      </w:r>
      <w:r w:rsidR="00535370" w:rsidRPr="00DC2E1C">
        <w:rPr>
          <w:vertAlign w:val="subscript"/>
        </w:rPr>
        <w:t>i</w:t>
      </w:r>
      <w:r w:rsidR="00535370">
        <w:t xml:space="preserve"> represents the location type strata, using adult step-down units as the referent group, and t</w:t>
      </w:r>
      <w:r w:rsidR="00535370" w:rsidRPr="00DC2E1C">
        <w:rPr>
          <w:vertAlign w:val="subscript"/>
        </w:rPr>
        <w:t>i</w:t>
      </w:r>
      <w:r w:rsidR="00535370">
        <w:t xml:space="preserve"> represents the corresponding total number of ventilator days in each stratum. Locations with no VAEs and therefore an incidence rate of zero (rehabilitation and surgical wards) were not included in the model. Final model parameters and estimates are shown in </w:t>
      </w:r>
      <w:r>
        <w:t>the eTable</w:t>
      </w:r>
      <w:r w:rsidR="00535370">
        <w:t>.</w:t>
      </w:r>
    </w:p>
    <w:p w:rsidR="00535370" w:rsidRDefault="00535370" w:rsidP="00535370">
      <w:pPr>
        <w:pStyle w:val="PlainText"/>
        <w:spacing w:line="480" w:lineRule="auto"/>
      </w:pPr>
    </w:p>
    <w:p w:rsidR="007D0127" w:rsidRPr="00DC0448" w:rsidRDefault="007D0127" w:rsidP="00402818">
      <w:pPr>
        <w:pStyle w:val="NormalWeb"/>
        <w:spacing w:line="480" w:lineRule="auto"/>
        <w:ind w:firstLine="720"/>
        <w:jc w:val="left"/>
        <w:rPr>
          <w:rFonts w:ascii="Calibri" w:hAnsi="Calibri"/>
          <w:sz w:val="22"/>
          <w:szCs w:val="22"/>
        </w:rPr>
      </w:pPr>
    </w:p>
    <w:p w:rsidR="007D0127" w:rsidRDefault="007D0127" w:rsidP="00550BAB">
      <w:pPr>
        <w:spacing w:line="480" w:lineRule="auto"/>
      </w:pPr>
    </w:p>
    <w:p w:rsidR="00550BAB" w:rsidRDefault="00550BAB">
      <w:pPr>
        <w:rPr>
          <w:vertAlign w:val="superscript"/>
        </w:rPr>
      </w:pPr>
    </w:p>
    <w:p w:rsidR="00554861" w:rsidRPr="00916D8A" w:rsidRDefault="00554861" w:rsidP="001F234A">
      <w:pPr>
        <w:pStyle w:val="PlainText"/>
        <w:spacing w:line="480" w:lineRule="auto"/>
        <w:ind w:left="720"/>
      </w:pPr>
    </w:p>
    <w:p w:rsidR="001F234A" w:rsidRDefault="001F234A">
      <w:r>
        <w:br w:type="page"/>
      </w:r>
    </w:p>
    <w:p w:rsidR="004F0C59" w:rsidRPr="004F0C59" w:rsidRDefault="004F0C59" w:rsidP="004F0C59">
      <w:pPr>
        <w:autoSpaceDE w:val="0"/>
        <w:autoSpaceDN w:val="0"/>
        <w:adjustRightInd w:val="0"/>
        <w:spacing w:before="100" w:after="100" w:line="240" w:lineRule="auto"/>
      </w:pPr>
      <w:r w:rsidRPr="005658C6">
        <w:rPr>
          <w:b/>
        </w:rPr>
        <w:lastRenderedPageBreak/>
        <w:t>eTable.</w:t>
      </w:r>
      <w:r>
        <w:t xml:space="preserve"> Final negative binomial regression model parameters and estimates used to </w:t>
      </w:r>
      <w:r w:rsidR="00550BAB">
        <w:t>inform selection of</w:t>
      </w:r>
      <w:r>
        <w:t xml:space="preserve"> location type strata used in reporting VAE incidence rates.</w:t>
      </w:r>
      <w:r w:rsidRPr="004F0C59">
        <w:rPr>
          <w:vertAlign w:val="superscript"/>
        </w:rPr>
        <w:t xml:space="preserve"> </w:t>
      </w:r>
      <w:r>
        <w:t>Adult step-down units were the referent group.</w:t>
      </w:r>
    </w:p>
    <w:p w:rsidR="008E45F2" w:rsidRDefault="008E45F2" w:rsidP="00554861">
      <w:pPr>
        <w:pStyle w:val="PlainText"/>
        <w:rPr>
          <w:rFonts w:asciiTheme="minorHAnsi" w:hAnsiTheme="minorHAnsi"/>
        </w:rPr>
      </w:pPr>
    </w:p>
    <w:tbl>
      <w:tblPr>
        <w:tblW w:w="0" w:type="auto"/>
        <w:jc w:val="center"/>
        <w:tblBorders>
          <w:top w:val="single" w:sz="4" w:space="0" w:color="auto"/>
          <w:bottom w:val="single" w:sz="4" w:space="0" w:color="auto"/>
          <w:insideH w:val="single" w:sz="4" w:space="0" w:color="auto"/>
        </w:tblBorders>
        <w:tblLayout w:type="fixed"/>
        <w:tblCellMar>
          <w:left w:w="75" w:type="dxa"/>
          <w:right w:w="75" w:type="dxa"/>
        </w:tblCellMar>
        <w:tblLook w:val="0000" w:firstRow="0" w:lastRow="0" w:firstColumn="0" w:lastColumn="0" w:noHBand="0" w:noVBand="0"/>
      </w:tblPr>
      <w:tblGrid>
        <w:gridCol w:w="6660"/>
        <w:gridCol w:w="1890"/>
        <w:gridCol w:w="1170"/>
      </w:tblGrid>
      <w:tr w:rsidR="004F0C59" w:rsidRPr="004F0C59" w:rsidTr="001F234A">
        <w:trPr>
          <w:trHeight w:val="20"/>
          <w:jc w:val="center"/>
        </w:trPr>
        <w:tc>
          <w:tcPr>
            <w:tcW w:w="6660" w:type="dxa"/>
            <w:tcBorders>
              <w:bottom w:val="single" w:sz="12" w:space="0" w:color="auto"/>
            </w:tcBorders>
            <w:vAlign w:val="center"/>
          </w:tcPr>
          <w:p w:rsidR="004F0C59" w:rsidRPr="004F0C59" w:rsidRDefault="004F0C59" w:rsidP="001F234A">
            <w:pPr>
              <w:autoSpaceDE w:val="0"/>
              <w:autoSpaceDN w:val="0"/>
              <w:adjustRightInd w:val="0"/>
              <w:spacing w:after="0" w:line="240" w:lineRule="auto"/>
              <w:rPr>
                <w:rFonts w:cs="Times New Roman"/>
                <w:bCs/>
              </w:rPr>
            </w:pPr>
            <w:r w:rsidRPr="004F0C59">
              <w:rPr>
                <w:rFonts w:cs="Times New Roman"/>
                <w:bCs/>
              </w:rPr>
              <w:t>Parameter</w:t>
            </w:r>
          </w:p>
        </w:tc>
        <w:tc>
          <w:tcPr>
            <w:tcW w:w="1890" w:type="dxa"/>
            <w:tcBorders>
              <w:bottom w:val="single" w:sz="12" w:space="0" w:color="auto"/>
            </w:tcBorders>
            <w:vAlign w:val="center"/>
          </w:tcPr>
          <w:p w:rsidR="004F0C59" w:rsidRPr="004F0C59" w:rsidRDefault="00535370" w:rsidP="00535370">
            <w:pPr>
              <w:autoSpaceDE w:val="0"/>
              <w:autoSpaceDN w:val="0"/>
              <w:adjustRightInd w:val="0"/>
              <w:spacing w:after="0" w:line="240" w:lineRule="auto"/>
              <w:jc w:val="center"/>
              <w:rPr>
                <w:rFonts w:cs="Times New Roman"/>
                <w:bCs/>
              </w:rPr>
            </w:pPr>
            <w:r>
              <w:rPr>
                <w:rFonts w:cs="Times New Roman"/>
                <w:bCs/>
              </w:rPr>
              <w:t>Estimate (95%CI)</w:t>
            </w:r>
          </w:p>
        </w:tc>
        <w:tc>
          <w:tcPr>
            <w:tcW w:w="1170" w:type="dxa"/>
            <w:tcBorders>
              <w:bottom w:val="single" w:sz="12" w:space="0" w:color="auto"/>
            </w:tcBorders>
            <w:vAlign w:val="center"/>
          </w:tcPr>
          <w:p w:rsidR="004F0C59" w:rsidRPr="004F0C59" w:rsidRDefault="004F0C59" w:rsidP="00535370">
            <w:pPr>
              <w:autoSpaceDE w:val="0"/>
              <w:autoSpaceDN w:val="0"/>
              <w:adjustRightInd w:val="0"/>
              <w:spacing w:after="0" w:line="240" w:lineRule="auto"/>
              <w:jc w:val="center"/>
              <w:rPr>
                <w:rFonts w:cs="Times New Roman"/>
                <w:bCs/>
              </w:rPr>
            </w:pPr>
            <w:r>
              <w:rPr>
                <w:rFonts w:cs="Times New Roman"/>
                <w:bCs/>
                <w:i/>
              </w:rPr>
              <w:t>P</w:t>
            </w:r>
            <w:r w:rsidRPr="004F0C59">
              <w:rPr>
                <w:rFonts w:cs="Times New Roman"/>
                <w:bCs/>
              </w:rPr>
              <w:t>-value</w:t>
            </w:r>
          </w:p>
        </w:tc>
      </w:tr>
      <w:tr w:rsidR="004F0C59" w:rsidRPr="004F0C59" w:rsidTr="001F234A">
        <w:trPr>
          <w:trHeight w:val="20"/>
          <w:jc w:val="center"/>
        </w:trPr>
        <w:tc>
          <w:tcPr>
            <w:tcW w:w="6660" w:type="dxa"/>
            <w:tcBorders>
              <w:top w:val="single" w:sz="12" w:space="0" w:color="auto"/>
            </w:tcBorders>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Times New Roman"/>
              </w:rPr>
              <w:t>Intercept</w:t>
            </w:r>
          </w:p>
        </w:tc>
        <w:tc>
          <w:tcPr>
            <w:tcW w:w="1890" w:type="dxa"/>
            <w:tcBorders>
              <w:top w:val="single" w:sz="12" w:space="0" w:color="auto"/>
            </w:tcBorders>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-5.39 (-5.53, -5.24)</w:t>
            </w:r>
          </w:p>
        </w:tc>
        <w:tc>
          <w:tcPr>
            <w:tcW w:w="1170" w:type="dxa"/>
            <w:tcBorders>
              <w:top w:val="single" w:sz="12" w:space="0" w:color="auto"/>
            </w:tcBorders>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Times New Roman"/>
              </w:rPr>
              <w:t>Burn</w:t>
            </w:r>
            <w:r>
              <w:rPr>
                <w:rFonts w:cs="Times New Roman"/>
              </w:rPr>
              <w:t xml:space="preserve"> critical care </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0.40 (0.16, 0.65)</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Medical cardiac</w:t>
            </w:r>
            <w:r>
              <w:rPr>
                <w:rFonts w:cs="Arial"/>
                <w:color w:val="000000"/>
              </w:rPr>
              <w:t xml:space="preserve"> critical care </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0.33 (0.17, 0.49)</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7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Surgical cardiothoracic</w:t>
            </w:r>
            <w:r>
              <w:rPr>
                <w:rFonts w:cs="Arial"/>
                <w:color w:val="000000"/>
              </w:rPr>
              <w:t xml:space="preserve"> critical care</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0.29 (0.13, 0.44)</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0.0003</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Long term acute care</w:t>
            </w:r>
            <w:r>
              <w:rPr>
                <w:rFonts w:cs="Arial"/>
                <w:color w:val="000000"/>
              </w:rPr>
              <w:t xml:space="preserve"> critical care</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-0.84 (-1.23, -0.46)</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Neurologic</w:t>
            </w:r>
            <w:r>
              <w:rPr>
                <w:rFonts w:cs="Arial"/>
                <w:color w:val="000000"/>
              </w:rPr>
              <w:t xml:space="preserve"> critical care</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0.64 (0.42, 0.86)</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Neurosurgical</w:t>
            </w:r>
            <w:r>
              <w:rPr>
                <w:rFonts w:cs="Arial"/>
                <w:color w:val="000000"/>
              </w:rPr>
              <w:t xml:space="preserve"> critical care</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0.59 (0.42, 0.75)</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Respiratory</w:t>
            </w:r>
            <w:r>
              <w:rPr>
                <w:rFonts w:cs="Arial"/>
                <w:color w:val="000000"/>
              </w:rPr>
              <w:t xml:space="preserve"> critical care</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-0.21 (-0.71, 0.28)</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0.398</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Trauma</w:t>
            </w:r>
            <w:r>
              <w:rPr>
                <w:rFonts w:cs="Arial"/>
                <w:color w:val="000000"/>
              </w:rPr>
              <w:t xml:space="preserve"> critical care</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0.94 (0.78, 1.10)</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Oncology medical/surgical</w:t>
            </w:r>
            <w:r>
              <w:t xml:space="preserve"> critical care</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-0.57 (-1.17, 0.04)</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0.068</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Medical</w:t>
            </w:r>
            <w:r>
              <w:t xml:space="preserve"> critical care</w:t>
            </w:r>
            <w:r w:rsidRPr="004F0C59">
              <w:t>: major teaching affiliation</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0.59 (0.44, 0.75)</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Medical</w:t>
            </w:r>
            <w:r>
              <w:t xml:space="preserve"> critical care</w:t>
            </w:r>
            <w:r w:rsidRPr="004F0C59">
              <w:t>: non-major teaching affiliation</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0.19 (0.03, 0.35)</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0.018</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Medical/surgical</w:t>
            </w:r>
            <w:r>
              <w:t xml:space="preserve"> critical care</w:t>
            </w:r>
            <w:r w:rsidRPr="004F0C59">
              <w:t>: major teaching affiliation</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0.51 (0.36, 0.66)</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Medical/surgical</w:t>
            </w:r>
            <w:r>
              <w:t xml:space="preserve"> critical care</w:t>
            </w:r>
            <w:r w:rsidRPr="004F0C59">
              <w:t>: non-major teaching affiliation, &gt;15 beds</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0.12 (-0.03, 0.27)</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0.114</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Medical/surgical</w:t>
            </w:r>
            <w:r>
              <w:t xml:space="preserve"> critical care</w:t>
            </w:r>
            <w:r w:rsidRPr="004F0C59">
              <w:t>: non-major teaching affiliation, ≤15 beds</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-0.04 (-0.19, 0.11)</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0.562</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Surgical</w:t>
            </w:r>
            <w:r>
              <w:t xml:space="preserve"> critical care</w:t>
            </w:r>
            <w:r w:rsidRPr="004F0C59">
              <w:t>: major teaching affiliation</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0.65 (0.49, 0.81)</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Surgical</w:t>
            </w:r>
            <w:r>
              <w:t xml:space="preserve"> critical care</w:t>
            </w:r>
            <w:r w:rsidRPr="004F0C59">
              <w:t>: non-major teaching affiliation</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0.20 (0.02, 0.37)</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0.031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Arial"/>
                <w:color w:val="000000"/>
              </w:rPr>
              <w:t>Long term acute care ward</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-1.64 (-1.86, -1.41)</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Times New Roman"/>
              </w:rPr>
              <w:t>Medical ward</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-0.34 (-0.67, -0.01)</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0.043</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Times New Roman"/>
              </w:rPr>
              <w:t>Medical/surgical ward</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-0.60 (-0.93, -0.28)</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0.0003</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rPr>
                <w:rFonts w:cs="Times New Roman"/>
              </w:rPr>
              <w:t>Pulmonary ward</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-0.03 (-0.43, 0.37)</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0.885</w:t>
            </w:r>
          </w:p>
        </w:tc>
      </w:tr>
      <w:tr w:rsidR="004F0C59" w:rsidRPr="004F0C59" w:rsidTr="001F234A">
        <w:trPr>
          <w:trHeight w:val="20"/>
          <w:jc w:val="center"/>
        </w:trPr>
        <w:tc>
          <w:tcPr>
            <w:tcW w:w="6660" w:type="dxa"/>
            <w:vAlign w:val="center"/>
          </w:tcPr>
          <w:p w:rsidR="004F0C59" w:rsidRPr="004F0C59" w:rsidRDefault="004F0C59" w:rsidP="001F234A">
            <w:pPr>
              <w:autoSpaceDE w:val="0"/>
              <w:autoSpaceDN w:val="0"/>
              <w:adjustRightInd w:val="0"/>
              <w:spacing w:after="0" w:line="240" w:lineRule="auto"/>
              <w:rPr>
                <w:rFonts w:cs="Times New Roman"/>
              </w:rPr>
            </w:pPr>
            <w:r w:rsidRPr="004F0C59">
              <w:t>Rehabilitation ward</w:t>
            </w:r>
          </w:p>
        </w:tc>
        <w:tc>
          <w:tcPr>
            <w:tcW w:w="189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-1.53 (-3.52, 0.45)</w:t>
            </w:r>
          </w:p>
        </w:tc>
        <w:tc>
          <w:tcPr>
            <w:tcW w:w="1170" w:type="dxa"/>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0.130</w:t>
            </w:r>
          </w:p>
        </w:tc>
      </w:tr>
      <w:tr w:rsidR="004F0C59" w:rsidRPr="004F0C59" w:rsidTr="001F234A">
        <w:trPr>
          <w:trHeight w:val="20"/>
          <w:jc w:val="center"/>
        </w:trPr>
        <w:tc>
          <w:tcPr>
            <w:tcW w:w="6660" w:type="dxa"/>
            <w:tcBorders>
              <w:bottom w:val="single" w:sz="4" w:space="0" w:color="auto"/>
            </w:tcBorders>
            <w:vAlign w:val="center"/>
          </w:tcPr>
          <w:p w:rsidR="004F0C59" w:rsidRPr="004F0C59" w:rsidRDefault="004F0C59" w:rsidP="001F234A">
            <w:pPr>
              <w:autoSpaceDE w:val="0"/>
              <w:autoSpaceDN w:val="0"/>
              <w:adjustRightInd w:val="0"/>
              <w:spacing w:after="0" w:line="240" w:lineRule="auto"/>
              <w:rPr>
                <w:rFonts w:cs="Times New Roman"/>
              </w:rPr>
            </w:pPr>
            <w:r w:rsidRPr="004F0C59">
              <w:t>Hematopoietic stem cell transplant ward</w:t>
            </w:r>
          </w:p>
        </w:tc>
        <w:tc>
          <w:tcPr>
            <w:tcW w:w="1890" w:type="dxa"/>
            <w:tcBorders>
              <w:bottom w:val="single" w:sz="4" w:space="0" w:color="auto"/>
            </w:tcBorders>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1.21 (0.64, 1.77)</w:t>
            </w:r>
          </w:p>
        </w:tc>
        <w:tc>
          <w:tcPr>
            <w:tcW w:w="1170" w:type="dxa"/>
            <w:tcBorders>
              <w:bottom w:val="single" w:sz="4" w:space="0" w:color="auto"/>
            </w:tcBorders>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r w:rsidR="004F0C59" w:rsidRPr="004F0C59" w:rsidTr="001F234A">
        <w:trPr>
          <w:trHeight w:val="20"/>
          <w:jc w:val="center"/>
        </w:trPr>
        <w:tc>
          <w:tcPr>
            <w:tcW w:w="6660" w:type="dxa"/>
            <w:tcBorders>
              <w:bottom w:val="single" w:sz="12" w:space="0" w:color="auto"/>
            </w:tcBorders>
            <w:vAlign w:val="center"/>
          </w:tcPr>
          <w:p w:rsidR="004F0C59" w:rsidRPr="004F0C59" w:rsidRDefault="004F0C59" w:rsidP="001F234A">
            <w:pPr>
              <w:autoSpaceDE w:val="0"/>
              <w:autoSpaceDN w:val="0"/>
              <w:adjustRightInd w:val="0"/>
              <w:spacing w:after="0" w:line="240" w:lineRule="auto"/>
              <w:rPr>
                <w:rFonts w:cs="Times New Roman"/>
              </w:rPr>
            </w:pPr>
            <w:r w:rsidRPr="004F0C59">
              <w:t>Adult mixed acuity unit</w:t>
            </w:r>
          </w:p>
        </w:tc>
        <w:tc>
          <w:tcPr>
            <w:tcW w:w="1890" w:type="dxa"/>
            <w:tcBorders>
              <w:bottom w:val="single" w:sz="12" w:space="0" w:color="auto"/>
            </w:tcBorders>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0.50 (0.25, 0.75)</w:t>
            </w:r>
          </w:p>
        </w:tc>
        <w:tc>
          <w:tcPr>
            <w:tcW w:w="1170" w:type="dxa"/>
            <w:tcBorders>
              <w:bottom w:val="single" w:sz="12" w:space="0" w:color="auto"/>
            </w:tcBorders>
            <w:vAlign w:val="center"/>
          </w:tcPr>
          <w:p w:rsidR="004F0C59" w:rsidRPr="004F0C59" w:rsidRDefault="004F0C59" w:rsidP="00535370">
            <w:pPr>
              <w:autoSpaceDE w:val="0"/>
              <w:autoSpaceDN w:val="0"/>
              <w:adjustRightInd w:val="0"/>
              <w:spacing w:after="0" w:line="240" w:lineRule="auto"/>
              <w:jc w:val="center"/>
              <w:rPr>
                <w:rFonts w:cs="Times New Roman"/>
              </w:rPr>
            </w:pPr>
            <w:r w:rsidRPr="004F0C59">
              <w:rPr>
                <w:rFonts w:cs="Times New Roman"/>
              </w:rPr>
              <w:t>&lt;</w:t>
            </w:r>
            <w:r>
              <w:rPr>
                <w:rFonts w:cs="Times New Roman"/>
              </w:rPr>
              <w:t>0</w:t>
            </w:r>
            <w:r w:rsidRPr="004F0C59">
              <w:rPr>
                <w:rFonts w:cs="Times New Roman"/>
              </w:rPr>
              <w:t>.0001</w:t>
            </w:r>
          </w:p>
        </w:tc>
      </w:tr>
    </w:tbl>
    <w:p w:rsidR="001F234A" w:rsidRDefault="001F234A" w:rsidP="00554861">
      <w:pPr>
        <w:pStyle w:val="PlainText"/>
        <w:rPr>
          <w:rFonts w:asciiTheme="minorHAnsi" w:hAnsiTheme="minorHAnsi"/>
        </w:rPr>
      </w:pPr>
    </w:p>
    <w:p w:rsidR="005658C6" w:rsidRDefault="005658C6">
      <w:pPr>
        <w:rPr>
          <w:szCs w:val="21"/>
        </w:rPr>
        <w:sectPr w:rsidR="005658C6" w:rsidSect="005658C6">
          <w:footerReference w:type="default" r:id="rId8"/>
          <w:footerReference w:type="first" r:id="rId9"/>
          <w:pgSz w:w="12240" w:h="15840" w:code="1"/>
          <w:pgMar w:top="1440" w:right="1440" w:bottom="1440" w:left="1440" w:header="720" w:footer="720" w:gutter="0"/>
          <w:cols w:space="720"/>
          <w:titlePg/>
          <w:docGrid w:linePitch="360"/>
        </w:sectPr>
      </w:pPr>
    </w:p>
    <w:p w:rsidR="005658C6" w:rsidRPr="005658C6" w:rsidRDefault="005658C6" w:rsidP="005658C6">
      <w:pPr>
        <w:spacing w:line="480" w:lineRule="auto"/>
        <w:rPr>
          <w:rFonts w:ascii="Calibri" w:hAnsi="Calibri"/>
        </w:rPr>
      </w:pPr>
      <w:r>
        <w:rPr>
          <w:rFonts w:ascii="Calibri" w:hAnsi="Calibri"/>
          <w:b/>
        </w:rPr>
        <w:lastRenderedPageBreak/>
        <w:t>e</w:t>
      </w:r>
      <w:r>
        <w:rPr>
          <w:rFonts w:ascii="Calibri" w:hAnsi="Calibri"/>
          <w:b/>
        </w:rPr>
        <w:t>Figure</w:t>
      </w:r>
      <w:r>
        <w:rPr>
          <w:rFonts w:ascii="Calibri" w:hAnsi="Calibri"/>
          <w:b/>
        </w:rPr>
        <w:t xml:space="preserve">. </w:t>
      </w:r>
      <w:r w:rsidRPr="005658C6">
        <w:rPr>
          <w:rFonts w:ascii="Calibri" w:hAnsi="Calibri"/>
        </w:rPr>
        <w:t xml:space="preserve">Ventilator-associated event definitions, 2014. </w:t>
      </w:r>
    </w:p>
    <w:p w:rsidR="005658C6" w:rsidRDefault="005658C6" w:rsidP="005658C6">
      <w:r>
        <w:rPr>
          <w:rFonts w:ascii="Calibri" w:hAnsi="Calibri"/>
          <w:b/>
          <w:noProof/>
        </w:rPr>
        <w:drawing>
          <wp:inline distT="0" distB="0" distL="0" distR="0" wp14:anchorId="5A5B38B7" wp14:editId="789B9F24">
            <wp:extent cx="6134100" cy="347910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32790" cy="3478361"/>
                    </a:xfrm>
                    <a:prstGeom prst="rect">
                      <a:avLst/>
                    </a:prstGeom>
                    <a:noFill/>
                  </pic:spPr>
                </pic:pic>
              </a:graphicData>
            </a:graphic>
          </wp:inline>
        </w:drawing>
      </w:r>
    </w:p>
    <w:p w:rsidR="005658C6" w:rsidRPr="00EC26E3" w:rsidRDefault="005658C6" w:rsidP="005658C6">
      <w:pPr>
        <w:spacing w:line="480" w:lineRule="auto"/>
        <w:rPr>
          <w:rFonts w:ascii="Calibri" w:hAnsi="Calibri"/>
        </w:rPr>
      </w:pPr>
      <w:r w:rsidRPr="00EC26E3">
        <w:rPr>
          <w:rFonts w:ascii="Calibri" w:hAnsi="Calibri"/>
        </w:rPr>
        <w:t>*Possible and Probable VAP replaced in 2015 by single P</w:t>
      </w:r>
      <w:r>
        <w:rPr>
          <w:rFonts w:ascii="Calibri" w:hAnsi="Calibri"/>
        </w:rPr>
        <w:t>ossible VAP (P</w:t>
      </w:r>
      <w:r w:rsidRPr="00EC26E3">
        <w:rPr>
          <w:rFonts w:ascii="Calibri" w:hAnsi="Calibri"/>
        </w:rPr>
        <w:t>VAP</w:t>
      </w:r>
      <w:r>
        <w:rPr>
          <w:rFonts w:ascii="Calibri" w:hAnsi="Calibri"/>
        </w:rPr>
        <w:t>)</w:t>
      </w:r>
      <w:r w:rsidRPr="00EC26E3">
        <w:rPr>
          <w:rFonts w:ascii="Calibri" w:hAnsi="Calibri"/>
        </w:rPr>
        <w:t xml:space="preserve"> definition.</w:t>
      </w:r>
    </w:p>
    <w:p w:rsidR="001F234A" w:rsidRDefault="001F234A">
      <w:pPr>
        <w:rPr>
          <w:szCs w:val="21"/>
        </w:rPr>
      </w:pPr>
      <w:bookmarkStart w:id="0" w:name="_GoBack"/>
      <w:bookmarkEnd w:id="0"/>
    </w:p>
    <w:sectPr w:rsidR="001F234A" w:rsidSect="005658C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93" w:rsidRDefault="00E10293" w:rsidP="008B5D54">
      <w:pPr>
        <w:spacing w:after="0" w:line="240" w:lineRule="auto"/>
      </w:pPr>
      <w:r>
        <w:separator/>
      </w:r>
    </w:p>
  </w:endnote>
  <w:endnote w:type="continuationSeparator" w:id="0">
    <w:p w:rsidR="00E10293" w:rsidRDefault="00E1029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728347"/>
      <w:docPartObj>
        <w:docPartGallery w:val="Page Numbers (Bottom of Page)"/>
        <w:docPartUnique/>
      </w:docPartObj>
    </w:sdtPr>
    <w:sdtEndPr>
      <w:rPr>
        <w:noProof/>
      </w:rPr>
    </w:sdtEndPr>
    <w:sdtContent>
      <w:p w:rsidR="005F338B" w:rsidRDefault="005F338B">
        <w:pPr>
          <w:pStyle w:val="Footer"/>
          <w:jc w:val="center"/>
        </w:pPr>
        <w:r>
          <w:fldChar w:fldCharType="begin"/>
        </w:r>
        <w:r>
          <w:instrText xml:space="preserve"> PAGE   \* MERGEFORMAT </w:instrText>
        </w:r>
        <w:r>
          <w:fldChar w:fldCharType="separate"/>
        </w:r>
        <w:r w:rsidR="00B7505D">
          <w:rPr>
            <w:noProof/>
          </w:rPr>
          <w:t>7</w:t>
        </w:r>
        <w:r>
          <w:rPr>
            <w:noProof/>
          </w:rPr>
          <w:fldChar w:fldCharType="end"/>
        </w:r>
      </w:p>
    </w:sdtContent>
  </w:sdt>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742684"/>
      <w:docPartObj>
        <w:docPartGallery w:val="Page Numbers (Bottom of Page)"/>
        <w:docPartUnique/>
      </w:docPartObj>
    </w:sdtPr>
    <w:sdtEndPr>
      <w:rPr>
        <w:noProof/>
      </w:rPr>
    </w:sdtEndPr>
    <w:sdtContent>
      <w:p w:rsidR="00B7505D" w:rsidRDefault="00B7505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7505D" w:rsidRDefault="00B75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93" w:rsidRDefault="00E10293" w:rsidP="008B5D54">
      <w:pPr>
        <w:spacing w:after="0" w:line="240" w:lineRule="auto"/>
      </w:pPr>
      <w:r>
        <w:separator/>
      </w:r>
    </w:p>
  </w:footnote>
  <w:footnote w:type="continuationSeparator" w:id="0">
    <w:p w:rsidR="00E10293" w:rsidRDefault="00E10293"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93"/>
    <w:rsid w:val="001F234A"/>
    <w:rsid w:val="002172A1"/>
    <w:rsid w:val="002567C6"/>
    <w:rsid w:val="002701E3"/>
    <w:rsid w:val="003263F1"/>
    <w:rsid w:val="0038514F"/>
    <w:rsid w:val="00402818"/>
    <w:rsid w:val="0044328A"/>
    <w:rsid w:val="004F0C59"/>
    <w:rsid w:val="00535370"/>
    <w:rsid w:val="00550BAB"/>
    <w:rsid w:val="00554861"/>
    <w:rsid w:val="005658C6"/>
    <w:rsid w:val="005F338B"/>
    <w:rsid w:val="00613A64"/>
    <w:rsid w:val="00646044"/>
    <w:rsid w:val="006C6578"/>
    <w:rsid w:val="007D0127"/>
    <w:rsid w:val="008B5D54"/>
    <w:rsid w:val="008E45F2"/>
    <w:rsid w:val="00A43352"/>
    <w:rsid w:val="00B55735"/>
    <w:rsid w:val="00B608AC"/>
    <w:rsid w:val="00B7505D"/>
    <w:rsid w:val="00DC57CC"/>
    <w:rsid w:val="00E10293"/>
    <w:rsid w:val="00E7298A"/>
    <w:rsid w:val="00F2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0C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PlainText">
    <w:name w:val="Plain Text"/>
    <w:basedOn w:val="Normal"/>
    <w:link w:val="PlainTextChar"/>
    <w:uiPriority w:val="99"/>
    <w:unhideWhenUsed/>
    <w:rsid w:val="00A433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3352"/>
    <w:rPr>
      <w:rFonts w:ascii="Calibri" w:hAnsi="Calibri"/>
      <w:szCs w:val="21"/>
    </w:rPr>
  </w:style>
  <w:style w:type="table" w:styleId="TableGrid">
    <w:name w:val="Table Grid"/>
    <w:basedOn w:val="TableNormal"/>
    <w:uiPriority w:val="59"/>
    <w:rsid w:val="008E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0C5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4F0C59"/>
    <w:pPr>
      <w:spacing w:before="480"/>
      <w:outlineLvl w:val="9"/>
    </w:pPr>
    <w:rPr>
      <w:b/>
      <w:bCs/>
      <w:sz w:val="28"/>
      <w:szCs w:val="28"/>
      <w:lang w:eastAsia="ja-JP"/>
    </w:rPr>
  </w:style>
  <w:style w:type="paragraph" w:styleId="TOC1">
    <w:name w:val="toc 1"/>
    <w:basedOn w:val="Normal"/>
    <w:next w:val="Normal"/>
    <w:autoRedefine/>
    <w:uiPriority w:val="39"/>
    <w:unhideWhenUsed/>
    <w:qFormat/>
    <w:rsid w:val="004F0C59"/>
    <w:pPr>
      <w:spacing w:after="100"/>
    </w:pPr>
    <w:rPr>
      <w:rFonts w:eastAsiaTheme="minorEastAsia"/>
      <w:b/>
      <w:bCs/>
      <w:lang w:eastAsia="ja-JP"/>
    </w:rPr>
  </w:style>
  <w:style w:type="paragraph" w:styleId="BalloonText">
    <w:name w:val="Balloon Text"/>
    <w:basedOn w:val="Normal"/>
    <w:link w:val="BalloonTextChar"/>
    <w:uiPriority w:val="99"/>
    <w:semiHidden/>
    <w:unhideWhenUsed/>
    <w:rsid w:val="004F0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59"/>
    <w:rPr>
      <w:rFonts w:ascii="Segoe UI" w:hAnsi="Segoe UI" w:cs="Segoe UI"/>
      <w:sz w:val="18"/>
      <w:szCs w:val="18"/>
    </w:rPr>
  </w:style>
  <w:style w:type="paragraph" w:styleId="NormalWeb">
    <w:name w:val="Normal (Web)"/>
    <w:basedOn w:val="Normal"/>
    <w:uiPriority w:val="99"/>
    <w:rsid w:val="007D0127"/>
    <w:pPr>
      <w:spacing w:after="75" w:line="240" w:lineRule="auto"/>
      <w:jc w:val="both"/>
    </w:pPr>
    <w:rPr>
      <w:rFonts w:ascii="Tahoma" w:eastAsia="Times New Roman" w:hAnsi="Tahoma" w:cs="Tahoma"/>
      <w:sz w:val="24"/>
      <w:szCs w:val="24"/>
    </w:rPr>
  </w:style>
  <w:style w:type="character" w:styleId="Hyperlink">
    <w:name w:val="Hyperlink"/>
    <w:basedOn w:val="DefaultParagraphFont"/>
    <w:unhideWhenUsed/>
    <w:rsid w:val="00256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nhsn/forms/57.103_pshospsurv_blan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A7AAB-5ADD-4D92-B417-11964015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2016-02-16T13:54:00Z</dcterms:created>
  <dcterms:modified xsi:type="dcterms:W3CDTF">2016-02-16T13:55:00Z</dcterms:modified>
</cp:coreProperties>
</file>