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B4BD" w14:textId="77777777" w:rsidR="004A1ECC" w:rsidRDefault="004A1ECC" w:rsidP="004A1ECC">
      <w:pPr>
        <w:spacing w:line="480" w:lineRule="auto"/>
        <w:rPr>
          <w:b/>
          <w:sz w:val="24"/>
          <w:szCs w:val="24"/>
        </w:rPr>
      </w:pPr>
      <w:r w:rsidRPr="00E24356">
        <w:rPr>
          <w:b/>
          <w:sz w:val="24"/>
          <w:szCs w:val="24"/>
        </w:rPr>
        <w:t>Bedside glucose monitoring—is it safe? A new, regulatory-compliant risk assessment evaluation protocol in critically ill patient care settings</w:t>
      </w:r>
    </w:p>
    <w:p w14:paraId="14028A95" w14:textId="77777777" w:rsidR="004A1ECC" w:rsidRDefault="004A1ECC" w:rsidP="004A1ECC">
      <w:pPr>
        <w:spacing w:line="480" w:lineRule="auto"/>
        <w:rPr>
          <w:b/>
          <w:sz w:val="24"/>
          <w:szCs w:val="24"/>
        </w:rPr>
      </w:pPr>
      <w:r w:rsidRPr="00E24356">
        <w:rPr>
          <w:b/>
          <w:sz w:val="24"/>
          <w:szCs w:val="24"/>
        </w:rPr>
        <w:t xml:space="preserve">Jeffrey </w:t>
      </w:r>
      <w:r>
        <w:rPr>
          <w:b/>
          <w:sz w:val="24"/>
          <w:szCs w:val="24"/>
        </w:rPr>
        <w:t>D</w:t>
      </w:r>
      <w:r w:rsidRPr="00E24356">
        <w:rPr>
          <w:b/>
          <w:sz w:val="24"/>
          <w:szCs w:val="24"/>
        </w:rPr>
        <w:t>uBois</w:t>
      </w:r>
      <w:r>
        <w:rPr>
          <w:b/>
          <w:sz w:val="24"/>
          <w:szCs w:val="24"/>
        </w:rPr>
        <w:t xml:space="preserve">, </w:t>
      </w:r>
      <w:r w:rsidRPr="00E24356">
        <w:rPr>
          <w:b/>
          <w:sz w:val="24"/>
          <w:szCs w:val="24"/>
        </w:rPr>
        <w:t xml:space="preserve"> </w:t>
      </w:r>
      <w:proofErr w:type="spellStart"/>
      <w:r w:rsidRPr="00E24356">
        <w:rPr>
          <w:b/>
          <w:sz w:val="24"/>
          <w:szCs w:val="24"/>
        </w:rPr>
        <w:t>Robbert</w:t>
      </w:r>
      <w:proofErr w:type="spellEnd"/>
      <w:r>
        <w:rPr>
          <w:b/>
          <w:sz w:val="24"/>
          <w:szCs w:val="24"/>
        </w:rPr>
        <w:t xml:space="preserve"> </w:t>
      </w:r>
      <w:proofErr w:type="spellStart"/>
      <w:r w:rsidRPr="00E24356">
        <w:rPr>
          <w:b/>
          <w:sz w:val="24"/>
          <w:szCs w:val="24"/>
        </w:rPr>
        <w:t>Slingerland</w:t>
      </w:r>
      <w:proofErr w:type="spellEnd"/>
      <w:r>
        <w:rPr>
          <w:b/>
          <w:sz w:val="24"/>
          <w:szCs w:val="24"/>
        </w:rPr>
        <w:t xml:space="preserve">, </w:t>
      </w:r>
      <w:r w:rsidRPr="00E24356">
        <w:rPr>
          <w:b/>
          <w:sz w:val="24"/>
          <w:szCs w:val="24"/>
        </w:rPr>
        <w:t xml:space="preserve">   Marion </w:t>
      </w:r>
      <w:proofErr w:type="spellStart"/>
      <w:r w:rsidRPr="00E24356">
        <w:rPr>
          <w:b/>
          <w:sz w:val="24"/>
          <w:szCs w:val="24"/>
        </w:rPr>
        <w:t>Fokkert</w:t>
      </w:r>
      <w:proofErr w:type="spellEnd"/>
      <w:r>
        <w:rPr>
          <w:b/>
          <w:sz w:val="24"/>
          <w:szCs w:val="24"/>
        </w:rPr>
        <w:t xml:space="preserve">, </w:t>
      </w:r>
      <w:r w:rsidRPr="00E24356">
        <w:rPr>
          <w:b/>
          <w:sz w:val="24"/>
          <w:szCs w:val="24"/>
        </w:rPr>
        <w:t xml:space="preserve"> Alain Roman</w:t>
      </w:r>
      <w:r>
        <w:rPr>
          <w:b/>
          <w:sz w:val="24"/>
          <w:szCs w:val="24"/>
        </w:rPr>
        <w:t xml:space="preserve">, </w:t>
      </w:r>
      <w:r w:rsidRPr="00E24356">
        <w:rPr>
          <w:b/>
          <w:sz w:val="24"/>
          <w:szCs w:val="24"/>
        </w:rPr>
        <w:t xml:space="preserve"> Nam Tran</w:t>
      </w:r>
      <w:r>
        <w:rPr>
          <w:b/>
          <w:sz w:val="24"/>
          <w:szCs w:val="24"/>
        </w:rPr>
        <w:t xml:space="preserve">, </w:t>
      </w:r>
      <w:r w:rsidRPr="00E24356">
        <w:rPr>
          <w:b/>
          <w:sz w:val="24"/>
          <w:szCs w:val="24"/>
        </w:rPr>
        <w:t>William Clarke</w:t>
      </w:r>
      <w:r>
        <w:rPr>
          <w:b/>
          <w:sz w:val="24"/>
          <w:szCs w:val="24"/>
        </w:rPr>
        <w:t xml:space="preserve">, </w:t>
      </w:r>
      <w:r w:rsidRPr="00E24356">
        <w:rPr>
          <w:b/>
          <w:sz w:val="24"/>
          <w:szCs w:val="24"/>
        </w:rPr>
        <w:t xml:space="preserve"> David </w:t>
      </w:r>
      <w:proofErr w:type="spellStart"/>
      <w:r w:rsidRPr="00E24356">
        <w:rPr>
          <w:b/>
          <w:sz w:val="24"/>
          <w:szCs w:val="24"/>
        </w:rPr>
        <w:t>Sartori</w:t>
      </w:r>
      <w:proofErr w:type="spellEnd"/>
      <w:r>
        <w:rPr>
          <w:b/>
          <w:sz w:val="24"/>
          <w:szCs w:val="24"/>
        </w:rPr>
        <w:t xml:space="preserve">, </w:t>
      </w:r>
      <w:r w:rsidRPr="00E24356">
        <w:rPr>
          <w:b/>
          <w:sz w:val="24"/>
          <w:szCs w:val="24"/>
        </w:rPr>
        <w:t xml:space="preserve"> Tina Palmieri</w:t>
      </w:r>
      <w:r>
        <w:rPr>
          <w:b/>
          <w:sz w:val="24"/>
          <w:szCs w:val="24"/>
        </w:rPr>
        <w:t>,</w:t>
      </w:r>
      <w:r w:rsidRPr="00E24356">
        <w:rPr>
          <w:b/>
          <w:sz w:val="24"/>
          <w:szCs w:val="24"/>
        </w:rPr>
        <w:t xml:space="preserve"> Andrei Malic</w:t>
      </w:r>
      <w:r>
        <w:rPr>
          <w:b/>
          <w:sz w:val="24"/>
          <w:szCs w:val="24"/>
        </w:rPr>
        <w:t xml:space="preserve">, </w:t>
      </w:r>
      <w:r w:rsidRPr="00E24356">
        <w:rPr>
          <w:b/>
          <w:sz w:val="24"/>
          <w:szCs w:val="24"/>
        </w:rPr>
        <w:t>Martha Lyon</w:t>
      </w:r>
      <w:r>
        <w:rPr>
          <w:b/>
          <w:sz w:val="24"/>
          <w:szCs w:val="24"/>
        </w:rPr>
        <w:t>, Andrew Lyon</w:t>
      </w:r>
      <w:r w:rsidRPr="00E24356">
        <w:rPr>
          <w:b/>
          <w:sz w:val="24"/>
          <w:szCs w:val="24"/>
        </w:rPr>
        <w:t xml:space="preserve"> </w:t>
      </w:r>
    </w:p>
    <w:p w14:paraId="408B3A64" w14:textId="77777777" w:rsidR="004A1ECC" w:rsidRDefault="004A1ECC" w:rsidP="004A1ECC">
      <w:pPr>
        <w:spacing w:line="480" w:lineRule="auto"/>
        <w:rPr>
          <w:b/>
          <w:sz w:val="24"/>
          <w:szCs w:val="24"/>
        </w:rPr>
      </w:pPr>
    </w:p>
    <w:p w14:paraId="384BD403" w14:textId="77777777" w:rsidR="004A1ECC" w:rsidRDefault="004A1ECC" w:rsidP="004A1ECC">
      <w:pPr>
        <w:spacing w:line="480" w:lineRule="auto"/>
        <w:rPr>
          <w:b/>
          <w:sz w:val="24"/>
          <w:szCs w:val="24"/>
        </w:rPr>
      </w:pPr>
    </w:p>
    <w:p w14:paraId="50114E15" w14:textId="77777777" w:rsidR="004A1ECC" w:rsidRPr="00BD4096" w:rsidRDefault="004A1ECC" w:rsidP="004A1ECC">
      <w:pPr>
        <w:spacing w:line="480" w:lineRule="auto"/>
        <w:jc w:val="center"/>
        <w:rPr>
          <w:b/>
          <w:sz w:val="32"/>
          <w:szCs w:val="32"/>
        </w:rPr>
      </w:pPr>
      <w:r w:rsidRPr="00BD4096">
        <w:rPr>
          <w:b/>
          <w:sz w:val="32"/>
          <w:szCs w:val="32"/>
        </w:rPr>
        <w:t>SUPPLEMENTAL DIGITAL CONTENT</w:t>
      </w:r>
    </w:p>
    <w:p w14:paraId="42ED510C" w14:textId="77777777" w:rsidR="004A1ECC" w:rsidRDefault="004A1ECC" w:rsidP="004A1ECC">
      <w:pPr>
        <w:spacing w:line="480" w:lineRule="auto"/>
        <w:rPr>
          <w:b/>
          <w:sz w:val="24"/>
          <w:szCs w:val="24"/>
        </w:rPr>
      </w:pPr>
    </w:p>
    <w:p w14:paraId="254B15E6" w14:textId="77777777" w:rsidR="004A1ECC" w:rsidRDefault="004A1ECC" w:rsidP="004A1ECC">
      <w:pPr>
        <w:spacing w:line="480" w:lineRule="auto"/>
        <w:rPr>
          <w:b/>
          <w:sz w:val="24"/>
          <w:szCs w:val="24"/>
        </w:rPr>
      </w:pPr>
    </w:p>
    <w:p w14:paraId="4C93D88B" w14:textId="77777777" w:rsidR="004A1ECC" w:rsidRDefault="004A1ECC" w:rsidP="004A1ECC">
      <w:pPr>
        <w:spacing w:line="480" w:lineRule="auto"/>
        <w:rPr>
          <w:b/>
          <w:sz w:val="24"/>
          <w:szCs w:val="24"/>
        </w:rPr>
      </w:pPr>
    </w:p>
    <w:p w14:paraId="5EE72AFB" w14:textId="77777777" w:rsidR="004A1ECC" w:rsidRDefault="004A1ECC" w:rsidP="004A1ECC">
      <w:pPr>
        <w:spacing w:line="480" w:lineRule="auto"/>
        <w:rPr>
          <w:b/>
          <w:sz w:val="24"/>
          <w:szCs w:val="24"/>
        </w:rPr>
      </w:pPr>
    </w:p>
    <w:p w14:paraId="6568BAE5" w14:textId="77777777" w:rsidR="004A1ECC" w:rsidRDefault="004A1ECC" w:rsidP="004A1ECC">
      <w:pPr>
        <w:spacing w:line="480" w:lineRule="auto"/>
        <w:rPr>
          <w:b/>
          <w:sz w:val="24"/>
          <w:szCs w:val="24"/>
        </w:rPr>
      </w:pPr>
    </w:p>
    <w:p w14:paraId="7DD6C99D" w14:textId="77777777" w:rsidR="004A1ECC" w:rsidRDefault="004A1ECC" w:rsidP="004A1ECC">
      <w:pPr>
        <w:spacing w:line="480" w:lineRule="auto"/>
        <w:rPr>
          <w:b/>
          <w:sz w:val="24"/>
          <w:szCs w:val="24"/>
        </w:rPr>
      </w:pPr>
    </w:p>
    <w:p w14:paraId="340197DA" w14:textId="77777777" w:rsidR="004A1ECC" w:rsidRDefault="004A1ECC" w:rsidP="004A1ECC">
      <w:pPr>
        <w:spacing w:line="480" w:lineRule="auto"/>
        <w:rPr>
          <w:b/>
          <w:sz w:val="24"/>
          <w:szCs w:val="24"/>
        </w:rPr>
      </w:pPr>
    </w:p>
    <w:p w14:paraId="3C2B5DF0" w14:textId="77777777" w:rsidR="004A1ECC" w:rsidRDefault="004A1ECC" w:rsidP="004A1ECC">
      <w:pPr>
        <w:spacing w:line="480" w:lineRule="auto"/>
        <w:rPr>
          <w:b/>
          <w:sz w:val="24"/>
          <w:szCs w:val="24"/>
        </w:rPr>
      </w:pPr>
    </w:p>
    <w:p w14:paraId="66BF8E8F" w14:textId="77777777" w:rsidR="004A1ECC" w:rsidRDefault="004A1ECC" w:rsidP="004A1ECC">
      <w:pPr>
        <w:spacing w:line="480" w:lineRule="auto"/>
        <w:rPr>
          <w:b/>
          <w:sz w:val="24"/>
          <w:szCs w:val="24"/>
        </w:rPr>
      </w:pPr>
    </w:p>
    <w:p w14:paraId="5DCD0400" w14:textId="77777777" w:rsidR="004A1ECC" w:rsidRDefault="004A1ECC" w:rsidP="004A1ECC">
      <w:pPr>
        <w:spacing w:line="480" w:lineRule="auto"/>
        <w:rPr>
          <w:b/>
          <w:sz w:val="24"/>
          <w:szCs w:val="24"/>
        </w:rPr>
      </w:pPr>
    </w:p>
    <w:p w14:paraId="1D1F5E1A" w14:textId="77777777" w:rsidR="004A1ECC" w:rsidRPr="00F27268" w:rsidRDefault="004A1ECC" w:rsidP="004A1ECC">
      <w:pPr>
        <w:spacing w:line="480" w:lineRule="auto"/>
        <w:rPr>
          <w:sz w:val="24"/>
          <w:szCs w:val="24"/>
        </w:rPr>
      </w:pPr>
      <w:r w:rsidRPr="00F27268">
        <w:rPr>
          <w:b/>
          <w:sz w:val="24"/>
          <w:szCs w:val="24"/>
        </w:rPr>
        <w:lastRenderedPageBreak/>
        <w:t>Application of Monte Carlo Simulation of Clinical Risk to the BGMS Trial Data</w:t>
      </w:r>
      <w:r>
        <w:rPr>
          <w:b/>
          <w:sz w:val="24"/>
          <w:szCs w:val="24"/>
        </w:rPr>
        <w:t xml:space="preserve">: </w:t>
      </w:r>
      <w:r>
        <w:rPr>
          <w:sz w:val="24"/>
          <w:szCs w:val="24"/>
        </w:rPr>
        <w:t>This section</w:t>
      </w:r>
      <w:r w:rsidRPr="00F27268">
        <w:rPr>
          <w:sz w:val="24"/>
          <w:szCs w:val="24"/>
        </w:rPr>
        <w:t xml:space="preserve"> provide</w:t>
      </w:r>
      <w:r>
        <w:rPr>
          <w:sz w:val="24"/>
          <w:szCs w:val="24"/>
        </w:rPr>
        <w:t xml:space="preserve">s a </w:t>
      </w:r>
      <w:r w:rsidRPr="00F27268">
        <w:rPr>
          <w:sz w:val="24"/>
          <w:szCs w:val="24"/>
        </w:rPr>
        <w:t>description of how</w:t>
      </w:r>
      <w:r>
        <w:rPr>
          <w:sz w:val="24"/>
          <w:szCs w:val="24"/>
        </w:rPr>
        <w:t xml:space="preserve"> to overlay published </w:t>
      </w:r>
      <w:r w:rsidRPr="00F27268">
        <w:rPr>
          <w:sz w:val="24"/>
          <w:szCs w:val="24"/>
        </w:rPr>
        <w:t>Monte Carlo simulation contour plots of clinical risk</w:t>
      </w:r>
      <w:r>
        <w:rPr>
          <w:sz w:val="24"/>
          <w:szCs w:val="24"/>
        </w:rPr>
        <w:t xml:space="preserve"> in critical care adult patients </w:t>
      </w:r>
      <w:r w:rsidRPr="00F27268">
        <w:rPr>
          <w:sz w:val="24"/>
          <w:szCs w:val="24"/>
        </w:rPr>
        <w:t>to the blood glucose monitoring system trial data</w:t>
      </w:r>
      <w:r>
        <w:rPr>
          <w:sz w:val="24"/>
          <w:szCs w:val="24"/>
        </w:rPr>
        <w:t xml:space="preserve"> in critical care adult patients. </w:t>
      </w:r>
      <w:r w:rsidRPr="00F27268">
        <w:rPr>
          <w:sz w:val="24"/>
          <w:szCs w:val="24"/>
        </w:rPr>
        <w:t xml:space="preserve">  </w:t>
      </w:r>
    </w:p>
    <w:p w14:paraId="5769C6B6" w14:textId="77777777" w:rsidR="004A1ECC" w:rsidRPr="00F27268" w:rsidRDefault="004A1ECC" w:rsidP="004A1ECC">
      <w:pPr>
        <w:spacing w:line="480" w:lineRule="auto"/>
        <w:rPr>
          <w:b/>
          <w:sz w:val="24"/>
          <w:szCs w:val="24"/>
          <w:u w:val="single"/>
        </w:rPr>
      </w:pPr>
      <w:r w:rsidRPr="00F27268">
        <w:rPr>
          <w:b/>
          <w:sz w:val="24"/>
          <w:szCs w:val="24"/>
          <w:u w:val="single"/>
        </w:rPr>
        <w:t>Monte Carlo Simulation Contour Plots</w:t>
      </w:r>
    </w:p>
    <w:p w14:paraId="0FF927F6" w14:textId="77777777" w:rsidR="004A1ECC" w:rsidRPr="00F27268" w:rsidRDefault="004A1ECC" w:rsidP="004A1ECC">
      <w:pPr>
        <w:spacing w:line="480" w:lineRule="auto"/>
        <w:ind w:firstLine="720"/>
        <w:jc w:val="both"/>
        <w:rPr>
          <w:rFonts w:cs="Arial"/>
          <w:sz w:val="24"/>
          <w:szCs w:val="24"/>
        </w:rPr>
      </w:pPr>
      <w:r>
        <w:rPr>
          <w:rFonts w:cs="Arial"/>
          <w:sz w:val="24"/>
          <w:szCs w:val="24"/>
        </w:rPr>
        <w:t xml:space="preserve">The Monte Carlo simulation contour plots of insulin dose error rates previously published by </w:t>
      </w:r>
      <w:proofErr w:type="spellStart"/>
      <w:r>
        <w:rPr>
          <w:rFonts w:cs="Arial"/>
          <w:sz w:val="24"/>
          <w:szCs w:val="24"/>
        </w:rPr>
        <w:t>Karon</w:t>
      </w:r>
      <w:proofErr w:type="spellEnd"/>
      <w:r>
        <w:rPr>
          <w:rFonts w:cs="Arial"/>
          <w:sz w:val="24"/>
          <w:szCs w:val="24"/>
        </w:rPr>
        <w:t xml:space="preserve">, Boyd and Klee (2010) were utilized to estimate the potential clinical risk associated with the BGMS trial data.   In this simulation study, the dose of insulin given to patients was dependent upon the glucose value measured by a point of care glucose meter.  Twelve insulin dose categories were utilized that reflect the institutional tight glycemic protocol. The influence of analytical bias and precision on all glucose values was assessed by evaluating if the insulin-dose-category was the same, or changed to ±1, ±2, ±3 dose categories at each pair of bias and precision values.  </w:t>
      </w:r>
      <w:r w:rsidRPr="00F27268">
        <w:rPr>
          <w:rFonts w:cs="Arial"/>
          <w:sz w:val="24"/>
          <w:szCs w:val="24"/>
        </w:rPr>
        <w:t>To simulate the effects of analytic precis</w:t>
      </w:r>
      <w:r>
        <w:rPr>
          <w:rFonts w:cs="Arial"/>
          <w:sz w:val="24"/>
          <w:szCs w:val="24"/>
        </w:rPr>
        <w:t>ion and bias on the modelled glucose, the initial glucose</w:t>
      </w:r>
      <w:r w:rsidRPr="00F27268">
        <w:rPr>
          <w:rFonts w:cs="Arial"/>
          <w:sz w:val="24"/>
          <w:szCs w:val="24"/>
        </w:rPr>
        <w:t xml:space="preserve"> values were modified using the following equation:  </w:t>
      </w:r>
    </w:p>
    <w:p w14:paraId="647EB4CC" w14:textId="77777777" w:rsidR="004A1ECC" w:rsidRPr="003D4933" w:rsidRDefault="004A1ECC" w:rsidP="007D5471">
      <w:pPr>
        <w:ind w:left="1440"/>
      </w:pPr>
      <w:proofErr w:type="spellStart"/>
      <w:r w:rsidRPr="003D4933">
        <w:t>glucose</w:t>
      </w:r>
      <w:r w:rsidRPr="003D4933">
        <w:rPr>
          <w:vertAlign w:val="subscript"/>
        </w:rPr>
        <w:t>m</w:t>
      </w:r>
      <w:proofErr w:type="spellEnd"/>
      <w:r w:rsidRPr="003D4933">
        <w:t xml:space="preserve"> = </w:t>
      </w:r>
      <w:proofErr w:type="spellStart"/>
      <w:r w:rsidRPr="003D4933">
        <w:t>glucose</w:t>
      </w:r>
      <w:r w:rsidRPr="003D4933">
        <w:rPr>
          <w:vertAlign w:val="subscript"/>
        </w:rPr>
        <w:t>i</w:t>
      </w:r>
      <w:proofErr w:type="spellEnd"/>
      <w:r w:rsidRPr="003D4933">
        <w:rPr>
          <w:vertAlign w:val="subscript"/>
        </w:rPr>
        <w:t xml:space="preserve"> </w:t>
      </w:r>
      <w:r w:rsidRPr="003D4933">
        <w:t>+ [</w:t>
      </w:r>
      <w:proofErr w:type="gramStart"/>
      <w:r w:rsidRPr="003D4933">
        <w:t>n(</w:t>
      </w:r>
      <w:proofErr w:type="gramEnd"/>
      <w:r w:rsidRPr="003D4933">
        <w:t xml:space="preserve">0,1) x CV x </w:t>
      </w:r>
      <w:proofErr w:type="spellStart"/>
      <w:r w:rsidRPr="003D4933">
        <w:t>glucose</w:t>
      </w:r>
      <w:r w:rsidRPr="003D4933">
        <w:rPr>
          <w:vertAlign w:val="subscript"/>
        </w:rPr>
        <w:t>i</w:t>
      </w:r>
      <w:proofErr w:type="spellEnd"/>
      <w:r w:rsidRPr="003D4933">
        <w:t xml:space="preserve">] + [Bias]x </w:t>
      </w:r>
      <w:proofErr w:type="spellStart"/>
      <w:r w:rsidRPr="003D4933">
        <w:t>glucose</w:t>
      </w:r>
      <w:r w:rsidRPr="003D4933">
        <w:rPr>
          <w:vertAlign w:val="subscript"/>
        </w:rPr>
        <w:t>i</w:t>
      </w:r>
      <w:proofErr w:type="spellEnd"/>
    </w:p>
    <w:p w14:paraId="6BEAEB4B" w14:textId="77777777" w:rsidR="004A1ECC" w:rsidRPr="003D4933" w:rsidRDefault="004A1ECC" w:rsidP="007D5471">
      <w:pPr>
        <w:ind w:left="1440"/>
      </w:pPr>
      <w:r w:rsidRPr="003D4933">
        <w:t xml:space="preserve">Where </w:t>
      </w:r>
      <w:proofErr w:type="spellStart"/>
      <w:r w:rsidRPr="003D4933">
        <w:t>glucose</w:t>
      </w:r>
      <w:r w:rsidRPr="003D4933">
        <w:rPr>
          <w:vertAlign w:val="subscript"/>
        </w:rPr>
        <w:t>i</w:t>
      </w:r>
      <w:proofErr w:type="spellEnd"/>
      <w:r w:rsidRPr="003D4933">
        <w:t>= Initial glucose value in mg/dL</w:t>
      </w:r>
    </w:p>
    <w:p w14:paraId="2E519FBF" w14:textId="77777777" w:rsidR="004A1ECC" w:rsidRPr="003D4933" w:rsidRDefault="004A1ECC" w:rsidP="007D5471">
      <w:pPr>
        <w:pStyle w:val="ListParagraph"/>
        <w:numPr>
          <w:ilvl w:val="0"/>
          <w:numId w:val="1"/>
        </w:numPr>
        <w:spacing w:after="0" w:line="480" w:lineRule="auto"/>
        <w:ind w:left="1800"/>
      </w:pPr>
      <w:proofErr w:type="spellStart"/>
      <w:r w:rsidRPr="003D4933">
        <w:t>glucose</w:t>
      </w:r>
      <w:r w:rsidRPr="003D4933">
        <w:rPr>
          <w:vertAlign w:val="subscript"/>
        </w:rPr>
        <w:t>m</w:t>
      </w:r>
      <w:proofErr w:type="spellEnd"/>
      <w:r w:rsidRPr="003D4933">
        <w:t>= modelled value reflecting the effects of analytical imprecision and bias.</w:t>
      </w:r>
    </w:p>
    <w:p w14:paraId="0C6A33D6" w14:textId="77777777" w:rsidR="004A1ECC" w:rsidRPr="003D4933" w:rsidRDefault="004A1ECC" w:rsidP="007D5471">
      <w:pPr>
        <w:pStyle w:val="ListParagraph"/>
        <w:numPr>
          <w:ilvl w:val="0"/>
          <w:numId w:val="1"/>
        </w:numPr>
        <w:spacing w:after="0" w:line="480" w:lineRule="auto"/>
        <w:ind w:left="1800"/>
      </w:pPr>
      <w:proofErr w:type="gramStart"/>
      <w:r w:rsidRPr="003D4933">
        <w:t>n(</w:t>
      </w:r>
      <w:proofErr w:type="gramEnd"/>
      <w:r w:rsidRPr="003D4933">
        <w:t>0,1) : a random number drawn from a Gaussian distribution with a mean of 0 and SD of 1.</w:t>
      </w:r>
    </w:p>
    <w:p w14:paraId="61535D3A" w14:textId="77777777" w:rsidR="004A1ECC" w:rsidRPr="003D4933" w:rsidRDefault="004A1ECC" w:rsidP="007D5471">
      <w:pPr>
        <w:pStyle w:val="ListParagraph"/>
        <w:numPr>
          <w:ilvl w:val="0"/>
          <w:numId w:val="1"/>
        </w:numPr>
        <w:spacing w:after="0" w:line="480" w:lineRule="auto"/>
        <w:ind w:left="1800"/>
      </w:pPr>
      <w:r w:rsidRPr="003D4933">
        <w:t>CV: The coefficient of variation expressed as a fraction.</w:t>
      </w:r>
    </w:p>
    <w:p w14:paraId="562C54A8" w14:textId="77777777" w:rsidR="004A1ECC" w:rsidRPr="003D4933" w:rsidRDefault="004A1ECC" w:rsidP="007D5471">
      <w:pPr>
        <w:pStyle w:val="ListParagraph"/>
        <w:numPr>
          <w:ilvl w:val="0"/>
          <w:numId w:val="1"/>
        </w:numPr>
        <w:spacing w:after="0" w:line="480" w:lineRule="auto"/>
        <w:ind w:left="1800"/>
      </w:pPr>
      <w:r w:rsidRPr="003D4933">
        <w:t>Bias: the assay bias expressed as either a positive or negative fraction</w:t>
      </w:r>
    </w:p>
    <w:p w14:paraId="7DB8A205" w14:textId="77777777" w:rsidR="004A1ECC" w:rsidRPr="00F27268" w:rsidRDefault="004A1ECC" w:rsidP="004A1ECC">
      <w:pPr>
        <w:pStyle w:val="ListParagraph"/>
        <w:spacing w:before="40" w:line="240" w:lineRule="auto"/>
        <w:ind w:left="1080"/>
        <w:rPr>
          <w:rFonts w:cs="Arial"/>
          <w:bCs/>
          <w:spacing w:val="16"/>
          <w:sz w:val="24"/>
          <w:szCs w:val="24"/>
        </w:rPr>
      </w:pPr>
    </w:p>
    <w:p w14:paraId="2F2C96B9" w14:textId="77777777" w:rsidR="004A1ECC" w:rsidRDefault="004A1ECC" w:rsidP="004A1ECC">
      <w:pPr>
        <w:spacing w:line="480" w:lineRule="auto"/>
        <w:ind w:firstLine="720"/>
        <w:jc w:val="both"/>
        <w:rPr>
          <w:rFonts w:cs="Arial"/>
          <w:sz w:val="24"/>
          <w:szCs w:val="24"/>
        </w:rPr>
      </w:pPr>
      <w:r>
        <w:rPr>
          <w:rFonts w:cs="Arial"/>
          <w:sz w:val="24"/>
          <w:szCs w:val="24"/>
        </w:rPr>
        <w:t xml:space="preserve">The initial glucose and the simulated glucose values were then allotted into the 12 insulin-dose-categories.  The contour plots have scales of CV% and Bias% and reflect the percentage of the simulated </w:t>
      </w:r>
      <w:r>
        <w:rPr>
          <w:rFonts w:cs="Arial"/>
          <w:sz w:val="24"/>
          <w:szCs w:val="24"/>
        </w:rPr>
        <w:lastRenderedPageBreak/>
        <w:t xml:space="preserve">glucose values allocated to a different insulin-dose-category by ±1 category, ±2 categories or ±3 categories compared to the initial insulin-dose-category.  </w:t>
      </w:r>
    </w:p>
    <w:p w14:paraId="5C9F0941" w14:textId="77777777" w:rsidR="004A1ECC" w:rsidRPr="000E35EB" w:rsidRDefault="004A1ECC" w:rsidP="004A1ECC">
      <w:pPr>
        <w:spacing w:line="480" w:lineRule="auto"/>
        <w:ind w:firstLine="720"/>
        <w:rPr>
          <w:rFonts w:cs="Arial"/>
          <w:b/>
          <w:sz w:val="24"/>
          <w:szCs w:val="24"/>
          <w:u w:val="single"/>
        </w:rPr>
      </w:pPr>
      <w:r w:rsidRPr="000E35EB">
        <w:rPr>
          <w:rFonts w:cs="Arial"/>
          <w:b/>
          <w:sz w:val="24"/>
          <w:szCs w:val="24"/>
          <w:u w:val="single"/>
        </w:rPr>
        <w:t>Overlay of Total Allowable Error boundary lines</w:t>
      </w:r>
      <w:r>
        <w:rPr>
          <w:rFonts w:cs="Arial"/>
          <w:b/>
          <w:sz w:val="24"/>
          <w:szCs w:val="24"/>
          <w:u w:val="single"/>
        </w:rPr>
        <w:t xml:space="preserve"> on Insulin-dose-category error contour plots</w:t>
      </w:r>
    </w:p>
    <w:p w14:paraId="5C32D87B" w14:textId="77777777" w:rsidR="004A1ECC" w:rsidRDefault="004A1ECC" w:rsidP="004A1ECC">
      <w:pPr>
        <w:spacing w:line="480" w:lineRule="auto"/>
        <w:ind w:firstLine="720"/>
        <w:jc w:val="both"/>
        <w:rPr>
          <w:rFonts w:cs="Arial"/>
          <w:sz w:val="24"/>
          <w:szCs w:val="24"/>
        </w:rPr>
      </w:pPr>
      <w:r>
        <w:rPr>
          <w:rFonts w:cs="Arial"/>
          <w:sz w:val="24"/>
          <w:szCs w:val="24"/>
        </w:rPr>
        <w:t>Total Allowable Error (</w:t>
      </w:r>
      <w:proofErr w:type="spellStart"/>
      <w:r>
        <w:rPr>
          <w:rFonts w:cs="Arial"/>
          <w:sz w:val="24"/>
          <w:szCs w:val="24"/>
        </w:rPr>
        <w:t>TEa</w:t>
      </w:r>
      <w:proofErr w:type="spellEnd"/>
      <w:r>
        <w:rPr>
          <w:rFonts w:cs="Arial"/>
          <w:sz w:val="24"/>
          <w:szCs w:val="24"/>
        </w:rPr>
        <w:t xml:space="preserve">) lines reflecting 10%, 15% and 20% </w:t>
      </w:r>
      <w:proofErr w:type="spellStart"/>
      <w:r>
        <w:rPr>
          <w:rFonts w:cs="Arial"/>
          <w:sz w:val="24"/>
          <w:szCs w:val="24"/>
        </w:rPr>
        <w:t>TEa</w:t>
      </w:r>
      <w:proofErr w:type="spellEnd"/>
      <w:r>
        <w:rPr>
          <w:rFonts w:cs="Arial"/>
          <w:sz w:val="24"/>
          <w:szCs w:val="24"/>
        </w:rPr>
        <w:t xml:space="preserve"> were overlaid on each contour graph. </w:t>
      </w:r>
      <w:proofErr w:type="spellStart"/>
      <w:r>
        <w:rPr>
          <w:rFonts w:cs="Arial"/>
          <w:sz w:val="24"/>
          <w:szCs w:val="24"/>
        </w:rPr>
        <w:t>TEa</w:t>
      </w:r>
      <w:proofErr w:type="spellEnd"/>
      <w:r>
        <w:rPr>
          <w:rFonts w:cs="Arial"/>
          <w:sz w:val="24"/>
          <w:szCs w:val="24"/>
        </w:rPr>
        <w:t xml:space="preserve"> was defined as </w:t>
      </w:r>
      <w:proofErr w:type="spellStart"/>
      <w:r>
        <w:rPr>
          <w:rFonts w:cs="Arial"/>
          <w:sz w:val="24"/>
          <w:szCs w:val="24"/>
        </w:rPr>
        <w:t>TEa</w:t>
      </w:r>
      <w:proofErr w:type="spellEnd"/>
      <w:r>
        <w:rPr>
          <w:rFonts w:cs="Arial"/>
          <w:sz w:val="24"/>
          <w:szCs w:val="24"/>
        </w:rPr>
        <w:t xml:space="preserve"> = bias (%) + (1.65 x </w:t>
      </w:r>
      <w:proofErr w:type="gramStart"/>
      <w:r>
        <w:rPr>
          <w:rFonts w:cs="Arial"/>
          <w:sz w:val="24"/>
          <w:szCs w:val="24"/>
        </w:rPr>
        <w:t>CV(</w:t>
      </w:r>
      <w:proofErr w:type="gramEnd"/>
      <w:r>
        <w:rPr>
          <w:rFonts w:cs="Arial"/>
          <w:sz w:val="24"/>
          <w:szCs w:val="24"/>
        </w:rPr>
        <w:t xml:space="preserve">%)). By overlaying the </w:t>
      </w:r>
      <w:proofErr w:type="spellStart"/>
      <w:r>
        <w:rPr>
          <w:rFonts w:cs="Arial"/>
          <w:sz w:val="24"/>
          <w:szCs w:val="24"/>
        </w:rPr>
        <w:t>TEa</w:t>
      </w:r>
      <w:proofErr w:type="spellEnd"/>
      <w:r>
        <w:rPr>
          <w:rFonts w:cs="Arial"/>
          <w:sz w:val="24"/>
          <w:szCs w:val="24"/>
        </w:rPr>
        <w:t xml:space="preserve"> boundary lines the co-variation</w:t>
      </w:r>
      <w:r w:rsidRPr="00650420">
        <w:rPr>
          <w:rFonts w:cs="Arial"/>
          <w:sz w:val="24"/>
          <w:szCs w:val="24"/>
        </w:rPr>
        <w:t xml:space="preserve"> </w:t>
      </w:r>
      <w:r>
        <w:rPr>
          <w:rFonts w:cs="Arial"/>
          <w:sz w:val="24"/>
          <w:szCs w:val="24"/>
        </w:rPr>
        <w:t>of assay imprecision and bias with assay quality (</w:t>
      </w:r>
      <w:proofErr w:type="spellStart"/>
      <w:r>
        <w:rPr>
          <w:rFonts w:cs="Arial"/>
          <w:sz w:val="24"/>
          <w:szCs w:val="24"/>
        </w:rPr>
        <w:t>TEa</w:t>
      </w:r>
      <w:proofErr w:type="spellEnd"/>
      <w:r>
        <w:rPr>
          <w:rFonts w:cs="Arial"/>
          <w:sz w:val="24"/>
          <w:szCs w:val="24"/>
        </w:rPr>
        <w:t xml:space="preserve">) and percentage of insulin-dose-category error can be visually observed as previously described (Refs: Boyd &amp; </w:t>
      </w:r>
      <w:proofErr w:type="spellStart"/>
      <w:r>
        <w:rPr>
          <w:rFonts w:cs="Arial"/>
          <w:sz w:val="24"/>
          <w:szCs w:val="24"/>
        </w:rPr>
        <w:t>Bruns</w:t>
      </w:r>
      <w:proofErr w:type="spellEnd"/>
      <w:r>
        <w:rPr>
          <w:rFonts w:cs="Arial"/>
          <w:sz w:val="24"/>
          <w:szCs w:val="24"/>
        </w:rPr>
        <w:t xml:space="preserve"> 2001 </w:t>
      </w:r>
      <w:proofErr w:type="spellStart"/>
      <w:r>
        <w:rPr>
          <w:rFonts w:cs="Arial"/>
          <w:sz w:val="24"/>
          <w:szCs w:val="24"/>
        </w:rPr>
        <w:t>Clin</w:t>
      </w:r>
      <w:proofErr w:type="spellEnd"/>
      <w:r>
        <w:rPr>
          <w:rFonts w:cs="Arial"/>
          <w:sz w:val="24"/>
          <w:szCs w:val="24"/>
        </w:rPr>
        <w:t xml:space="preserve"> </w:t>
      </w:r>
      <w:proofErr w:type="spellStart"/>
      <w:r>
        <w:rPr>
          <w:rFonts w:cs="Arial"/>
          <w:sz w:val="24"/>
          <w:szCs w:val="24"/>
        </w:rPr>
        <w:t>Chem</w:t>
      </w:r>
      <w:proofErr w:type="spellEnd"/>
      <w:r>
        <w:rPr>
          <w:rFonts w:cs="Arial"/>
          <w:sz w:val="24"/>
          <w:szCs w:val="24"/>
        </w:rPr>
        <w:t xml:space="preserve">,  </w:t>
      </w:r>
      <w:proofErr w:type="spellStart"/>
      <w:r>
        <w:rPr>
          <w:rFonts w:cs="Arial"/>
          <w:sz w:val="24"/>
          <w:szCs w:val="24"/>
        </w:rPr>
        <w:t>Karon</w:t>
      </w:r>
      <w:proofErr w:type="spellEnd"/>
      <w:r>
        <w:rPr>
          <w:rFonts w:cs="Arial"/>
          <w:sz w:val="24"/>
          <w:szCs w:val="24"/>
        </w:rPr>
        <w:t xml:space="preserve">, Boyd, Klee 2010 </w:t>
      </w:r>
      <w:proofErr w:type="spellStart"/>
      <w:r>
        <w:rPr>
          <w:rFonts w:cs="Arial"/>
          <w:sz w:val="24"/>
          <w:szCs w:val="24"/>
        </w:rPr>
        <w:t>Clin</w:t>
      </w:r>
      <w:proofErr w:type="spellEnd"/>
      <w:r>
        <w:rPr>
          <w:rFonts w:cs="Arial"/>
          <w:sz w:val="24"/>
          <w:szCs w:val="24"/>
        </w:rPr>
        <w:t xml:space="preserve"> </w:t>
      </w:r>
      <w:proofErr w:type="spellStart"/>
      <w:r>
        <w:rPr>
          <w:rFonts w:cs="Arial"/>
          <w:sz w:val="24"/>
          <w:szCs w:val="24"/>
        </w:rPr>
        <w:t>Chem</w:t>
      </w:r>
      <w:proofErr w:type="spellEnd"/>
      <w:r>
        <w:rPr>
          <w:rFonts w:cs="Arial"/>
          <w:sz w:val="24"/>
          <w:szCs w:val="24"/>
        </w:rPr>
        <w:t>).</w:t>
      </w:r>
    </w:p>
    <w:p w14:paraId="25A7C6AB" w14:textId="77777777" w:rsidR="004A1ECC" w:rsidRPr="000E35EB" w:rsidRDefault="004A1ECC" w:rsidP="00ED6B3D">
      <w:pPr>
        <w:spacing w:line="480" w:lineRule="auto"/>
        <w:ind w:left="720"/>
        <w:rPr>
          <w:rFonts w:cs="Arial"/>
          <w:b/>
          <w:sz w:val="24"/>
          <w:szCs w:val="24"/>
          <w:u w:val="single"/>
        </w:rPr>
      </w:pPr>
      <w:r w:rsidRPr="00F27268">
        <w:rPr>
          <w:b/>
          <w:sz w:val="24"/>
          <w:szCs w:val="24"/>
          <w:u w:val="single"/>
        </w:rPr>
        <w:t>Overlay of</w:t>
      </w:r>
      <w:r>
        <w:rPr>
          <w:b/>
          <w:sz w:val="24"/>
          <w:szCs w:val="24"/>
          <w:u w:val="single"/>
        </w:rPr>
        <w:t xml:space="preserve"> </w:t>
      </w:r>
      <w:r w:rsidRPr="00F27268">
        <w:rPr>
          <w:b/>
          <w:sz w:val="24"/>
          <w:szCs w:val="24"/>
          <w:u w:val="single"/>
        </w:rPr>
        <w:t xml:space="preserve">Blood Glucose Monitoring System Patient Trial Data </w:t>
      </w:r>
      <w:r>
        <w:rPr>
          <w:b/>
          <w:sz w:val="24"/>
          <w:szCs w:val="24"/>
          <w:u w:val="single"/>
        </w:rPr>
        <w:t xml:space="preserve">with </w:t>
      </w:r>
      <w:r>
        <w:rPr>
          <w:rFonts w:cs="Arial"/>
          <w:b/>
          <w:sz w:val="24"/>
          <w:szCs w:val="24"/>
          <w:u w:val="single"/>
        </w:rPr>
        <w:t>Insulin-dose-category error contour plots</w:t>
      </w:r>
    </w:p>
    <w:p w14:paraId="307D5BC0" w14:textId="77777777" w:rsidR="00E31FC6" w:rsidRDefault="004A1ECC" w:rsidP="00171132">
      <w:pPr>
        <w:spacing w:line="480" w:lineRule="auto"/>
        <w:jc w:val="both"/>
        <w:rPr>
          <w:sz w:val="24"/>
          <w:szCs w:val="24"/>
        </w:rPr>
      </w:pPr>
      <w:r w:rsidRPr="0043240F">
        <w:t xml:space="preserve"> </w:t>
      </w:r>
      <w:r>
        <w:tab/>
      </w:r>
      <w:r w:rsidRPr="00D966BF">
        <w:rPr>
          <w:sz w:val="24"/>
          <w:szCs w:val="24"/>
        </w:rPr>
        <w:t>Clinical trial d</w:t>
      </w:r>
      <w:r>
        <w:rPr>
          <w:sz w:val="24"/>
          <w:szCs w:val="24"/>
        </w:rPr>
        <w:t>ata from critical care patients consisted of pairs of glucose results from a reference method (</w:t>
      </w:r>
      <w:r w:rsidRPr="00D966BF">
        <w:rPr>
          <w:sz w:val="24"/>
          <w:szCs w:val="24"/>
        </w:rPr>
        <w:t xml:space="preserve">Glucose </w:t>
      </w:r>
      <w:r w:rsidRPr="00D966BF">
        <w:rPr>
          <w:sz w:val="24"/>
          <w:szCs w:val="24"/>
          <w:vertAlign w:val="subscript"/>
        </w:rPr>
        <w:t>Ref Method</w:t>
      </w:r>
      <w:r>
        <w:rPr>
          <w:sz w:val="24"/>
          <w:szCs w:val="24"/>
        </w:rPr>
        <w:t>) and a BGMS (</w:t>
      </w:r>
      <w:r w:rsidRPr="00D966BF">
        <w:rPr>
          <w:sz w:val="24"/>
          <w:szCs w:val="24"/>
        </w:rPr>
        <w:t xml:space="preserve">Glucose </w:t>
      </w:r>
      <w:r w:rsidRPr="00D966BF">
        <w:rPr>
          <w:sz w:val="24"/>
          <w:szCs w:val="24"/>
          <w:vertAlign w:val="subscript"/>
        </w:rPr>
        <w:t>BGMS</w:t>
      </w:r>
      <w:r>
        <w:rPr>
          <w:sz w:val="24"/>
          <w:szCs w:val="24"/>
        </w:rPr>
        <w:t>) and the BGMS device has kn</w:t>
      </w:r>
      <w:r w:rsidRPr="00D966BF">
        <w:rPr>
          <w:sz w:val="24"/>
          <w:szCs w:val="24"/>
        </w:rPr>
        <w:t>own precision (e.g.  CV = 3.25%)</w:t>
      </w:r>
      <w:r>
        <w:rPr>
          <w:sz w:val="24"/>
          <w:szCs w:val="24"/>
        </w:rPr>
        <w:t>. The percentage bias of clinical trial BGMS glucose data can be calculated for pair of patient results:  (</w:t>
      </w:r>
      <w:proofErr w:type="spellStart"/>
      <w:r>
        <w:rPr>
          <w:sz w:val="24"/>
          <w:szCs w:val="24"/>
        </w:rPr>
        <w:t>e.g</w:t>
      </w:r>
      <w:proofErr w:type="spellEnd"/>
      <w:r>
        <w:rPr>
          <w:sz w:val="24"/>
          <w:szCs w:val="24"/>
        </w:rPr>
        <w:t xml:space="preserve"> bias % = 100%x </w:t>
      </w:r>
      <w:r w:rsidRPr="00D966BF">
        <w:rPr>
          <w:sz w:val="24"/>
          <w:szCs w:val="24"/>
        </w:rPr>
        <w:t xml:space="preserve">(Glucose </w:t>
      </w:r>
      <w:r w:rsidRPr="00D966BF">
        <w:rPr>
          <w:sz w:val="24"/>
          <w:szCs w:val="24"/>
          <w:vertAlign w:val="subscript"/>
        </w:rPr>
        <w:t xml:space="preserve">BGMS </w:t>
      </w:r>
      <w:r w:rsidRPr="00D966BF">
        <w:rPr>
          <w:sz w:val="24"/>
          <w:szCs w:val="24"/>
        </w:rPr>
        <w:t xml:space="preserve">– Glucose </w:t>
      </w:r>
      <w:r w:rsidRPr="00D966BF">
        <w:rPr>
          <w:sz w:val="24"/>
          <w:szCs w:val="24"/>
          <w:vertAlign w:val="subscript"/>
        </w:rPr>
        <w:t>Ref Method</w:t>
      </w:r>
      <w:r w:rsidRPr="00D966BF">
        <w:rPr>
          <w:sz w:val="24"/>
          <w:szCs w:val="24"/>
        </w:rPr>
        <w:t>)</w:t>
      </w:r>
      <w:r>
        <w:rPr>
          <w:sz w:val="24"/>
          <w:szCs w:val="24"/>
        </w:rPr>
        <w:t>/</w:t>
      </w:r>
      <w:r w:rsidRPr="00D966BF">
        <w:rPr>
          <w:sz w:val="24"/>
          <w:szCs w:val="24"/>
        </w:rPr>
        <w:t xml:space="preserve">Glucose </w:t>
      </w:r>
      <w:r w:rsidRPr="00D966BF">
        <w:rPr>
          <w:sz w:val="24"/>
          <w:szCs w:val="24"/>
          <w:vertAlign w:val="subscript"/>
        </w:rPr>
        <w:t>Ref</w:t>
      </w:r>
      <w:r>
        <w:rPr>
          <w:sz w:val="24"/>
          <w:szCs w:val="24"/>
        </w:rPr>
        <w:t xml:space="preserve">)).  By using the device CV% and individual patient BGMS Bias%, then the clinical trial data can be overlaid onto the contour plot of insulin-dose-error percentage.  The cluster of BGMS trial data on the plot outlines a zone of device performance in the trial and </w:t>
      </w:r>
      <w:r w:rsidRPr="00D966BF">
        <w:rPr>
          <w:sz w:val="24"/>
          <w:szCs w:val="24"/>
        </w:rPr>
        <w:t>depict</w:t>
      </w:r>
      <w:r>
        <w:rPr>
          <w:sz w:val="24"/>
          <w:szCs w:val="24"/>
        </w:rPr>
        <w:t>s</w:t>
      </w:r>
      <w:r w:rsidRPr="00D966BF">
        <w:rPr>
          <w:sz w:val="24"/>
          <w:szCs w:val="24"/>
        </w:rPr>
        <w:t xml:space="preserve"> the </w:t>
      </w:r>
      <w:r>
        <w:rPr>
          <w:sz w:val="24"/>
          <w:szCs w:val="24"/>
        </w:rPr>
        <w:t xml:space="preserve">associated </w:t>
      </w:r>
      <w:r w:rsidRPr="00D966BF">
        <w:rPr>
          <w:sz w:val="24"/>
          <w:szCs w:val="24"/>
        </w:rPr>
        <w:t xml:space="preserve">risk </w:t>
      </w:r>
      <w:r>
        <w:rPr>
          <w:sz w:val="24"/>
          <w:szCs w:val="24"/>
        </w:rPr>
        <w:t xml:space="preserve">of insulin-dose-error rate </w:t>
      </w:r>
      <w:r w:rsidRPr="00D966BF">
        <w:rPr>
          <w:sz w:val="24"/>
          <w:szCs w:val="24"/>
        </w:rPr>
        <w:t xml:space="preserve">with the trial BGMS observations. </w:t>
      </w:r>
      <w:r>
        <w:rPr>
          <w:sz w:val="24"/>
          <w:szCs w:val="24"/>
        </w:rPr>
        <w:t xml:space="preserve">In </w:t>
      </w:r>
      <w:r w:rsidRPr="002918BB">
        <w:rPr>
          <w:sz w:val="24"/>
          <w:szCs w:val="24"/>
        </w:rPr>
        <w:t>Figure 3</w:t>
      </w:r>
      <w:r>
        <w:rPr>
          <w:sz w:val="24"/>
          <w:szCs w:val="24"/>
        </w:rPr>
        <w:t xml:space="preserve"> the contour plot of three or more categories of insulin-dose-errors was superimposed with a random sample of blood glucose trial results (n=200) at a 3.25% CV with BGMS Bias% of the individual observations.  The overlay of the contour plot, the </w:t>
      </w:r>
      <w:proofErr w:type="spellStart"/>
      <w:r>
        <w:rPr>
          <w:sz w:val="24"/>
          <w:szCs w:val="24"/>
        </w:rPr>
        <w:t>TEa</w:t>
      </w:r>
      <w:proofErr w:type="spellEnd"/>
      <w:r>
        <w:rPr>
          <w:sz w:val="24"/>
          <w:szCs w:val="24"/>
        </w:rPr>
        <w:t xml:space="preserve"> lines and clinical trial data was created using STATA software with a jitter function applied to the CV% clinical trial data to slightly </w:t>
      </w:r>
      <w:r>
        <w:rPr>
          <w:sz w:val="24"/>
          <w:szCs w:val="24"/>
        </w:rPr>
        <w:lastRenderedPageBreak/>
        <w:t>disperse the data</w:t>
      </w:r>
      <w:r w:rsidR="00E31FC6">
        <w:rPr>
          <w:sz w:val="24"/>
          <w:szCs w:val="24"/>
        </w:rPr>
        <w:t xml:space="preserve"> </w:t>
      </w:r>
      <w:r>
        <w:rPr>
          <w:sz w:val="24"/>
          <w:szCs w:val="24"/>
        </w:rPr>
        <w:t xml:space="preserve">points at CV= 3.25%. </w:t>
      </w:r>
      <w:r w:rsidR="00171132">
        <w:rPr>
          <w:sz w:val="24"/>
          <w:szCs w:val="24"/>
        </w:rPr>
        <w:t xml:space="preserve">The study BGMS has been shown in a previous publication by </w:t>
      </w:r>
      <w:proofErr w:type="spellStart"/>
      <w:r w:rsidR="00171132">
        <w:rPr>
          <w:sz w:val="24"/>
          <w:szCs w:val="24"/>
        </w:rPr>
        <w:t>Karon</w:t>
      </w:r>
      <w:proofErr w:type="spellEnd"/>
      <w:r w:rsidR="00171132">
        <w:rPr>
          <w:sz w:val="24"/>
          <w:szCs w:val="24"/>
        </w:rPr>
        <w:t xml:space="preserve"> et al (</w:t>
      </w:r>
      <w:r w:rsidR="00171132" w:rsidRPr="00171132">
        <w:rPr>
          <w:sz w:val="24"/>
          <w:szCs w:val="24"/>
        </w:rPr>
        <w:t>Diabetes Technology &amp; Therapeutics</w:t>
      </w:r>
      <w:r w:rsidR="00171132">
        <w:rPr>
          <w:sz w:val="24"/>
          <w:szCs w:val="24"/>
        </w:rPr>
        <w:t xml:space="preserve">, 2008 </w:t>
      </w:r>
      <w:r w:rsidR="00171132" w:rsidRPr="00171132">
        <w:rPr>
          <w:sz w:val="24"/>
          <w:szCs w:val="24"/>
        </w:rPr>
        <w:t>10</w:t>
      </w:r>
      <w:r w:rsidR="00171132">
        <w:rPr>
          <w:sz w:val="24"/>
          <w:szCs w:val="24"/>
        </w:rPr>
        <w:t xml:space="preserve"> (2)) and by </w:t>
      </w:r>
      <w:proofErr w:type="spellStart"/>
      <w:r w:rsidR="00171132" w:rsidRPr="00171132">
        <w:rPr>
          <w:sz w:val="24"/>
          <w:szCs w:val="24"/>
        </w:rPr>
        <w:t>Biljak</w:t>
      </w:r>
      <w:proofErr w:type="spellEnd"/>
      <w:r w:rsidR="00171132">
        <w:rPr>
          <w:sz w:val="24"/>
          <w:szCs w:val="24"/>
        </w:rPr>
        <w:t xml:space="preserve"> et al (</w:t>
      </w:r>
      <w:proofErr w:type="spellStart"/>
      <w:r w:rsidR="00171132" w:rsidRPr="00171132">
        <w:rPr>
          <w:sz w:val="24"/>
          <w:szCs w:val="24"/>
        </w:rPr>
        <w:t>Diabetologia</w:t>
      </w:r>
      <w:proofErr w:type="spellEnd"/>
      <w:r w:rsidR="00171132" w:rsidRPr="00171132">
        <w:rPr>
          <w:sz w:val="24"/>
          <w:szCs w:val="24"/>
        </w:rPr>
        <w:t xml:space="preserve"> </w:t>
      </w:r>
      <w:proofErr w:type="spellStart"/>
      <w:r w:rsidR="00171132" w:rsidRPr="00171132">
        <w:rPr>
          <w:sz w:val="24"/>
          <w:szCs w:val="24"/>
        </w:rPr>
        <w:t>Croatica</w:t>
      </w:r>
      <w:proofErr w:type="spellEnd"/>
      <w:r w:rsidR="00171132" w:rsidRPr="00171132">
        <w:rPr>
          <w:sz w:val="24"/>
          <w:szCs w:val="24"/>
        </w:rPr>
        <w:t xml:space="preserve"> </w:t>
      </w:r>
      <w:r w:rsidR="00171132">
        <w:rPr>
          <w:sz w:val="24"/>
          <w:szCs w:val="24"/>
        </w:rPr>
        <w:t xml:space="preserve">2010 </w:t>
      </w:r>
      <w:r w:rsidR="00171132" w:rsidRPr="00171132">
        <w:rPr>
          <w:sz w:val="24"/>
          <w:szCs w:val="24"/>
        </w:rPr>
        <w:t>39-3</w:t>
      </w:r>
      <w:r w:rsidR="00171132">
        <w:rPr>
          <w:sz w:val="24"/>
          <w:szCs w:val="24"/>
        </w:rPr>
        <w:t>)</w:t>
      </w:r>
      <w:r w:rsidR="00171132" w:rsidRPr="00171132">
        <w:rPr>
          <w:sz w:val="24"/>
          <w:szCs w:val="24"/>
        </w:rPr>
        <w:t xml:space="preserve">, </w:t>
      </w:r>
      <w:r w:rsidR="00171132">
        <w:rPr>
          <w:sz w:val="24"/>
          <w:szCs w:val="24"/>
        </w:rPr>
        <w:t xml:space="preserve">to have a </w:t>
      </w:r>
      <w:r w:rsidR="00171132" w:rsidRPr="00171132">
        <w:rPr>
          <w:sz w:val="24"/>
          <w:szCs w:val="24"/>
        </w:rPr>
        <w:t>coefficient of variation (CV)</w:t>
      </w:r>
      <w:r w:rsidR="00171132">
        <w:rPr>
          <w:sz w:val="24"/>
          <w:szCs w:val="24"/>
        </w:rPr>
        <w:t xml:space="preserve"> in whole blood and QC control samples </w:t>
      </w:r>
      <w:r w:rsidR="00367766">
        <w:rPr>
          <w:sz w:val="24"/>
          <w:szCs w:val="24"/>
        </w:rPr>
        <w:t xml:space="preserve">ranging from 1.4% </w:t>
      </w:r>
      <w:r w:rsidR="00171132">
        <w:rPr>
          <w:sz w:val="24"/>
          <w:szCs w:val="24"/>
        </w:rPr>
        <w:t xml:space="preserve">to 3.3% </w:t>
      </w:r>
      <w:r w:rsidR="00367766">
        <w:rPr>
          <w:sz w:val="24"/>
          <w:szCs w:val="24"/>
        </w:rPr>
        <w:t xml:space="preserve"> depending upon the study site. Consequently the study team chose the higher coefficient of variance to reflect general use.</w:t>
      </w:r>
    </w:p>
    <w:p w14:paraId="54358F1E" w14:textId="77777777" w:rsidR="00E31FC6" w:rsidRDefault="00E31FC6">
      <w:pPr>
        <w:rPr>
          <w:sz w:val="24"/>
          <w:szCs w:val="24"/>
        </w:rPr>
      </w:pPr>
      <w:r>
        <w:rPr>
          <w:sz w:val="24"/>
          <w:szCs w:val="24"/>
        </w:rPr>
        <w:br w:type="page"/>
      </w:r>
    </w:p>
    <w:p w14:paraId="25C05ED9" w14:textId="77777777" w:rsidR="00ED6B3D" w:rsidRPr="00B04653" w:rsidRDefault="00ED6B3D" w:rsidP="00ED6B3D">
      <w:r w:rsidRPr="00B04653">
        <w:rPr>
          <w:b/>
          <w:sz w:val="24"/>
          <w:szCs w:val="24"/>
        </w:rPr>
        <w:lastRenderedPageBreak/>
        <w:t>Application of Stratified Sensitivity and Specificity Analysis to the BGMS Trial Data</w:t>
      </w:r>
    </w:p>
    <w:p w14:paraId="6003625A" w14:textId="77777777" w:rsidR="00ED6B3D" w:rsidRDefault="00ED6B3D" w:rsidP="00ED6B3D">
      <w:pPr>
        <w:spacing w:line="480" w:lineRule="auto"/>
      </w:pPr>
      <w:r w:rsidRPr="000F4D8F">
        <w:t>This section provides a</w:t>
      </w:r>
      <w:r>
        <w:t xml:space="preserve">dditional information </w:t>
      </w:r>
      <w:r w:rsidRPr="000F4D8F">
        <w:t>of the method used to calculate the sensitivity and specificity in each stratum</w:t>
      </w:r>
      <w:r>
        <w:t xml:space="preserve"> presented in figure 2 of the main manuscript. The 1815 paired glucose measurements </w:t>
      </w:r>
      <w:r w:rsidRPr="000F4D8F">
        <w:t xml:space="preserve">from the Reference method and </w:t>
      </w:r>
      <w:r>
        <w:t xml:space="preserve">the </w:t>
      </w:r>
      <w:r w:rsidRPr="000F4D8F">
        <w:t>BGMS method were sorted into the 13 categories of the insulin-dose protocol</w:t>
      </w:r>
      <w:r>
        <w:t xml:space="preserve"> as depicted below</w:t>
      </w:r>
      <w:r w:rsidRPr="000F4D8F">
        <w:t>. Cross tabulation of the glucose values from the two methods shows the pattern of assoc</w:t>
      </w:r>
      <w:r>
        <w:t>i</w:t>
      </w:r>
      <w:r w:rsidRPr="000F4D8F">
        <w:t>ation. The boxes in green depict values where the Reference method and the BGMS method agree within + or - one insulin-dose category. The boxes in yellow depict values where the methods disagree by more tha</w:t>
      </w:r>
      <w:r>
        <w:t>n</w:t>
      </w:r>
      <w:r w:rsidRPr="000F4D8F">
        <w:t xml:space="preserve"> + or - one category. </w:t>
      </w:r>
      <w:r>
        <w:t xml:space="preserve"> The s</w:t>
      </w:r>
      <w:r w:rsidRPr="000F4D8F">
        <w:t>ensi</w:t>
      </w:r>
      <w:r>
        <w:t>ti</w:t>
      </w:r>
      <w:r w:rsidRPr="000F4D8F">
        <w:t xml:space="preserve">vity </w:t>
      </w:r>
      <w:r>
        <w:t xml:space="preserve">calculated </w:t>
      </w:r>
      <w:r w:rsidRPr="000F4D8F">
        <w:t>within each insulin-dose category or strat</w:t>
      </w:r>
      <w:r>
        <w:t>um</w:t>
      </w:r>
      <w:r w:rsidRPr="000F4D8F">
        <w:t xml:space="preserve"> is the fraction of BGMS glucose values +/- one BGMS glucose category that agree with the corresponding Reference method glucose</w:t>
      </w:r>
      <w:r>
        <w:t xml:space="preserve"> value</w:t>
      </w:r>
      <w:r w:rsidRPr="000F4D8F">
        <w:t xml:space="preserve">. </w:t>
      </w:r>
      <w:r>
        <w:t>The s</w:t>
      </w:r>
      <w:r w:rsidRPr="000F4D8F">
        <w:t xml:space="preserve">pecificity </w:t>
      </w:r>
      <w:r>
        <w:t xml:space="preserve">calculated </w:t>
      </w:r>
      <w:r w:rsidRPr="000F4D8F">
        <w:t>within each insulin-dose category or strata is the fraction of BGMS glucose values + or - one Reference method glucose category that agree with the corresponding BGMS method.</w:t>
      </w:r>
    </w:p>
    <w:p w14:paraId="7CE10762" w14:textId="77777777" w:rsidR="00E31FC6" w:rsidRDefault="00ED6B3D" w:rsidP="00ED6B3D">
      <w:pPr>
        <w:ind w:left="90"/>
      </w:pPr>
      <w:r>
        <w:rPr>
          <w:noProof/>
        </w:rPr>
        <w:drawing>
          <wp:inline distT="0" distB="0" distL="0" distR="0" wp14:anchorId="4529FE79" wp14:editId="7714477D">
            <wp:extent cx="6634089" cy="3275463"/>
            <wp:effectExtent l="0" t="0" r="0" b="1270"/>
            <wp:docPr id="1" name="Picture 1" descr="C:\Users\tdubois\AppData\Local\Microsoft\Windows\Temporary Internet Files\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ubois\AppData\Local\Microsoft\Windows\Temporary Internet Files\Content.Word\Untitl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2041" cy="3289264"/>
                    </a:xfrm>
                    <a:prstGeom prst="rect">
                      <a:avLst/>
                    </a:prstGeom>
                    <a:noFill/>
                    <a:ln>
                      <a:noFill/>
                    </a:ln>
                  </pic:spPr>
                </pic:pic>
              </a:graphicData>
            </a:graphic>
          </wp:inline>
        </w:drawing>
      </w:r>
    </w:p>
    <w:p w14:paraId="5FE541FF" w14:textId="77777777" w:rsidR="004A1ECC" w:rsidRDefault="004A1ECC" w:rsidP="004A1ECC">
      <w:pPr>
        <w:spacing w:line="480" w:lineRule="auto"/>
        <w:jc w:val="both"/>
        <w:rPr>
          <w:sz w:val="24"/>
          <w:szCs w:val="24"/>
        </w:rPr>
      </w:pPr>
    </w:p>
    <w:p w14:paraId="7921B62A" w14:textId="77777777" w:rsidR="004A1ECC" w:rsidRDefault="004A1ECC" w:rsidP="004A1ECC">
      <w:pPr>
        <w:spacing w:line="480" w:lineRule="auto"/>
        <w:rPr>
          <w:b/>
          <w:sz w:val="24"/>
          <w:szCs w:val="24"/>
          <w:u w:val="single"/>
        </w:rPr>
      </w:pPr>
    </w:p>
    <w:p w14:paraId="1D5663FE" w14:textId="77777777" w:rsidR="00806F2B" w:rsidRDefault="004A1ECC" w:rsidP="00B86524">
      <w:pPr>
        <w:ind w:left="-90"/>
        <w:rPr>
          <w:rStyle w:val="ZchnZchn"/>
        </w:rPr>
      </w:pPr>
      <w:r>
        <w:rPr>
          <w:b/>
          <w:sz w:val="24"/>
          <w:szCs w:val="24"/>
          <w:u w:val="single"/>
        </w:rPr>
        <w:br w:type="page"/>
      </w:r>
      <w:r w:rsidR="00806F2B" w:rsidRPr="00FE0DA7">
        <w:rPr>
          <w:rStyle w:val="ZchnZchn"/>
        </w:rPr>
        <w:lastRenderedPageBreak/>
        <w:t xml:space="preserve">Supplemental </w:t>
      </w:r>
      <w:r w:rsidR="00806F2B">
        <w:rPr>
          <w:rStyle w:val="ZchnZchn"/>
        </w:rPr>
        <w:t>Tables</w:t>
      </w:r>
      <w:r w:rsidR="00806F2B" w:rsidRPr="00FE0DA7">
        <w:rPr>
          <w:rStyle w:val="ZchnZchn"/>
        </w:rPr>
        <w:t xml:space="preserve"> </w:t>
      </w:r>
    </w:p>
    <w:p w14:paraId="1646CF22" w14:textId="77777777" w:rsidR="0011187C" w:rsidRDefault="0011187C" w:rsidP="00953A40">
      <w:pPr>
        <w:spacing w:after="0" w:line="240" w:lineRule="auto"/>
        <w:rPr>
          <w:sz w:val="28"/>
          <w:szCs w:val="28"/>
        </w:rPr>
      </w:pPr>
      <w:r w:rsidRPr="001406D7">
        <w:rPr>
          <w:b/>
          <w:sz w:val="28"/>
          <w:szCs w:val="28"/>
          <w:u w:val="single"/>
        </w:rPr>
        <w:t xml:space="preserve">Supplemental Table </w:t>
      </w:r>
      <w:r>
        <w:rPr>
          <w:b/>
          <w:sz w:val="28"/>
          <w:szCs w:val="28"/>
          <w:u w:val="single"/>
        </w:rPr>
        <w:t>1</w:t>
      </w:r>
      <w:r w:rsidRPr="001406D7">
        <w:rPr>
          <w:b/>
          <w:sz w:val="28"/>
          <w:szCs w:val="28"/>
          <w:u w:val="single"/>
        </w:rPr>
        <w:t xml:space="preserve">. </w:t>
      </w:r>
      <w:r w:rsidRPr="008F7779">
        <w:rPr>
          <w:sz w:val="28"/>
          <w:szCs w:val="28"/>
        </w:rPr>
        <w:t>Alignment and traceability of laboratory reference methods</w:t>
      </w:r>
    </w:p>
    <w:p w14:paraId="4E1DEFFE" w14:textId="77777777" w:rsidR="00953A40" w:rsidRDefault="00953A40" w:rsidP="0011187C">
      <w:pPr>
        <w:spacing w:after="0" w:line="240" w:lineRule="auto"/>
        <w:ind w:left="446"/>
        <w:rPr>
          <w:sz w:val="28"/>
          <w:szCs w:val="28"/>
        </w:rPr>
      </w:pPr>
    </w:p>
    <w:p w14:paraId="3585063F" w14:textId="77777777" w:rsidR="0011187C" w:rsidRDefault="0011187C" w:rsidP="0011187C">
      <w:pPr>
        <w:spacing w:after="0" w:line="240" w:lineRule="auto"/>
        <w:ind w:left="446"/>
        <w:rPr>
          <w:b/>
          <w:sz w:val="28"/>
          <w:szCs w:val="28"/>
          <w:u w:val="single"/>
        </w:rPr>
      </w:pPr>
    </w:p>
    <w:tbl>
      <w:tblPr>
        <w:tblStyle w:val="TableGrid"/>
        <w:tblW w:w="10440" w:type="dxa"/>
        <w:tblLook w:val="04A0" w:firstRow="1" w:lastRow="0" w:firstColumn="1" w:lastColumn="0" w:noHBand="0" w:noVBand="1"/>
      </w:tblPr>
      <w:tblGrid>
        <w:gridCol w:w="558"/>
        <w:gridCol w:w="2052"/>
        <w:gridCol w:w="3870"/>
        <w:gridCol w:w="3960"/>
      </w:tblGrid>
      <w:tr w:rsidR="0011187C" w14:paraId="1C464EE2" w14:textId="77777777" w:rsidTr="00953A40">
        <w:tc>
          <w:tcPr>
            <w:tcW w:w="558" w:type="dxa"/>
          </w:tcPr>
          <w:p w14:paraId="4B4D6FE2" w14:textId="77777777" w:rsidR="0011187C" w:rsidRDefault="0011187C" w:rsidP="008F1D81">
            <w:r>
              <w:t>Site</w:t>
            </w:r>
          </w:p>
        </w:tc>
        <w:tc>
          <w:tcPr>
            <w:tcW w:w="2052" w:type="dxa"/>
          </w:tcPr>
          <w:p w14:paraId="74CA1880" w14:textId="77777777" w:rsidR="0011187C" w:rsidRDefault="0011187C" w:rsidP="008F1D81">
            <w:r>
              <w:t xml:space="preserve">Laboratory method </w:t>
            </w:r>
          </w:p>
        </w:tc>
        <w:tc>
          <w:tcPr>
            <w:tcW w:w="3870" w:type="dxa"/>
          </w:tcPr>
          <w:p w14:paraId="081AD9D2" w14:textId="77777777" w:rsidR="0011187C" w:rsidRDefault="0011187C" w:rsidP="008F1D81">
            <w:r>
              <w:t xml:space="preserve">Traceability to ID GCMS method </w:t>
            </w:r>
          </w:p>
        </w:tc>
        <w:tc>
          <w:tcPr>
            <w:tcW w:w="3960" w:type="dxa"/>
          </w:tcPr>
          <w:p w14:paraId="0922EF63" w14:textId="77777777" w:rsidR="0011187C" w:rsidRDefault="0011187C" w:rsidP="008F1D81">
            <w:r>
              <w:t>External Quality Assurance  verification</w:t>
            </w:r>
          </w:p>
        </w:tc>
      </w:tr>
      <w:tr w:rsidR="0011187C" w14:paraId="0BE3378E" w14:textId="77777777" w:rsidTr="00953A40">
        <w:tc>
          <w:tcPr>
            <w:tcW w:w="558" w:type="dxa"/>
          </w:tcPr>
          <w:p w14:paraId="504CE421" w14:textId="77777777" w:rsidR="0011187C" w:rsidRDefault="0011187C" w:rsidP="008F1D81">
            <w:r>
              <w:t>A</w:t>
            </w:r>
          </w:p>
        </w:tc>
        <w:tc>
          <w:tcPr>
            <w:tcW w:w="2052" w:type="dxa"/>
          </w:tcPr>
          <w:p w14:paraId="30D8B063" w14:textId="77777777" w:rsidR="0011187C" w:rsidRDefault="0011187C" w:rsidP="008F1D81">
            <w:r>
              <w:t>Hexokinase</w:t>
            </w:r>
          </w:p>
        </w:tc>
        <w:tc>
          <w:tcPr>
            <w:tcW w:w="3870" w:type="dxa"/>
          </w:tcPr>
          <w:p w14:paraId="03F39D1C" w14:textId="77777777" w:rsidR="0011187C" w:rsidRDefault="0011187C" w:rsidP="008F1D81">
            <w:r>
              <w:t xml:space="preserve">Traceability to an in house method  using NIST </w:t>
            </w:r>
            <w:r w:rsidRPr="00D56098">
              <w:t xml:space="preserve">SRM 965a at four reported levels; 1.913 mmol/L, 4.357 mmol/L, 6.717mmol/L, and 16.24 mmol/L) </w:t>
            </w:r>
          </w:p>
        </w:tc>
        <w:tc>
          <w:tcPr>
            <w:tcW w:w="3960" w:type="dxa"/>
          </w:tcPr>
          <w:p w14:paraId="33DEF82A" w14:textId="77777777" w:rsidR="0011187C" w:rsidRDefault="0011187C" w:rsidP="008F1D81">
            <w:r>
              <w:t xml:space="preserve">SKML </w:t>
            </w:r>
            <w:r w:rsidRPr="00F84C10">
              <w:t xml:space="preserve">Dutch Foundation for Quality Assessment in Medical Laboratories </w:t>
            </w:r>
          </w:p>
        </w:tc>
      </w:tr>
      <w:tr w:rsidR="0011187C" w14:paraId="32088A13" w14:textId="77777777" w:rsidTr="00953A40">
        <w:tc>
          <w:tcPr>
            <w:tcW w:w="558" w:type="dxa"/>
          </w:tcPr>
          <w:p w14:paraId="26D70353" w14:textId="77777777" w:rsidR="0011187C" w:rsidRDefault="0011187C" w:rsidP="008F1D81">
            <w:r>
              <w:t>B</w:t>
            </w:r>
          </w:p>
        </w:tc>
        <w:tc>
          <w:tcPr>
            <w:tcW w:w="2052" w:type="dxa"/>
          </w:tcPr>
          <w:p w14:paraId="21A75E99" w14:textId="77777777" w:rsidR="0011187C" w:rsidRDefault="0011187C" w:rsidP="008F1D81">
            <w:r w:rsidRPr="00454634">
              <w:t>Hexokinase</w:t>
            </w:r>
          </w:p>
        </w:tc>
        <w:tc>
          <w:tcPr>
            <w:tcW w:w="3870" w:type="dxa"/>
          </w:tcPr>
          <w:p w14:paraId="2CE4C616" w14:textId="77777777" w:rsidR="0011187C" w:rsidRDefault="0011187C" w:rsidP="008F1D81">
            <w:r w:rsidRPr="00D56098">
              <w:t>To in house method  using NIST SRM 965a at four reported levels; 1.913 mmol/L, 4.357 mmol/L, 6.717mmol/L, and 16.24 mmol/L)</w:t>
            </w:r>
          </w:p>
        </w:tc>
        <w:tc>
          <w:tcPr>
            <w:tcW w:w="3960" w:type="dxa"/>
          </w:tcPr>
          <w:p w14:paraId="5F8FFDCD" w14:textId="77777777" w:rsidR="0011187C" w:rsidRDefault="0011187C" w:rsidP="008F1D81">
            <w:r w:rsidRPr="00F84C10">
              <w:t xml:space="preserve">SKML </w:t>
            </w:r>
            <w:r>
              <w:t xml:space="preserve">- </w:t>
            </w:r>
            <w:r w:rsidRPr="00F84C10">
              <w:t>Dutch Foundation for Quality Assessment in Medical Laboratories</w:t>
            </w:r>
          </w:p>
        </w:tc>
      </w:tr>
      <w:tr w:rsidR="0011187C" w14:paraId="40D65AA3" w14:textId="77777777" w:rsidTr="00953A40">
        <w:tc>
          <w:tcPr>
            <w:tcW w:w="558" w:type="dxa"/>
          </w:tcPr>
          <w:p w14:paraId="0CA5C443" w14:textId="77777777" w:rsidR="0011187C" w:rsidRDefault="0011187C" w:rsidP="008F1D81">
            <w:r>
              <w:t>C</w:t>
            </w:r>
          </w:p>
        </w:tc>
        <w:tc>
          <w:tcPr>
            <w:tcW w:w="2052" w:type="dxa"/>
          </w:tcPr>
          <w:p w14:paraId="4E66EB25" w14:textId="77777777" w:rsidR="0011187C" w:rsidRDefault="0011187C" w:rsidP="008F1D81">
            <w:r w:rsidRPr="00454634">
              <w:t>Hexokinase</w:t>
            </w:r>
          </w:p>
        </w:tc>
        <w:tc>
          <w:tcPr>
            <w:tcW w:w="3870" w:type="dxa"/>
          </w:tcPr>
          <w:p w14:paraId="5D57DC1B" w14:textId="77777777" w:rsidR="0011187C" w:rsidRDefault="0011187C" w:rsidP="008F1D81">
            <w:r>
              <w:t xml:space="preserve">Alignment verified using </w:t>
            </w:r>
            <w:r w:rsidRPr="00D56098">
              <w:t>NIST standard reference materials 965b</w:t>
            </w:r>
            <w:r>
              <w:t xml:space="preserve"> </w:t>
            </w:r>
            <w:r w:rsidRPr="00F922FE">
              <w:t>at four reported levels</w:t>
            </w:r>
            <w:r>
              <w:t xml:space="preserve">  as provided by NIST and SRM 917c from which 10 glucose levels were prepared  across the glucose measuring range</w:t>
            </w:r>
          </w:p>
        </w:tc>
        <w:tc>
          <w:tcPr>
            <w:tcW w:w="3960" w:type="dxa"/>
          </w:tcPr>
          <w:p w14:paraId="0EA3E6B5" w14:textId="77777777" w:rsidR="0011187C" w:rsidRDefault="0011187C" w:rsidP="008F1D81">
            <w:r>
              <w:t xml:space="preserve">CAP - </w:t>
            </w:r>
            <w:r w:rsidRPr="00F84C10">
              <w:t>College of American Pathologists Proficiency Testing</w:t>
            </w:r>
          </w:p>
        </w:tc>
      </w:tr>
      <w:tr w:rsidR="0011187C" w14:paraId="6F74B6BF" w14:textId="77777777" w:rsidTr="00953A40">
        <w:tc>
          <w:tcPr>
            <w:tcW w:w="558" w:type="dxa"/>
          </w:tcPr>
          <w:p w14:paraId="7A5FF17C" w14:textId="77777777" w:rsidR="0011187C" w:rsidRDefault="0011187C" w:rsidP="008F1D81">
            <w:r>
              <w:t>C</w:t>
            </w:r>
          </w:p>
        </w:tc>
        <w:tc>
          <w:tcPr>
            <w:tcW w:w="2052" w:type="dxa"/>
          </w:tcPr>
          <w:p w14:paraId="4DC00CD2" w14:textId="77777777" w:rsidR="0011187C" w:rsidRDefault="0011187C" w:rsidP="008F1D81">
            <w:r w:rsidRPr="00454634">
              <w:t>Hexokinase</w:t>
            </w:r>
          </w:p>
        </w:tc>
        <w:tc>
          <w:tcPr>
            <w:tcW w:w="3870" w:type="dxa"/>
          </w:tcPr>
          <w:p w14:paraId="5BB8A7FC" w14:textId="77777777" w:rsidR="0011187C" w:rsidRDefault="0011187C" w:rsidP="008F1D81">
            <w:r w:rsidRPr="00F922FE">
              <w:t xml:space="preserve">Alignment verified using NIST standard reference materials 965b at four reported levels  as provided by NIST and SRM 917c from which 10 glucose levels were prepared  across the glucose measuring range </w:t>
            </w:r>
          </w:p>
        </w:tc>
        <w:tc>
          <w:tcPr>
            <w:tcW w:w="3960" w:type="dxa"/>
          </w:tcPr>
          <w:p w14:paraId="56114444" w14:textId="77777777" w:rsidR="0011187C" w:rsidRDefault="0011187C" w:rsidP="008F1D81">
            <w:r>
              <w:t xml:space="preserve">WIV-ISP  </w:t>
            </w:r>
            <w:r w:rsidRPr="00186ECA">
              <w:t>Belgian External Quality Assessment Program</w:t>
            </w:r>
          </w:p>
        </w:tc>
      </w:tr>
      <w:tr w:rsidR="0011187C" w14:paraId="212C4BDE" w14:textId="77777777" w:rsidTr="00953A40">
        <w:tc>
          <w:tcPr>
            <w:tcW w:w="558" w:type="dxa"/>
          </w:tcPr>
          <w:p w14:paraId="6B93B99E" w14:textId="77777777" w:rsidR="0011187C" w:rsidRDefault="0011187C" w:rsidP="008F1D81">
            <w:r>
              <w:t>E</w:t>
            </w:r>
          </w:p>
        </w:tc>
        <w:tc>
          <w:tcPr>
            <w:tcW w:w="2052" w:type="dxa"/>
          </w:tcPr>
          <w:p w14:paraId="1D44C289" w14:textId="77777777" w:rsidR="0011187C" w:rsidRDefault="0011187C" w:rsidP="008F1D81">
            <w:r>
              <w:t>Glucose Oxidase</w:t>
            </w:r>
          </w:p>
        </w:tc>
        <w:tc>
          <w:tcPr>
            <w:tcW w:w="3870" w:type="dxa"/>
          </w:tcPr>
          <w:p w14:paraId="71E7B70A" w14:textId="77777777" w:rsidR="0011187C" w:rsidRDefault="0011187C" w:rsidP="008F1D81">
            <w:r w:rsidRPr="00F922FE">
              <w:t xml:space="preserve">Alignment verified using NIST standard reference materials 965b at four reported levels  as provided by NIST and SRM 917c from which 10 glucose levels were prepared  across the glucose measuring range </w:t>
            </w:r>
          </w:p>
        </w:tc>
        <w:tc>
          <w:tcPr>
            <w:tcW w:w="3960" w:type="dxa"/>
          </w:tcPr>
          <w:p w14:paraId="61660074" w14:textId="77777777" w:rsidR="0011187C" w:rsidRDefault="0011187C" w:rsidP="008F1D81">
            <w:r w:rsidRPr="00F84C10">
              <w:t>CAP - College of American Pathologists Proficiency Testing</w:t>
            </w:r>
          </w:p>
        </w:tc>
      </w:tr>
    </w:tbl>
    <w:p w14:paraId="3B674270" w14:textId="77777777" w:rsidR="0011187C" w:rsidRDefault="0011187C" w:rsidP="00A44670">
      <w:pPr>
        <w:tabs>
          <w:tab w:val="left" w:pos="180"/>
        </w:tabs>
        <w:rPr>
          <w:b/>
          <w:sz w:val="28"/>
          <w:szCs w:val="28"/>
          <w:u w:val="single"/>
          <w:lang w:val="en-GB"/>
        </w:rPr>
      </w:pPr>
    </w:p>
    <w:p w14:paraId="036CA4C6" w14:textId="77777777" w:rsidR="0011187C" w:rsidRPr="00B36B0F" w:rsidRDefault="00B36B0F" w:rsidP="00B36B0F">
      <w:pPr>
        <w:tabs>
          <w:tab w:val="left" w:pos="180"/>
        </w:tabs>
        <w:spacing w:line="480" w:lineRule="auto"/>
        <w:rPr>
          <w:sz w:val="24"/>
          <w:szCs w:val="24"/>
          <w:lang w:val="en-GB"/>
        </w:rPr>
      </w:pPr>
      <w:r w:rsidRPr="00B36B0F">
        <w:rPr>
          <w:sz w:val="24"/>
          <w:szCs w:val="24"/>
          <w:lang w:val="en-GB"/>
        </w:rPr>
        <w:t>The information in Table 1 further describes the alignment of the central laboratory glucose methods and the confirmation and verification of method performance based on External Quality Assessment</w:t>
      </w:r>
      <w:r>
        <w:rPr>
          <w:sz w:val="24"/>
          <w:szCs w:val="24"/>
          <w:lang w:val="en-GB"/>
        </w:rPr>
        <w:t>.</w:t>
      </w:r>
    </w:p>
    <w:p w14:paraId="79F9EA7C" w14:textId="77777777" w:rsidR="0011187C" w:rsidRDefault="0011187C">
      <w:pPr>
        <w:rPr>
          <w:b/>
          <w:sz w:val="28"/>
          <w:szCs w:val="28"/>
          <w:u w:val="single"/>
          <w:lang w:val="en-GB"/>
        </w:rPr>
      </w:pPr>
      <w:r>
        <w:rPr>
          <w:b/>
          <w:sz w:val="28"/>
          <w:szCs w:val="28"/>
          <w:u w:val="single"/>
          <w:lang w:val="en-GB"/>
        </w:rPr>
        <w:br w:type="page"/>
      </w:r>
    </w:p>
    <w:p w14:paraId="03A59DD9" w14:textId="77777777" w:rsidR="00806F2B" w:rsidRPr="00806F2B" w:rsidRDefault="00806F2B" w:rsidP="00953A40">
      <w:pPr>
        <w:tabs>
          <w:tab w:val="left" w:pos="0"/>
          <w:tab w:val="left" w:pos="180"/>
        </w:tabs>
        <w:rPr>
          <w:b/>
          <w:sz w:val="28"/>
          <w:szCs w:val="28"/>
        </w:rPr>
      </w:pPr>
      <w:r w:rsidRPr="00806F2B">
        <w:rPr>
          <w:b/>
          <w:sz w:val="28"/>
          <w:szCs w:val="28"/>
          <w:u w:val="single"/>
          <w:lang w:val="en-GB"/>
        </w:rPr>
        <w:lastRenderedPageBreak/>
        <w:t xml:space="preserve">Supplemental Table </w:t>
      </w:r>
      <w:r w:rsidR="0011187C">
        <w:rPr>
          <w:b/>
          <w:sz w:val="28"/>
          <w:szCs w:val="28"/>
          <w:u w:val="single"/>
          <w:lang w:val="en-GB"/>
        </w:rPr>
        <w:t>2</w:t>
      </w:r>
      <w:r w:rsidRPr="00806F2B">
        <w:rPr>
          <w:b/>
          <w:sz w:val="28"/>
          <w:szCs w:val="28"/>
          <w:u w:val="single"/>
          <w:lang w:val="en-GB"/>
        </w:rPr>
        <w:t>:</w:t>
      </w:r>
      <w:r w:rsidRPr="00806F2B">
        <w:rPr>
          <w:b/>
          <w:sz w:val="28"/>
          <w:szCs w:val="28"/>
          <w:lang w:val="en-GB"/>
        </w:rPr>
        <w:t xml:space="preserve"> </w:t>
      </w:r>
      <w:r w:rsidRPr="00806F2B">
        <w:rPr>
          <w:b/>
          <w:sz w:val="28"/>
          <w:szCs w:val="28"/>
        </w:rPr>
        <w:t>Breakdown of patient age and glucose ranges</w:t>
      </w:r>
    </w:p>
    <w:p w14:paraId="03A5389F" w14:textId="77777777" w:rsidR="004A1ECC" w:rsidRDefault="004A1ECC" w:rsidP="001406D7">
      <w:pPr>
        <w:ind w:left="90"/>
      </w:pPr>
    </w:p>
    <w:tbl>
      <w:tblPr>
        <w:tblStyle w:val="TableGrid"/>
        <w:tblW w:w="10170" w:type="dxa"/>
        <w:tblInd w:w="18" w:type="dxa"/>
        <w:tblLook w:val="04A0" w:firstRow="1" w:lastRow="0" w:firstColumn="1" w:lastColumn="0" w:noHBand="0" w:noVBand="1"/>
      </w:tblPr>
      <w:tblGrid>
        <w:gridCol w:w="2041"/>
        <w:gridCol w:w="965"/>
        <w:gridCol w:w="2523"/>
        <w:gridCol w:w="2360"/>
        <w:gridCol w:w="2281"/>
      </w:tblGrid>
      <w:tr w:rsidR="004A1ECC" w14:paraId="6DB0136E" w14:textId="77777777" w:rsidTr="00953A40">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9D45F" w14:textId="77777777" w:rsidR="004A1ECC" w:rsidRDefault="004A1ECC" w:rsidP="001406D7">
            <w:pPr>
              <w:ind w:left="180"/>
              <w:rPr>
                <w:b/>
              </w:rPr>
            </w:pPr>
            <w:r>
              <w:rPr>
                <w:b/>
              </w:rPr>
              <w:t>Age range</w:t>
            </w:r>
          </w:p>
        </w:tc>
        <w:tc>
          <w:tcPr>
            <w:tcW w:w="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D52B97" w14:textId="77777777" w:rsidR="004A1ECC" w:rsidRDefault="004A1ECC" w:rsidP="00806F2B">
            <w:pPr>
              <w:jc w:val="center"/>
              <w:rPr>
                <w:b/>
              </w:rPr>
            </w:pPr>
            <w:r>
              <w:rPr>
                <w:b/>
              </w:rPr>
              <w:t>Number</w:t>
            </w:r>
          </w:p>
        </w:tc>
        <w:tc>
          <w:tcPr>
            <w:tcW w:w="2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5E2B3" w14:textId="77777777" w:rsidR="004A1ECC" w:rsidRDefault="004A1ECC" w:rsidP="00806F2B">
            <w:pPr>
              <w:jc w:val="center"/>
              <w:rPr>
                <w:b/>
              </w:rPr>
            </w:pPr>
            <w:r>
              <w:rPr>
                <w:b/>
              </w:rPr>
              <w:t>Minimum glucose value (mg/dL)</w:t>
            </w: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6B243" w14:textId="77777777" w:rsidR="004A1ECC" w:rsidRDefault="004A1ECC" w:rsidP="00806F2B">
            <w:pPr>
              <w:jc w:val="center"/>
              <w:rPr>
                <w:b/>
              </w:rPr>
            </w:pPr>
            <w:r>
              <w:rPr>
                <w:b/>
              </w:rPr>
              <w:t>Maximum glucose value (mg/dL)</w:t>
            </w: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F19363" w14:textId="77777777" w:rsidR="004A1ECC" w:rsidRDefault="004A1ECC" w:rsidP="00806F2B">
            <w:pPr>
              <w:jc w:val="center"/>
              <w:rPr>
                <w:b/>
              </w:rPr>
            </w:pPr>
            <w:r>
              <w:rPr>
                <w:b/>
              </w:rPr>
              <w:t>Average glucose value (mg/dL)</w:t>
            </w:r>
          </w:p>
        </w:tc>
      </w:tr>
      <w:tr w:rsidR="004A1ECC" w14:paraId="599092A7"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16E65455" w14:textId="77777777" w:rsidR="004A1ECC" w:rsidRDefault="004A1ECC" w:rsidP="001406D7">
            <w:pPr>
              <w:ind w:left="180"/>
            </w:pPr>
            <w:r>
              <w:t>0 – 6 months</w:t>
            </w:r>
          </w:p>
        </w:tc>
        <w:tc>
          <w:tcPr>
            <w:tcW w:w="965" w:type="dxa"/>
            <w:tcBorders>
              <w:top w:val="single" w:sz="4" w:space="0" w:color="auto"/>
              <w:left w:val="single" w:sz="4" w:space="0" w:color="auto"/>
              <w:bottom w:val="single" w:sz="4" w:space="0" w:color="auto"/>
              <w:right w:val="single" w:sz="4" w:space="0" w:color="auto"/>
            </w:tcBorders>
            <w:hideMark/>
          </w:tcPr>
          <w:p w14:paraId="1D3DED9D" w14:textId="77777777" w:rsidR="004A1ECC" w:rsidRDefault="004A1ECC" w:rsidP="00806F2B">
            <w:pPr>
              <w:jc w:val="center"/>
            </w:pPr>
            <w:r>
              <w:t>12</w:t>
            </w:r>
          </w:p>
        </w:tc>
        <w:tc>
          <w:tcPr>
            <w:tcW w:w="2523" w:type="dxa"/>
            <w:tcBorders>
              <w:top w:val="single" w:sz="4" w:space="0" w:color="auto"/>
              <w:left w:val="single" w:sz="4" w:space="0" w:color="auto"/>
              <w:bottom w:val="single" w:sz="4" w:space="0" w:color="auto"/>
              <w:right w:val="single" w:sz="4" w:space="0" w:color="auto"/>
            </w:tcBorders>
            <w:hideMark/>
          </w:tcPr>
          <w:p w14:paraId="6BD1645E" w14:textId="77777777" w:rsidR="004A1ECC" w:rsidRDefault="004A1ECC" w:rsidP="00806F2B">
            <w:pPr>
              <w:jc w:val="center"/>
            </w:pPr>
            <w:r>
              <w:t>86.4</w:t>
            </w:r>
          </w:p>
        </w:tc>
        <w:tc>
          <w:tcPr>
            <w:tcW w:w="2360" w:type="dxa"/>
            <w:tcBorders>
              <w:top w:val="single" w:sz="4" w:space="0" w:color="auto"/>
              <w:left w:val="single" w:sz="4" w:space="0" w:color="auto"/>
              <w:bottom w:val="single" w:sz="4" w:space="0" w:color="auto"/>
              <w:right w:val="single" w:sz="4" w:space="0" w:color="auto"/>
            </w:tcBorders>
            <w:hideMark/>
          </w:tcPr>
          <w:p w14:paraId="5B045D29" w14:textId="77777777" w:rsidR="004A1ECC" w:rsidRDefault="004A1ECC" w:rsidP="00806F2B">
            <w:pPr>
              <w:jc w:val="center"/>
            </w:pPr>
            <w:r>
              <w:t>475.68</w:t>
            </w:r>
          </w:p>
        </w:tc>
        <w:tc>
          <w:tcPr>
            <w:tcW w:w="2281" w:type="dxa"/>
            <w:tcBorders>
              <w:top w:val="single" w:sz="4" w:space="0" w:color="auto"/>
              <w:left w:val="single" w:sz="4" w:space="0" w:color="auto"/>
              <w:bottom w:val="single" w:sz="4" w:space="0" w:color="auto"/>
              <w:right w:val="single" w:sz="4" w:space="0" w:color="auto"/>
            </w:tcBorders>
            <w:hideMark/>
          </w:tcPr>
          <w:p w14:paraId="5176E734" w14:textId="77777777" w:rsidR="004A1ECC" w:rsidRDefault="004A1ECC" w:rsidP="00806F2B">
            <w:pPr>
              <w:jc w:val="center"/>
            </w:pPr>
            <w:r>
              <w:t>188.40</w:t>
            </w:r>
          </w:p>
        </w:tc>
      </w:tr>
      <w:tr w:rsidR="004A1ECC" w14:paraId="50094788"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1A56E590" w14:textId="77777777" w:rsidR="004A1ECC" w:rsidRDefault="004A1ECC" w:rsidP="001406D7">
            <w:pPr>
              <w:ind w:left="180"/>
            </w:pPr>
            <w:r>
              <w:t>6 months – 1 year</w:t>
            </w:r>
          </w:p>
        </w:tc>
        <w:tc>
          <w:tcPr>
            <w:tcW w:w="965" w:type="dxa"/>
            <w:tcBorders>
              <w:top w:val="single" w:sz="4" w:space="0" w:color="auto"/>
              <w:left w:val="single" w:sz="4" w:space="0" w:color="auto"/>
              <w:bottom w:val="single" w:sz="4" w:space="0" w:color="auto"/>
              <w:right w:val="single" w:sz="4" w:space="0" w:color="auto"/>
            </w:tcBorders>
            <w:hideMark/>
          </w:tcPr>
          <w:p w14:paraId="12B19770" w14:textId="77777777" w:rsidR="004A1ECC" w:rsidRDefault="004A1ECC" w:rsidP="00806F2B">
            <w:pPr>
              <w:jc w:val="center"/>
            </w:pPr>
            <w:r>
              <w:t>0</w:t>
            </w:r>
          </w:p>
        </w:tc>
        <w:tc>
          <w:tcPr>
            <w:tcW w:w="2523" w:type="dxa"/>
            <w:tcBorders>
              <w:top w:val="single" w:sz="4" w:space="0" w:color="auto"/>
              <w:left w:val="single" w:sz="4" w:space="0" w:color="auto"/>
              <w:bottom w:val="single" w:sz="4" w:space="0" w:color="auto"/>
              <w:right w:val="single" w:sz="4" w:space="0" w:color="auto"/>
            </w:tcBorders>
          </w:tcPr>
          <w:p w14:paraId="420B5A29" w14:textId="77777777" w:rsidR="004A1ECC" w:rsidRDefault="004A1ECC" w:rsidP="00806F2B">
            <w:pPr>
              <w:jc w:val="center"/>
            </w:pPr>
          </w:p>
        </w:tc>
        <w:tc>
          <w:tcPr>
            <w:tcW w:w="2360" w:type="dxa"/>
            <w:tcBorders>
              <w:top w:val="single" w:sz="4" w:space="0" w:color="auto"/>
              <w:left w:val="single" w:sz="4" w:space="0" w:color="auto"/>
              <w:bottom w:val="single" w:sz="4" w:space="0" w:color="auto"/>
              <w:right w:val="single" w:sz="4" w:space="0" w:color="auto"/>
            </w:tcBorders>
          </w:tcPr>
          <w:p w14:paraId="488EB2C2" w14:textId="77777777" w:rsidR="004A1ECC" w:rsidRDefault="004A1ECC" w:rsidP="00806F2B">
            <w:pPr>
              <w:jc w:val="center"/>
            </w:pPr>
          </w:p>
        </w:tc>
        <w:tc>
          <w:tcPr>
            <w:tcW w:w="2281" w:type="dxa"/>
            <w:tcBorders>
              <w:top w:val="single" w:sz="4" w:space="0" w:color="auto"/>
              <w:left w:val="single" w:sz="4" w:space="0" w:color="auto"/>
              <w:bottom w:val="single" w:sz="4" w:space="0" w:color="auto"/>
              <w:right w:val="single" w:sz="4" w:space="0" w:color="auto"/>
            </w:tcBorders>
          </w:tcPr>
          <w:p w14:paraId="256C8A7B" w14:textId="77777777" w:rsidR="004A1ECC" w:rsidRDefault="004A1ECC" w:rsidP="00806F2B">
            <w:pPr>
              <w:jc w:val="center"/>
            </w:pPr>
          </w:p>
        </w:tc>
      </w:tr>
      <w:tr w:rsidR="004A1ECC" w14:paraId="3C0EC733"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0F0A04C0" w14:textId="77777777" w:rsidR="004A1ECC" w:rsidRDefault="004A1ECC" w:rsidP="001406D7">
            <w:pPr>
              <w:ind w:left="180"/>
            </w:pPr>
            <w:r>
              <w:t>1 -10 years</w:t>
            </w:r>
          </w:p>
        </w:tc>
        <w:tc>
          <w:tcPr>
            <w:tcW w:w="965" w:type="dxa"/>
            <w:tcBorders>
              <w:top w:val="single" w:sz="4" w:space="0" w:color="auto"/>
              <w:left w:val="single" w:sz="4" w:space="0" w:color="auto"/>
              <w:bottom w:val="single" w:sz="4" w:space="0" w:color="auto"/>
              <w:right w:val="single" w:sz="4" w:space="0" w:color="auto"/>
            </w:tcBorders>
            <w:hideMark/>
          </w:tcPr>
          <w:p w14:paraId="0E64F326" w14:textId="77777777" w:rsidR="004A1ECC" w:rsidRDefault="004A1ECC" w:rsidP="00806F2B">
            <w:pPr>
              <w:jc w:val="center"/>
            </w:pPr>
            <w:r>
              <w:t>0</w:t>
            </w:r>
          </w:p>
        </w:tc>
        <w:tc>
          <w:tcPr>
            <w:tcW w:w="2523" w:type="dxa"/>
            <w:tcBorders>
              <w:top w:val="single" w:sz="4" w:space="0" w:color="auto"/>
              <w:left w:val="single" w:sz="4" w:space="0" w:color="auto"/>
              <w:bottom w:val="single" w:sz="4" w:space="0" w:color="auto"/>
              <w:right w:val="single" w:sz="4" w:space="0" w:color="auto"/>
            </w:tcBorders>
          </w:tcPr>
          <w:p w14:paraId="51D0B186" w14:textId="77777777" w:rsidR="004A1ECC" w:rsidRDefault="004A1ECC" w:rsidP="00806F2B">
            <w:pPr>
              <w:jc w:val="center"/>
            </w:pPr>
          </w:p>
        </w:tc>
        <w:tc>
          <w:tcPr>
            <w:tcW w:w="2360" w:type="dxa"/>
            <w:tcBorders>
              <w:top w:val="single" w:sz="4" w:space="0" w:color="auto"/>
              <w:left w:val="single" w:sz="4" w:space="0" w:color="auto"/>
              <w:bottom w:val="single" w:sz="4" w:space="0" w:color="auto"/>
              <w:right w:val="single" w:sz="4" w:space="0" w:color="auto"/>
            </w:tcBorders>
          </w:tcPr>
          <w:p w14:paraId="4E374EC6" w14:textId="77777777" w:rsidR="004A1ECC" w:rsidRDefault="004A1ECC" w:rsidP="00806F2B">
            <w:pPr>
              <w:jc w:val="center"/>
            </w:pPr>
          </w:p>
        </w:tc>
        <w:tc>
          <w:tcPr>
            <w:tcW w:w="2281" w:type="dxa"/>
            <w:tcBorders>
              <w:top w:val="single" w:sz="4" w:space="0" w:color="auto"/>
              <w:left w:val="single" w:sz="4" w:space="0" w:color="auto"/>
              <w:bottom w:val="single" w:sz="4" w:space="0" w:color="auto"/>
              <w:right w:val="single" w:sz="4" w:space="0" w:color="auto"/>
            </w:tcBorders>
          </w:tcPr>
          <w:p w14:paraId="3AD5EDC1" w14:textId="77777777" w:rsidR="004A1ECC" w:rsidRDefault="004A1ECC" w:rsidP="00806F2B">
            <w:pPr>
              <w:jc w:val="center"/>
            </w:pPr>
          </w:p>
        </w:tc>
      </w:tr>
      <w:tr w:rsidR="004A1ECC" w14:paraId="7A7F1D1C"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1DFCD150" w14:textId="77777777" w:rsidR="004A1ECC" w:rsidRDefault="004A1ECC" w:rsidP="001406D7">
            <w:pPr>
              <w:ind w:left="180"/>
            </w:pPr>
            <w:r>
              <w:t>10 – 19 years</w:t>
            </w:r>
          </w:p>
        </w:tc>
        <w:tc>
          <w:tcPr>
            <w:tcW w:w="965" w:type="dxa"/>
            <w:tcBorders>
              <w:top w:val="single" w:sz="4" w:space="0" w:color="auto"/>
              <w:left w:val="single" w:sz="4" w:space="0" w:color="auto"/>
              <w:bottom w:val="single" w:sz="4" w:space="0" w:color="auto"/>
              <w:right w:val="single" w:sz="4" w:space="0" w:color="auto"/>
            </w:tcBorders>
            <w:hideMark/>
          </w:tcPr>
          <w:p w14:paraId="06F69F1E" w14:textId="77777777" w:rsidR="004A1ECC" w:rsidRDefault="004A1ECC" w:rsidP="00806F2B">
            <w:pPr>
              <w:jc w:val="center"/>
            </w:pPr>
            <w:r>
              <w:t>22</w:t>
            </w:r>
          </w:p>
        </w:tc>
        <w:tc>
          <w:tcPr>
            <w:tcW w:w="2523" w:type="dxa"/>
            <w:tcBorders>
              <w:top w:val="single" w:sz="4" w:space="0" w:color="auto"/>
              <w:left w:val="single" w:sz="4" w:space="0" w:color="auto"/>
              <w:bottom w:val="single" w:sz="4" w:space="0" w:color="auto"/>
              <w:right w:val="single" w:sz="4" w:space="0" w:color="auto"/>
            </w:tcBorders>
            <w:hideMark/>
          </w:tcPr>
          <w:p w14:paraId="3E42E617" w14:textId="77777777" w:rsidR="004A1ECC" w:rsidRDefault="004A1ECC" w:rsidP="00806F2B">
            <w:pPr>
              <w:jc w:val="center"/>
            </w:pPr>
            <w:r>
              <w:t>73.87</w:t>
            </w:r>
          </w:p>
        </w:tc>
        <w:tc>
          <w:tcPr>
            <w:tcW w:w="2360" w:type="dxa"/>
            <w:tcBorders>
              <w:top w:val="single" w:sz="4" w:space="0" w:color="auto"/>
              <w:left w:val="single" w:sz="4" w:space="0" w:color="auto"/>
              <w:bottom w:val="single" w:sz="4" w:space="0" w:color="auto"/>
              <w:right w:val="single" w:sz="4" w:space="0" w:color="auto"/>
            </w:tcBorders>
            <w:hideMark/>
          </w:tcPr>
          <w:p w14:paraId="2781CFEE" w14:textId="77777777" w:rsidR="004A1ECC" w:rsidRDefault="004A1ECC" w:rsidP="00806F2B">
            <w:pPr>
              <w:jc w:val="center"/>
            </w:pPr>
            <w:r>
              <w:t>378.38</w:t>
            </w:r>
          </w:p>
        </w:tc>
        <w:tc>
          <w:tcPr>
            <w:tcW w:w="2281" w:type="dxa"/>
            <w:tcBorders>
              <w:top w:val="single" w:sz="4" w:space="0" w:color="auto"/>
              <w:left w:val="single" w:sz="4" w:space="0" w:color="auto"/>
              <w:bottom w:val="single" w:sz="4" w:space="0" w:color="auto"/>
              <w:right w:val="single" w:sz="4" w:space="0" w:color="auto"/>
            </w:tcBorders>
            <w:hideMark/>
          </w:tcPr>
          <w:p w14:paraId="3A12B38E" w14:textId="77777777" w:rsidR="004A1ECC" w:rsidRDefault="004A1ECC" w:rsidP="00806F2B">
            <w:pPr>
              <w:jc w:val="center"/>
            </w:pPr>
            <w:r>
              <w:t>162.80</w:t>
            </w:r>
          </w:p>
        </w:tc>
      </w:tr>
      <w:tr w:rsidR="004A1ECC" w14:paraId="40675B24"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798CA2CB" w14:textId="77777777" w:rsidR="004A1ECC" w:rsidRDefault="004A1ECC" w:rsidP="001406D7">
            <w:pPr>
              <w:ind w:left="180"/>
            </w:pPr>
            <w:r>
              <w:t>20 – 29 years</w:t>
            </w:r>
          </w:p>
        </w:tc>
        <w:tc>
          <w:tcPr>
            <w:tcW w:w="965" w:type="dxa"/>
            <w:tcBorders>
              <w:top w:val="single" w:sz="4" w:space="0" w:color="auto"/>
              <w:left w:val="single" w:sz="4" w:space="0" w:color="auto"/>
              <w:bottom w:val="single" w:sz="4" w:space="0" w:color="auto"/>
              <w:right w:val="single" w:sz="4" w:space="0" w:color="auto"/>
            </w:tcBorders>
            <w:hideMark/>
          </w:tcPr>
          <w:p w14:paraId="234E4E0B" w14:textId="77777777" w:rsidR="004A1ECC" w:rsidRDefault="004A1ECC" w:rsidP="00806F2B">
            <w:pPr>
              <w:jc w:val="center"/>
            </w:pPr>
            <w:r>
              <w:t>75</w:t>
            </w:r>
          </w:p>
        </w:tc>
        <w:tc>
          <w:tcPr>
            <w:tcW w:w="2523" w:type="dxa"/>
            <w:tcBorders>
              <w:top w:val="single" w:sz="4" w:space="0" w:color="auto"/>
              <w:left w:val="single" w:sz="4" w:space="0" w:color="auto"/>
              <w:bottom w:val="single" w:sz="4" w:space="0" w:color="auto"/>
              <w:right w:val="single" w:sz="4" w:space="0" w:color="auto"/>
            </w:tcBorders>
            <w:hideMark/>
          </w:tcPr>
          <w:p w14:paraId="0E14BF0F" w14:textId="77777777" w:rsidR="004A1ECC" w:rsidRDefault="004A1ECC" w:rsidP="00806F2B">
            <w:pPr>
              <w:jc w:val="center"/>
            </w:pPr>
            <w:r>
              <w:t>16.22</w:t>
            </w:r>
          </w:p>
        </w:tc>
        <w:tc>
          <w:tcPr>
            <w:tcW w:w="2360" w:type="dxa"/>
            <w:tcBorders>
              <w:top w:val="single" w:sz="4" w:space="0" w:color="auto"/>
              <w:left w:val="single" w:sz="4" w:space="0" w:color="auto"/>
              <w:bottom w:val="single" w:sz="4" w:space="0" w:color="auto"/>
              <w:right w:val="single" w:sz="4" w:space="0" w:color="auto"/>
            </w:tcBorders>
            <w:hideMark/>
          </w:tcPr>
          <w:p w14:paraId="4CF26BBB" w14:textId="77777777" w:rsidR="004A1ECC" w:rsidRDefault="004A1ECC" w:rsidP="00806F2B">
            <w:pPr>
              <w:jc w:val="center"/>
            </w:pPr>
            <w:r>
              <w:t>531.54</w:t>
            </w:r>
          </w:p>
        </w:tc>
        <w:tc>
          <w:tcPr>
            <w:tcW w:w="2281" w:type="dxa"/>
            <w:tcBorders>
              <w:top w:val="single" w:sz="4" w:space="0" w:color="auto"/>
              <w:left w:val="single" w:sz="4" w:space="0" w:color="auto"/>
              <w:bottom w:val="single" w:sz="4" w:space="0" w:color="auto"/>
              <w:right w:val="single" w:sz="4" w:space="0" w:color="auto"/>
            </w:tcBorders>
            <w:hideMark/>
          </w:tcPr>
          <w:p w14:paraId="0B1BB124" w14:textId="77777777" w:rsidR="004A1ECC" w:rsidRDefault="004A1ECC" w:rsidP="00806F2B">
            <w:pPr>
              <w:jc w:val="center"/>
            </w:pPr>
            <w:r>
              <w:t>130.7</w:t>
            </w:r>
          </w:p>
        </w:tc>
      </w:tr>
      <w:tr w:rsidR="004A1ECC" w14:paraId="0EF0FDB9"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58203C3C" w14:textId="77777777" w:rsidR="004A1ECC" w:rsidRDefault="004A1ECC" w:rsidP="001406D7">
            <w:pPr>
              <w:ind w:left="180"/>
            </w:pPr>
            <w:r>
              <w:t>30 – 39</w:t>
            </w:r>
          </w:p>
        </w:tc>
        <w:tc>
          <w:tcPr>
            <w:tcW w:w="965" w:type="dxa"/>
            <w:tcBorders>
              <w:top w:val="single" w:sz="4" w:space="0" w:color="auto"/>
              <w:left w:val="single" w:sz="4" w:space="0" w:color="auto"/>
              <w:bottom w:val="single" w:sz="4" w:space="0" w:color="auto"/>
              <w:right w:val="single" w:sz="4" w:space="0" w:color="auto"/>
            </w:tcBorders>
            <w:hideMark/>
          </w:tcPr>
          <w:p w14:paraId="67B3A090" w14:textId="77777777" w:rsidR="004A1ECC" w:rsidRDefault="004A1ECC" w:rsidP="00806F2B">
            <w:pPr>
              <w:tabs>
                <w:tab w:val="left" w:pos="1035"/>
              </w:tabs>
              <w:jc w:val="center"/>
            </w:pPr>
            <w:r>
              <w:t>144</w:t>
            </w:r>
          </w:p>
        </w:tc>
        <w:tc>
          <w:tcPr>
            <w:tcW w:w="2523" w:type="dxa"/>
            <w:tcBorders>
              <w:top w:val="single" w:sz="4" w:space="0" w:color="auto"/>
              <w:left w:val="single" w:sz="4" w:space="0" w:color="auto"/>
              <w:bottom w:val="single" w:sz="4" w:space="0" w:color="auto"/>
              <w:right w:val="single" w:sz="4" w:space="0" w:color="auto"/>
            </w:tcBorders>
            <w:hideMark/>
          </w:tcPr>
          <w:p w14:paraId="71239B30" w14:textId="77777777" w:rsidR="004A1ECC" w:rsidRDefault="004A1ECC" w:rsidP="00806F2B">
            <w:pPr>
              <w:tabs>
                <w:tab w:val="left" w:pos="1035"/>
              </w:tabs>
              <w:jc w:val="center"/>
            </w:pPr>
            <w:r>
              <w:t>28.83</w:t>
            </w:r>
          </w:p>
        </w:tc>
        <w:tc>
          <w:tcPr>
            <w:tcW w:w="2360" w:type="dxa"/>
            <w:tcBorders>
              <w:top w:val="single" w:sz="4" w:space="0" w:color="auto"/>
              <w:left w:val="single" w:sz="4" w:space="0" w:color="auto"/>
              <w:bottom w:val="single" w:sz="4" w:space="0" w:color="auto"/>
              <w:right w:val="single" w:sz="4" w:space="0" w:color="auto"/>
            </w:tcBorders>
            <w:hideMark/>
          </w:tcPr>
          <w:p w14:paraId="7E056955" w14:textId="77777777" w:rsidR="004A1ECC" w:rsidRDefault="004A1ECC" w:rsidP="00806F2B">
            <w:pPr>
              <w:tabs>
                <w:tab w:val="left" w:pos="1035"/>
              </w:tabs>
              <w:jc w:val="center"/>
            </w:pPr>
            <w:r>
              <w:t>553.16</w:t>
            </w:r>
          </w:p>
        </w:tc>
        <w:tc>
          <w:tcPr>
            <w:tcW w:w="2281" w:type="dxa"/>
            <w:tcBorders>
              <w:top w:val="single" w:sz="4" w:space="0" w:color="auto"/>
              <w:left w:val="single" w:sz="4" w:space="0" w:color="auto"/>
              <w:bottom w:val="single" w:sz="4" w:space="0" w:color="auto"/>
              <w:right w:val="single" w:sz="4" w:space="0" w:color="auto"/>
            </w:tcBorders>
            <w:hideMark/>
          </w:tcPr>
          <w:p w14:paraId="30A6ED79" w14:textId="77777777" w:rsidR="004A1ECC" w:rsidRDefault="004A1ECC" w:rsidP="00806F2B">
            <w:pPr>
              <w:tabs>
                <w:tab w:val="left" w:pos="1035"/>
              </w:tabs>
              <w:jc w:val="center"/>
            </w:pPr>
            <w:r>
              <w:t>150.01</w:t>
            </w:r>
          </w:p>
        </w:tc>
      </w:tr>
      <w:tr w:rsidR="004A1ECC" w14:paraId="4B48A0BF"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4E424F9D" w14:textId="77777777" w:rsidR="004A1ECC" w:rsidRDefault="004A1ECC" w:rsidP="001406D7">
            <w:pPr>
              <w:ind w:left="180"/>
            </w:pPr>
            <w:r>
              <w:t>40 - 49</w:t>
            </w:r>
          </w:p>
        </w:tc>
        <w:tc>
          <w:tcPr>
            <w:tcW w:w="965" w:type="dxa"/>
            <w:tcBorders>
              <w:top w:val="single" w:sz="4" w:space="0" w:color="auto"/>
              <w:left w:val="single" w:sz="4" w:space="0" w:color="auto"/>
              <w:bottom w:val="single" w:sz="4" w:space="0" w:color="auto"/>
              <w:right w:val="single" w:sz="4" w:space="0" w:color="auto"/>
            </w:tcBorders>
            <w:hideMark/>
          </w:tcPr>
          <w:p w14:paraId="60F516B8" w14:textId="77777777" w:rsidR="004A1ECC" w:rsidRDefault="004A1ECC" w:rsidP="00806F2B">
            <w:pPr>
              <w:tabs>
                <w:tab w:val="center" w:pos="1488"/>
              </w:tabs>
              <w:jc w:val="center"/>
            </w:pPr>
            <w:r>
              <w:t>116</w:t>
            </w:r>
          </w:p>
        </w:tc>
        <w:tc>
          <w:tcPr>
            <w:tcW w:w="2523" w:type="dxa"/>
            <w:tcBorders>
              <w:top w:val="single" w:sz="4" w:space="0" w:color="auto"/>
              <w:left w:val="single" w:sz="4" w:space="0" w:color="auto"/>
              <w:bottom w:val="single" w:sz="4" w:space="0" w:color="auto"/>
              <w:right w:val="single" w:sz="4" w:space="0" w:color="auto"/>
            </w:tcBorders>
            <w:hideMark/>
          </w:tcPr>
          <w:p w14:paraId="35758522" w14:textId="77777777" w:rsidR="004A1ECC" w:rsidRDefault="004A1ECC" w:rsidP="00806F2B">
            <w:pPr>
              <w:tabs>
                <w:tab w:val="center" w:pos="1488"/>
              </w:tabs>
              <w:jc w:val="center"/>
            </w:pPr>
            <w:r>
              <w:t>14.41</w:t>
            </w:r>
          </w:p>
        </w:tc>
        <w:tc>
          <w:tcPr>
            <w:tcW w:w="2360" w:type="dxa"/>
            <w:tcBorders>
              <w:top w:val="single" w:sz="4" w:space="0" w:color="auto"/>
              <w:left w:val="single" w:sz="4" w:space="0" w:color="auto"/>
              <w:bottom w:val="single" w:sz="4" w:space="0" w:color="auto"/>
              <w:right w:val="single" w:sz="4" w:space="0" w:color="auto"/>
            </w:tcBorders>
            <w:hideMark/>
          </w:tcPr>
          <w:p w14:paraId="78813F97" w14:textId="77777777" w:rsidR="004A1ECC" w:rsidRDefault="004A1ECC" w:rsidP="00806F2B">
            <w:pPr>
              <w:tabs>
                <w:tab w:val="center" w:pos="1488"/>
              </w:tabs>
              <w:jc w:val="center"/>
            </w:pPr>
            <w:r>
              <w:t>483.00</w:t>
            </w:r>
          </w:p>
        </w:tc>
        <w:tc>
          <w:tcPr>
            <w:tcW w:w="2281" w:type="dxa"/>
            <w:tcBorders>
              <w:top w:val="single" w:sz="4" w:space="0" w:color="auto"/>
              <w:left w:val="single" w:sz="4" w:space="0" w:color="auto"/>
              <w:bottom w:val="single" w:sz="4" w:space="0" w:color="auto"/>
              <w:right w:val="single" w:sz="4" w:space="0" w:color="auto"/>
            </w:tcBorders>
            <w:hideMark/>
          </w:tcPr>
          <w:p w14:paraId="117186AF" w14:textId="77777777" w:rsidR="004A1ECC" w:rsidRDefault="004A1ECC" w:rsidP="00806F2B">
            <w:pPr>
              <w:tabs>
                <w:tab w:val="center" w:pos="1488"/>
              </w:tabs>
              <w:jc w:val="center"/>
            </w:pPr>
            <w:r>
              <w:t>138.74</w:t>
            </w:r>
          </w:p>
        </w:tc>
      </w:tr>
      <w:tr w:rsidR="004A1ECC" w14:paraId="77CEC840"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3C4B8991" w14:textId="77777777" w:rsidR="004A1ECC" w:rsidRDefault="004A1ECC" w:rsidP="001406D7">
            <w:pPr>
              <w:ind w:left="180"/>
            </w:pPr>
            <w:r>
              <w:t>50 – 59</w:t>
            </w:r>
          </w:p>
        </w:tc>
        <w:tc>
          <w:tcPr>
            <w:tcW w:w="965" w:type="dxa"/>
            <w:tcBorders>
              <w:top w:val="single" w:sz="4" w:space="0" w:color="auto"/>
              <w:left w:val="single" w:sz="4" w:space="0" w:color="auto"/>
              <w:bottom w:val="single" w:sz="4" w:space="0" w:color="auto"/>
              <w:right w:val="single" w:sz="4" w:space="0" w:color="auto"/>
            </w:tcBorders>
            <w:hideMark/>
          </w:tcPr>
          <w:p w14:paraId="38E952C6" w14:textId="77777777" w:rsidR="004A1ECC" w:rsidRDefault="004A1ECC" w:rsidP="00806F2B">
            <w:pPr>
              <w:jc w:val="center"/>
            </w:pPr>
            <w:r>
              <w:t>228</w:t>
            </w:r>
          </w:p>
        </w:tc>
        <w:tc>
          <w:tcPr>
            <w:tcW w:w="2523" w:type="dxa"/>
            <w:tcBorders>
              <w:top w:val="single" w:sz="4" w:space="0" w:color="auto"/>
              <w:left w:val="single" w:sz="4" w:space="0" w:color="auto"/>
              <w:bottom w:val="single" w:sz="4" w:space="0" w:color="auto"/>
              <w:right w:val="single" w:sz="4" w:space="0" w:color="auto"/>
            </w:tcBorders>
            <w:hideMark/>
          </w:tcPr>
          <w:p w14:paraId="6A193A43" w14:textId="77777777" w:rsidR="004A1ECC" w:rsidRDefault="004A1ECC" w:rsidP="00806F2B">
            <w:pPr>
              <w:jc w:val="center"/>
            </w:pPr>
            <w:r>
              <w:t>16.22</w:t>
            </w:r>
          </w:p>
        </w:tc>
        <w:tc>
          <w:tcPr>
            <w:tcW w:w="2360" w:type="dxa"/>
            <w:tcBorders>
              <w:top w:val="single" w:sz="4" w:space="0" w:color="auto"/>
              <w:left w:val="single" w:sz="4" w:space="0" w:color="auto"/>
              <w:bottom w:val="single" w:sz="4" w:space="0" w:color="auto"/>
              <w:right w:val="single" w:sz="4" w:space="0" w:color="auto"/>
            </w:tcBorders>
            <w:hideMark/>
          </w:tcPr>
          <w:p w14:paraId="64DD0F5A" w14:textId="77777777" w:rsidR="004A1ECC" w:rsidRDefault="004A1ECC" w:rsidP="00806F2B">
            <w:pPr>
              <w:jc w:val="center"/>
            </w:pPr>
            <w:r>
              <w:t>558.56</w:t>
            </w:r>
          </w:p>
        </w:tc>
        <w:tc>
          <w:tcPr>
            <w:tcW w:w="2281" w:type="dxa"/>
            <w:tcBorders>
              <w:top w:val="single" w:sz="4" w:space="0" w:color="auto"/>
              <w:left w:val="single" w:sz="4" w:space="0" w:color="auto"/>
              <w:bottom w:val="single" w:sz="4" w:space="0" w:color="auto"/>
              <w:right w:val="single" w:sz="4" w:space="0" w:color="auto"/>
            </w:tcBorders>
            <w:hideMark/>
          </w:tcPr>
          <w:p w14:paraId="0FA2E8EF" w14:textId="77777777" w:rsidR="004A1ECC" w:rsidRDefault="004A1ECC" w:rsidP="00806F2B">
            <w:pPr>
              <w:jc w:val="center"/>
            </w:pPr>
            <w:r>
              <w:t>123.06</w:t>
            </w:r>
          </w:p>
        </w:tc>
      </w:tr>
      <w:tr w:rsidR="004A1ECC" w14:paraId="6EA4036C"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52E53EA1" w14:textId="77777777" w:rsidR="004A1ECC" w:rsidRDefault="004A1ECC" w:rsidP="001406D7">
            <w:pPr>
              <w:tabs>
                <w:tab w:val="left" w:pos="1125"/>
              </w:tabs>
              <w:ind w:left="180"/>
            </w:pPr>
            <w:r>
              <w:t>60 – 69</w:t>
            </w:r>
            <w:r>
              <w:tab/>
            </w:r>
          </w:p>
        </w:tc>
        <w:tc>
          <w:tcPr>
            <w:tcW w:w="965" w:type="dxa"/>
            <w:tcBorders>
              <w:top w:val="single" w:sz="4" w:space="0" w:color="auto"/>
              <w:left w:val="single" w:sz="4" w:space="0" w:color="auto"/>
              <w:bottom w:val="single" w:sz="4" w:space="0" w:color="auto"/>
              <w:right w:val="single" w:sz="4" w:space="0" w:color="auto"/>
            </w:tcBorders>
            <w:hideMark/>
          </w:tcPr>
          <w:p w14:paraId="3FA0783C" w14:textId="77777777" w:rsidR="004A1ECC" w:rsidRDefault="004A1ECC" w:rsidP="00806F2B">
            <w:pPr>
              <w:jc w:val="center"/>
            </w:pPr>
            <w:r>
              <w:t>394</w:t>
            </w:r>
          </w:p>
        </w:tc>
        <w:tc>
          <w:tcPr>
            <w:tcW w:w="2523" w:type="dxa"/>
            <w:tcBorders>
              <w:top w:val="single" w:sz="4" w:space="0" w:color="auto"/>
              <w:left w:val="single" w:sz="4" w:space="0" w:color="auto"/>
              <w:bottom w:val="single" w:sz="4" w:space="0" w:color="auto"/>
              <w:right w:val="single" w:sz="4" w:space="0" w:color="auto"/>
            </w:tcBorders>
            <w:hideMark/>
          </w:tcPr>
          <w:p w14:paraId="0A317629" w14:textId="77777777" w:rsidR="004A1ECC" w:rsidRDefault="004A1ECC" w:rsidP="00806F2B">
            <w:pPr>
              <w:jc w:val="center"/>
            </w:pPr>
            <w:r>
              <w:t>12.61</w:t>
            </w:r>
          </w:p>
        </w:tc>
        <w:tc>
          <w:tcPr>
            <w:tcW w:w="2360" w:type="dxa"/>
            <w:tcBorders>
              <w:top w:val="single" w:sz="4" w:space="0" w:color="auto"/>
              <w:left w:val="single" w:sz="4" w:space="0" w:color="auto"/>
              <w:bottom w:val="single" w:sz="4" w:space="0" w:color="auto"/>
              <w:right w:val="single" w:sz="4" w:space="0" w:color="auto"/>
            </w:tcBorders>
            <w:hideMark/>
          </w:tcPr>
          <w:p w14:paraId="268EA6A3" w14:textId="77777777" w:rsidR="004A1ECC" w:rsidRDefault="004A1ECC" w:rsidP="00806F2B">
            <w:pPr>
              <w:jc w:val="center"/>
            </w:pPr>
            <w:r>
              <w:t>515.32</w:t>
            </w:r>
          </w:p>
        </w:tc>
        <w:tc>
          <w:tcPr>
            <w:tcW w:w="2281" w:type="dxa"/>
            <w:tcBorders>
              <w:top w:val="single" w:sz="4" w:space="0" w:color="auto"/>
              <w:left w:val="single" w:sz="4" w:space="0" w:color="auto"/>
              <w:bottom w:val="single" w:sz="4" w:space="0" w:color="auto"/>
              <w:right w:val="single" w:sz="4" w:space="0" w:color="auto"/>
            </w:tcBorders>
            <w:hideMark/>
          </w:tcPr>
          <w:p w14:paraId="499B8757" w14:textId="77777777" w:rsidR="004A1ECC" w:rsidRDefault="004A1ECC" w:rsidP="00806F2B">
            <w:pPr>
              <w:jc w:val="center"/>
            </w:pPr>
            <w:r>
              <w:t>133.52</w:t>
            </w:r>
          </w:p>
        </w:tc>
      </w:tr>
      <w:tr w:rsidR="004A1ECC" w14:paraId="6D4C9F25"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252438E0" w14:textId="77777777" w:rsidR="004A1ECC" w:rsidRDefault="004A1ECC" w:rsidP="001406D7">
            <w:pPr>
              <w:ind w:left="180"/>
            </w:pPr>
            <w:r>
              <w:t>70 – 79</w:t>
            </w:r>
          </w:p>
        </w:tc>
        <w:tc>
          <w:tcPr>
            <w:tcW w:w="965" w:type="dxa"/>
            <w:tcBorders>
              <w:top w:val="single" w:sz="4" w:space="0" w:color="auto"/>
              <w:left w:val="single" w:sz="4" w:space="0" w:color="auto"/>
              <w:bottom w:val="single" w:sz="4" w:space="0" w:color="auto"/>
              <w:right w:val="single" w:sz="4" w:space="0" w:color="auto"/>
            </w:tcBorders>
            <w:hideMark/>
          </w:tcPr>
          <w:p w14:paraId="79A6BFEA" w14:textId="77777777" w:rsidR="004A1ECC" w:rsidRDefault="004A1ECC" w:rsidP="00806F2B">
            <w:pPr>
              <w:jc w:val="center"/>
            </w:pPr>
            <w:r>
              <w:t>432</w:t>
            </w:r>
          </w:p>
        </w:tc>
        <w:tc>
          <w:tcPr>
            <w:tcW w:w="2523" w:type="dxa"/>
            <w:tcBorders>
              <w:top w:val="single" w:sz="4" w:space="0" w:color="auto"/>
              <w:left w:val="single" w:sz="4" w:space="0" w:color="auto"/>
              <w:bottom w:val="single" w:sz="4" w:space="0" w:color="auto"/>
              <w:right w:val="single" w:sz="4" w:space="0" w:color="auto"/>
            </w:tcBorders>
            <w:hideMark/>
          </w:tcPr>
          <w:p w14:paraId="0D1D6C59" w14:textId="77777777" w:rsidR="004A1ECC" w:rsidRDefault="004A1ECC" w:rsidP="00806F2B">
            <w:pPr>
              <w:jc w:val="center"/>
            </w:pPr>
            <w:r>
              <w:t>12.61</w:t>
            </w:r>
          </w:p>
        </w:tc>
        <w:tc>
          <w:tcPr>
            <w:tcW w:w="2360" w:type="dxa"/>
            <w:tcBorders>
              <w:top w:val="single" w:sz="4" w:space="0" w:color="auto"/>
              <w:left w:val="single" w:sz="4" w:space="0" w:color="auto"/>
              <w:bottom w:val="single" w:sz="4" w:space="0" w:color="auto"/>
              <w:right w:val="single" w:sz="4" w:space="0" w:color="auto"/>
            </w:tcBorders>
            <w:hideMark/>
          </w:tcPr>
          <w:p w14:paraId="3CD23B05" w14:textId="77777777" w:rsidR="004A1ECC" w:rsidRDefault="004A1ECC" w:rsidP="00806F2B">
            <w:pPr>
              <w:jc w:val="center"/>
            </w:pPr>
            <w:r>
              <w:t>517.12</w:t>
            </w:r>
          </w:p>
        </w:tc>
        <w:tc>
          <w:tcPr>
            <w:tcW w:w="2281" w:type="dxa"/>
            <w:tcBorders>
              <w:top w:val="single" w:sz="4" w:space="0" w:color="auto"/>
              <w:left w:val="single" w:sz="4" w:space="0" w:color="auto"/>
              <w:bottom w:val="single" w:sz="4" w:space="0" w:color="auto"/>
              <w:right w:val="single" w:sz="4" w:space="0" w:color="auto"/>
            </w:tcBorders>
            <w:hideMark/>
          </w:tcPr>
          <w:p w14:paraId="682EFA7E" w14:textId="77777777" w:rsidR="004A1ECC" w:rsidRDefault="004A1ECC" w:rsidP="00806F2B">
            <w:pPr>
              <w:jc w:val="center"/>
            </w:pPr>
            <w:r>
              <w:t>136.48</w:t>
            </w:r>
          </w:p>
        </w:tc>
      </w:tr>
      <w:tr w:rsidR="004A1ECC" w14:paraId="3AE510B9"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2F823372" w14:textId="77777777" w:rsidR="004A1ECC" w:rsidRDefault="004A1ECC" w:rsidP="001406D7">
            <w:pPr>
              <w:ind w:left="180"/>
            </w:pPr>
            <w:r>
              <w:t>80 - 89</w:t>
            </w:r>
          </w:p>
        </w:tc>
        <w:tc>
          <w:tcPr>
            <w:tcW w:w="965" w:type="dxa"/>
            <w:tcBorders>
              <w:top w:val="single" w:sz="4" w:space="0" w:color="auto"/>
              <w:left w:val="single" w:sz="4" w:space="0" w:color="auto"/>
              <w:bottom w:val="single" w:sz="4" w:space="0" w:color="auto"/>
              <w:right w:val="single" w:sz="4" w:space="0" w:color="auto"/>
            </w:tcBorders>
            <w:hideMark/>
          </w:tcPr>
          <w:p w14:paraId="30FC708F" w14:textId="77777777" w:rsidR="004A1ECC" w:rsidRDefault="004A1ECC" w:rsidP="00806F2B">
            <w:pPr>
              <w:jc w:val="center"/>
            </w:pPr>
            <w:r>
              <w:t>155</w:t>
            </w:r>
          </w:p>
        </w:tc>
        <w:tc>
          <w:tcPr>
            <w:tcW w:w="2523" w:type="dxa"/>
            <w:tcBorders>
              <w:top w:val="single" w:sz="4" w:space="0" w:color="auto"/>
              <w:left w:val="single" w:sz="4" w:space="0" w:color="auto"/>
              <w:bottom w:val="single" w:sz="4" w:space="0" w:color="auto"/>
              <w:right w:val="single" w:sz="4" w:space="0" w:color="auto"/>
            </w:tcBorders>
            <w:hideMark/>
          </w:tcPr>
          <w:p w14:paraId="5F76F71D" w14:textId="77777777" w:rsidR="004A1ECC" w:rsidRDefault="004A1ECC" w:rsidP="00806F2B">
            <w:pPr>
              <w:jc w:val="center"/>
            </w:pPr>
            <w:r>
              <w:t>30.36</w:t>
            </w:r>
          </w:p>
        </w:tc>
        <w:tc>
          <w:tcPr>
            <w:tcW w:w="2360" w:type="dxa"/>
            <w:tcBorders>
              <w:top w:val="single" w:sz="4" w:space="0" w:color="auto"/>
              <w:left w:val="single" w:sz="4" w:space="0" w:color="auto"/>
              <w:bottom w:val="single" w:sz="4" w:space="0" w:color="auto"/>
              <w:right w:val="single" w:sz="4" w:space="0" w:color="auto"/>
            </w:tcBorders>
            <w:hideMark/>
          </w:tcPr>
          <w:p w14:paraId="71F2F337" w14:textId="77777777" w:rsidR="004A1ECC" w:rsidRDefault="004A1ECC" w:rsidP="00806F2B">
            <w:pPr>
              <w:jc w:val="center"/>
            </w:pPr>
            <w:r>
              <w:t>499.10</w:t>
            </w:r>
          </w:p>
        </w:tc>
        <w:tc>
          <w:tcPr>
            <w:tcW w:w="2281" w:type="dxa"/>
            <w:tcBorders>
              <w:top w:val="single" w:sz="4" w:space="0" w:color="auto"/>
              <w:left w:val="single" w:sz="4" w:space="0" w:color="auto"/>
              <w:bottom w:val="single" w:sz="4" w:space="0" w:color="auto"/>
              <w:right w:val="single" w:sz="4" w:space="0" w:color="auto"/>
            </w:tcBorders>
            <w:hideMark/>
          </w:tcPr>
          <w:p w14:paraId="10698376" w14:textId="77777777" w:rsidR="004A1ECC" w:rsidRDefault="004A1ECC" w:rsidP="00806F2B">
            <w:pPr>
              <w:jc w:val="center"/>
            </w:pPr>
            <w:r>
              <w:t>142.14</w:t>
            </w:r>
          </w:p>
        </w:tc>
      </w:tr>
      <w:tr w:rsidR="004A1ECC" w14:paraId="0ADE5B4E"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00BF4E4C" w14:textId="77777777" w:rsidR="004A1ECC" w:rsidRDefault="004A1ECC" w:rsidP="001406D7">
            <w:pPr>
              <w:ind w:left="180"/>
            </w:pPr>
            <w:r>
              <w:t>90 - 99</w:t>
            </w:r>
          </w:p>
        </w:tc>
        <w:tc>
          <w:tcPr>
            <w:tcW w:w="965" w:type="dxa"/>
            <w:tcBorders>
              <w:top w:val="single" w:sz="4" w:space="0" w:color="auto"/>
              <w:left w:val="single" w:sz="4" w:space="0" w:color="auto"/>
              <w:bottom w:val="single" w:sz="4" w:space="0" w:color="auto"/>
              <w:right w:val="single" w:sz="4" w:space="0" w:color="auto"/>
            </w:tcBorders>
            <w:hideMark/>
          </w:tcPr>
          <w:p w14:paraId="462B58DB" w14:textId="77777777" w:rsidR="004A1ECC" w:rsidRDefault="004A1ECC" w:rsidP="00806F2B">
            <w:pPr>
              <w:jc w:val="center"/>
            </w:pPr>
            <w:r>
              <w:t>22</w:t>
            </w:r>
          </w:p>
        </w:tc>
        <w:tc>
          <w:tcPr>
            <w:tcW w:w="2523" w:type="dxa"/>
            <w:tcBorders>
              <w:top w:val="single" w:sz="4" w:space="0" w:color="auto"/>
              <w:left w:val="single" w:sz="4" w:space="0" w:color="auto"/>
              <w:bottom w:val="single" w:sz="4" w:space="0" w:color="auto"/>
              <w:right w:val="single" w:sz="4" w:space="0" w:color="auto"/>
            </w:tcBorders>
            <w:hideMark/>
          </w:tcPr>
          <w:p w14:paraId="07FC9996" w14:textId="77777777" w:rsidR="004A1ECC" w:rsidRDefault="004A1ECC" w:rsidP="00806F2B">
            <w:pPr>
              <w:jc w:val="center"/>
            </w:pPr>
            <w:r>
              <w:t>57.66</w:t>
            </w:r>
          </w:p>
        </w:tc>
        <w:tc>
          <w:tcPr>
            <w:tcW w:w="2360" w:type="dxa"/>
            <w:tcBorders>
              <w:top w:val="single" w:sz="4" w:space="0" w:color="auto"/>
              <w:left w:val="single" w:sz="4" w:space="0" w:color="auto"/>
              <w:bottom w:val="single" w:sz="4" w:space="0" w:color="auto"/>
              <w:right w:val="single" w:sz="4" w:space="0" w:color="auto"/>
            </w:tcBorders>
            <w:hideMark/>
          </w:tcPr>
          <w:p w14:paraId="009CCE23" w14:textId="77777777" w:rsidR="004A1ECC" w:rsidRDefault="004A1ECC" w:rsidP="00806F2B">
            <w:pPr>
              <w:jc w:val="center"/>
            </w:pPr>
            <w:r>
              <w:t>390.00</w:t>
            </w:r>
          </w:p>
        </w:tc>
        <w:tc>
          <w:tcPr>
            <w:tcW w:w="2281" w:type="dxa"/>
            <w:tcBorders>
              <w:top w:val="single" w:sz="4" w:space="0" w:color="auto"/>
              <w:left w:val="single" w:sz="4" w:space="0" w:color="auto"/>
              <w:bottom w:val="single" w:sz="4" w:space="0" w:color="auto"/>
              <w:right w:val="single" w:sz="4" w:space="0" w:color="auto"/>
            </w:tcBorders>
            <w:hideMark/>
          </w:tcPr>
          <w:p w14:paraId="1A9CC280" w14:textId="77777777" w:rsidR="004A1ECC" w:rsidRDefault="004A1ECC" w:rsidP="00806F2B">
            <w:pPr>
              <w:jc w:val="center"/>
            </w:pPr>
            <w:r>
              <w:t>139.73</w:t>
            </w:r>
          </w:p>
        </w:tc>
      </w:tr>
      <w:tr w:rsidR="004A1ECC" w14:paraId="7CBC1078" w14:textId="77777777" w:rsidTr="00953A40">
        <w:tc>
          <w:tcPr>
            <w:tcW w:w="2041" w:type="dxa"/>
            <w:tcBorders>
              <w:top w:val="single" w:sz="4" w:space="0" w:color="auto"/>
              <w:left w:val="single" w:sz="4" w:space="0" w:color="auto"/>
              <w:bottom w:val="single" w:sz="4" w:space="0" w:color="auto"/>
              <w:right w:val="single" w:sz="4" w:space="0" w:color="auto"/>
            </w:tcBorders>
            <w:hideMark/>
          </w:tcPr>
          <w:p w14:paraId="0F618429" w14:textId="77777777" w:rsidR="004A1ECC" w:rsidRDefault="004A1ECC" w:rsidP="001406D7">
            <w:pPr>
              <w:ind w:left="180"/>
            </w:pPr>
            <w:r>
              <w:t>Unknown</w:t>
            </w:r>
          </w:p>
        </w:tc>
        <w:tc>
          <w:tcPr>
            <w:tcW w:w="965" w:type="dxa"/>
            <w:tcBorders>
              <w:top w:val="single" w:sz="4" w:space="0" w:color="auto"/>
              <w:left w:val="single" w:sz="4" w:space="0" w:color="auto"/>
              <w:bottom w:val="single" w:sz="4" w:space="0" w:color="auto"/>
              <w:right w:val="single" w:sz="4" w:space="0" w:color="auto"/>
            </w:tcBorders>
            <w:hideMark/>
          </w:tcPr>
          <w:p w14:paraId="2B17D94C" w14:textId="77777777" w:rsidR="004A1ECC" w:rsidRDefault="004A1ECC" w:rsidP="00806F2B">
            <w:pPr>
              <w:jc w:val="center"/>
              <w:rPr>
                <w:rFonts w:eastAsiaTheme="minorEastAsia"/>
                <w:i/>
              </w:rPr>
            </w:pPr>
            <w:r>
              <w:rPr>
                <w:rFonts w:eastAsiaTheme="minorEastAsia"/>
                <w:i/>
              </w:rPr>
              <w:t>98</w:t>
            </w:r>
          </w:p>
        </w:tc>
        <w:tc>
          <w:tcPr>
            <w:tcW w:w="2523" w:type="dxa"/>
            <w:tcBorders>
              <w:top w:val="single" w:sz="4" w:space="0" w:color="auto"/>
              <w:left w:val="single" w:sz="4" w:space="0" w:color="auto"/>
              <w:bottom w:val="single" w:sz="4" w:space="0" w:color="auto"/>
              <w:right w:val="single" w:sz="4" w:space="0" w:color="auto"/>
            </w:tcBorders>
            <w:hideMark/>
          </w:tcPr>
          <w:p w14:paraId="4CF803E0" w14:textId="77777777" w:rsidR="004A1ECC" w:rsidRDefault="004A1ECC" w:rsidP="00806F2B">
            <w:pPr>
              <w:jc w:val="center"/>
              <w:rPr>
                <w:rFonts w:eastAsiaTheme="minorEastAsia"/>
                <w:i/>
              </w:rPr>
            </w:pPr>
            <w:r>
              <w:rPr>
                <w:rFonts w:eastAsiaTheme="minorEastAsia"/>
                <w:i/>
              </w:rPr>
              <w:t>12.6</w:t>
            </w:r>
          </w:p>
        </w:tc>
        <w:tc>
          <w:tcPr>
            <w:tcW w:w="2360" w:type="dxa"/>
            <w:tcBorders>
              <w:top w:val="single" w:sz="4" w:space="0" w:color="auto"/>
              <w:left w:val="single" w:sz="4" w:space="0" w:color="auto"/>
              <w:bottom w:val="single" w:sz="4" w:space="0" w:color="auto"/>
              <w:right w:val="single" w:sz="4" w:space="0" w:color="auto"/>
            </w:tcBorders>
            <w:hideMark/>
          </w:tcPr>
          <w:p w14:paraId="61B9809A" w14:textId="77777777" w:rsidR="004A1ECC" w:rsidRDefault="004A1ECC" w:rsidP="00806F2B">
            <w:pPr>
              <w:jc w:val="center"/>
              <w:rPr>
                <w:rFonts w:eastAsiaTheme="minorEastAsia"/>
                <w:i/>
              </w:rPr>
            </w:pPr>
            <w:r>
              <w:rPr>
                <w:rFonts w:eastAsiaTheme="minorEastAsia"/>
                <w:i/>
              </w:rPr>
              <w:t>263.07</w:t>
            </w:r>
          </w:p>
        </w:tc>
        <w:tc>
          <w:tcPr>
            <w:tcW w:w="2281" w:type="dxa"/>
            <w:tcBorders>
              <w:top w:val="single" w:sz="4" w:space="0" w:color="auto"/>
              <w:left w:val="single" w:sz="4" w:space="0" w:color="auto"/>
              <w:bottom w:val="single" w:sz="4" w:space="0" w:color="auto"/>
              <w:right w:val="single" w:sz="4" w:space="0" w:color="auto"/>
            </w:tcBorders>
            <w:hideMark/>
          </w:tcPr>
          <w:p w14:paraId="24877C66" w14:textId="77777777" w:rsidR="004A1ECC" w:rsidRDefault="004A1ECC" w:rsidP="00806F2B">
            <w:pPr>
              <w:jc w:val="center"/>
              <w:rPr>
                <w:rFonts w:eastAsiaTheme="minorEastAsia"/>
                <w:i/>
              </w:rPr>
            </w:pPr>
            <w:r>
              <w:rPr>
                <w:rFonts w:eastAsiaTheme="minorEastAsia"/>
                <w:i/>
              </w:rPr>
              <w:t>99.93</w:t>
            </w:r>
          </w:p>
        </w:tc>
      </w:tr>
    </w:tbl>
    <w:p w14:paraId="55D0CD5E" w14:textId="77777777" w:rsidR="004A1ECC" w:rsidRDefault="004A1ECC" w:rsidP="004A1ECC"/>
    <w:p w14:paraId="7234DBBF" w14:textId="77777777" w:rsidR="00806F2B" w:rsidRDefault="00806F2B" w:rsidP="001406D7">
      <w:pPr>
        <w:spacing w:line="480" w:lineRule="auto"/>
        <w:ind w:left="90"/>
      </w:pPr>
      <w:r>
        <w:t xml:space="preserve">Supplemental Table </w:t>
      </w:r>
      <w:r w:rsidR="0011187C">
        <w:t xml:space="preserve">2 </w:t>
      </w:r>
      <w:r>
        <w:t xml:space="preserve">shows a breakdown of the study population number into ten year age spans. The minimum and maximum glucose values obtained within each </w:t>
      </w:r>
      <w:r w:rsidRPr="0023451A">
        <w:t xml:space="preserve">age range group expressed in mg/dL </w:t>
      </w:r>
      <w:r>
        <w:t>are listed. The average glucose values are expressed in mg/dL for each age range group.</w:t>
      </w:r>
    </w:p>
    <w:p w14:paraId="70DF2AD7" w14:textId="77777777" w:rsidR="004A1ECC" w:rsidRDefault="004A1ECC" w:rsidP="004A1ECC">
      <w:r>
        <w:br w:type="page"/>
      </w:r>
    </w:p>
    <w:p w14:paraId="3C7B6F12" w14:textId="77777777" w:rsidR="004A1ECC" w:rsidRPr="001406D7" w:rsidRDefault="004A1ECC" w:rsidP="004A1ECC">
      <w:pPr>
        <w:rPr>
          <w:b/>
          <w:sz w:val="28"/>
          <w:szCs w:val="28"/>
          <w:u w:val="single"/>
        </w:rPr>
      </w:pPr>
      <w:r w:rsidRPr="001406D7">
        <w:rPr>
          <w:b/>
          <w:sz w:val="28"/>
          <w:szCs w:val="28"/>
          <w:u w:val="single"/>
        </w:rPr>
        <w:lastRenderedPageBreak/>
        <w:t>Su</w:t>
      </w:r>
      <w:r w:rsidR="001406D7" w:rsidRPr="001406D7">
        <w:rPr>
          <w:b/>
          <w:sz w:val="28"/>
          <w:szCs w:val="28"/>
          <w:u w:val="single"/>
        </w:rPr>
        <w:t xml:space="preserve">pplemental Table </w:t>
      </w:r>
      <w:r w:rsidR="0011187C">
        <w:rPr>
          <w:b/>
          <w:sz w:val="28"/>
          <w:szCs w:val="28"/>
          <w:u w:val="single"/>
        </w:rPr>
        <w:t>3</w:t>
      </w:r>
      <w:r w:rsidR="001406D7" w:rsidRPr="001406D7">
        <w:rPr>
          <w:b/>
          <w:sz w:val="28"/>
          <w:szCs w:val="28"/>
          <w:u w:val="single"/>
        </w:rPr>
        <w:t>: Breakdown of Patient medication information by five sites to include 33 different drug classes</w:t>
      </w:r>
      <w:r w:rsidR="001406D7" w:rsidRPr="001406D7">
        <w:rPr>
          <w:b/>
          <w:sz w:val="28"/>
          <w:szCs w:val="28"/>
          <w:u w:val="single"/>
          <w:vertAlign w:val="superscript"/>
        </w:rPr>
        <w:t>1</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1349"/>
        <w:gridCol w:w="1440"/>
        <w:gridCol w:w="1440"/>
        <w:gridCol w:w="1260"/>
        <w:gridCol w:w="1350"/>
      </w:tblGrid>
      <w:tr w:rsidR="004A1ECC" w14:paraId="15C1D85C" w14:textId="77777777" w:rsidTr="00806F2B">
        <w:tc>
          <w:tcPr>
            <w:tcW w:w="3438" w:type="dxa"/>
            <w:tcBorders>
              <w:top w:val="single" w:sz="4" w:space="0" w:color="auto"/>
              <w:left w:val="single" w:sz="4" w:space="0" w:color="auto"/>
              <w:bottom w:val="single" w:sz="4" w:space="0" w:color="auto"/>
              <w:right w:val="single" w:sz="4" w:space="0" w:color="auto"/>
            </w:tcBorders>
            <w:hideMark/>
          </w:tcPr>
          <w:p w14:paraId="6660CDD8" w14:textId="77777777" w:rsidR="004A1ECC" w:rsidRDefault="004A1ECC" w:rsidP="00806F2B">
            <w:pPr>
              <w:spacing w:line="240" w:lineRule="auto"/>
              <w:rPr>
                <w:rFonts w:ascii="Calibri" w:eastAsia="Calibri" w:hAnsi="Calibri" w:cs="Times New Roman"/>
                <w:sz w:val="20"/>
                <w:szCs w:val="20"/>
                <w:lang w:val="en-GB"/>
              </w:rPr>
            </w:pPr>
            <w:r>
              <w:rPr>
                <w:rFonts w:ascii="Calibri" w:eastAsia="Calibri" w:hAnsi="Calibri" w:cs="Times New Roman"/>
                <w:sz w:val="20"/>
                <w:szCs w:val="20"/>
              </w:rPr>
              <w:t>Patient Drug classes</w:t>
            </w:r>
          </w:p>
        </w:tc>
        <w:tc>
          <w:tcPr>
            <w:tcW w:w="1350" w:type="dxa"/>
            <w:tcBorders>
              <w:top w:val="single" w:sz="4" w:space="0" w:color="auto"/>
              <w:left w:val="single" w:sz="4" w:space="0" w:color="auto"/>
              <w:bottom w:val="single" w:sz="4" w:space="0" w:color="auto"/>
              <w:right w:val="single" w:sz="4" w:space="0" w:color="auto"/>
            </w:tcBorders>
            <w:hideMark/>
          </w:tcPr>
          <w:p w14:paraId="2AC5BC2D" w14:textId="77777777" w:rsidR="004A1ECC" w:rsidRDefault="004A1ECC" w:rsidP="00806F2B">
            <w:pPr>
              <w:spacing w:after="0" w:line="240" w:lineRule="auto"/>
              <w:jc w:val="center"/>
              <w:rPr>
                <w:rFonts w:ascii="Calibri" w:eastAsia="Calibri" w:hAnsi="Calibri" w:cs="Calibri"/>
                <w:b/>
                <w:sz w:val="20"/>
                <w:szCs w:val="20"/>
                <w:lang w:val="en-GB"/>
              </w:rPr>
            </w:pPr>
            <w:r>
              <w:rPr>
                <w:rFonts w:ascii="Calibri" w:eastAsia="Calibri" w:hAnsi="Calibri" w:cs="Calibri"/>
                <w:b/>
                <w:sz w:val="20"/>
                <w:szCs w:val="20"/>
              </w:rPr>
              <w:t>Site A</w:t>
            </w:r>
          </w:p>
        </w:tc>
        <w:tc>
          <w:tcPr>
            <w:tcW w:w="1440" w:type="dxa"/>
            <w:tcBorders>
              <w:top w:val="single" w:sz="4" w:space="0" w:color="auto"/>
              <w:left w:val="single" w:sz="4" w:space="0" w:color="auto"/>
              <w:bottom w:val="single" w:sz="4" w:space="0" w:color="auto"/>
              <w:right w:val="single" w:sz="4" w:space="0" w:color="auto"/>
            </w:tcBorders>
            <w:hideMark/>
          </w:tcPr>
          <w:p w14:paraId="7ED0C29E" w14:textId="77777777" w:rsidR="004A1ECC" w:rsidRDefault="004A1ECC" w:rsidP="00806F2B">
            <w:pPr>
              <w:spacing w:after="0" w:line="240" w:lineRule="auto"/>
              <w:jc w:val="center"/>
              <w:rPr>
                <w:rFonts w:ascii="Calibri" w:eastAsia="Calibri" w:hAnsi="Calibri" w:cs="Calibri"/>
                <w:b/>
                <w:sz w:val="20"/>
                <w:szCs w:val="20"/>
                <w:lang w:val="en-GB"/>
              </w:rPr>
            </w:pPr>
            <w:r>
              <w:rPr>
                <w:rFonts w:ascii="Calibri" w:eastAsia="Calibri" w:hAnsi="Calibri" w:cs="Calibri"/>
                <w:b/>
                <w:sz w:val="20"/>
                <w:szCs w:val="20"/>
              </w:rPr>
              <w:t>Site B</w:t>
            </w:r>
          </w:p>
        </w:tc>
        <w:tc>
          <w:tcPr>
            <w:tcW w:w="1440" w:type="dxa"/>
            <w:tcBorders>
              <w:top w:val="single" w:sz="4" w:space="0" w:color="auto"/>
              <w:left w:val="single" w:sz="4" w:space="0" w:color="auto"/>
              <w:bottom w:val="single" w:sz="4" w:space="0" w:color="auto"/>
              <w:right w:val="single" w:sz="4" w:space="0" w:color="auto"/>
            </w:tcBorders>
            <w:hideMark/>
          </w:tcPr>
          <w:p w14:paraId="29C7110D" w14:textId="77777777" w:rsidR="004A1ECC" w:rsidRDefault="004A1ECC" w:rsidP="00806F2B">
            <w:pPr>
              <w:spacing w:after="0" w:line="240" w:lineRule="auto"/>
              <w:jc w:val="center"/>
              <w:rPr>
                <w:rFonts w:ascii="Calibri" w:eastAsia="Calibri" w:hAnsi="Calibri" w:cs="Calibri"/>
                <w:b/>
                <w:sz w:val="20"/>
                <w:szCs w:val="20"/>
                <w:lang w:val="en-GB"/>
              </w:rPr>
            </w:pPr>
            <w:r>
              <w:rPr>
                <w:rFonts w:ascii="Calibri" w:eastAsia="Calibri" w:hAnsi="Calibri" w:cs="Calibri"/>
                <w:b/>
                <w:sz w:val="20"/>
                <w:szCs w:val="20"/>
              </w:rPr>
              <w:t>Site C</w:t>
            </w:r>
          </w:p>
        </w:tc>
        <w:tc>
          <w:tcPr>
            <w:tcW w:w="1260" w:type="dxa"/>
            <w:tcBorders>
              <w:top w:val="single" w:sz="4" w:space="0" w:color="auto"/>
              <w:left w:val="single" w:sz="4" w:space="0" w:color="auto"/>
              <w:bottom w:val="single" w:sz="4" w:space="0" w:color="auto"/>
              <w:right w:val="single" w:sz="4" w:space="0" w:color="auto"/>
            </w:tcBorders>
            <w:hideMark/>
          </w:tcPr>
          <w:p w14:paraId="54E5D7B1" w14:textId="77777777" w:rsidR="004A1ECC" w:rsidRDefault="004A1ECC" w:rsidP="00806F2B">
            <w:pPr>
              <w:spacing w:after="0" w:line="240" w:lineRule="auto"/>
              <w:jc w:val="center"/>
              <w:rPr>
                <w:rFonts w:ascii="Calibri" w:eastAsia="Calibri" w:hAnsi="Calibri" w:cs="Times New Roman"/>
                <w:lang w:val="en-GB"/>
              </w:rPr>
            </w:pPr>
            <w:r>
              <w:rPr>
                <w:rFonts w:ascii="Calibri" w:eastAsia="Calibri" w:hAnsi="Calibri" w:cs="Calibri"/>
                <w:b/>
                <w:sz w:val="20"/>
                <w:szCs w:val="20"/>
              </w:rPr>
              <w:t>Site D</w:t>
            </w:r>
          </w:p>
        </w:tc>
        <w:tc>
          <w:tcPr>
            <w:tcW w:w="1350" w:type="dxa"/>
            <w:tcBorders>
              <w:top w:val="single" w:sz="4" w:space="0" w:color="auto"/>
              <w:left w:val="single" w:sz="4" w:space="0" w:color="auto"/>
              <w:bottom w:val="single" w:sz="4" w:space="0" w:color="auto"/>
              <w:right w:val="single" w:sz="4" w:space="0" w:color="auto"/>
            </w:tcBorders>
            <w:hideMark/>
          </w:tcPr>
          <w:p w14:paraId="10909571" w14:textId="77777777" w:rsidR="004A1ECC" w:rsidRDefault="004A1ECC" w:rsidP="00806F2B">
            <w:pPr>
              <w:spacing w:after="0" w:line="240" w:lineRule="auto"/>
              <w:jc w:val="center"/>
              <w:rPr>
                <w:rFonts w:ascii="Calibri" w:eastAsia="Calibri" w:hAnsi="Calibri" w:cs="Calibri"/>
                <w:b/>
                <w:sz w:val="20"/>
                <w:szCs w:val="20"/>
                <w:lang w:val="en-GB"/>
              </w:rPr>
            </w:pPr>
            <w:r>
              <w:rPr>
                <w:rFonts w:ascii="Calibri" w:eastAsia="Calibri" w:hAnsi="Calibri" w:cs="Calibri"/>
                <w:b/>
                <w:sz w:val="20"/>
                <w:szCs w:val="20"/>
              </w:rPr>
              <w:t>Site E</w:t>
            </w:r>
          </w:p>
        </w:tc>
      </w:tr>
      <w:tr w:rsidR="004A1ECC" w14:paraId="77B86896" w14:textId="77777777" w:rsidTr="00806F2B">
        <w:tc>
          <w:tcPr>
            <w:tcW w:w="3438" w:type="dxa"/>
            <w:tcBorders>
              <w:top w:val="single" w:sz="4" w:space="0" w:color="auto"/>
              <w:left w:val="single" w:sz="4" w:space="0" w:color="auto"/>
              <w:bottom w:val="single" w:sz="4" w:space="0" w:color="auto"/>
              <w:right w:val="single" w:sz="4" w:space="0" w:color="auto"/>
            </w:tcBorders>
          </w:tcPr>
          <w:p w14:paraId="4895FFC3"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 xml:space="preserve">Alcohol   </w:t>
            </w:r>
          </w:p>
          <w:p w14:paraId="3D81BA7A"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 xml:space="preserve">Anti-Infective   </w:t>
            </w:r>
          </w:p>
          <w:p w14:paraId="34DB9D9B" w14:textId="77777777" w:rsidR="004A1ECC" w:rsidRDefault="004A1ECC" w:rsidP="00806F2B">
            <w:pPr>
              <w:tabs>
                <w:tab w:val="center" w:pos="1611"/>
              </w:tabs>
              <w:spacing w:line="240" w:lineRule="auto"/>
              <w:rPr>
                <w:rFonts w:ascii="Calibri" w:eastAsia="Calibri" w:hAnsi="Calibri" w:cs="Times New Roman"/>
                <w:sz w:val="20"/>
                <w:szCs w:val="20"/>
              </w:rPr>
            </w:pPr>
            <w:r>
              <w:rPr>
                <w:rFonts w:ascii="Calibri" w:eastAsia="Calibri" w:hAnsi="Calibri" w:cs="Times New Roman"/>
                <w:sz w:val="20"/>
                <w:szCs w:val="20"/>
              </w:rPr>
              <w:t>Antidote</w:t>
            </w:r>
            <w:r>
              <w:rPr>
                <w:rFonts w:ascii="Calibri" w:eastAsia="Calibri" w:hAnsi="Calibri" w:cs="Times New Roman"/>
                <w:sz w:val="20"/>
                <w:szCs w:val="20"/>
              </w:rPr>
              <w:tab/>
            </w:r>
          </w:p>
          <w:p w14:paraId="683A217E"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Anti-Neoplastic</w:t>
            </w:r>
          </w:p>
          <w:p w14:paraId="1923C4FA"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Anti-</w:t>
            </w:r>
            <w:proofErr w:type="spellStart"/>
            <w:r>
              <w:rPr>
                <w:rFonts w:ascii="Calibri" w:eastAsia="Calibri" w:hAnsi="Calibri" w:cs="Times New Roman"/>
                <w:sz w:val="20"/>
                <w:szCs w:val="20"/>
              </w:rPr>
              <w:t>Psoriatics</w:t>
            </w:r>
            <w:proofErr w:type="spellEnd"/>
          </w:p>
          <w:p w14:paraId="0C487B5F"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Disease Modifying Anti-Rheumatic</w:t>
            </w:r>
          </w:p>
          <w:p w14:paraId="53B1A91A"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Anti-Vertigo</w:t>
            </w:r>
          </w:p>
          <w:p w14:paraId="61B1301F"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Biologicals</w:t>
            </w:r>
          </w:p>
          <w:p w14:paraId="659001C2"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Blood Products</w:t>
            </w:r>
          </w:p>
          <w:p w14:paraId="60A049EA" w14:textId="77777777" w:rsidR="004A1ECC" w:rsidRDefault="004A1ECC" w:rsidP="00806F2B">
            <w:pPr>
              <w:spacing w:line="240" w:lineRule="auto"/>
              <w:rPr>
                <w:rFonts w:ascii="Calibri" w:eastAsia="Calibri" w:hAnsi="Calibri" w:cs="Times New Roman"/>
                <w:sz w:val="20"/>
                <w:szCs w:val="20"/>
              </w:rPr>
            </w:pPr>
            <w:proofErr w:type="spellStart"/>
            <w:r>
              <w:rPr>
                <w:rFonts w:ascii="Calibri" w:eastAsia="Calibri" w:hAnsi="Calibri" w:cs="Times New Roman"/>
                <w:sz w:val="20"/>
                <w:szCs w:val="20"/>
              </w:rPr>
              <w:t>Calcimimetic</w:t>
            </w:r>
            <w:proofErr w:type="spellEnd"/>
          </w:p>
          <w:p w14:paraId="00407911"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Cardiovascular Agents</w:t>
            </w:r>
          </w:p>
          <w:p w14:paraId="44713999"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Cholinergic Muscle Stimulant</w:t>
            </w:r>
          </w:p>
          <w:p w14:paraId="46BB73CE"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Central Nervous System Agent</w:t>
            </w:r>
          </w:p>
          <w:p w14:paraId="20568A2B"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Coagulation Modifiers</w:t>
            </w:r>
          </w:p>
          <w:p w14:paraId="32FF4F6A"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Radiologic Agent</w:t>
            </w:r>
          </w:p>
          <w:p w14:paraId="07966D67"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Gastrointestinal agent</w:t>
            </w:r>
          </w:p>
          <w:p w14:paraId="30EFBE5E"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Genitourinary Tract Agent</w:t>
            </w:r>
          </w:p>
          <w:p w14:paraId="7866ED98"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Hemodialysis</w:t>
            </w:r>
          </w:p>
          <w:p w14:paraId="1FB5CB12"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Hormonal Agents</w:t>
            </w:r>
          </w:p>
          <w:p w14:paraId="1C3C25EB"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Hyperkalemia Agent</w:t>
            </w:r>
          </w:p>
          <w:p w14:paraId="4A875A93"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Immunologic Agent</w:t>
            </w:r>
          </w:p>
          <w:p w14:paraId="45AA87B4"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Metabolic / Nutritional</w:t>
            </w:r>
          </w:p>
          <w:p w14:paraId="3A24D71D"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Metabolic agent</w:t>
            </w:r>
          </w:p>
          <w:p w14:paraId="325D3B64"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Nutritional Product</w:t>
            </w:r>
          </w:p>
          <w:p w14:paraId="3DBC4C96"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Phosphate Binder</w:t>
            </w:r>
          </w:p>
          <w:p w14:paraId="7BD2E77D"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lastRenderedPageBreak/>
              <w:t>Plasma Expander</w:t>
            </w:r>
          </w:p>
          <w:p w14:paraId="65078DCF"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Psychotherapeutic Agent</w:t>
            </w:r>
          </w:p>
          <w:p w14:paraId="6DD83183"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Respiratory Agent</w:t>
            </w:r>
          </w:p>
          <w:p w14:paraId="19F05D56"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Smoking Cessation Agent</w:t>
            </w:r>
          </w:p>
          <w:p w14:paraId="353971B4"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Topical Agent</w:t>
            </w:r>
          </w:p>
          <w:p w14:paraId="77CBC879" w14:textId="77777777" w:rsidR="004A1ECC" w:rsidRDefault="004A1ECC" w:rsidP="00806F2B">
            <w:pPr>
              <w:spacing w:line="240" w:lineRule="auto"/>
              <w:rPr>
                <w:rFonts w:ascii="Calibri" w:eastAsia="Calibri" w:hAnsi="Calibri" w:cs="Times New Roman"/>
                <w:sz w:val="20"/>
                <w:szCs w:val="20"/>
              </w:rPr>
            </w:pPr>
            <w:r>
              <w:rPr>
                <w:rFonts w:ascii="Calibri" w:eastAsia="Calibri" w:hAnsi="Calibri" w:cs="Times New Roman"/>
                <w:sz w:val="20"/>
                <w:szCs w:val="20"/>
              </w:rPr>
              <w:t>Topical Anti-Infective</w:t>
            </w:r>
          </w:p>
          <w:p w14:paraId="5FD6D21A" w14:textId="77777777" w:rsidR="004A1ECC" w:rsidRDefault="004A1ECC" w:rsidP="00806F2B">
            <w:pPr>
              <w:spacing w:line="240" w:lineRule="auto"/>
              <w:rPr>
                <w:rFonts w:ascii="Calibri" w:eastAsia="Calibri" w:hAnsi="Calibri" w:cs="Times New Roman"/>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4F470AEF" w14:textId="77777777" w:rsidR="004A1ECC" w:rsidRDefault="004A1ECC" w:rsidP="00806F2B">
            <w:pPr>
              <w:spacing w:line="240" w:lineRule="auto"/>
              <w:jc w:val="center"/>
              <w:rPr>
                <w:rFonts w:ascii="Calibri" w:eastAsia="Calibri" w:hAnsi="Calibri" w:cs="Times New Roman"/>
                <w:sz w:val="20"/>
                <w:szCs w:val="20"/>
              </w:rPr>
            </w:pPr>
          </w:p>
          <w:p w14:paraId="737B445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311</w:t>
            </w:r>
          </w:p>
          <w:p w14:paraId="5AF9D5C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9</w:t>
            </w:r>
          </w:p>
          <w:p w14:paraId="3D8B569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w:t>
            </w:r>
          </w:p>
          <w:p w14:paraId="2584A449" w14:textId="77777777" w:rsidR="004A1ECC" w:rsidRDefault="004A1ECC" w:rsidP="00806F2B">
            <w:pPr>
              <w:spacing w:line="240" w:lineRule="auto"/>
              <w:jc w:val="center"/>
              <w:rPr>
                <w:rFonts w:ascii="Calibri" w:eastAsia="Calibri" w:hAnsi="Calibri" w:cs="Times New Roman"/>
                <w:sz w:val="20"/>
                <w:szCs w:val="20"/>
              </w:rPr>
            </w:pPr>
          </w:p>
          <w:p w14:paraId="6C9F536B" w14:textId="77777777" w:rsidR="004A1ECC" w:rsidRDefault="004A1ECC" w:rsidP="00806F2B">
            <w:pPr>
              <w:spacing w:line="240" w:lineRule="auto"/>
              <w:jc w:val="center"/>
              <w:rPr>
                <w:rFonts w:ascii="Calibri" w:eastAsia="Calibri" w:hAnsi="Calibri" w:cs="Times New Roman"/>
                <w:sz w:val="20"/>
                <w:szCs w:val="20"/>
              </w:rPr>
            </w:pPr>
          </w:p>
          <w:p w14:paraId="375013FA"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161B2B1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19</w:t>
            </w:r>
          </w:p>
          <w:p w14:paraId="2B5035CB" w14:textId="77777777" w:rsidR="004A1ECC" w:rsidRDefault="004A1ECC" w:rsidP="00806F2B">
            <w:pPr>
              <w:spacing w:line="240" w:lineRule="auto"/>
              <w:jc w:val="center"/>
              <w:rPr>
                <w:rFonts w:ascii="Calibri" w:eastAsia="Calibri" w:hAnsi="Calibri" w:cs="Times New Roman"/>
                <w:sz w:val="20"/>
                <w:szCs w:val="20"/>
              </w:rPr>
            </w:pPr>
          </w:p>
          <w:p w14:paraId="3F2C87E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7</w:t>
            </w:r>
          </w:p>
          <w:p w14:paraId="2A67B7D6"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317</w:t>
            </w:r>
          </w:p>
          <w:p w14:paraId="680468AD" w14:textId="77777777" w:rsidR="004A1ECC" w:rsidRDefault="004A1ECC" w:rsidP="00806F2B">
            <w:pPr>
              <w:spacing w:line="240" w:lineRule="auto"/>
              <w:jc w:val="center"/>
              <w:rPr>
                <w:rFonts w:ascii="Calibri" w:eastAsia="Calibri" w:hAnsi="Calibri" w:cs="Times New Roman"/>
                <w:sz w:val="20"/>
                <w:szCs w:val="20"/>
              </w:rPr>
            </w:pPr>
          </w:p>
          <w:p w14:paraId="0C30B02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365</w:t>
            </w:r>
          </w:p>
          <w:p w14:paraId="42E3ADC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285</w:t>
            </w:r>
          </w:p>
          <w:p w14:paraId="338F6A30" w14:textId="77777777" w:rsidR="004A1ECC" w:rsidRDefault="004A1ECC" w:rsidP="00806F2B">
            <w:pPr>
              <w:spacing w:line="240" w:lineRule="auto"/>
              <w:jc w:val="center"/>
              <w:rPr>
                <w:rFonts w:ascii="Calibri" w:eastAsia="Calibri" w:hAnsi="Calibri" w:cs="Times New Roman"/>
                <w:sz w:val="20"/>
                <w:szCs w:val="20"/>
              </w:rPr>
            </w:pPr>
          </w:p>
          <w:p w14:paraId="1FE98FA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338</w:t>
            </w:r>
          </w:p>
          <w:p w14:paraId="5E39AA5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w:t>
            </w:r>
          </w:p>
          <w:p w14:paraId="6548211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1B2B7C7A"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287</w:t>
            </w:r>
          </w:p>
          <w:p w14:paraId="6E53227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9</w:t>
            </w:r>
          </w:p>
          <w:p w14:paraId="065E40B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23</w:t>
            </w:r>
          </w:p>
          <w:p w14:paraId="68E68945" w14:textId="77777777" w:rsidR="004A1ECC" w:rsidRDefault="004A1ECC" w:rsidP="00806F2B">
            <w:pPr>
              <w:spacing w:line="240" w:lineRule="auto"/>
              <w:jc w:val="center"/>
              <w:rPr>
                <w:rFonts w:ascii="Calibri" w:eastAsia="Calibri" w:hAnsi="Calibri" w:cs="Times New Roman"/>
                <w:sz w:val="20"/>
                <w:szCs w:val="20"/>
              </w:rPr>
            </w:pPr>
          </w:p>
          <w:p w14:paraId="6F2D0A8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166</w:t>
            </w:r>
          </w:p>
          <w:p w14:paraId="2DF91364"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292</w:t>
            </w:r>
          </w:p>
          <w:p w14:paraId="4769A80A"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30</w:t>
            </w:r>
          </w:p>
          <w:p w14:paraId="3B6050C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8</w:t>
            </w:r>
          </w:p>
          <w:p w14:paraId="79072D77"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144</w:t>
            </w:r>
          </w:p>
          <w:p w14:paraId="23682C4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280</w:t>
            </w:r>
          </w:p>
          <w:p w14:paraId="6E76CDE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11</w:t>
            </w:r>
          </w:p>
          <w:p w14:paraId="5EC5B5F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60</w:t>
            </w:r>
          </w:p>
          <w:p w14:paraId="61E199D1" w14:textId="77777777" w:rsidR="004A1ECC" w:rsidRDefault="004A1ECC" w:rsidP="00806F2B">
            <w:pPr>
              <w:spacing w:line="240" w:lineRule="auto"/>
              <w:jc w:val="center"/>
              <w:rPr>
                <w:rFonts w:ascii="Calibri" w:eastAsia="Calibri" w:hAnsi="Calibri" w:cs="Times New Roman"/>
                <w:sz w:val="20"/>
                <w:szCs w:val="20"/>
                <w:lang w:val="en-GB"/>
              </w:rPr>
            </w:pPr>
            <w:r>
              <w:rPr>
                <w:rFonts w:ascii="Calibri" w:eastAsia="Calibri" w:hAnsi="Calibri"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26D6DAC4" w14:textId="77777777" w:rsidR="004A1ECC" w:rsidRDefault="004A1ECC" w:rsidP="00806F2B">
            <w:pPr>
              <w:spacing w:line="240" w:lineRule="auto"/>
              <w:jc w:val="center"/>
              <w:rPr>
                <w:rFonts w:ascii="Calibri" w:eastAsia="Calibri" w:hAnsi="Calibri" w:cs="Times New Roman"/>
                <w:sz w:val="20"/>
                <w:szCs w:val="20"/>
              </w:rPr>
            </w:pPr>
          </w:p>
          <w:p w14:paraId="1B93640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385</w:t>
            </w:r>
          </w:p>
          <w:p w14:paraId="007022D4"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68F4D5C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13BA77C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w:t>
            </w:r>
          </w:p>
          <w:p w14:paraId="73911674"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20175D33" w14:textId="77777777" w:rsidR="004A1ECC" w:rsidRDefault="004A1ECC" w:rsidP="00806F2B">
            <w:pPr>
              <w:spacing w:line="240" w:lineRule="auto"/>
              <w:jc w:val="center"/>
              <w:rPr>
                <w:rFonts w:ascii="Calibri" w:eastAsia="Calibri" w:hAnsi="Calibri" w:cs="Times New Roman"/>
                <w:sz w:val="20"/>
                <w:szCs w:val="20"/>
              </w:rPr>
            </w:pPr>
          </w:p>
          <w:p w14:paraId="3B5F2726"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7</w:t>
            </w:r>
          </w:p>
          <w:p w14:paraId="4C6DAA6E" w14:textId="77777777" w:rsidR="004A1ECC" w:rsidRDefault="004A1ECC" w:rsidP="00806F2B">
            <w:pPr>
              <w:spacing w:line="240" w:lineRule="auto"/>
              <w:jc w:val="center"/>
              <w:rPr>
                <w:rFonts w:ascii="Calibri" w:eastAsia="Calibri" w:hAnsi="Calibri" w:cs="Times New Roman"/>
                <w:sz w:val="20"/>
                <w:szCs w:val="20"/>
              </w:rPr>
            </w:pPr>
          </w:p>
          <w:p w14:paraId="26301EB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w:t>
            </w:r>
          </w:p>
          <w:p w14:paraId="1F16594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588</w:t>
            </w:r>
          </w:p>
          <w:p w14:paraId="376AA3C6" w14:textId="77777777" w:rsidR="004A1ECC" w:rsidRDefault="004A1ECC" w:rsidP="00806F2B">
            <w:pPr>
              <w:spacing w:line="240" w:lineRule="auto"/>
              <w:jc w:val="center"/>
              <w:rPr>
                <w:rFonts w:ascii="Calibri" w:eastAsia="Calibri" w:hAnsi="Calibri" w:cs="Times New Roman"/>
                <w:sz w:val="20"/>
                <w:szCs w:val="20"/>
              </w:rPr>
            </w:pPr>
          </w:p>
          <w:p w14:paraId="1119AD4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557</w:t>
            </w:r>
          </w:p>
          <w:p w14:paraId="21189E0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458</w:t>
            </w:r>
          </w:p>
          <w:p w14:paraId="4872952F" w14:textId="77777777" w:rsidR="004A1ECC" w:rsidRDefault="004A1ECC" w:rsidP="00806F2B">
            <w:pPr>
              <w:spacing w:line="240" w:lineRule="auto"/>
              <w:jc w:val="center"/>
              <w:rPr>
                <w:rFonts w:ascii="Calibri" w:eastAsia="Calibri" w:hAnsi="Calibri" w:cs="Times New Roman"/>
                <w:sz w:val="20"/>
                <w:szCs w:val="20"/>
              </w:rPr>
            </w:pPr>
          </w:p>
          <w:p w14:paraId="6ED1F97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458</w:t>
            </w:r>
          </w:p>
          <w:p w14:paraId="085C8927"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22</w:t>
            </w:r>
          </w:p>
          <w:p w14:paraId="610649C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w:t>
            </w:r>
          </w:p>
          <w:p w14:paraId="4948278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385</w:t>
            </w:r>
          </w:p>
          <w:p w14:paraId="7020A17B"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26</w:t>
            </w:r>
          </w:p>
          <w:p w14:paraId="2EDFE42B"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w:t>
            </w:r>
          </w:p>
          <w:p w14:paraId="5E412275" w14:textId="77777777" w:rsidR="004A1ECC" w:rsidRDefault="004A1ECC" w:rsidP="00806F2B">
            <w:pPr>
              <w:spacing w:line="240" w:lineRule="auto"/>
              <w:jc w:val="center"/>
              <w:rPr>
                <w:rFonts w:ascii="Calibri" w:eastAsia="Calibri" w:hAnsi="Calibri" w:cs="Times New Roman"/>
                <w:sz w:val="20"/>
                <w:szCs w:val="20"/>
              </w:rPr>
            </w:pPr>
          </w:p>
          <w:p w14:paraId="03D3BE5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320</w:t>
            </w:r>
          </w:p>
          <w:p w14:paraId="6D3AEA2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296</w:t>
            </w:r>
          </w:p>
          <w:p w14:paraId="0835910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0A091ECC"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3</w:t>
            </w:r>
          </w:p>
          <w:p w14:paraId="1AEF318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154</w:t>
            </w:r>
          </w:p>
          <w:p w14:paraId="654B00F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287</w:t>
            </w:r>
          </w:p>
          <w:p w14:paraId="0970310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19</w:t>
            </w:r>
          </w:p>
          <w:p w14:paraId="3015058D" w14:textId="77777777" w:rsidR="004A1ECC" w:rsidRDefault="004A1ECC" w:rsidP="00806F2B">
            <w:pPr>
              <w:spacing w:line="240" w:lineRule="auto"/>
              <w:jc w:val="center"/>
              <w:rPr>
                <w:rFonts w:ascii="Calibri" w:eastAsia="Calibri" w:hAnsi="Calibri" w:cs="Times New Roman"/>
                <w:sz w:val="20"/>
                <w:szCs w:val="20"/>
                <w:lang w:val="en-GB"/>
              </w:rPr>
            </w:pPr>
            <w:r>
              <w:rPr>
                <w:rFonts w:ascii="Calibri" w:eastAsia="Calibri" w:hAnsi="Calibri" w:cs="Times New Roman"/>
                <w:sz w:val="20"/>
                <w:szCs w:val="20"/>
              </w:rPr>
              <w:t>323</w:t>
            </w:r>
          </w:p>
        </w:tc>
        <w:tc>
          <w:tcPr>
            <w:tcW w:w="1440" w:type="dxa"/>
            <w:tcBorders>
              <w:top w:val="single" w:sz="4" w:space="0" w:color="auto"/>
              <w:left w:val="single" w:sz="4" w:space="0" w:color="auto"/>
              <w:bottom w:val="single" w:sz="4" w:space="0" w:color="auto"/>
              <w:right w:val="single" w:sz="4" w:space="0" w:color="auto"/>
            </w:tcBorders>
          </w:tcPr>
          <w:p w14:paraId="3182B450" w14:textId="77777777" w:rsidR="004A1ECC" w:rsidRDefault="004A1ECC" w:rsidP="00806F2B">
            <w:pPr>
              <w:spacing w:line="240" w:lineRule="auto"/>
              <w:jc w:val="center"/>
              <w:rPr>
                <w:rFonts w:ascii="Calibri" w:eastAsia="Calibri" w:hAnsi="Calibri" w:cs="Times New Roman"/>
                <w:sz w:val="20"/>
                <w:szCs w:val="20"/>
              </w:rPr>
            </w:pPr>
          </w:p>
          <w:p w14:paraId="7E4C1C7A"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62</w:t>
            </w:r>
          </w:p>
          <w:p w14:paraId="48ED761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58D867A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11</w:t>
            </w:r>
          </w:p>
          <w:p w14:paraId="010CA7CB" w14:textId="77777777" w:rsidR="004A1ECC" w:rsidRDefault="004A1ECC" w:rsidP="00806F2B">
            <w:pPr>
              <w:spacing w:line="240" w:lineRule="auto"/>
              <w:jc w:val="center"/>
              <w:rPr>
                <w:rFonts w:ascii="Calibri" w:eastAsia="Calibri" w:hAnsi="Calibri" w:cs="Times New Roman"/>
                <w:sz w:val="20"/>
                <w:szCs w:val="20"/>
              </w:rPr>
            </w:pPr>
          </w:p>
          <w:p w14:paraId="5D8DC679" w14:textId="77777777" w:rsidR="004A1ECC" w:rsidRDefault="004A1ECC" w:rsidP="00806F2B">
            <w:pPr>
              <w:spacing w:line="240" w:lineRule="auto"/>
              <w:jc w:val="center"/>
              <w:rPr>
                <w:rFonts w:ascii="Calibri" w:eastAsia="Calibri" w:hAnsi="Calibri" w:cs="Times New Roman"/>
                <w:sz w:val="20"/>
                <w:szCs w:val="20"/>
              </w:rPr>
            </w:pPr>
          </w:p>
          <w:p w14:paraId="230404D9" w14:textId="77777777" w:rsidR="004A1ECC" w:rsidRDefault="004A1ECC" w:rsidP="00806F2B">
            <w:pPr>
              <w:spacing w:line="240" w:lineRule="auto"/>
              <w:jc w:val="center"/>
              <w:rPr>
                <w:rFonts w:ascii="Calibri" w:eastAsia="Calibri" w:hAnsi="Calibri" w:cs="Times New Roman"/>
                <w:sz w:val="20"/>
                <w:szCs w:val="20"/>
              </w:rPr>
            </w:pPr>
          </w:p>
          <w:p w14:paraId="6C3AC58E" w14:textId="77777777" w:rsidR="004A1ECC" w:rsidRDefault="004A1ECC" w:rsidP="00806F2B">
            <w:pPr>
              <w:spacing w:line="240" w:lineRule="auto"/>
              <w:jc w:val="center"/>
              <w:rPr>
                <w:rFonts w:ascii="Calibri" w:eastAsia="Calibri" w:hAnsi="Calibri" w:cs="Times New Roman"/>
                <w:sz w:val="20"/>
                <w:szCs w:val="20"/>
              </w:rPr>
            </w:pPr>
          </w:p>
          <w:p w14:paraId="25B9D8CA" w14:textId="77777777" w:rsidR="004A1ECC" w:rsidRDefault="004A1ECC" w:rsidP="00806F2B">
            <w:pPr>
              <w:spacing w:line="240" w:lineRule="auto"/>
              <w:jc w:val="center"/>
              <w:rPr>
                <w:rFonts w:ascii="Calibri" w:eastAsia="Calibri" w:hAnsi="Calibri" w:cs="Times New Roman"/>
                <w:sz w:val="20"/>
                <w:szCs w:val="20"/>
              </w:rPr>
            </w:pPr>
          </w:p>
          <w:p w14:paraId="65BE8F2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w:t>
            </w:r>
          </w:p>
          <w:p w14:paraId="5A85C55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45</w:t>
            </w:r>
          </w:p>
          <w:p w14:paraId="58F0B16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24D3E1D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59</w:t>
            </w:r>
          </w:p>
          <w:p w14:paraId="6F8AD76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38</w:t>
            </w:r>
          </w:p>
          <w:p w14:paraId="3C7596E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4</w:t>
            </w:r>
          </w:p>
          <w:p w14:paraId="062A0C4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52</w:t>
            </w:r>
          </w:p>
          <w:p w14:paraId="1625F821" w14:textId="77777777" w:rsidR="004A1ECC" w:rsidRDefault="004A1ECC" w:rsidP="00806F2B">
            <w:pPr>
              <w:spacing w:line="240" w:lineRule="auto"/>
              <w:jc w:val="center"/>
              <w:rPr>
                <w:rFonts w:ascii="Calibri" w:eastAsia="Calibri" w:hAnsi="Calibri" w:cs="Times New Roman"/>
                <w:sz w:val="20"/>
                <w:szCs w:val="20"/>
              </w:rPr>
            </w:pPr>
          </w:p>
          <w:p w14:paraId="49ACD8E3" w14:textId="77777777" w:rsidR="004A1ECC" w:rsidRDefault="004A1ECC" w:rsidP="00806F2B">
            <w:pPr>
              <w:spacing w:line="240" w:lineRule="auto"/>
              <w:jc w:val="center"/>
              <w:rPr>
                <w:rFonts w:ascii="Calibri" w:eastAsia="Calibri" w:hAnsi="Calibri" w:cs="Times New Roman"/>
                <w:sz w:val="20"/>
                <w:szCs w:val="20"/>
              </w:rPr>
            </w:pPr>
          </w:p>
          <w:p w14:paraId="0709609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58</w:t>
            </w:r>
          </w:p>
          <w:p w14:paraId="0DCA8E4B" w14:textId="77777777" w:rsidR="004A1ECC" w:rsidRDefault="004A1ECC" w:rsidP="00806F2B">
            <w:pPr>
              <w:spacing w:line="240" w:lineRule="auto"/>
              <w:jc w:val="center"/>
              <w:rPr>
                <w:rFonts w:ascii="Calibri" w:eastAsia="Calibri" w:hAnsi="Calibri" w:cs="Times New Roman"/>
                <w:sz w:val="20"/>
                <w:szCs w:val="20"/>
              </w:rPr>
            </w:pPr>
          </w:p>
          <w:p w14:paraId="2EC1912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9</w:t>
            </w:r>
          </w:p>
          <w:p w14:paraId="52E9C6E7" w14:textId="77777777" w:rsidR="004A1ECC" w:rsidRDefault="004A1ECC" w:rsidP="00806F2B">
            <w:pPr>
              <w:spacing w:line="240" w:lineRule="auto"/>
              <w:jc w:val="center"/>
              <w:rPr>
                <w:rFonts w:ascii="Calibri" w:eastAsia="Calibri" w:hAnsi="Calibri" w:cs="Times New Roman"/>
                <w:sz w:val="20"/>
                <w:szCs w:val="20"/>
              </w:rPr>
            </w:pPr>
          </w:p>
          <w:p w14:paraId="6D8067E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12</w:t>
            </w:r>
          </w:p>
          <w:p w14:paraId="721FF16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11</w:t>
            </w:r>
          </w:p>
          <w:p w14:paraId="4E7CAB1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w:t>
            </w:r>
          </w:p>
          <w:p w14:paraId="1FBCBE3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10</w:t>
            </w:r>
          </w:p>
          <w:p w14:paraId="26DA1F8B"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25</w:t>
            </w:r>
          </w:p>
          <w:p w14:paraId="18F8EFF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36</w:t>
            </w:r>
          </w:p>
          <w:p w14:paraId="211B843E" w14:textId="77777777" w:rsidR="004A1ECC" w:rsidRDefault="004A1ECC" w:rsidP="00806F2B">
            <w:pPr>
              <w:spacing w:line="240" w:lineRule="auto"/>
              <w:jc w:val="center"/>
              <w:rPr>
                <w:rFonts w:ascii="Calibri" w:eastAsia="Calibri" w:hAnsi="Calibri" w:cs="Times New Roman"/>
                <w:sz w:val="20"/>
                <w:szCs w:val="20"/>
                <w:lang w:val="en-GB"/>
              </w:rPr>
            </w:pPr>
            <w:r>
              <w:rPr>
                <w:rFonts w:ascii="Calibri" w:eastAsia="Calibri" w:hAnsi="Calibri"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7AD155E"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1</w:t>
            </w:r>
          </w:p>
          <w:p w14:paraId="06197EA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166</w:t>
            </w:r>
          </w:p>
          <w:p w14:paraId="1B1BCB4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21</w:t>
            </w:r>
          </w:p>
          <w:p w14:paraId="1451D54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w:t>
            </w:r>
          </w:p>
          <w:p w14:paraId="2270F6DE" w14:textId="77777777" w:rsidR="004A1ECC" w:rsidRDefault="004A1ECC" w:rsidP="00806F2B">
            <w:pPr>
              <w:spacing w:line="240" w:lineRule="auto"/>
              <w:jc w:val="center"/>
              <w:rPr>
                <w:rFonts w:ascii="Calibri" w:eastAsia="Calibri" w:hAnsi="Calibri" w:cs="Times New Roman"/>
                <w:sz w:val="20"/>
                <w:szCs w:val="20"/>
              </w:rPr>
            </w:pPr>
          </w:p>
          <w:p w14:paraId="62BB5AD8" w14:textId="77777777" w:rsidR="004A1ECC" w:rsidRDefault="004A1ECC" w:rsidP="00806F2B">
            <w:pPr>
              <w:spacing w:line="240" w:lineRule="auto"/>
              <w:jc w:val="center"/>
              <w:rPr>
                <w:rFonts w:ascii="Calibri" w:eastAsia="Calibri" w:hAnsi="Calibri" w:cs="Times New Roman"/>
                <w:sz w:val="20"/>
                <w:szCs w:val="20"/>
              </w:rPr>
            </w:pPr>
          </w:p>
          <w:p w14:paraId="4898F326" w14:textId="77777777" w:rsidR="004A1ECC" w:rsidRDefault="004A1ECC" w:rsidP="00806F2B">
            <w:pPr>
              <w:spacing w:line="240" w:lineRule="auto"/>
              <w:jc w:val="center"/>
              <w:rPr>
                <w:rFonts w:ascii="Calibri" w:eastAsia="Calibri" w:hAnsi="Calibri" w:cs="Times New Roman"/>
                <w:sz w:val="20"/>
                <w:szCs w:val="20"/>
              </w:rPr>
            </w:pPr>
          </w:p>
          <w:p w14:paraId="2EB4DB1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6B46A6F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34</w:t>
            </w:r>
          </w:p>
          <w:p w14:paraId="10817F13" w14:textId="77777777" w:rsidR="004A1ECC" w:rsidRDefault="004A1ECC" w:rsidP="00806F2B">
            <w:pPr>
              <w:spacing w:line="240" w:lineRule="auto"/>
              <w:jc w:val="center"/>
              <w:rPr>
                <w:rFonts w:ascii="Calibri" w:eastAsia="Calibri" w:hAnsi="Calibri" w:cs="Times New Roman"/>
                <w:sz w:val="20"/>
                <w:szCs w:val="20"/>
              </w:rPr>
            </w:pPr>
          </w:p>
          <w:p w14:paraId="52F4A7E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148</w:t>
            </w:r>
          </w:p>
          <w:p w14:paraId="0ED97AD9" w14:textId="77777777" w:rsidR="004A1ECC" w:rsidRDefault="004A1ECC" w:rsidP="00806F2B">
            <w:pPr>
              <w:spacing w:line="240" w:lineRule="auto"/>
              <w:jc w:val="center"/>
              <w:rPr>
                <w:rFonts w:ascii="Calibri" w:eastAsia="Calibri" w:hAnsi="Calibri" w:cs="Times New Roman"/>
                <w:sz w:val="20"/>
                <w:szCs w:val="20"/>
              </w:rPr>
            </w:pPr>
          </w:p>
          <w:p w14:paraId="484A7FF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207</w:t>
            </w:r>
          </w:p>
          <w:p w14:paraId="6D1C1C37"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109</w:t>
            </w:r>
          </w:p>
          <w:p w14:paraId="6A7362FD" w14:textId="77777777" w:rsidR="004A1ECC" w:rsidRDefault="004A1ECC" w:rsidP="00806F2B">
            <w:pPr>
              <w:spacing w:line="240" w:lineRule="auto"/>
              <w:jc w:val="center"/>
              <w:rPr>
                <w:rFonts w:ascii="Calibri" w:eastAsia="Calibri" w:hAnsi="Calibri" w:cs="Times New Roman"/>
                <w:sz w:val="20"/>
                <w:szCs w:val="20"/>
              </w:rPr>
            </w:pPr>
          </w:p>
          <w:p w14:paraId="67A96B3C"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164</w:t>
            </w:r>
          </w:p>
          <w:p w14:paraId="6983C924" w14:textId="77777777" w:rsidR="004A1ECC" w:rsidRDefault="004A1ECC" w:rsidP="00806F2B">
            <w:pPr>
              <w:spacing w:line="240" w:lineRule="auto"/>
              <w:jc w:val="center"/>
              <w:rPr>
                <w:rFonts w:ascii="Calibri" w:eastAsia="Calibri" w:hAnsi="Calibri" w:cs="Times New Roman"/>
                <w:sz w:val="20"/>
                <w:szCs w:val="20"/>
              </w:rPr>
            </w:pPr>
          </w:p>
          <w:p w14:paraId="7FC85CF1" w14:textId="77777777" w:rsidR="004A1ECC" w:rsidRDefault="004A1ECC" w:rsidP="00806F2B">
            <w:pPr>
              <w:spacing w:line="240" w:lineRule="auto"/>
              <w:jc w:val="center"/>
              <w:rPr>
                <w:rFonts w:ascii="Calibri" w:eastAsia="Calibri" w:hAnsi="Calibri" w:cs="Times New Roman"/>
                <w:sz w:val="20"/>
                <w:szCs w:val="20"/>
              </w:rPr>
            </w:pPr>
          </w:p>
          <w:p w14:paraId="44A274D9"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123</w:t>
            </w:r>
          </w:p>
          <w:p w14:paraId="276986DE"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w:t>
            </w:r>
          </w:p>
          <w:p w14:paraId="1667CAEB"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4</w:t>
            </w:r>
          </w:p>
          <w:p w14:paraId="26E04BCD"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58</w:t>
            </w:r>
          </w:p>
          <w:p w14:paraId="05C8B45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74</w:t>
            </w:r>
          </w:p>
          <w:p w14:paraId="7FBA4DC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221</w:t>
            </w:r>
          </w:p>
          <w:p w14:paraId="2946E100" w14:textId="77777777" w:rsidR="004A1ECC" w:rsidRDefault="004A1ECC" w:rsidP="00806F2B">
            <w:pPr>
              <w:spacing w:line="240" w:lineRule="auto"/>
              <w:jc w:val="center"/>
              <w:rPr>
                <w:rFonts w:ascii="Calibri" w:eastAsia="Calibri" w:hAnsi="Calibri" w:cs="Times New Roman"/>
                <w:sz w:val="20"/>
                <w:szCs w:val="20"/>
              </w:rPr>
            </w:pPr>
          </w:p>
          <w:p w14:paraId="1F3293D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73</w:t>
            </w:r>
          </w:p>
          <w:p w14:paraId="725E8CF3"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31</w:t>
            </w:r>
          </w:p>
          <w:p w14:paraId="30522B0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64</w:t>
            </w:r>
          </w:p>
          <w:p w14:paraId="5B4A9DC3" w14:textId="77777777" w:rsidR="004A1ECC" w:rsidRDefault="004A1ECC" w:rsidP="00806F2B">
            <w:pPr>
              <w:spacing w:line="240" w:lineRule="auto"/>
              <w:jc w:val="center"/>
              <w:rPr>
                <w:rFonts w:ascii="Calibri" w:eastAsia="Calibri" w:hAnsi="Calibri" w:cs="Times New Roman"/>
                <w:sz w:val="20"/>
                <w:szCs w:val="20"/>
              </w:rPr>
            </w:pPr>
          </w:p>
          <w:p w14:paraId="58932E56" w14:textId="77777777" w:rsidR="004A1ECC" w:rsidRDefault="004A1ECC" w:rsidP="00806F2B">
            <w:pPr>
              <w:spacing w:line="240" w:lineRule="auto"/>
              <w:jc w:val="center"/>
              <w:rPr>
                <w:rFonts w:ascii="Calibri" w:eastAsia="Calibri" w:hAnsi="Calibri" w:cs="Times New Roman"/>
                <w:sz w:val="20"/>
                <w:szCs w:val="20"/>
                <w:lang w:val="en-GB"/>
              </w:rPr>
            </w:pPr>
            <w:r>
              <w:rPr>
                <w:rFonts w:ascii="Calibri" w:eastAsia="Calibri" w:hAnsi="Calibri"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216573AF" w14:textId="77777777" w:rsidR="004A1ECC" w:rsidRDefault="004A1ECC" w:rsidP="00806F2B">
            <w:pPr>
              <w:spacing w:line="240" w:lineRule="auto"/>
              <w:jc w:val="center"/>
              <w:rPr>
                <w:rFonts w:ascii="Calibri" w:eastAsia="Calibri" w:hAnsi="Calibri" w:cs="Times New Roman"/>
                <w:sz w:val="20"/>
                <w:szCs w:val="20"/>
              </w:rPr>
            </w:pPr>
          </w:p>
          <w:p w14:paraId="4C13BD44"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2C50B87D" w14:textId="77777777" w:rsidR="004A1ECC" w:rsidRDefault="004A1ECC" w:rsidP="00806F2B">
            <w:pPr>
              <w:spacing w:line="240" w:lineRule="auto"/>
              <w:jc w:val="center"/>
              <w:rPr>
                <w:rFonts w:ascii="Calibri" w:eastAsia="Calibri" w:hAnsi="Calibri" w:cs="Times New Roman"/>
                <w:sz w:val="20"/>
                <w:szCs w:val="20"/>
              </w:rPr>
            </w:pPr>
          </w:p>
          <w:p w14:paraId="2FC264A2" w14:textId="77777777" w:rsidR="004A1ECC" w:rsidRDefault="004A1ECC" w:rsidP="00806F2B">
            <w:pPr>
              <w:spacing w:line="240" w:lineRule="auto"/>
              <w:jc w:val="center"/>
              <w:rPr>
                <w:rFonts w:ascii="Calibri" w:eastAsia="Calibri" w:hAnsi="Calibri" w:cs="Times New Roman"/>
                <w:sz w:val="20"/>
                <w:szCs w:val="20"/>
              </w:rPr>
            </w:pPr>
          </w:p>
          <w:p w14:paraId="4F9B70CB" w14:textId="77777777" w:rsidR="004A1ECC" w:rsidRDefault="004A1ECC" w:rsidP="00806F2B">
            <w:pPr>
              <w:spacing w:line="240" w:lineRule="auto"/>
              <w:jc w:val="center"/>
              <w:rPr>
                <w:rFonts w:ascii="Calibri" w:eastAsia="Calibri" w:hAnsi="Calibri" w:cs="Times New Roman"/>
                <w:sz w:val="20"/>
                <w:szCs w:val="20"/>
              </w:rPr>
            </w:pPr>
          </w:p>
          <w:p w14:paraId="194302B3" w14:textId="77777777" w:rsidR="004A1ECC" w:rsidRDefault="004A1ECC" w:rsidP="00806F2B">
            <w:pPr>
              <w:spacing w:line="240" w:lineRule="auto"/>
              <w:jc w:val="center"/>
              <w:rPr>
                <w:rFonts w:ascii="Calibri" w:eastAsia="Calibri" w:hAnsi="Calibri" w:cs="Times New Roman"/>
                <w:sz w:val="20"/>
                <w:szCs w:val="20"/>
              </w:rPr>
            </w:pPr>
          </w:p>
          <w:p w14:paraId="3ACB5688" w14:textId="77777777" w:rsidR="004A1ECC" w:rsidRDefault="004A1ECC" w:rsidP="00806F2B">
            <w:pPr>
              <w:spacing w:line="240" w:lineRule="auto"/>
              <w:jc w:val="center"/>
              <w:rPr>
                <w:rFonts w:ascii="Calibri" w:eastAsia="Calibri" w:hAnsi="Calibri" w:cs="Times New Roman"/>
                <w:sz w:val="20"/>
                <w:szCs w:val="20"/>
              </w:rPr>
            </w:pPr>
          </w:p>
          <w:p w14:paraId="25C38084" w14:textId="77777777" w:rsidR="004A1ECC" w:rsidRDefault="004A1ECC" w:rsidP="00806F2B">
            <w:pPr>
              <w:spacing w:line="240" w:lineRule="auto"/>
              <w:jc w:val="center"/>
              <w:rPr>
                <w:rFonts w:ascii="Calibri" w:eastAsia="Calibri" w:hAnsi="Calibri" w:cs="Times New Roman"/>
                <w:sz w:val="20"/>
                <w:szCs w:val="20"/>
              </w:rPr>
            </w:pPr>
          </w:p>
          <w:p w14:paraId="58260B03" w14:textId="77777777" w:rsidR="004A1ECC" w:rsidRDefault="004A1ECC" w:rsidP="00806F2B">
            <w:pPr>
              <w:spacing w:line="240" w:lineRule="auto"/>
              <w:jc w:val="center"/>
              <w:rPr>
                <w:rFonts w:ascii="Calibri" w:eastAsia="Calibri" w:hAnsi="Calibri" w:cs="Times New Roman"/>
                <w:sz w:val="20"/>
                <w:szCs w:val="20"/>
              </w:rPr>
            </w:pPr>
          </w:p>
          <w:p w14:paraId="468161BC" w14:textId="77777777" w:rsidR="004A1ECC" w:rsidRDefault="004A1ECC" w:rsidP="00806F2B">
            <w:pPr>
              <w:spacing w:line="240" w:lineRule="auto"/>
              <w:jc w:val="center"/>
              <w:rPr>
                <w:rFonts w:ascii="Calibri" w:eastAsia="Calibri" w:hAnsi="Calibri" w:cs="Times New Roman"/>
                <w:sz w:val="20"/>
                <w:szCs w:val="20"/>
              </w:rPr>
            </w:pPr>
          </w:p>
          <w:p w14:paraId="6C8F357F"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4D043EEC" w14:textId="77777777" w:rsidR="004A1ECC" w:rsidRDefault="004A1ECC" w:rsidP="00806F2B">
            <w:pPr>
              <w:spacing w:line="240" w:lineRule="auto"/>
              <w:jc w:val="center"/>
              <w:rPr>
                <w:rFonts w:ascii="Calibri" w:eastAsia="Calibri" w:hAnsi="Calibri" w:cs="Times New Roman"/>
                <w:sz w:val="20"/>
                <w:szCs w:val="20"/>
              </w:rPr>
            </w:pPr>
          </w:p>
          <w:p w14:paraId="36EED24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0304DE6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6CD4161D" w14:textId="77777777" w:rsidR="004A1ECC" w:rsidRDefault="004A1ECC" w:rsidP="00806F2B">
            <w:pPr>
              <w:spacing w:line="240" w:lineRule="auto"/>
              <w:jc w:val="center"/>
              <w:rPr>
                <w:rFonts w:ascii="Calibri" w:eastAsia="Calibri" w:hAnsi="Calibri" w:cs="Times New Roman"/>
                <w:sz w:val="20"/>
                <w:szCs w:val="20"/>
              </w:rPr>
            </w:pPr>
          </w:p>
          <w:p w14:paraId="1F613F70"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70CB81A1" w14:textId="77777777" w:rsidR="004A1ECC" w:rsidRDefault="004A1ECC" w:rsidP="00806F2B">
            <w:pPr>
              <w:spacing w:line="240" w:lineRule="auto"/>
              <w:jc w:val="center"/>
              <w:rPr>
                <w:rFonts w:ascii="Calibri" w:eastAsia="Calibri" w:hAnsi="Calibri" w:cs="Times New Roman"/>
                <w:sz w:val="20"/>
                <w:szCs w:val="20"/>
              </w:rPr>
            </w:pPr>
          </w:p>
          <w:p w14:paraId="4A38E471" w14:textId="77777777" w:rsidR="004A1ECC" w:rsidRDefault="004A1ECC" w:rsidP="00806F2B">
            <w:pPr>
              <w:spacing w:line="240" w:lineRule="auto"/>
              <w:jc w:val="center"/>
              <w:rPr>
                <w:rFonts w:ascii="Calibri" w:eastAsia="Calibri" w:hAnsi="Calibri" w:cs="Times New Roman"/>
                <w:sz w:val="20"/>
                <w:szCs w:val="20"/>
              </w:rPr>
            </w:pPr>
          </w:p>
          <w:p w14:paraId="03A08CB6"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4142C46F" w14:textId="77777777" w:rsidR="004A1ECC" w:rsidRDefault="004A1ECC" w:rsidP="00806F2B">
            <w:pPr>
              <w:spacing w:line="240" w:lineRule="auto"/>
              <w:jc w:val="center"/>
              <w:rPr>
                <w:rFonts w:ascii="Calibri" w:eastAsia="Calibri" w:hAnsi="Calibri" w:cs="Times New Roman"/>
                <w:sz w:val="20"/>
                <w:szCs w:val="20"/>
              </w:rPr>
            </w:pPr>
          </w:p>
          <w:p w14:paraId="3976B782"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3</w:t>
            </w:r>
          </w:p>
          <w:p w14:paraId="1A6AC042" w14:textId="77777777" w:rsidR="004A1ECC" w:rsidRDefault="004A1ECC" w:rsidP="00806F2B">
            <w:pPr>
              <w:spacing w:line="240" w:lineRule="auto"/>
              <w:jc w:val="center"/>
              <w:rPr>
                <w:rFonts w:ascii="Calibri" w:eastAsia="Calibri" w:hAnsi="Calibri" w:cs="Times New Roman"/>
                <w:sz w:val="20"/>
                <w:szCs w:val="20"/>
              </w:rPr>
            </w:pPr>
          </w:p>
          <w:p w14:paraId="0C5E6924"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5</w:t>
            </w:r>
          </w:p>
          <w:p w14:paraId="1CF4304B"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5EED7926" w14:textId="77777777" w:rsidR="004A1ECC" w:rsidRDefault="004A1ECC" w:rsidP="00806F2B">
            <w:pPr>
              <w:spacing w:line="240" w:lineRule="auto"/>
              <w:jc w:val="center"/>
              <w:rPr>
                <w:rFonts w:ascii="Calibri" w:eastAsia="Calibri" w:hAnsi="Calibri" w:cs="Times New Roman"/>
                <w:sz w:val="20"/>
                <w:szCs w:val="20"/>
              </w:rPr>
            </w:pPr>
          </w:p>
          <w:p w14:paraId="574D80B8"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lastRenderedPageBreak/>
              <w:t>5</w:t>
            </w:r>
          </w:p>
          <w:p w14:paraId="534FEB7C"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3C09C951"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5E7CF706"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1</w:t>
            </w:r>
          </w:p>
          <w:p w14:paraId="7B1D8FC5" w14:textId="77777777" w:rsidR="004A1ECC" w:rsidRDefault="004A1ECC" w:rsidP="00806F2B">
            <w:pPr>
              <w:spacing w:line="240" w:lineRule="auto"/>
              <w:jc w:val="center"/>
              <w:rPr>
                <w:rFonts w:ascii="Calibri" w:eastAsia="Calibri" w:hAnsi="Calibri" w:cs="Times New Roman"/>
                <w:sz w:val="20"/>
                <w:szCs w:val="20"/>
              </w:rPr>
            </w:pPr>
            <w:r>
              <w:rPr>
                <w:rFonts w:ascii="Calibri" w:eastAsia="Calibri" w:hAnsi="Calibri" w:cs="Times New Roman"/>
                <w:sz w:val="20"/>
                <w:szCs w:val="20"/>
              </w:rPr>
              <w:t>6</w:t>
            </w:r>
          </w:p>
          <w:p w14:paraId="38217CAA" w14:textId="77777777" w:rsidR="004A1ECC" w:rsidRDefault="004A1ECC" w:rsidP="00806F2B">
            <w:pPr>
              <w:spacing w:line="240" w:lineRule="auto"/>
              <w:jc w:val="center"/>
              <w:rPr>
                <w:rFonts w:ascii="Calibri" w:eastAsia="Calibri" w:hAnsi="Calibri" w:cs="Times New Roman"/>
                <w:sz w:val="20"/>
                <w:szCs w:val="20"/>
                <w:lang w:val="en-GB"/>
              </w:rPr>
            </w:pPr>
            <w:r>
              <w:rPr>
                <w:rFonts w:ascii="Calibri" w:eastAsia="Calibri" w:hAnsi="Calibri" w:cs="Times New Roman"/>
                <w:sz w:val="20"/>
                <w:szCs w:val="20"/>
              </w:rPr>
              <w:t>6</w:t>
            </w:r>
          </w:p>
        </w:tc>
      </w:tr>
    </w:tbl>
    <w:p w14:paraId="789132BB" w14:textId="77777777" w:rsidR="004A1ECC" w:rsidRDefault="004A1ECC" w:rsidP="004A1ECC">
      <w:pPr>
        <w:pStyle w:val="ListParagraph"/>
        <w:numPr>
          <w:ilvl w:val="0"/>
          <w:numId w:val="2"/>
        </w:numPr>
        <w:spacing w:after="0" w:line="240" w:lineRule="auto"/>
        <w:rPr>
          <w:rFonts w:eastAsiaTheme="minorEastAsia"/>
          <w:sz w:val="20"/>
          <w:szCs w:val="20"/>
          <w:lang w:val="en-US"/>
        </w:rPr>
      </w:pPr>
      <w:r>
        <w:rPr>
          <w:sz w:val="20"/>
          <w:szCs w:val="20"/>
        </w:rPr>
        <w:lastRenderedPageBreak/>
        <w:t>963/1698 (56.7%) patients on vasoactive drugs including 603/1698 patients (35.6%) on vasopressors. 540/1698  (31.8%) on more than one vasoactive medication</w:t>
      </w:r>
    </w:p>
    <w:p w14:paraId="75543407" w14:textId="77777777" w:rsidR="004A1ECC" w:rsidRDefault="004A1ECC" w:rsidP="004A1ECC"/>
    <w:p w14:paraId="3A5CF9BD" w14:textId="77777777" w:rsidR="004A1ECC" w:rsidRPr="00FE0DA7" w:rsidRDefault="004A1ECC" w:rsidP="004A1ECC">
      <w:pPr>
        <w:rPr>
          <w:b/>
          <w:lang w:val="en-GB"/>
        </w:rPr>
      </w:pPr>
    </w:p>
    <w:p w14:paraId="51101897" w14:textId="0B9EBFA0" w:rsidR="001406D7" w:rsidRDefault="001406D7" w:rsidP="001406D7">
      <w:pPr>
        <w:spacing w:line="480" w:lineRule="auto"/>
        <w:rPr>
          <w:lang w:val="en-GB"/>
        </w:rPr>
      </w:pPr>
      <w:r w:rsidRPr="004529B4">
        <w:rPr>
          <w:lang w:val="en-GB"/>
        </w:rPr>
        <w:t xml:space="preserve">Supplemental Table </w:t>
      </w:r>
      <w:r w:rsidR="0011187C">
        <w:rPr>
          <w:lang w:val="en-GB"/>
        </w:rPr>
        <w:t>3</w:t>
      </w:r>
      <w:r w:rsidR="0011187C" w:rsidRPr="004529B4">
        <w:rPr>
          <w:lang w:val="en-GB"/>
        </w:rPr>
        <w:t xml:space="preserve"> </w:t>
      </w:r>
      <w:r w:rsidRPr="004529B4">
        <w:rPr>
          <w:lang w:val="en-GB"/>
        </w:rPr>
        <w:t xml:space="preserve">shows a breakdown of the study population </w:t>
      </w:r>
      <w:r>
        <w:rPr>
          <w:lang w:val="en-GB"/>
        </w:rPr>
        <w:t>p</w:t>
      </w:r>
      <w:r w:rsidRPr="004529B4">
        <w:rPr>
          <w:lang w:val="en-GB"/>
        </w:rPr>
        <w:t xml:space="preserve">atient </w:t>
      </w:r>
      <w:r>
        <w:rPr>
          <w:lang w:val="en-GB"/>
        </w:rPr>
        <w:t xml:space="preserve">medication. The medication groups are defined by the </w:t>
      </w:r>
      <w:r w:rsidRPr="004529B4">
        <w:rPr>
          <w:lang w:val="en-GB"/>
        </w:rPr>
        <w:t>Medication classification based on the United States Pharmacopeia</w:t>
      </w:r>
      <w:r>
        <w:rPr>
          <w:lang w:val="en-GB"/>
        </w:rPr>
        <w:t xml:space="preserve"> (reference 24 in the main manuscript text) and </w:t>
      </w:r>
      <w:r w:rsidRPr="004529B4">
        <w:rPr>
          <w:lang w:val="en-GB"/>
        </w:rPr>
        <w:t>33 different parent drug classes</w:t>
      </w:r>
      <w:r>
        <w:rPr>
          <w:lang w:val="en-GB"/>
        </w:rPr>
        <w:t xml:space="preserve"> were identified. The numbers within each medication classification are further broken down by study site. In </w:t>
      </w:r>
      <w:r w:rsidR="00B36B0F">
        <w:rPr>
          <w:lang w:val="en-GB"/>
        </w:rPr>
        <w:t>addition,</w:t>
      </w:r>
      <w:r>
        <w:rPr>
          <w:lang w:val="en-GB"/>
        </w:rPr>
        <w:t xml:space="preserve"> out of the total study population </w:t>
      </w:r>
      <w:r w:rsidRPr="004529B4">
        <w:rPr>
          <w:lang w:val="en-GB"/>
        </w:rPr>
        <w:t>963/1698 (56.7%) patients</w:t>
      </w:r>
      <w:r>
        <w:rPr>
          <w:lang w:val="en-GB"/>
        </w:rPr>
        <w:t xml:space="preserve"> received </w:t>
      </w:r>
      <w:r w:rsidRPr="004529B4">
        <w:rPr>
          <w:lang w:val="en-GB"/>
        </w:rPr>
        <w:t>vasoactive drugs including 603/1698 patients (35.6%) on vasopressors</w:t>
      </w:r>
      <w:r>
        <w:rPr>
          <w:lang w:val="en-GB"/>
        </w:rPr>
        <w:t xml:space="preserve"> and </w:t>
      </w:r>
      <w:r w:rsidRPr="004529B4">
        <w:rPr>
          <w:lang w:val="en-GB"/>
        </w:rPr>
        <w:t>540/1698 (31.8%) on more than one vasoactive medication</w:t>
      </w:r>
      <w:r>
        <w:rPr>
          <w:lang w:val="en-GB"/>
        </w:rPr>
        <w:t>.</w:t>
      </w:r>
    </w:p>
    <w:p w14:paraId="718C298D" w14:textId="77777777" w:rsidR="004A1ECC" w:rsidRDefault="004A1ECC" w:rsidP="004A1ECC">
      <w:pPr>
        <w:spacing w:line="480" w:lineRule="auto"/>
        <w:rPr>
          <w:b/>
          <w:sz w:val="24"/>
          <w:szCs w:val="24"/>
          <w:u w:val="single"/>
        </w:rPr>
      </w:pPr>
    </w:p>
    <w:p w14:paraId="2922F81E" w14:textId="77777777" w:rsidR="004A1ECC" w:rsidRDefault="004A1ECC" w:rsidP="004A1ECC">
      <w:pPr>
        <w:spacing w:line="480" w:lineRule="auto"/>
        <w:rPr>
          <w:b/>
          <w:sz w:val="24"/>
          <w:szCs w:val="24"/>
          <w:u w:val="single"/>
        </w:rPr>
      </w:pPr>
    </w:p>
    <w:p w14:paraId="3D954DF9" w14:textId="77777777" w:rsidR="004A1ECC" w:rsidRDefault="004A1ECC" w:rsidP="004A1ECC">
      <w:pPr>
        <w:spacing w:line="480" w:lineRule="auto"/>
        <w:rPr>
          <w:b/>
          <w:sz w:val="24"/>
          <w:szCs w:val="24"/>
          <w:u w:val="single"/>
        </w:rPr>
      </w:pPr>
    </w:p>
    <w:p w14:paraId="23DD1057" w14:textId="77777777" w:rsidR="004A1ECC" w:rsidRDefault="004A1ECC" w:rsidP="004A1ECC">
      <w:pPr>
        <w:rPr>
          <w:b/>
          <w:sz w:val="24"/>
          <w:szCs w:val="24"/>
          <w:u w:val="single"/>
        </w:rPr>
      </w:pPr>
      <w:r>
        <w:rPr>
          <w:b/>
          <w:sz w:val="24"/>
          <w:szCs w:val="24"/>
          <w:u w:val="single"/>
        </w:rPr>
        <w:br w:type="page"/>
      </w:r>
    </w:p>
    <w:p w14:paraId="72C8ACFF" w14:textId="77777777" w:rsidR="00F62BB0" w:rsidRDefault="00F62BB0" w:rsidP="00953A40">
      <w:pPr>
        <w:spacing w:line="480" w:lineRule="auto"/>
        <w:ind w:left="180"/>
        <w:rPr>
          <w:b/>
          <w:sz w:val="28"/>
          <w:szCs w:val="28"/>
          <w:u w:val="single"/>
        </w:rPr>
      </w:pPr>
      <w:r>
        <w:rPr>
          <w:b/>
          <w:sz w:val="28"/>
          <w:szCs w:val="28"/>
          <w:u w:val="single"/>
        </w:rPr>
        <w:lastRenderedPageBreak/>
        <w:t xml:space="preserve">Supplemental Table </w:t>
      </w:r>
      <w:r w:rsidR="0011187C">
        <w:rPr>
          <w:b/>
          <w:sz w:val="28"/>
          <w:szCs w:val="28"/>
          <w:u w:val="single"/>
        </w:rPr>
        <w:t>4</w:t>
      </w:r>
      <w:r>
        <w:rPr>
          <w:b/>
          <w:sz w:val="28"/>
          <w:szCs w:val="28"/>
          <w:u w:val="single"/>
        </w:rPr>
        <w:t>.</w:t>
      </w:r>
    </w:p>
    <w:p w14:paraId="17A1B936" w14:textId="65FCFA79" w:rsidR="00F62BB0" w:rsidRPr="00030777" w:rsidRDefault="00F62BB0" w:rsidP="00953A40">
      <w:pPr>
        <w:spacing w:line="480" w:lineRule="auto"/>
        <w:ind w:left="180"/>
        <w:rPr>
          <w:rFonts w:cs="Calibri"/>
        </w:rPr>
      </w:pPr>
      <w:bookmarkStart w:id="0" w:name="_GoBack"/>
      <w:bookmarkEnd w:id="0"/>
      <w:r>
        <w:rPr>
          <w:rFonts w:cs="Calibri"/>
        </w:rPr>
        <w:t>Breakdown</w:t>
      </w:r>
      <w:r w:rsidRPr="00030777">
        <w:rPr>
          <w:rFonts w:cs="Calibri"/>
        </w:rPr>
        <w:t xml:space="preserve"> of range of physiological and biochemical parameters in patient whole blood samples by five sites</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1350"/>
        <w:gridCol w:w="1350"/>
        <w:gridCol w:w="1530"/>
        <w:gridCol w:w="1440"/>
      </w:tblGrid>
      <w:tr w:rsidR="00F62BB0" w:rsidRPr="00030777" w14:paraId="77189C81" w14:textId="77777777" w:rsidTr="00953A40">
        <w:tc>
          <w:tcPr>
            <w:tcW w:w="1890" w:type="dxa"/>
            <w:shd w:val="clear" w:color="auto" w:fill="F2F2F2"/>
          </w:tcPr>
          <w:p w14:paraId="324B08C9" w14:textId="77777777" w:rsidR="00F62BB0" w:rsidRPr="00030777" w:rsidRDefault="00F62BB0" w:rsidP="00DE61CF">
            <w:pPr>
              <w:spacing w:after="0" w:line="240" w:lineRule="auto"/>
              <w:rPr>
                <w:rFonts w:cs="Calibri"/>
                <w:b/>
                <w:sz w:val="20"/>
                <w:szCs w:val="20"/>
              </w:rPr>
            </w:pPr>
            <w:r w:rsidRPr="00030777">
              <w:rPr>
                <w:rFonts w:cs="Calibri"/>
                <w:b/>
                <w:sz w:val="20"/>
                <w:szCs w:val="20"/>
              </w:rPr>
              <w:t>Parameter</w:t>
            </w:r>
          </w:p>
        </w:tc>
        <w:tc>
          <w:tcPr>
            <w:tcW w:w="1260" w:type="dxa"/>
            <w:shd w:val="clear" w:color="auto" w:fill="F2F2F2"/>
          </w:tcPr>
          <w:p w14:paraId="039CDB65" w14:textId="77777777" w:rsidR="00F62BB0" w:rsidRPr="00030777" w:rsidRDefault="00F62BB0" w:rsidP="00DE61CF">
            <w:pPr>
              <w:spacing w:after="0" w:line="240" w:lineRule="auto"/>
              <w:jc w:val="center"/>
              <w:rPr>
                <w:rFonts w:cs="Calibri"/>
                <w:b/>
                <w:sz w:val="20"/>
                <w:szCs w:val="20"/>
              </w:rPr>
            </w:pPr>
            <w:r w:rsidRPr="00030777">
              <w:rPr>
                <w:rFonts w:cs="Calibri"/>
                <w:b/>
                <w:sz w:val="20"/>
                <w:szCs w:val="20"/>
              </w:rPr>
              <w:t xml:space="preserve">Site </w:t>
            </w:r>
            <w:r>
              <w:rPr>
                <w:rFonts w:cs="Calibri"/>
                <w:b/>
                <w:sz w:val="20"/>
                <w:szCs w:val="20"/>
              </w:rPr>
              <w:t>A</w:t>
            </w:r>
          </w:p>
        </w:tc>
        <w:tc>
          <w:tcPr>
            <w:tcW w:w="1350" w:type="dxa"/>
            <w:shd w:val="clear" w:color="auto" w:fill="F2F2F2"/>
          </w:tcPr>
          <w:p w14:paraId="33995309" w14:textId="77777777" w:rsidR="00F62BB0" w:rsidRPr="00030777" w:rsidRDefault="00F62BB0" w:rsidP="00DE61CF">
            <w:pPr>
              <w:spacing w:after="0" w:line="240" w:lineRule="auto"/>
              <w:jc w:val="center"/>
              <w:rPr>
                <w:rFonts w:cs="Calibri"/>
                <w:b/>
                <w:sz w:val="20"/>
                <w:szCs w:val="20"/>
              </w:rPr>
            </w:pPr>
            <w:r w:rsidRPr="00030777">
              <w:rPr>
                <w:rFonts w:cs="Calibri"/>
                <w:b/>
                <w:sz w:val="20"/>
                <w:szCs w:val="20"/>
              </w:rPr>
              <w:t xml:space="preserve">Site </w:t>
            </w:r>
            <w:r>
              <w:rPr>
                <w:rFonts w:cs="Calibri"/>
                <w:b/>
                <w:sz w:val="20"/>
                <w:szCs w:val="20"/>
              </w:rPr>
              <w:t>B</w:t>
            </w:r>
          </w:p>
        </w:tc>
        <w:tc>
          <w:tcPr>
            <w:tcW w:w="1350" w:type="dxa"/>
            <w:shd w:val="clear" w:color="auto" w:fill="F2F2F2"/>
          </w:tcPr>
          <w:p w14:paraId="1C135398" w14:textId="77777777" w:rsidR="00F62BB0" w:rsidRPr="00030777" w:rsidRDefault="00F62BB0" w:rsidP="00DE61CF">
            <w:pPr>
              <w:spacing w:after="0" w:line="240" w:lineRule="auto"/>
              <w:jc w:val="center"/>
              <w:rPr>
                <w:rFonts w:cs="Calibri"/>
                <w:b/>
                <w:sz w:val="20"/>
                <w:szCs w:val="20"/>
              </w:rPr>
            </w:pPr>
            <w:r w:rsidRPr="00030777">
              <w:rPr>
                <w:rFonts w:cs="Calibri"/>
                <w:b/>
                <w:sz w:val="20"/>
                <w:szCs w:val="20"/>
              </w:rPr>
              <w:t xml:space="preserve">Site </w:t>
            </w:r>
            <w:r>
              <w:rPr>
                <w:rFonts w:cs="Calibri"/>
                <w:b/>
                <w:sz w:val="20"/>
                <w:szCs w:val="20"/>
              </w:rPr>
              <w:t>C</w:t>
            </w:r>
          </w:p>
        </w:tc>
        <w:tc>
          <w:tcPr>
            <w:tcW w:w="1530" w:type="dxa"/>
            <w:shd w:val="clear" w:color="auto" w:fill="F2F2F2"/>
          </w:tcPr>
          <w:p w14:paraId="2C7AA119" w14:textId="77777777" w:rsidR="00F62BB0" w:rsidRPr="00030777" w:rsidRDefault="00F62BB0" w:rsidP="00DE61CF">
            <w:pPr>
              <w:spacing w:after="0" w:line="240" w:lineRule="auto"/>
              <w:jc w:val="center"/>
              <w:rPr>
                <w:rFonts w:cs="Calibri"/>
                <w:b/>
                <w:sz w:val="20"/>
                <w:szCs w:val="20"/>
              </w:rPr>
            </w:pPr>
            <w:r w:rsidRPr="00030777">
              <w:rPr>
                <w:rFonts w:cs="Calibri"/>
                <w:b/>
                <w:sz w:val="20"/>
                <w:szCs w:val="20"/>
              </w:rPr>
              <w:t xml:space="preserve">Site </w:t>
            </w:r>
            <w:r>
              <w:rPr>
                <w:rFonts w:cs="Calibri"/>
                <w:b/>
                <w:sz w:val="20"/>
                <w:szCs w:val="20"/>
              </w:rPr>
              <w:t>D</w:t>
            </w:r>
          </w:p>
        </w:tc>
        <w:tc>
          <w:tcPr>
            <w:tcW w:w="1440" w:type="dxa"/>
            <w:shd w:val="clear" w:color="auto" w:fill="F2F2F2"/>
          </w:tcPr>
          <w:p w14:paraId="7782FC5E" w14:textId="77777777" w:rsidR="00F62BB0" w:rsidRPr="00030777" w:rsidRDefault="00F62BB0" w:rsidP="00DE61CF">
            <w:pPr>
              <w:spacing w:after="0" w:line="240" w:lineRule="auto"/>
              <w:jc w:val="center"/>
              <w:rPr>
                <w:rFonts w:cs="Calibri"/>
                <w:b/>
                <w:sz w:val="20"/>
                <w:szCs w:val="20"/>
              </w:rPr>
            </w:pPr>
            <w:r w:rsidRPr="00030777">
              <w:rPr>
                <w:rFonts w:cs="Calibri"/>
                <w:b/>
                <w:sz w:val="20"/>
                <w:szCs w:val="20"/>
              </w:rPr>
              <w:t xml:space="preserve">Site </w:t>
            </w:r>
            <w:r>
              <w:rPr>
                <w:rFonts w:cs="Calibri"/>
                <w:b/>
                <w:sz w:val="20"/>
                <w:szCs w:val="20"/>
              </w:rPr>
              <w:t>E</w:t>
            </w:r>
          </w:p>
        </w:tc>
      </w:tr>
      <w:tr w:rsidR="00F62BB0" w:rsidRPr="00030777" w14:paraId="4EA537DF" w14:textId="77777777" w:rsidTr="00953A40">
        <w:tc>
          <w:tcPr>
            <w:tcW w:w="1890" w:type="dxa"/>
            <w:shd w:val="clear" w:color="auto" w:fill="auto"/>
          </w:tcPr>
          <w:p w14:paraId="0638F289" w14:textId="77777777" w:rsidR="00F62BB0" w:rsidRPr="00030777" w:rsidRDefault="00F62BB0" w:rsidP="00DE61CF">
            <w:pPr>
              <w:spacing w:after="0" w:line="240" w:lineRule="auto"/>
              <w:rPr>
                <w:rFonts w:cs="Calibri"/>
                <w:sz w:val="20"/>
                <w:szCs w:val="20"/>
              </w:rPr>
            </w:pPr>
            <w:r w:rsidRPr="00030777">
              <w:rPr>
                <w:rFonts w:cs="Calibri"/>
                <w:sz w:val="20"/>
                <w:szCs w:val="20"/>
              </w:rPr>
              <w:t xml:space="preserve">Hematocrit </w:t>
            </w:r>
            <w:r>
              <w:rPr>
                <w:rFonts w:cs="Calibri"/>
                <w:sz w:val="20"/>
                <w:szCs w:val="20"/>
              </w:rPr>
              <w:t>- %</w:t>
            </w:r>
          </w:p>
        </w:tc>
        <w:tc>
          <w:tcPr>
            <w:tcW w:w="1260" w:type="dxa"/>
          </w:tcPr>
          <w:p w14:paraId="51BD1403"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14.10 – 70.6 </w:t>
            </w:r>
          </w:p>
        </w:tc>
        <w:tc>
          <w:tcPr>
            <w:tcW w:w="1350" w:type="dxa"/>
          </w:tcPr>
          <w:p w14:paraId="5DB5914D"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17.4 - 64.20</w:t>
            </w:r>
          </w:p>
        </w:tc>
        <w:tc>
          <w:tcPr>
            <w:tcW w:w="1350" w:type="dxa"/>
          </w:tcPr>
          <w:p w14:paraId="19942B7D" w14:textId="77777777" w:rsidR="00F62BB0" w:rsidRPr="00030777" w:rsidRDefault="00F62BB0" w:rsidP="00DE61CF">
            <w:pPr>
              <w:spacing w:after="0" w:line="240" w:lineRule="auto"/>
              <w:jc w:val="center"/>
              <w:rPr>
                <w:rFonts w:cs="Calibri"/>
                <w:sz w:val="20"/>
                <w:szCs w:val="20"/>
              </w:rPr>
            </w:pPr>
            <w:r w:rsidRPr="007F071D">
              <w:rPr>
                <w:rFonts w:cs="Calibri"/>
                <w:sz w:val="20"/>
                <w:szCs w:val="20"/>
              </w:rPr>
              <w:t>27 – 63.4</w:t>
            </w:r>
          </w:p>
        </w:tc>
        <w:tc>
          <w:tcPr>
            <w:tcW w:w="1530" w:type="dxa"/>
          </w:tcPr>
          <w:p w14:paraId="64551F31" w14:textId="77777777" w:rsidR="00F62BB0" w:rsidRPr="00030777" w:rsidRDefault="00F62BB0" w:rsidP="00DE61CF">
            <w:pPr>
              <w:spacing w:after="0" w:line="240" w:lineRule="auto"/>
              <w:jc w:val="center"/>
              <w:rPr>
                <w:color w:val="000000"/>
                <w:sz w:val="20"/>
                <w:szCs w:val="20"/>
              </w:rPr>
            </w:pPr>
            <w:r w:rsidRPr="00030777">
              <w:rPr>
                <w:rFonts w:cs="Calibri"/>
                <w:sz w:val="20"/>
                <w:szCs w:val="20"/>
              </w:rPr>
              <w:t xml:space="preserve">12 - </w:t>
            </w:r>
            <w:r w:rsidRPr="00030777">
              <w:rPr>
                <w:color w:val="000000"/>
                <w:sz w:val="20"/>
                <w:szCs w:val="20"/>
              </w:rPr>
              <w:t>61.2</w:t>
            </w:r>
          </w:p>
          <w:p w14:paraId="309A9144" w14:textId="77777777" w:rsidR="00F62BB0" w:rsidRPr="00030777" w:rsidRDefault="00F62BB0" w:rsidP="00DE61CF">
            <w:pPr>
              <w:spacing w:after="0" w:line="240" w:lineRule="auto"/>
              <w:jc w:val="center"/>
              <w:rPr>
                <w:rFonts w:cs="Calibri"/>
                <w:sz w:val="20"/>
                <w:szCs w:val="20"/>
              </w:rPr>
            </w:pPr>
          </w:p>
        </w:tc>
        <w:tc>
          <w:tcPr>
            <w:tcW w:w="1440" w:type="dxa"/>
          </w:tcPr>
          <w:p w14:paraId="34C397D9" w14:textId="77777777" w:rsidR="00F62BB0" w:rsidRPr="00030777" w:rsidRDefault="00F62BB0" w:rsidP="00DE61CF">
            <w:pPr>
              <w:jc w:val="center"/>
              <w:rPr>
                <w:rFonts w:cs="Arial"/>
                <w:color w:val="000000"/>
                <w:sz w:val="20"/>
                <w:szCs w:val="20"/>
              </w:rPr>
            </w:pPr>
            <w:r w:rsidRPr="00030777">
              <w:rPr>
                <w:rFonts w:cs="Arial"/>
                <w:color w:val="000000"/>
                <w:sz w:val="20"/>
                <w:szCs w:val="20"/>
              </w:rPr>
              <w:t>18.3 – 55.1</w:t>
            </w:r>
          </w:p>
        </w:tc>
      </w:tr>
      <w:tr w:rsidR="00F62BB0" w:rsidRPr="00030777" w14:paraId="22D1C65D" w14:textId="77777777" w:rsidTr="00953A40">
        <w:tc>
          <w:tcPr>
            <w:tcW w:w="1890" w:type="dxa"/>
            <w:shd w:val="clear" w:color="auto" w:fill="auto"/>
          </w:tcPr>
          <w:p w14:paraId="335D5043" w14:textId="77777777" w:rsidR="00F62BB0" w:rsidRPr="00030777" w:rsidRDefault="00F62BB0" w:rsidP="00DE61CF">
            <w:pPr>
              <w:spacing w:after="0" w:line="240" w:lineRule="auto"/>
              <w:rPr>
                <w:rFonts w:cs="Calibri"/>
                <w:sz w:val="20"/>
                <w:szCs w:val="20"/>
              </w:rPr>
            </w:pPr>
            <w:r w:rsidRPr="00030777">
              <w:rPr>
                <w:rFonts w:cs="Calibri"/>
                <w:sz w:val="20"/>
                <w:szCs w:val="20"/>
              </w:rPr>
              <w:t>pH</w:t>
            </w:r>
          </w:p>
        </w:tc>
        <w:tc>
          <w:tcPr>
            <w:tcW w:w="1260" w:type="dxa"/>
          </w:tcPr>
          <w:p w14:paraId="1DDCE38C"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7.02 - 7.58</w:t>
            </w:r>
          </w:p>
        </w:tc>
        <w:tc>
          <w:tcPr>
            <w:tcW w:w="1350" w:type="dxa"/>
          </w:tcPr>
          <w:p w14:paraId="3E123718"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6.87 - 7.77</w:t>
            </w:r>
          </w:p>
        </w:tc>
        <w:tc>
          <w:tcPr>
            <w:tcW w:w="1350" w:type="dxa"/>
          </w:tcPr>
          <w:p w14:paraId="5BD86743"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7.11 – 7.54</w:t>
            </w:r>
          </w:p>
        </w:tc>
        <w:tc>
          <w:tcPr>
            <w:tcW w:w="1530" w:type="dxa"/>
          </w:tcPr>
          <w:p w14:paraId="17FE637D" w14:textId="77777777" w:rsidR="00F62BB0" w:rsidRPr="00030777" w:rsidRDefault="00F62BB0" w:rsidP="00DE61CF">
            <w:pPr>
              <w:jc w:val="center"/>
              <w:rPr>
                <w:color w:val="000000"/>
                <w:sz w:val="20"/>
                <w:szCs w:val="20"/>
              </w:rPr>
            </w:pPr>
            <w:r w:rsidRPr="00030777">
              <w:rPr>
                <w:color w:val="000000"/>
                <w:sz w:val="20"/>
                <w:szCs w:val="20"/>
              </w:rPr>
              <w:t>6.80 – 7.63</w:t>
            </w:r>
          </w:p>
        </w:tc>
        <w:tc>
          <w:tcPr>
            <w:tcW w:w="1440" w:type="dxa"/>
          </w:tcPr>
          <w:p w14:paraId="153B6657" w14:textId="77777777" w:rsidR="00F62BB0" w:rsidRPr="00030777" w:rsidRDefault="00F62BB0" w:rsidP="00DE61CF">
            <w:pPr>
              <w:jc w:val="center"/>
              <w:rPr>
                <w:color w:val="000000"/>
                <w:sz w:val="20"/>
                <w:szCs w:val="20"/>
              </w:rPr>
            </w:pPr>
            <w:r w:rsidRPr="00030777">
              <w:rPr>
                <w:rFonts w:cs="Arial"/>
                <w:color w:val="000000"/>
                <w:sz w:val="20"/>
                <w:szCs w:val="20"/>
              </w:rPr>
              <w:t>7.19</w:t>
            </w:r>
            <w:r w:rsidRPr="00030777">
              <w:rPr>
                <w:color w:val="000000"/>
                <w:sz w:val="20"/>
                <w:szCs w:val="20"/>
              </w:rPr>
              <w:t xml:space="preserve"> - 7.5</w:t>
            </w:r>
          </w:p>
        </w:tc>
      </w:tr>
      <w:tr w:rsidR="00F62BB0" w:rsidRPr="00030777" w14:paraId="4A6BD96F" w14:textId="77777777" w:rsidTr="00953A40">
        <w:tc>
          <w:tcPr>
            <w:tcW w:w="1890" w:type="dxa"/>
            <w:shd w:val="clear" w:color="auto" w:fill="auto"/>
          </w:tcPr>
          <w:p w14:paraId="64B39E72" w14:textId="77777777" w:rsidR="00F62BB0" w:rsidRDefault="00F62BB0" w:rsidP="00DE61CF">
            <w:pPr>
              <w:spacing w:after="0" w:line="240" w:lineRule="auto"/>
              <w:rPr>
                <w:rFonts w:cs="Calibri"/>
                <w:sz w:val="20"/>
                <w:szCs w:val="20"/>
              </w:rPr>
            </w:pPr>
            <w:r w:rsidRPr="00030777">
              <w:rPr>
                <w:rFonts w:cs="Calibri"/>
                <w:sz w:val="20"/>
                <w:szCs w:val="20"/>
              </w:rPr>
              <w:t xml:space="preserve">pCO2 </w:t>
            </w:r>
            <w:r>
              <w:rPr>
                <w:rFonts w:cs="Calibri"/>
                <w:sz w:val="20"/>
                <w:szCs w:val="20"/>
              </w:rPr>
              <w:t xml:space="preserve">– </w:t>
            </w:r>
            <w:proofErr w:type="spellStart"/>
            <w:r>
              <w:rPr>
                <w:rFonts w:cs="Calibri"/>
                <w:sz w:val="20"/>
                <w:szCs w:val="20"/>
              </w:rPr>
              <w:t>kPa</w:t>
            </w:r>
            <w:proofErr w:type="spellEnd"/>
          </w:p>
          <w:p w14:paraId="59D27240" w14:textId="77777777" w:rsidR="00F62BB0" w:rsidRDefault="00F62BB0" w:rsidP="00DE61CF">
            <w:pPr>
              <w:spacing w:after="0" w:line="240" w:lineRule="auto"/>
              <w:rPr>
                <w:rFonts w:cs="Calibri"/>
                <w:sz w:val="20"/>
                <w:szCs w:val="20"/>
              </w:rPr>
            </w:pPr>
          </w:p>
          <w:p w14:paraId="7975DE3C" w14:textId="77777777" w:rsidR="00F62BB0" w:rsidRPr="00030777" w:rsidRDefault="00F62BB0" w:rsidP="00DE61CF">
            <w:pPr>
              <w:spacing w:after="0" w:line="240" w:lineRule="auto"/>
              <w:rPr>
                <w:rFonts w:cs="Calibri"/>
                <w:sz w:val="20"/>
                <w:szCs w:val="20"/>
              </w:rPr>
            </w:pPr>
            <w:r>
              <w:rPr>
                <w:rFonts w:cs="Calibri"/>
                <w:sz w:val="20"/>
                <w:szCs w:val="20"/>
              </w:rPr>
              <w:t>pCO2 – mm/Hg</w:t>
            </w:r>
          </w:p>
        </w:tc>
        <w:tc>
          <w:tcPr>
            <w:tcW w:w="1260" w:type="dxa"/>
          </w:tcPr>
          <w:p w14:paraId="39DB8D99"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.62 -</w:t>
            </w:r>
            <w:r w:rsidRPr="00030777">
              <w:rPr>
                <w:color w:val="000000"/>
                <w:sz w:val="20"/>
                <w:szCs w:val="20"/>
              </w:rPr>
              <w:t>13.90</w:t>
            </w:r>
          </w:p>
        </w:tc>
        <w:tc>
          <w:tcPr>
            <w:tcW w:w="1350" w:type="dxa"/>
          </w:tcPr>
          <w:p w14:paraId="36D3EC57"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1.03 - </w:t>
            </w:r>
            <w:r w:rsidRPr="00030777">
              <w:rPr>
                <w:color w:val="000000"/>
                <w:sz w:val="20"/>
                <w:szCs w:val="20"/>
              </w:rPr>
              <w:t>15.30</w:t>
            </w:r>
          </w:p>
        </w:tc>
        <w:tc>
          <w:tcPr>
            <w:tcW w:w="1350" w:type="dxa"/>
          </w:tcPr>
          <w:p w14:paraId="7B1EA390"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c>
          <w:tcPr>
            <w:tcW w:w="1530" w:type="dxa"/>
          </w:tcPr>
          <w:p w14:paraId="6175C2F9" w14:textId="77777777" w:rsidR="00F62BB0" w:rsidRDefault="00F62BB0" w:rsidP="00DE61CF">
            <w:pPr>
              <w:spacing w:after="0" w:line="240" w:lineRule="auto"/>
              <w:jc w:val="center"/>
              <w:rPr>
                <w:rFonts w:cs="Calibri"/>
                <w:sz w:val="20"/>
                <w:szCs w:val="20"/>
              </w:rPr>
            </w:pPr>
          </w:p>
          <w:p w14:paraId="7DC5A771" w14:textId="77777777" w:rsidR="00F62BB0" w:rsidRDefault="00F62BB0" w:rsidP="00DE61CF">
            <w:pPr>
              <w:spacing w:after="0" w:line="240" w:lineRule="auto"/>
              <w:jc w:val="center"/>
              <w:rPr>
                <w:rFonts w:cs="Calibri"/>
                <w:sz w:val="20"/>
                <w:szCs w:val="20"/>
              </w:rPr>
            </w:pPr>
          </w:p>
          <w:p w14:paraId="22B583DA" w14:textId="77777777" w:rsidR="00F62BB0" w:rsidRPr="00030777" w:rsidRDefault="00F62BB0" w:rsidP="00DE61CF">
            <w:pPr>
              <w:spacing w:after="0" w:line="240" w:lineRule="auto"/>
              <w:jc w:val="center"/>
              <w:rPr>
                <w:color w:val="000000"/>
                <w:sz w:val="20"/>
                <w:szCs w:val="20"/>
              </w:rPr>
            </w:pPr>
            <w:r w:rsidRPr="00030777">
              <w:rPr>
                <w:rFonts w:cs="Calibri"/>
                <w:sz w:val="20"/>
                <w:szCs w:val="20"/>
              </w:rPr>
              <w:t>14.40 -</w:t>
            </w:r>
            <w:r w:rsidRPr="00030777">
              <w:rPr>
                <w:color w:val="000000"/>
                <w:sz w:val="20"/>
                <w:szCs w:val="20"/>
              </w:rPr>
              <w:t>109.50</w:t>
            </w:r>
          </w:p>
          <w:p w14:paraId="289007F5" w14:textId="77777777" w:rsidR="00F62BB0" w:rsidRPr="00030777" w:rsidRDefault="00F62BB0" w:rsidP="00DE61CF">
            <w:pPr>
              <w:spacing w:after="0" w:line="240" w:lineRule="auto"/>
              <w:jc w:val="center"/>
              <w:rPr>
                <w:rFonts w:cs="Calibri"/>
                <w:sz w:val="20"/>
                <w:szCs w:val="20"/>
              </w:rPr>
            </w:pPr>
          </w:p>
        </w:tc>
        <w:tc>
          <w:tcPr>
            <w:tcW w:w="1440" w:type="dxa"/>
          </w:tcPr>
          <w:p w14:paraId="388DF99A" w14:textId="77777777" w:rsidR="00F62BB0" w:rsidRDefault="00F62BB0" w:rsidP="00DE61CF">
            <w:pPr>
              <w:jc w:val="center"/>
              <w:rPr>
                <w:rFonts w:cs="Arial"/>
                <w:color w:val="000000"/>
                <w:sz w:val="20"/>
                <w:szCs w:val="20"/>
              </w:rPr>
            </w:pPr>
          </w:p>
          <w:p w14:paraId="39AD5A3E" w14:textId="77777777" w:rsidR="00F62BB0" w:rsidRPr="00030777" w:rsidRDefault="00F62BB0" w:rsidP="00DE61CF">
            <w:pPr>
              <w:jc w:val="center"/>
              <w:rPr>
                <w:rFonts w:cs="Arial"/>
                <w:color w:val="000000"/>
                <w:sz w:val="20"/>
                <w:szCs w:val="20"/>
              </w:rPr>
            </w:pPr>
            <w:r w:rsidRPr="00030777">
              <w:rPr>
                <w:rFonts w:cs="Arial"/>
                <w:color w:val="000000"/>
                <w:sz w:val="20"/>
                <w:szCs w:val="20"/>
              </w:rPr>
              <w:t xml:space="preserve">29 – 59 </w:t>
            </w:r>
          </w:p>
        </w:tc>
      </w:tr>
      <w:tr w:rsidR="00F62BB0" w:rsidRPr="00030777" w14:paraId="540ADB6F" w14:textId="77777777" w:rsidTr="00953A40">
        <w:tc>
          <w:tcPr>
            <w:tcW w:w="1890" w:type="dxa"/>
            <w:shd w:val="clear" w:color="auto" w:fill="auto"/>
          </w:tcPr>
          <w:p w14:paraId="26815A28" w14:textId="77777777" w:rsidR="00F62BB0" w:rsidRDefault="00F62BB0" w:rsidP="00DE61CF">
            <w:pPr>
              <w:spacing w:after="0" w:line="240" w:lineRule="auto"/>
              <w:rPr>
                <w:rFonts w:cs="Calibri"/>
                <w:sz w:val="20"/>
                <w:szCs w:val="20"/>
              </w:rPr>
            </w:pPr>
            <w:r w:rsidRPr="00030777">
              <w:rPr>
                <w:rFonts w:cs="Calibri"/>
                <w:sz w:val="20"/>
                <w:szCs w:val="20"/>
              </w:rPr>
              <w:t>pO2</w:t>
            </w:r>
            <w:r>
              <w:rPr>
                <w:rFonts w:cs="Calibri"/>
                <w:sz w:val="20"/>
                <w:szCs w:val="20"/>
              </w:rPr>
              <w:t xml:space="preserve"> – </w:t>
            </w:r>
            <w:proofErr w:type="spellStart"/>
            <w:r>
              <w:rPr>
                <w:rFonts w:cs="Calibri"/>
                <w:sz w:val="20"/>
                <w:szCs w:val="20"/>
              </w:rPr>
              <w:t>kPa</w:t>
            </w:r>
            <w:proofErr w:type="spellEnd"/>
          </w:p>
          <w:p w14:paraId="4B6C7A69" w14:textId="77777777" w:rsidR="00F62BB0" w:rsidRDefault="00F62BB0" w:rsidP="00DE61CF">
            <w:pPr>
              <w:spacing w:after="0" w:line="240" w:lineRule="auto"/>
              <w:rPr>
                <w:rFonts w:cs="Calibri"/>
                <w:sz w:val="20"/>
                <w:szCs w:val="20"/>
              </w:rPr>
            </w:pPr>
          </w:p>
          <w:p w14:paraId="1BA0EBBC" w14:textId="77777777" w:rsidR="00F62BB0" w:rsidRPr="00030777" w:rsidRDefault="00F62BB0" w:rsidP="00DE61CF">
            <w:pPr>
              <w:spacing w:after="0" w:line="240" w:lineRule="auto"/>
              <w:rPr>
                <w:rFonts w:cs="Calibri"/>
                <w:sz w:val="20"/>
                <w:szCs w:val="20"/>
              </w:rPr>
            </w:pPr>
            <w:r w:rsidRPr="00080FE1">
              <w:rPr>
                <w:rFonts w:cs="Calibri"/>
                <w:sz w:val="20"/>
                <w:szCs w:val="20"/>
              </w:rPr>
              <w:t>pO2 – mm/Hg</w:t>
            </w:r>
          </w:p>
        </w:tc>
        <w:tc>
          <w:tcPr>
            <w:tcW w:w="1260" w:type="dxa"/>
          </w:tcPr>
          <w:p w14:paraId="078039C2"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2.51 – 45  </w:t>
            </w:r>
          </w:p>
        </w:tc>
        <w:tc>
          <w:tcPr>
            <w:tcW w:w="1350" w:type="dxa"/>
          </w:tcPr>
          <w:p w14:paraId="5D346C44"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2.2 -46       </w:t>
            </w:r>
          </w:p>
        </w:tc>
        <w:tc>
          <w:tcPr>
            <w:tcW w:w="1350" w:type="dxa"/>
          </w:tcPr>
          <w:p w14:paraId="3F2A4DA9" w14:textId="77777777" w:rsidR="00F62BB0" w:rsidRDefault="00F62BB0" w:rsidP="00DE61CF">
            <w:pPr>
              <w:spacing w:after="0" w:line="240" w:lineRule="auto"/>
              <w:jc w:val="center"/>
              <w:rPr>
                <w:rFonts w:cs="Calibri"/>
                <w:sz w:val="20"/>
                <w:szCs w:val="20"/>
              </w:rPr>
            </w:pPr>
          </w:p>
          <w:p w14:paraId="54F227E2" w14:textId="77777777" w:rsidR="00F62BB0" w:rsidRPr="00030777" w:rsidRDefault="00F62BB0" w:rsidP="00DE61CF">
            <w:pPr>
              <w:spacing w:after="0" w:line="240" w:lineRule="auto"/>
              <w:jc w:val="center"/>
              <w:rPr>
                <w:rFonts w:cs="Calibri"/>
                <w:sz w:val="20"/>
                <w:szCs w:val="20"/>
              </w:rPr>
            </w:pPr>
          </w:p>
          <w:p w14:paraId="68F0DA9F" w14:textId="77777777" w:rsidR="00F62BB0" w:rsidRPr="00030777" w:rsidRDefault="00F62BB0" w:rsidP="00DE61CF">
            <w:pPr>
              <w:spacing w:after="0" w:line="240" w:lineRule="auto"/>
              <w:jc w:val="center"/>
              <w:rPr>
                <w:rFonts w:cs="Calibri"/>
                <w:sz w:val="20"/>
                <w:szCs w:val="20"/>
              </w:rPr>
            </w:pPr>
            <w:r>
              <w:rPr>
                <w:rFonts w:cs="Calibri"/>
                <w:sz w:val="20"/>
                <w:szCs w:val="20"/>
              </w:rPr>
              <w:t>22.6-400</w:t>
            </w:r>
          </w:p>
        </w:tc>
        <w:tc>
          <w:tcPr>
            <w:tcW w:w="1530" w:type="dxa"/>
          </w:tcPr>
          <w:p w14:paraId="7AFFF793" w14:textId="77777777" w:rsidR="00F62BB0" w:rsidRDefault="00F62BB0" w:rsidP="00DE61CF">
            <w:pPr>
              <w:jc w:val="center"/>
              <w:rPr>
                <w:color w:val="000000"/>
                <w:sz w:val="20"/>
                <w:szCs w:val="20"/>
              </w:rPr>
            </w:pPr>
          </w:p>
          <w:p w14:paraId="48C9BF3C" w14:textId="77777777" w:rsidR="00F62BB0" w:rsidRPr="00030777" w:rsidRDefault="00F62BB0" w:rsidP="00DE61CF">
            <w:pPr>
              <w:jc w:val="center"/>
              <w:rPr>
                <w:color w:val="000000"/>
                <w:sz w:val="20"/>
                <w:szCs w:val="20"/>
              </w:rPr>
            </w:pPr>
            <w:r w:rsidRPr="00030777">
              <w:rPr>
                <w:color w:val="000000"/>
                <w:sz w:val="20"/>
                <w:szCs w:val="20"/>
              </w:rPr>
              <w:t xml:space="preserve">20.80 – 429.10 </w:t>
            </w:r>
          </w:p>
        </w:tc>
        <w:tc>
          <w:tcPr>
            <w:tcW w:w="1440" w:type="dxa"/>
          </w:tcPr>
          <w:p w14:paraId="7EBA2BF2" w14:textId="77777777" w:rsidR="00F62BB0" w:rsidRDefault="00F62BB0" w:rsidP="00DE61CF">
            <w:pPr>
              <w:jc w:val="center"/>
              <w:rPr>
                <w:rFonts w:cs="Arial"/>
                <w:color w:val="000000"/>
                <w:sz w:val="20"/>
                <w:szCs w:val="20"/>
              </w:rPr>
            </w:pPr>
          </w:p>
          <w:p w14:paraId="4734EA3C" w14:textId="77777777" w:rsidR="00F62BB0" w:rsidRPr="00030777" w:rsidRDefault="00F62BB0" w:rsidP="00DE61CF">
            <w:pPr>
              <w:jc w:val="center"/>
              <w:rPr>
                <w:rFonts w:cs="Arial"/>
                <w:color w:val="000000"/>
                <w:sz w:val="20"/>
                <w:szCs w:val="20"/>
              </w:rPr>
            </w:pPr>
            <w:r w:rsidRPr="00030777">
              <w:rPr>
                <w:rFonts w:cs="Arial"/>
                <w:color w:val="000000"/>
                <w:sz w:val="20"/>
                <w:szCs w:val="20"/>
              </w:rPr>
              <w:t xml:space="preserve">80 – 417 </w:t>
            </w:r>
          </w:p>
        </w:tc>
      </w:tr>
      <w:tr w:rsidR="00F62BB0" w:rsidRPr="00030777" w14:paraId="0DF58AEF" w14:textId="77777777" w:rsidTr="00953A40">
        <w:trPr>
          <w:trHeight w:val="575"/>
        </w:trPr>
        <w:tc>
          <w:tcPr>
            <w:tcW w:w="1890" w:type="dxa"/>
            <w:shd w:val="clear" w:color="auto" w:fill="auto"/>
          </w:tcPr>
          <w:p w14:paraId="3F9110C9" w14:textId="77777777" w:rsidR="00F62BB0" w:rsidRPr="00030777" w:rsidRDefault="00F62BB0" w:rsidP="00DE61CF">
            <w:pPr>
              <w:spacing w:after="0" w:line="240" w:lineRule="auto"/>
              <w:rPr>
                <w:rFonts w:cs="Calibri"/>
                <w:sz w:val="20"/>
                <w:szCs w:val="20"/>
              </w:rPr>
            </w:pPr>
            <w:r w:rsidRPr="00030777">
              <w:rPr>
                <w:rFonts w:cs="Calibri"/>
                <w:sz w:val="20"/>
                <w:szCs w:val="20"/>
              </w:rPr>
              <w:t>sO2</w:t>
            </w:r>
            <w:r>
              <w:rPr>
                <w:rFonts w:cs="Calibri"/>
                <w:sz w:val="20"/>
                <w:szCs w:val="20"/>
              </w:rPr>
              <w:t xml:space="preserve"> - %</w:t>
            </w:r>
          </w:p>
        </w:tc>
        <w:tc>
          <w:tcPr>
            <w:tcW w:w="1260" w:type="dxa"/>
          </w:tcPr>
          <w:p w14:paraId="3B3DB23B" w14:textId="77777777" w:rsidR="00F62BB0" w:rsidRPr="00030777" w:rsidRDefault="00F62BB0" w:rsidP="00DE61CF">
            <w:pPr>
              <w:spacing w:after="0" w:line="240" w:lineRule="auto"/>
              <w:jc w:val="center"/>
              <w:rPr>
                <w:color w:val="000000"/>
                <w:sz w:val="20"/>
                <w:szCs w:val="20"/>
              </w:rPr>
            </w:pPr>
            <w:r w:rsidRPr="00030777">
              <w:rPr>
                <w:color w:val="000000"/>
                <w:sz w:val="20"/>
                <w:szCs w:val="20"/>
              </w:rPr>
              <w:t xml:space="preserve">22.9 - 100 </w:t>
            </w:r>
          </w:p>
        </w:tc>
        <w:tc>
          <w:tcPr>
            <w:tcW w:w="1350" w:type="dxa"/>
          </w:tcPr>
          <w:p w14:paraId="48EB58A6" w14:textId="77777777" w:rsidR="00F62BB0" w:rsidRPr="00030777" w:rsidRDefault="00F62BB0" w:rsidP="00DE61CF">
            <w:pPr>
              <w:spacing w:after="0" w:line="240" w:lineRule="auto"/>
              <w:jc w:val="center"/>
              <w:rPr>
                <w:color w:val="000000"/>
                <w:sz w:val="20"/>
                <w:szCs w:val="20"/>
              </w:rPr>
            </w:pPr>
            <w:r w:rsidRPr="00030777">
              <w:rPr>
                <w:color w:val="000000"/>
                <w:sz w:val="20"/>
                <w:szCs w:val="20"/>
              </w:rPr>
              <w:t>24.4 - 100.2</w:t>
            </w:r>
          </w:p>
        </w:tc>
        <w:tc>
          <w:tcPr>
            <w:tcW w:w="1350" w:type="dxa"/>
          </w:tcPr>
          <w:p w14:paraId="07B4C2A2" w14:textId="77777777" w:rsidR="00F62BB0" w:rsidRPr="00030777" w:rsidRDefault="00F62BB0" w:rsidP="00DE61CF">
            <w:pPr>
              <w:spacing w:after="0" w:line="240" w:lineRule="auto"/>
              <w:jc w:val="center"/>
              <w:rPr>
                <w:rFonts w:cs="Calibri"/>
                <w:sz w:val="20"/>
                <w:szCs w:val="20"/>
              </w:rPr>
            </w:pPr>
          </w:p>
        </w:tc>
        <w:tc>
          <w:tcPr>
            <w:tcW w:w="1530" w:type="dxa"/>
          </w:tcPr>
          <w:p w14:paraId="3C9B6AA9" w14:textId="77777777" w:rsidR="00F62BB0" w:rsidRPr="00030777" w:rsidRDefault="00F62BB0" w:rsidP="00DE61CF">
            <w:pPr>
              <w:jc w:val="center"/>
              <w:rPr>
                <w:color w:val="000000"/>
                <w:sz w:val="20"/>
                <w:szCs w:val="20"/>
              </w:rPr>
            </w:pPr>
            <w:r w:rsidRPr="00030777">
              <w:rPr>
                <w:color w:val="000000"/>
                <w:sz w:val="20"/>
                <w:szCs w:val="20"/>
              </w:rPr>
              <w:t xml:space="preserve"> 52.8</w:t>
            </w:r>
            <w:r>
              <w:rPr>
                <w:color w:val="000000"/>
                <w:sz w:val="20"/>
                <w:szCs w:val="20"/>
              </w:rPr>
              <w:t xml:space="preserve"> - </w:t>
            </w:r>
            <w:r w:rsidRPr="00030777">
              <w:rPr>
                <w:color w:val="000000"/>
                <w:sz w:val="20"/>
                <w:szCs w:val="20"/>
              </w:rPr>
              <w:t>99.20</w:t>
            </w:r>
          </w:p>
        </w:tc>
        <w:tc>
          <w:tcPr>
            <w:tcW w:w="1440" w:type="dxa"/>
          </w:tcPr>
          <w:p w14:paraId="3157BCDF" w14:textId="77777777" w:rsidR="00F62BB0" w:rsidRPr="00030777" w:rsidRDefault="00F62BB0" w:rsidP="00DE61CF">
            <w:pPr>
              <w:jc w:val="center"/>
              <w:rPr>
                <w:rFonts w:cs="Arial"/>
                <w:color w:val="000000"/>
                <w:sz w:val="20"/>
                <w:szCs w:val="20"/>
              </w:rPr>
            </w:pPr>
            <w:r w:rsidRPr="00030777">
              <w:rPr>
                <w:rFonts w:cs="Arial"/>
                <w:color w:val="000000"/>
                <w:sz w:val="20"/>
                <w:szCs w:val="20"/>
              </w:rPr>
              <w:t>91 – 100</w:t>
            </w:r>
          </w:p>
        </w:tc>
      </w:tr>
      <w:tr w:rsidR="00F62BB0" w:rsidRPr="0015191B" w14:paraId="6D722AC3" w14:textId="77777777" w:rsidTr="00953A40">
        <w:tc>
          <w:tcPr>
            <w:tcW w:w="1890" w:type="dxa"/>
            <w:shd w:val="clear" w:color="auto" w:fill="auto"/>
          </w:tcPr>
          <w:p w14:paraId="1FDFB716" w14:textId="77777777" w:rsidR="00F62BB0" w:rsidRDefault="00F62BB0" w:rsidP="00DE61CF">
            <w:pPr>
              <w:spacing w:after="0" w:line="240" w:lineRule="auto"/>
              <w:rPr>
                <w:rFonts w:cs="Calibri"/>
                <w:sz w:val="20"/>
                <w:szCs w:val="20"/>
              </w:rPr>
            </w:pPr>
            <w:r w:rsidRPr="00030777">
              <w:rPr>
                <w:rFonts w:cs="Calibri"/>
                <w:sz w:val="20"/>
                <w:szCs w:val="20"/>
              </w:rPr>
              <w:t>Sodium</w:t>
            </w:r>
            <w:r>
              <w:rPr>
                <w:rFonts w:cs="Calibri"/>
                <w:sz w:val="20"/>
                <w:szCs w:val="20"/>
              </w:rPr>
              <w:t xml:space="preserve"> – mmol/L</w:t>
            </w:r>
          </w:p>
          <w:p w14:paraId="647F8CAC" w14:textId="77777777" w:rsidR="00F62BB0" w:rsidRDefault="00F62BB0" w:rsidP="00DE61CF">
            <w:pPr>
              <w:spacing w:after="0" w:line="240" w:lineRule="auto"/>
              <w:rPr>
                <w:rFonts w:cs="Calibri"/>
                <w:sz w:val="20"/>
                <w:szCs w:val="20"/>
              </w:rPr>
            </w:pPr>
          </w:p>
          <w:p w14:paraId="0C449FD8" w14:textId="77777777" w:rsidR="00F62BB0" w:rsidRPr="00030777" w:rsidRDefault="00F62BB0" w:rsidP="00DE61CF">
            <w:pPr>
              <w:spacing w:after="0" w:line="240" w:lineRule="auto"/>
              <w:rPr>
                <w:rFonts w:cs="Calibri"/>
                <w:sz w:val="20"/>
                <w:szCs w:val="20"/>
              </w:rPr>
            </w:pPr>
            <w:r>
              <w:rPr>
                <w:rFonts w:cs="Calibri"/>
                <w:sz w:val="20"/>
                <w:szCs w:val="20"/>
              </w:rPr>
              <w:t xml:space="preserve">Sodium - </w:t>
            </w:r>
            <w:proofErr w:type="spellStart"/>
            <w:r w:rsidRPr="00080FE1">
              <w:rPr>
                <w:rFonts w:cs="Calibri"/>
                <w:sz w:val="20"/>
                <w:szCs w:val="20"/>
              </w:rPr>
              <w:t>mEq</w:t>
            </w:r>
            <w:proofErr w:type="spellEnd"/>
            <w:r w:rsidRPr="00080FE1">
              <w:rPr>
                <w:rFonts w:cs="Calibri"/>
                <w:sz w:val="20"/>
                <w:szCs w:val="20"/>
              </w:rPr>
              <w:t>/L</w:t>
            </w:r>
          </w:p>
        </w:tc>
        <w:tc>
          <w:tcPr>
            <w:tcW w:w="1260" w:type="dxa"/>
          </w:tcPr>
          <w:p w14:paraId="3FB4D086"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119 – 169</w:t>
            </w:r>
          </w:p>
        </w:tc>
        <w:tc>
          <w:tcPr>
            <w:tcW w:w="1350" w:type="dxa"/>
          </w:tcPr>
          <w:p w14:paraId="16B08138"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113 – 161</w:t>
            </w:r>
          </w:p>
        </w:tc>
        <w:tc>
          <w:tcPr>
            <w:tcW w:w="1350" w:type="dxa"/>
          </w:tcPr>
          <w:p w14:paraId="0C5A0156"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129 - 152</w:t>
            </w:r>
          </w:p>
        </w:tc>
        <w:tc>
          <w:tcPr>
            <w:tcW w:w="1530" w:type="dxa"/>
          </w:tcPr>
          <w:p w14:paraId="73F1F85C" w14:textId="77777777" w:rsidR="00F62BB0" w:rsidRPr="00030777" w:rsidRDefault="00F62BB0" w:rsidP="00DE61CF">
            <w:pPr>
              <w:jc w:val="center"/>
              <w:rPr>
                <w:color w:val="000000"/>
                <w:sz w:val="20"/>
                <w:szCs w:val="20"/>
              </w:rPr>
            </w:pPr>
            <w:r w:rsidRPr="00030777">
              <w:rPr>
                <w:color w:val="000000"/>
                <w:sz w:val="20"/>
                <w:szCs w:val="20"/>
              </w:rPr>
              <w:t>116.30 – 156</w:t>
            </w:r>
          </w:p>
        </w:tc>
        <w:tc>
          <w:tcPr>
            <w:tcW w:w="1440" w:type="dxa"/>
          </w:tcPr>
          <w:p w14:paraId="24D1E380" w14:textId="77777777" w:rsidR="00F62BB0" w:rsidRDefault="00F62BB0" w:rsidP="00DE61CF">
            <w:pPr>
              <w:jc w:val="center"/>
              <w:rPr>
                <w:rFonts w:cs="Arial"/>
                <w:color w:val="000000"/>
                <w:sz w:val="20"/>
                <w:szCs w:val="20"/>
              </w:rPr>
            </w:pPr>
          </w:p>
          <w:p w14:paraId="23116591" w14:textId="77777777" w:rsidR="00F62BB0" w:rsidRPr="00030777" w:rsidRDefault="00F62BB0" w:rsidP="00DE61CF">
            <w:pPr>
              <w:jc w:val="center"/>
              <w:rPr>
                <w:rFonts w:cs="Arial"/>
                <w:color w:val="000000"/>
                <w:sz w:val="20"/>
                <w:szCs w:val="20"/>
              </w:rPr>
            </w:pPr>
            <w:r w:rsidRPr="00030777">
              <w:rPr>
                <w:rFonts w:cs="Arial"/>
                <w:color w:val="000000"/>
                <w:sz w:val="20"/>
                <w:szCs w:val="20"/>
              </w:rPr>
              <w:t>3.4 – 143</w:t>
            </w:r>
          </w:p>
        </w:tc>
      </w:tr>
      <w:tr w:rsidR="00F62BB0" w:rsidRPr="00030777" w14:paraId="592DDF86" w14:textId="77777777" w:rsidTr="00953A40">
        <w:tc>
          <w:tcPr>
            <w:tcW w:w="1890" w:type="dxa"/>
            <w:shd w:val="clear" w:color="auto" w:fill="auto"/>
          </w:tcPr>
          <w:p w14:paraId="4FDF78CB" w14:textId="77777777" w:rsidR="00F62BB0" w:rsidRDefault="00F62BB0" w:rsidP="00DE61CF">
            <w:pPr>
              <w:spacing w:after="0" w:line="240" w:lineRule="auto"/>
              <w:rPr>
                <w:rFonts w:cs="Calibri"/>
                <w:sz w:val="20"/>
                <w:szCs w:val="20"/>
              </w:rPr>
            </w:pPr>
            <w:r w:rsidRPr="00030777">
              <w:rPr>
                <w:rFonts w:cs="Calibri"/>
                <w:sz w:val="20"/>
                <w:szCs w:val="20"/>
              </w:rPr>
              <w:t>Potassium</w:t>
            </w:r>
            <w:r>
              <w:rPr>
                <w:rFonts w:cs="Calibri"/>
                <w:sz w:val="20"/>
                <w:szCs w:val="20"/>
              </w:rPr>
              <w:t xml:space="preserve"> – mmol/L</w:t>
            </w:r>
          </w:p>
          <w:p w14:paraId="4B29EA9F" w14:textId="77777777" w:rsidR="00F62BB0" w:rsidRDefault="00F62BB0" w:rsidP="00DE61CF">
            <w:pPr>
              <w:spacing w:after="0" w:line="240" w:lineRule="auto"/>
              <w:rPr>
                <w:rFonts w:cs="Calibri"/>
                <w:sz w:val="20"/>
                <w:szCs w:val="20"/>
              </w:rPr>
            </w:pPr>
          </w:p>
          <w:p w14:paraId="221ABEAA" w14:textId="77777777" w:rsidR="00F62BB0" w:rsidRPr="00030777" w:rsidRDefault="00F62BB0" w:rsidP="00DE61CF">
            <w:pPr>
              <w:spacing w:after="0" w:line="240" w:lineRule="auto"/>
              <w:rPr>
                <w:rFonts w:cs="Calibri"/>
                <w:sz w:val="20"/>
                <w:szCs w:val="20"/>
              </w:rPr>
            </w:pPr>
            <w:r w:rsidRPr="00080FE1">
              <w:rPr>
                <w:rFonts w:cs="Calibri"/>
                <w:sz w:val="20"/>
                <w:szCs w:val="20"/>
              </w:rPr>
              <w:t xml:space="preserve">Potassium – </w:t>
            </w:r>
            <w:proofErr w:type="spellStart"/>
            <w:r w:rsidRPr="00080FE1">
              <w:rPr>
                <w:rFonts w:cs="Calibri"/>
                <w:sz w:val="20"/>
                <w:szCs w:val="20"/>
              </w:rPr>
              <w:t>mEq</w:t>
            </w:r>
            <w:proofErr w:type="spellEnd"/>
            <w:r w:rsidRPr="00080FE1">
              <w:rPr>
                <w:rFonts w:cs="Calibri"/>
                <w:sz w:val="20"/>
                <w:szCs w:val="20"/>
              </w:rPr>
              <w:t xml:space="preserve">/L </w:t>
            </w:r>
          </w:p>
        </w:tc>
        <w:tc>
          <w:tcPr>
            <w:tcW w:w="1260" w:type="dxa"/>
          </w:tcPr>
          <w:p w14:paraId="77113E9F"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2.5 – 6.4   </w:t>
            </w:r>
          </w:p>
        </w:tc>
        <w:tc>
          <w:tcPr>
            <w:tcW w:w="1350" w:type="dxa"/>
          </w:tcPr>
          <w:p w14:paraId="6B9C42CF"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 xml:space="preserve">2.10 - 6.7 </w:t>
            </w:r>
          </w:p>
        </w:tc>
        <w:tc>
          <w:tcPr>
            <w:tcW w:w="1350" w:type="dxa"/>
          </w:tcPr>
          <w:p w14:paraId="64BBF283"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c>
          <w:tcPr>
            <w:tcW w:w="1530" w:type="dxa"/>
          </w:tcPr>
          <w:p w14:paraId="19537A69" w14:textId="77777777" w:rsidR="00F62BB0" w:rsidRPr="00030777" w:rsidRDefault="00F62BB0" w:rsidP="00DE61CF">
            <w:pPr>
              <w:jc w:val="center"/>
              <w:rPr>
                <w:color w:val="000000"/>
                <w:sz w:val="20"/>
                <w:szCs w:val="20"/>
              </w:rPr>
            </w:pPr>
            <w:r w:rsidRPr="00030777">
              <w:rPr>
                <w:color w:val="000000"/>
                <w:sz w:val="20"/>
                <w:szCs w:val="20"/>
              </w:rPr>
              <w:t>2.80</w:t>
            </w:r>
            <w:r>
              <w:rPr>
                <w:color w:val="000000"/>
                <w:sz w:val="20"/>
                <w:szCs w:val="20"/>
              </w:rPr>
              <w:t xml:space="preserve"> - </w:t>
            </w:r>
            <w:r w:rsidRPr="00030777">
              <w:rPr>
                <w:color w:val="000000"/>
                <w:sz w:val="20"/>
                <w:szCs w:val="20"/>
              </w:rPr>
              <w:t>7.80</w:t>
            </w:r>
          </w:p>
        </w:tc>
        <w:tc>
          <w:tcPr>
            <w:tcW w:w="1440" w:type="dxa"/>
          </w:tcPr>
          <w:p w14:paraId="328BDA6C" w14:textId="77777777" w:rsidR="00F62BB0" w:rsidRDefault="00F62BB0" w:rsidP="00DE61CF">
            <w:pPr>
              <w:jc w:val="center"/>
              <w:rPr>
                <w:color w:val="000000"/>
                <w:sz w:val="20"/>
                <w:szCs w:val="20"/>
              </w:rPr>
            </w:pPr>
          </w:p>
          <w:p w14:paraId="3A4737A1" w14:textId="77777777" w:rsidR="00F62BB0" w:rsidRPr="00030777" w:rsidRDefault="00F62BB0" w:rsidP="00DE61CF">
            <w:pPr>
              <w:jc w:val="center"/>
              <w:rPr>
                <w:color w:val="000000"/>
                <w:sz w:val="20"/>
                <w:szCs w:val="20"/>
              </w:rPr>
            </w:pPr>
            <w:r w:rsidRPr="00030777">
              <w:rPr>
                <w:color w:val="000000"/>
                <w:sz w:val="20"/>
                <w:szCs w:val="20"/>
              </w:rPr>
              <w:t xml:space="preserve">2.6 – 11  </w:t>
            </w:r>
          </w:p>
        </w:tc>
      </w:tr>
      <w:tr w:rsidR="00F62BB0" w:rsidRPr="00030777" w14:paraId="3D7619E9" w14:textId="77777777" w:rsidTr="00953A40">
        <w:trPr>
          <w:trHeight w:val="557"/>
        </w:trPr>
        <w:tc>
          <w:tcPr>
            <w:tcW w:w="1890" w:type="dxa"/>
            <w:shd w:val="clear" w:color="auto" w:fill="auto"/>
          </w:tcPr>
          <w:p w14:paraId="4FE4EED2" w14:textId="77777777" w:rsidR="00F62BB0" w:rsidRDefault="00F62BB0" w:rsidP="00DE61CF">
            <w:pPr>
              <w:spacing w:after="0" w:line="240" w:lineRule="auto"/>
              <w:rPr>
                <w:rFonts w:cs="Calibri"/>
                <w:sz w:val="20"/>
                <w:szCs w:val="20"/>
              </w:rPr>
            </w:pPr>
            <w:r w:rsidRPr="00080FE1">
              <w:rPr>
                <w:rFonts w:cs="Calibri"/>
                <w:sz w:val="20"/>
                <w:szCs w:val="20"/>
              </w:rPr>
              <w:t xml:space="preserve">Calcium – mmol/L </w:t>
            </w:r>
          </w:p>
          <w:p w14:paraId="1CAAD1A5" w14:textId="77777777" w:rsidR="00F62BB0" w:rsidRDefault="00F62BB0" w:rsidP="00DE61CF">
            <w:pPr>
              <w:spacing w:after="0" w:line="240" w:lineRule="auto"/>
              <w:rPr>
                <w:rFonts w:cs="Calibri"/>
                <w:sz w:val="20"/>
                <w:szCs w:val="20"/>
              </w:rPr>
            </w:pPr>
          </w:p>
          <w:p w14:paraId="60397B3C" w14:textId="77777777" w:rsidR="00F62BB0" w:rsidRPr="00030777" w:rsidRDefault="00F62BB0" w:rsidP="00DE61CF">
            <w:pPr>
              <w:spacing w:after="0" w:line="240" w:lineRule="auto"/>
              <w:rPr>
                <w:rFonts w:cs="Calibri"/>
                <w:sz w:val="20"/>
                <w:szCs w:val="20"/>
              </w:rPr>
            </w:pPr>
            <w:r w:rsidRPr="00080FE1">
              <w:rPr>
                <w:rFonts w:cs="Calibri"/>
                <w:sz w:val="20"/>
                <w:szCs w:val="20"/>
              </w:rPr>
              <w:t xml:space="preserve">Calcium – </w:t>
            </w:r>
            <w:proofErr w:type="spellStart"/>
            <w:r w:rsidRPr="00080FE1">
              <w:rPr>
                <w:rFonts w:cs="Calibri"/>
                <w:sz w:val="20"/>
                <w:szCs w:val="20"/>
              </w:rPr>
              <w:t>mEq</w:t>
            </w:r>
            <w:proofErr w:type="spellEnd"/>
            <w:r w:rsidRPr="00080FE1">
              <w:rPr>
                <w:rFonts w:cs="Calibri"/>
                <w:sz w:val="20"/>
                <w:szCs w:val="20"/>
              </w:rPr>
              <w:t xml:space="preserve">/L </w:t>
            </w:r>
          </w:p>
        </w:tc>
        <w:tc>
          <w:tcPr>
            <w:tcW w:w="1260" w:type="dxa"/>
          </w:tcPr>
          <w:p w14:paraId="183993E7"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.70 – 2.03</w:t>
            </w:r>
          </w:p>
        </w:tc>
        <w:tc>
          <w:tcPr>
            <w:tcW w:w="1350" w:type="dxa"/>
          </w:tcPr>
          <w:p w14:paraId="73EBB5FE"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 xml:space="preserve">.64 – 1.90 </w:t>
            </w:r>
          </w:p>
        </w:tc>
        <w:tc>
          <w:tcPr>
            <w:tcW w:w="1350" w:type="dxa"/>
          </w:tcPr>
          <w:p w14:paraId="34B1D081"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c>
          <w:tcPr>
            <w:tcW w:w="1530" w:type="dxa"/>
          </w:tcPr>
          <w:p w14:paraId="2498A8D3" w14:textId="77777777" w:rsidR="00F62BB0" w:rsidRPr="00030777" w:rsidRDefault="00F62BB0" w:rsidP="00DE61CF">
            <w:pPr>
              <w:jc w:val="center"/>
              <w:rPr>
                <w:color w:val="000000"/>
                <w:sz w:val="20"/>
                <w:szCs w:val="20"/>
              </w:rPr>
            </w:pPr>
            <w:r w:rsidRPr="00030777">
              <w:rPr>
                <w:color w:val="000000"/>
                <w:sz w:val="20"/>
                <w:szCs w:val="20"/>
              </w:rPr>
              <w:t xml:space="preserve">0.84 – 1.37 </w:t>
            </w:r>
          </w:p>
        </w:tc>
        <w:tc>
          <w:tcPr>
            <w:tcW w:w="1440" w:type="dxa"/>
          </w:tcPr>
          <w:p w14:paraId="0F9176D4" w14:textId="77777777" w:rsidR="00F62BB0" w:rsidRDefault="00F62BB0" w:rsidP="00DE61CF">
            <w:pPr>
              <w:jc w:val="center"/>
              <w:rPr>
                <w:color w:val="000000"/>
                <w:sz w:val="20"/>
                <w:szCs w:val="20"/>
              </w:rPr>
            </w:pPr>
            <w:r>
              <w:rPr>
                <w:color w:val="000000"/>
                <w:sz w:val="20"/>
                <w:szCs w:val="20"/>
              </w:rPr>
              <w:t>Not available</w:t>
            </w:r>
          </w:p>
          <w:p w14:paraId="5A886421" w14:textId="77777777" w:rsidR="00F62BB0" w:rsidRPr="00030777" w:rsidRDefault="00F62BB0" w:rsidP="00DE61CF">
            <w:pPr>
              <w:jc w:val="center"/>
              <w:rPr>
                <w:color w:val="000000"/>
                <w:sz w:val="20"/>
                <w:szCs w:val="20"/>
              </w:rPr>
            </w:pPr>
          </w:p>
        </w:tc>
      </w:tr>
      <w:tr w:rsidR="00F62BB0" w:rsidRPr="00030777" w14:paraId="766B5B8A" w14:textId="77777777" w:rsidTr="00953A40">
        <w:tc>
          <w:tcPr>
            <w:tcW w:w="1890" w:type="dxa"/>
            <w:shd w:val="clear" w:color="auto" w:fill="auto"/>
          </w:tcPr>
          <w:p w14:paraId="76CCC3E7" w14:textId="77777777" w:rsidR="00F62BB0" w:rsidRPr="00030777" w:rsidRDefault="00F62BB0" w:rsidP="00DE61CF">
            <w:pPr>
              <w:spacing w:after="0" w:line="240" w:lineRule="auto"/>
              <w:rPr>
                <w:rFonts w:cs="Calibri"/>
                <w:sz w:val="20"/>
                <w:szCs w:val="20"/>
              </w:rPr>
            </w:pPr>
            <w:r w:rsidRPr="00030777">
              <w:rPr>
                <w:rFonts w:cs="Calibri"/>
                <w:sz w:val="20"/>
                <w:szCs w:val="20"/>
              </w:rPr>
              <w:t>Lactate</w:t>
            </w:r>
            <w:r>
              <w:rPr>
                <w:rFonts w:cs="Calibri"/>
                <w:sz w:val="20"/>
                <w:szCs w:val="20"/>
              </w:rPr>
              <w:t xml:space="preserve"> – mmol/L</w:t>
            </w:r>
            <w:r w:rsidRPr="00030777">
              <w:rPr>
                <w:rFonts w:cs="Calibri"/>
                <w:sz w:val="20"/>
                <w:szCs w:val="20"/>
              </w:rPr>
              <w:t xml:space="preserve"> </w:t>
            </w:r>
          </w:p>
        </w:tc>
        <w:tc>
          <w:tcPr>
            <w:tcW w:w="1260" w:type="dxa"/>
          </w:tcPr>
          <w:p w14:paraId="288460F7"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.60 – 18</w:t>
            </w:r>
          </w:p>
        </w:tc>
        <w:tc>
          <w:tcPr>
            <w:tcW w:w="1350" w:type="dxa"/>
          </w:tcPr>
          <w:p w14:paraId="7988BADE"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 xml:space="preserve">.4 – 19     </w:t>
            </w:r>
          </w:p>
        </w:tc>
        <w:tc>
          <w:tcPr>
            <w:tcW w:w="1350" w:type="dxa"/>
          </w:tcPr>
          <w:p w14:paraId="0D75E05F"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c>
          <w:tcPr>
            <w:tcW w:w="1530" w:type="dxa"/>
          </w:tcPr>
          <w:p w14:paraId="7E2D4A97" w14:textId="77777777" w:rsidR="00F62BB0" w:rsidRPr="00030777" w:rsidRDefault="00F62BB0" w:rsidP="00DE61CF">
            <w:pPr>
              <w:jc w:val="center"/>
              <w:rPr>
                <w:color w:val="000000"/>
                <w:sz w:val="20"/>
                <w:szCs w:val="20"/>
              </w:rPr>
            </w:pPr>
            <w:r w:rsidRPr="00030777">
              <w:rPr>
                <w:color w:val="000000"/>
                <w:sz w:val="20"/>
                <w:szCs w:val="20"/>
              </w:rPr>
              <w:t xml:space="preserve">4.00 – 154.90 </w:t>
            </w:r>
          </w:p>
        </w:tc>
        <w:tc>
          <w:tcPr>
            <w:tcW w:w="1440" w:type="dxa"/>
          </w:tcPr>
          <w:p w14:paraId="2A9377E5" w14:textId="77777777" w:rsidR="00F62BB0" w:rsidRPr="00030777" w:rsidRDefault="00F62BB0" w:rsidP="00DE61CF">
            <w:pPr>
              <w:jc w:val="center"/>
              <w:rPr>
                <w:color w:val="000000"/>
                <w:sz w:val="20"/>
                <w:szCs w:val="20"/>
              </w:rPr>
            </w:pPr>
            <w:r>
              <w:rPr>
                <w:color w:val="000000"/>
                <w:sz w:val="20"/>
                <w:szCs w:val="20"/>
              </w:rPr>
              <w:t>Not available</w:t>
            </w:r>
          </w:p>
        </w:tc>
      </w:tr>
      <w:tr w:rsidR="00F62BB0" w:rsidRPr="00030777" w14:paraId="0575F8A5" w14:textId="77777777" w:rsidTr="00953A40">
        <w:trPr>
          <w:trHeight w:val="665"/>
        </w:trPr>
        <w:tc>
          <w:tcPr>
            <w:tcW w:w="1890" w:type="dxa"/>
            <w:shd w:val="clear" w:color="auto" w:fill="auto"/>
          </w:tcPr>
          <w:p w14:paraId="0FA3A4B0" w14:textId="77777777" w:rsidR="00F62BB0" w:rsidRPr="00030777" w:rsidRDefault="00F62BB0" w:rsidP="00DE61CF">
            <w:pPr>
              <w:spacing w:after="0" w:line="240" w:lineRule="auto"/>
              <w:rPr>
                <w:rFonts w:cs="Calibri"/>
                <w:sz w:val="20"/>
                <w:szCs w:val="20"/>
              </w:rPr>
            </w:pPr>
            <w:r w:rsidRPr="00030777">
              <w:rPr>
                <w:rFonts w:cs="Calibri"/>
                <w:sz w:val="20"/>
                <w:szCs w:val="20"/>
              </w:rPr>
              <w:t>Triglycerides</w:t>
            </w:r>
            <w:r>
              <w:rPr>
                <w:rFonts w:cs="Calibri"/>
                <w:sz w:val="20"/>
                <w:szCs w:val="20"/>
              </w:rPr>
              <w:t xml:space="preserve"> – mmol/L</w:t>
            </w:r>
          </w:p>
        </w:tc>
        <w:tc>
          <w:tcPr>
            <w:tcW w:w="1260" w:type="dxa"/>
          </w:tcPr>
          <w:p w14:paraId="13F1A89D"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.78 – 2.8</w:t>
            </w:r>
          </w:p>
        </w:tc>
        <w:tc>
          <w:tcPr>
            <w:tcW w:w="1350" w:type="dxa"/>
          </w:tcPr>
          <w:p w14:paraId="38DE5D1C" w14:textId="77777777" w:rsidR="00F62BB0" w:rsidRPr="00030777" w:rsidRDefault="00F62BB0" w:rsidP="00DE61CF">
            <w:pPr>
              <w:spacing w:after="0" w:line="240" w:lineRule="auto"/>
              <w:jc w:val="center"/>
              <w:rPr>
                <w:rFonts w:cs="Calibri"/>
                <w:sz w:val="20"/>
                <w:szCs w:val="20"/>
              </w:rPr>
            </w:pPr>
            <w:r>
              <w:rPr>
                <w:rFonts w:cs="Calibri"/>
                <w:sz w:val="20"/>
                <w:szCs w:val="20"/>
              </w:rPr>
              <w:t>0</w:t>
            </w:r>
            <w:r w:rsidRPr="00030777">
              <w:rPr>
                <w:rFonts w:cs="Calibri"/>
                <w:sz w:val="20"/>
                <w:szCs w:val="20"/>
              </w:rPr>
              <w:t>.64 – 3.83</w:t>
            </w:r>
          </w:p>
        </w:tc>
        <w:tc>
          <w:tcPr>
            <w:tcW w:w="1350" w:type="dxa"/>
          </w:tcPr>
          <w:p w14:paraId="45A6DF5A" w14:textId="77777777" w:rsidR="00F62BB0" w:rsidRPr="00030777" w:rsidRDefault="00F62BB0" w:rsidP="00DE61CF">
            <w:pPr>
              <w:spacing w:after="0" w:line="240" w:lineRule="auto"/>
              <w:jc w:val="center"/>
              <w:rPr>
                <w:rFonts w:cs="Calibri"/>
                <w:sz w:val="20"/>
                <w:szCs w:val="20"/>
              </w:rPr>
            </w:pPr>
            <w:r w:rsidRPr="00030777">
              <w:rPr>
                <w:rFonts w:cs="Calibri"/>
                <w:sz w:val="20"/>
                <w:szCs w:val="20"/>
              </w:rPr>
              <w:t>1.70 – 692</w:t>
            </w:r>
          </w:p>
        </w:tc>
        <w:tc>
          <w:tcPr>
            <w:tcW w:w="1530" w:type="dxa"/>
          </w:tcPr>
          <w:p w14:paraId="2DD353EB"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c>
          <w:tcPr>
            <w:tcW w:w="1440" w:type="dxa"/>
          </w:tcPr>
          <w:p w14:paraId="1F471825" w14:textId="77777777" w:rsidR="00F62BB0" w:rsidRPr="00030777" w:rsidRDefault="00F62BB0" w:rsidP="00DE61CF">
            <w:pPr>
              <w:spacing w:after="0" w:line="240" w:lineRule="auto"/>
              <w:jc w:val="center"/>
              <w:rPr>
                <w:rFonts w:cs="Calibri"/>
                <w:sz w:val="20"/>
                <w:szCs w:val="20"/>
              </w:rPr>
            </w:pPr>
            <w:r>
              <w:rPr>
                <w:rFonts w:cs="Calibri"/>
                <w:sz w:val="20"/>
                <w:szCs w:val="20"/>
              </w:rPr>
              <w:t>Not available</w:t>
            </w:r>
          </w:p>
        </w:tc>
      </w:tr>
    </w:tbl>
    <w:p w14:paraId="19D08412" w14:textId="77777777" w:rsidR="00F62BB0" w:rsidRDefault="00F62BB0" w:rsidP="00F62BB0">
      <w:pPr>
        <w:rPr>
          <w:rFonts w:ascii="Arial" w:hAnsi="Arial" w:cs="Arial"/>
          <w:b/>
          <w:sz w:val="24"/>
          <w:szCs w:val="24"/>
        </w:rPr>
      </w:pPr>
    </w:p>
    <w:p w14:paraId="6F676DDE" w14:textId="77777777" w:rsidR="00F62BB0" w:rsidRPr="00176AE2" w:rsidRDefault="00F62BB0" w:rsidP="00B86524">
      <w:pPr>
        <w:spacing w:line="480" w:lineRule="auto"/>
        <w:ind w:left="270"/>
        <w:rPr>
          <w:rFonts w:cs="Arial"/>
        </w:rPr>
      </w:pPr>
      <w:r w:rsidRPr="00176AE2">
        <w:rPr>
          <w:rFonts w:cs="Arial"/>
        </w:rPr>
        <w:t xml:space="preserve">Supplemental Table </w:t>
      </w:r>
      <w:r w:rsidR="0011187C">
        <w:rPr>
          <w:rFonts w:cs="Arial"/>
        </w:rPr>
        <w:t>4</w:t>
      </w:r>
      <w:r w:rsidR="0011187C" w:rsidRPr="00176AE2">
        <w:rPr>
          <w:rFonts w:cs="Arial"/>
        </w:rPr>
        <w:t xml:space="preserve"> </w:t>
      </w:r>
      <w:r w:rsidRPr="00176AE2">
        <w:rPr>
          <w:rFonts w:cs="Arial"/>
        </w:rPr>
        <w:t>shows a breakdown of a range of biochemical and physiological factors known to associated with interference of BGMS results. The abnormal ranges reflect the nature of the patient population. In site 1,</w:t>
      </w:r>
      <w:r>
        <w:rPr>
          <w:rFonts w:cs="Arial"/>
        </w:rPr>
        <w:t xml:space="preserve"> </w:t>
      </w:r>
      <w:r w:rsidRPr="00176AE2">
        <w:rPr>
          <w:rFonts w:cs="Arial"/>
        </w:rPr>
        <w:t xml:space="preserve">2 and 3 results are routinely reported in SI units and in sites 3 and 4 results are routinely reported </w:t>
      </w:r>
      <w:r w:rsidRPr="006E422E">
        <w:rPr>
          <w:rFonts w:cs="Arial"/>
        </w:rPr>
        <w:t>in US customary units.</w:t>
      </w:r>
      <w:r w:rsidRPr="00176AE2">
        <w:rPr>
          <w:rFonts w:cs="Arial"/>
        </w:rPr>
        <w:t xml:space="preserve"> </w:t>
      </w:r>
    </w:p>
    <w:p w14:paraId="0CD3035C" w14:textId="77777777" w:rsidR="00AB5B2B" w:rsidRDefault="00AB5B2B" w:rsidP="00953A40">
      <w:pPr>
        <w:spacing w:after="0" w:line="240" w:lineRule="auto"/>
        <w:rPr>
          <w:b/>
          <w:sz w:val="28"/>
          <w:szCs w:val="28"/>
          <w:u w:val="single"/>
        </w:rPr>
      </w:pPr>
    </w:p>
    <w:p w14:paraId="1634A296" w14:textId="77777777" w:rsidR="0011187C" w:rsidRDefault="0011187C" w:rsidP="00953A40">
      <w:pPr>
        <w:spacing w:line="480" w:lineRule="auto"/>
        <w:ind w:left="180" w:firstLine="266"/>
        <w:rPr>
          <w:b/>
          <w:sz w:val="28"/>
          <w:szCs w:val="28"/>
          <w:u w:val="single"/>
        </w:rPr>
      </w:pPr>
      <w:r>
        <w:rPr>
          <w:b/>
          <w:sz w:val="28"/>
          <w:szCs w:val="28"/>
          <w:u w:val="single"/>
        </w:rPr>
        <w:lastRenderedPageBreak/>
        <w:t>Supplemental Table 5.</w:t>
      </w:r>
    </w:p>
    <w:p w14:paraId="7C4E16E0" w14:textId="77777777" w:rsidR="0011187C" w:rsidRDefault="0011187C" w:rsidP="00953A40">
      <w:pPr>
        <w:tabs>
          <w:tab w:val="left" w:pos="180"/>
          <w:tab w:val="left" w:pos="630"/>
        </w:tabs>
        <w:spacing w:line="480" w:lineRule="auto"/>
        <w:ind w:left="450"/>
        <w:rPr>
          <w:lang w:val="en-GB"/>
        </w:rPr>
      </w:pPr>
      <w:r w:rsidRPr="004529B4">
        <w:rPr>
          <w:lang w:val="en-GB"/>
        </w:rPr>
        <w:t xml:space="preserve">Supplemental Table </w:t>
      </w:r>
      <w:r>
        <w:rPr>
          <w:lang w:val="en-GB"/>
        </w:rPr>
        <w:t>5</w:t>
      </w:r>
      <w:r w:rsidRPr="004529B4">
        <w:rPr>
          <w:lang w:val="en-GB"/>
        </w:rPr>
        <w:t xml:space="preserve"> </w:t>
      </w:r>
      <w:r>
        <w:rPr>
          <w:lang w:val="en-GB"/>
        </w:rPr>
        <w:t>provides further background definitions to the test methodology used in the study that is recommended by, and referred to, in international guidelines and standards.</w:t>
      </w:r>
    </w:p>
    <w:p w14:paraId="5AD08D07" w14:textId="77777777" w:rsidR="00AB5B2B" w:rsidRPr="001406D7" w:rsidRDefault="00AB5B2B" w:rsidP="0011187C">
      <w:pPr>
        <w:spacing w:after="0" w:line="240" w:lineRule="auto"/>
        <w:rPr>
          <w:b/>
          <w:sz w:val="28"/>
          <w:szCs w:val="28"/>
          <w:u w:val="single"/>
        </w:rPr>
      </w:pPr>
    </w:p>
    <w:tbl>
      <w:tblPr>
        <w:tblW w:w="478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960"/>
        <w:gridCol w:w="2893"/>
        <w:gridCol w:w="3546"/>
      </w:tblGrid>
      <w:tr w:rsidR="004A1ECC" w:rsidRPr="00811CDE" w14:paraId="2D886571" w14:textId="77777777" w:rsidTr="00953A40">
        <w:trPr>
          <w:trHeight w:val="288"/>
        </w:trPr>
        <w:tc>
          <w:tcPr>
            <w:tcW w:w="796" w:type="pct"/>
            <w:shd w:val="clear" w:color="auto" w:fill="auto"/>
            <w:noWrap/>
            <w:hideMark/>
          </w:tcPr>
          <w:p w14:paraId="0DBF36EA" w14:textId="77777777" w:rsidR="004A1ECC" w:rsidRPr="00811CDE" w:rsidRDefault="004A1ECC" w:rsidP="00806F2B">
            <w:pPr>
              <w:spacing w:after="0" w:line="240" w:lineRule="auto"/>
              <w:rPr>
                <w:b/>
              </w:rPr>
            </w:pPr>
            <w:r>
              <w:rPr>
                <w:b/>
              </w:rPr>
              <w:t xml:space="preserve">Methodology </w:t>
            </w:r>
          </w:p>
        </w:tc>
        <w:tc>
          <w:tcPr>
            <w:tcW w:w="981" w:type="pct"/>
            <w:shd w:val="clear" w:color="auto" w:fill="auto"/>
            <w:noWrap/>
            <w:hideMark/>
          </w:tcPr>
          <w:p w14:paraId="7BAA5BA9" w14:textId="77777777" w:rsidR="004A1ECC" w:rsidRPr="00811CDE" w:rsidRDefault="004A1ECC" w:rsidP="00806F2B">
            <w:pPr>
              <w:spacing w:after="0" w:line="240" w:lineRule="auto"/>
              <w:rPr>
                <w:b/>
              </w:rPr>
            </w:pPr>
            <w:r>
              <w:rPr>
                <w:b/>
              </w:rPr>
              <w:t xml:space="preserve">Terminology </w:t>
            </w:r>
          </w:p>
        </w:tc>
        <w:tc>
          <w:tcPr>
            <w:tcW w:w="1448" w:type="pct"/>
          </w:tcPr>
          <w:p w14:paraId="518B6C7D" w14:textId="77777777" w:rsidR="004A1ECC" w:rsidRDefault="004A1ECC" w:rsidP="00806F2B">
            <w:pPr>
              <w:spacing w:after="0" w:line="240" w:lineRule="auto"/>
              <w:rPr>
                <w:b/>
              </w:rPr>
            </w:pPr>
            <w:r>
              <w:rPr>
                <w:b/>
              </w:rPr>
              <w:t>Definition</w:t>
            </w:r>
          </w:p>
        </w:tc>
        <w:tc>
          <w:tcPr>
            <w:tcW w:w="1775" w:type="pct"/>
            <w:shd w:val="clear" w:color="auto" w:fill="auto"/>
            <w:noWrap/>
            <w:hideMark/>
          </w:tcPr>
          <w:p w14:paraId="6CCDC841" w14:textId="77777777" w:rsidR="004A1ECC" w:rsidRPr="00811CDE" w:rsidRDefault="004A1ECC" w:rsidP="00806F2B">
            <w:pPr>
              <w:spacing w:after="0" w:line="240" w:lineRule="auto"/>
              <w:rPr>
                <w:b/>
              </w:rPr>
            </w:pPr>
            <w:r>
              <w:rPr>
                <w:b/>
              </w:rPr>
              <w:t xml:space="preserve">Reference </w:t>
            </w:r>
          </w:p>
        </w:tc>
      </w:tr>
      <w:tr w:rsidR="004A1ECC" w:rsidRPr="00811CDE" w14:paraId="17B813B4" w14:textId="77777777" w:rsidTr="00953A40">
        <w:trPr>
          <w:trHeight w:val="288"/>
        </w:trPr>
        <w:tc>
          <w:tcPr>
            <w:tcW w:w="796" w:type="pct"/>
            <w:shd w:val="clear" w:color="auto" w:fill="auto"/>
            <w:noWrap/>
            <w:hideMark/>
          </w:tcPr>
          <w:p w14:paraId="64A87564" w14:textId="77777777" w:rsidR="004A1ECC" w:rsidRPr="00811CDE" w:rsidRDefault="004A1ECC" w:rsidP="00806F2B">
            <w:pPr>
              <w:spacing w:after="0" w:line="240" w:lineRule="auto"/>
            </w:pPr>
            <w:r>
              <w:t>BGMS</w:t>
            </w:r>
          </w:p>
        </w:tc>
        <w:tc>
          <w:tcPr>
            <w:tcW w:w="981" w:type="pct"/>
            <w:shd w:val="clear" w:color="auto" w:fill="auto"/>
            <w:noWrap/>
          </w:tcPr>
          <w:p w14:paraId="2DAC7943" w14:textId="77777777" w:rsidR="004A1ECC" w:rsidRPr="00811CDE" w:rsidRDefault="004A1ECC" w:rsidP="00806F2B">
            <w:pPr>
              <w:spacing w:after="0" w:line="240" w:lineRule="auto"/>
            </w:pPr>
            <w:r>
              <w:t>Blood Glucose Monitoring system</w:t>
            </w:r>
          </w:p>
        </w:tc>
        <w:tc>
          <w:tcPr>
            <w:tcW w:w="1448" w:type="pct"/>
          </w:tcPr>
          <w:p w14:paraId="4CB4C373" w14:textId="77777777" w:rsidR="004A1ECC" w:rsidRPr="00811CDE" w:rsidRDefault="004A1ECC" w:rsidP="00806F2B">
            <w:pPr>
              <w:spacing w:after="0" w:line="240" w:lineRule="auto"/>
            </w:pPr>
            <w:r>
              <w:t xml:space="preserve">US FDA description for blood glucose monitoring systems approved for use in hospitals. Also considered to be for Prescription Point-of-Care Use. </w:t>
            </w:r>
          </w:p>
        </w:tc>
        <w:tc>
          <w:tcPr>
            <w:tcW w:w="1775" w:type="pct"/>
            <w:shd w:val="clear" w:color="auto" w:fill="auto"/>
            <w:noWrap/>
          </w:tcPr>
          <w:p w14:paraId="4DBAF0E3" w14:textId="77777777" w:rsidR="004A1ECC" w:rsidRPr="00811CDE" w:rsidRDefault="004A1ECC" w:rsidP="00806F2B">
            <w:pPr>
              <w:spacing w:after="0" w:line="240" w:lineRule="auto"/>
            </w:pPr>
            <w:r w:rsidRPr="007014F0">
              <w:t xml:space="preserve">Food and Drug Administration: </w:t>
            </w:r>
            <w:r>
              <w:t>Self-Monitoring Blood Glucose Test Systems for Over-the-Counter Use</w:t>
            </w:r>
            <w:r w:rsidRPr="007014F0">
              <w:t>. Draft Guidance for Industry and FDA Staff. Rockville, MD: 2014</w:t>
            </w:r>
          </w:p>
        </w:tc>
      </w:tr>
      <w:tr w:rsidR="004A1ECC" w:rsidRPr="00811CDE" w14:paraId="61094C8D" w14:textId="77777777" w:rsidTr="00953A40">
        <w:trPr>
          <w:trHeight w:val="288"/>
        </w:trPr>
        <w:tc>
          <w:tcPr>
            <w:tcW w:w="796" w:type="pct"/>
            <w:shd w:val="clear" w:color="auto" w:fill="auto"/>
            <w:noWrap/>
            <w:hideMark/>
          </w:tcPr>
          <w:p w14:paraId="0BD88EB3" w14:textId="77777777" w:rsidR="004A1ECC" w:rsidRPr="00811CDE" w:rsidRDefault="004A1ECC" w:rsidP="00806F2B">
            <w:pPr>
              <w:spacing w:after="0" w:line="240" w:lineRule="auto"/>
            </w:pPr>
            <w:r>
              <w:t>SMBG</w:t>
            </w:r>
          </w:p>
        </w:tc>
        <w:tc>
          <w:tcPr>
            <w:tcW w:w="981" w:type="pct"/>
            <w:shd w:val="clear" w:color="auto" w:fill="auto"/>
            <w:noWrap/>
          </w:tcPr>
          <w:p w14:paraId="0DE7263F" w14:textId="77777777" w:rsidR="004A1ECC" w:rsidRPr="00811CDE" w:rsidRDefault="004A1ECC" w:rsidP="00806F2B">
            <w:pPr>
              <w:spacing w:after="0" w:line="240" w:lineRule="auto"/>
            </w:pPr>
            <w:r>
              <w:t>Self-Monitoring blood glucose system</w:t>
            </w:r>
          </w:p>
        </w:tc>
        <w:tc>
          <w:tcPr>
            <w:tcW w:w="1448" w:type="pct"/>
          </w:tcPr>
          <w:p w14:paraId="77B301B8" w14:textId="77777777" w:rsidR="004A1ECC" w:rsidRPr="00811CDE" w:rsidRDefault="004A1ECC" w:rsidP="00806F2B">
            <w:pPr>
              <w:spacing w:after="0" w:line="240" w:lineRule="auto"/>
            </w:pPr>
            <w:r w:rsidRPr="00A9746C">
              <w:t xml:space="preserve">US FDA description for </w:t>
            </w:r>
            <w:r>
              <w:t>glucose meters used by diabetic patients for self -</w:t>
            </w:r>
            <w:r w:rsidRPr="00A9746C">
              <w:t xml:space="preserve">monitoring </w:t>
            </w:r>
            <w:r>
              <w:t>of glucose. Also considered to be for ov</w:t>
            </w:r>
            <w:r w:rsidRPr="007014F0">
              <w:t>er-the-counter</w:t>
            </w:r>
            <w:r>
              <w:t>.</w:t>
            </w:r>
          </w:p>
        </w:tc>
        <w:tc>
          <w:tcPr>
            <w:tcW w:w="1775" w:type="pct"/>
            <w:shd w:val="clear" w:color="auto" w:fill="auto"/>
            <w:noWrap/>
          </w:tcPr>
          <w:p w14:paraId="2955F0F2" w14:textId="77777777" w:rsidR="004A1ECC" w:rsidRPr="00811CDE" w:rsidRDefault="004A1ECC" w:rsidP="00806F2B">
            <w:pPr>
              <w:spacing w:after="0" w:line="240" w:lineRule="auto"/>
            </w:pPr>
            <w:r w:rsidRPr="007014F0">
              <w:t>Food and Drug Administration: Blood glucose monitoring test systems for prescription point-of-care use. Draft Guidance for Industry and FDA Staff. Rockville, MD: 2014</w:t>
            </w:r>
          </w:p>
        </w:tc>
      </w:tr>
      <w:tr w:rsidR="004A1ECC" w:rsidRPr="00811CDE" w14:paraId="5BDC7E40" w14:textId="77777777" w:rsidTr="00953A40">
        <w:trPr>
          <w:trHeight w:val="288"/>
        </w:trPr>
        <w:tc>
          <w:tcPr>
            <w:tcW w:w="796" w:type="pct"/>
            <w:shd w:val="clear" w:color="auto" w:fill="auto"/>
            <w:noWrap/>
            <w:hideMark/>
          </w:tcPr>
          <w:p w14:paraId="3CCAB8DB" w14:textId="77777777" w:rsidR="004A1ECC" w:rsidRPr="00811CDE" w:rsidRDefault="004A1ECC" w:rsidP="00806F2B">
            <w:pPr>
              <w:spacing w:after="0" w:line="240" w:lineRule="auto"/>
            </w:pPr>
            <w:r>
              <w:t>ID-GCMS</w:t>
            </w:r>
          </w:p>
        </w:tc>
        <w:tc>
          <w:tcPr>
            <w:tcW w:w="981" w:type="pct"/>
            <w:shd w:val="clear" w:color="auto" w:fill="auto"/>
            <w:noWrap/>
          </w:tcPr>
          <w:p w14:paraId="48227828" w14:textId="77777777" w:rsidR="004A1ECC" w:rsidRPr="00811CDE" w:rsidRDefault="004A1ECC" w:rsidP="00806F2B">
            <w:pPr>
              <w:spacing w:after="0" w:line="240" w:lineRule="auto"/>
            </w:pPr>
            <w:r>
              <w:t>Isotope Dilution Gas Chromatography Mass Spectrometry</w:t>
            </w:r>
          </w:p>
        </w:tc>
        <w:tc>
          <w:tcPr>
            <w:tcW w:w="1448" w:type="pct"/>
          </w:tcPr>
          <w:p w14:paraId="6D68851F" w14:textId="77777777" w:rsidR="004A1ECC" w:rsidRPr="00811CDE" w:rsidRDefault="004A1ECC" w:rsidP="00806F2B">
            <w:pPr>
              <w:spacing w:after="0" w:line="240" w:lineRule="auto"/>
            </w:pPr>
            <w:r>
              <w:t>Highest order reference  measurement methodology  for  assessing traceability and alignment of glucose measurement  methods</w:t>
            </w:r>
          </w:p>
        </w:tc>
        <w:tc>
          <w:tcPr>
            <w:tcW w:w="1775" w:type="pct"/>
            <w:shd w:val="clear" w:color="auto" w:fill="auto"/>
            <w:noWrap/>
          </w:tcPr>
          <w:p w14:paraId="5DC7FA5C" w14:textId="77777777" w:rsidR="004A1ECC" w:rsidRPr="00811CDE" w:rsidRDefault="004A1ECC" w:rsidP="00806F2B">
            <w:pPr>
              <w:spacing w:after="0" w:line="240" w:lineRule="auto"/>
            </w:pPr>
            <w:proofErr w:type="spellStart"/>
            <w:r w:rsidRPr="00DC26BE">
              <w:t>Andreis</w:t>
            </w:r>
            <w:proofErr w:type="spellEnd"/>
            <w:r w:rsidRPr="00DC26BE">
              <w:t xml:space="preserve"> E, </w:t>
            </w:r>
            <w:proofErr w:type="spellStart"/>
            <w:r w:rsidRPr="00DC26BE">
              <w:t>Küllmer</w:t>
            </w:r>
            <w:proofErr w:type="spellEnd"/>
            <w:r w:rsidRPr="00DC26BE">
              <w:t xml:space="preserve"> K, Appel M, Application of the Reference Method Isotope Dilution Gas Chromatography Mass </w:t>
            </w:r>
            <w:proofErr w:type="gramStart"/>
            <w:r w:rsidRPr="00DC26BE">
              <w:t>Spectrometry  (</w:t>
            </w:r>
            <w:proofErr w:type="gramEnd"/>
            <w:r w:rsidRPr="00DC26BE">
              <w:t>ID/GC/MS) to Establish Metrological Traceability for Calibration and Control of Blood Glucose Test  Systems. 2014 Journal of Diabetes Science and Technology, Vol. 8(3) 508–515</w:t>
            </w:r>
          </w:p>
        </w:tc>
      </w:tr>
    </w:tbl>
    <w:p w14:paraId="34E44D7E" w14:textId="77777777" w:rsidR="004A1ECC" w:rsidRDefault="004A1ECC" w:rsidP="004A1ECC"/>
    <w:p w14:paraId="357DB85C" w14:textId="77777777" w:rsidR="004A1ECC" w:rsidRDefault="004A1ECC" w:rsidP="004A1ECC">
      <w:pPr>
        <w:spacing w:line="480" w:lineRule="auto"/>
        <w:rPr>
          <w:b/>
          <w:sz w:val="24"/>
          <w:szCs w:val="24"/>
          <w:u w:val="single"/>
        </w:rPr>
      </w:pPr>
    </w:p>
    <w:p w14:paraId="3316763E" w14:textId="77777777" w:rsidR="001406D7" w:rsidRDefault="001406D7" w:rsidP="004A1ECC">
      <w:pPr>
        <w:spacing w:line="480" w:lineRule="auto"/>
        <w:rPr>
          <w:b/>
          <w:sz w:val="24"/>
          <w:szCs w:val="24"/>
          <w:u w:val="single"/>
        </w:rPr>
      </w:pPr>
    </w:p>
    <w:p w14:paraId="7FC2F3AC" w14:textId="77777777" w:rsidR="004A1ECC" w:rsidRDefault="004A1ECC" w:rsidP="004A1ECC">
      <w:pPr>
        <w:rPr>
          <w:rFonts w:cs="Arial"/>
          <w:sz w:val="24"/>
          <w:szCs w:val="24"/>
        </w:rPr>
      </w:pPr>
    </w:p>
    <w:p w14:paraId="750B14CD" w14:textId="77777777" w:rsidR="001F69B2" w:rsidRPr="001406D7" w:rsidRDefault="001F69B2" w:rsidP="001406D7">
      <w:pPr>
        <w:rPr>
          <w:rFonts w:cs="Arial"/>
          <w:sz w:val="24"/>
          <w:szCs w:val="24"/>
        </w:rPr>
      </w:pPr>
    </w:p>
    <w:sectPr w:rsidR="001F69B2" w:rsidRPr="001406D7" w:rsidSect="002A6A8C">
      <w:pgSz w:w="12240" w:h="15840"/>
      <w:pgMar w:top="1440" w:right="144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68FF"/>
    <w:multiLevelType w:val="hybridMultilevel"/>
    <w:tmpl w:val="81285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4B53C64"/>
    <w:multiLevelType w:val="hybridMultilevel"/>
    <w:tmpl w:val="7B5AC4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4"/>
    <w:rsid w:val="00084F9E"/>
    <w:rsid w:val="000F0EC6"/>
    <w:rsid w:val="0011187C"/>
    <w:rsid w:val="001406D7"/>
    <w:rsid w:val="00171132"/>
    <w:rsid w:val="001F69B2"/>
    <w:rsid w:val="00291513"/>
    <w:rsid w:val="002A6A8C"/>
    <w:rsid w:val="002D557D"/>
    <w:rsid w:val="00367766"/>
    <w:rsid w:val="004A1ECC"/>
    <w:rsid w:val="004E0D7F"/>
    <w:rsid w:val="005B1A0A"/>
    <w:rsid w:val="005D1E9B"/>
    <w:rsid w:val="006D2C9E"/>
    <w:rsid w:val="007939A8"/>
    <w:rsid w:val="007D3B5F"/>
    <w:rsid w:val="007D5471"/>
    <w:rsid w:val="00806F2B"/>
    <w:rsid w:val="008F7779"/>
    <w:rsid w:val="00911E05"/>
    <w:rsid w:val="00927C1A"/>
    <w:rsid w:val="00953A40"/>
    <w:rsid w:val="00970A04"/>
    <w:rsid w:val="00A44670"/>
    <w:rsid w:val="00AB5B2B"/>
    <w:rsid w:val="00B36B0F"/>
    <w:rsid w:val="00B86524"/>
    <w:rsid w:val="00C029BC"/>
    <w:rsid w:val="00C73C49"/>
    <w:rsid w:val="00CD267C"/>
    <w:rsid w:val="00E31FC6"/>
    <w:rsid w:val="00ED6B3D"/>
    <w:rsid w:val="00F62BB0"/>
    <w:rsid w:val="00FE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E08"/>
  <w15:docId w15:val="{27A193EE-99C4-45E9-A080-5E24FF04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CC"/>
    <w:pPr>
      <w:spacing w:after="160" w:line="259" w:lineRule="auto"/>
      <w:ind w:left="720"/>
      <w:contextualSpacing/>
    </w:pPr>
    <w:rPr>
      <w:lang w:val="en-CA"/>
    </w:rPr>
  </w:style>
  <w:style w:type="character" w:customStyle="1" w:styleId="ZchnZchn">
    <w:name w:val="Zchn Zchn"/>
    <w:uiPriority w:val="99"/>
    <w:rsid w:val="004A1ECC"/>
    <w:rPr>
      <w:rFonts w:ascii="Arial" w:hAnsi="Arial"/>
      <w:b/>
      <w:kern w:val="1"/>
      <w:sz w:val="32"/>
      <w:lang w:val="de-DE" w:eastAsia="ar-SA" w:bidi="ar-SA"/>
    </w:rPr>
  </w:style>
  <w:style w:type="table" w:styleId="TableGrid">
    <w:name w:val="Table Grid"/>
    <w:basedOn w:val="TableNormal"/>
    <w:uiPriority w:val="59"/>
    <w:rsid w:val="004A1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DuBois</dc:creator>
  <cp:lastModifiedBy>Baeuerlein, Christopher</cp:lastModifiedBy>
  <cp:revision>6</cp:revision>
  <cp:lastPrinted>2016-10-11T16:02:00Z</cp:lastPrinted>
  <dcterms:created xsi:type="dcterms:W3CDTF">2016-10-11T14:36:00Z</dcterms:created>
  <dcterms:modified xsi:type="dcterms:W3CDTF">2016-12-14T21:00:00Z</dcterms:modified>
</cp:coreProperties>
</file>