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D52C" w14:textId="77777777" w:rsidR="00F25A83" w:rsidRPr="001B46FF" w:rsidRDefault="00F25A83" w:rsidP="00F25A83">
      <w:pPr>
        <w:spacing w:line="480" w:lineRule="auto"/>
        <w:rPr>
          <w:rFonts w:ascii="Arial" w:hAnsi="Arial" w:cs="Arial"/>
          <w:b/>
          <w:sz w:val="24"/>
          <w:szCs w:val="24"/>
        </w:rPr>
      </w:pPr>
      <w:r w:rsidRPr="001B46FF">
        <w:rPr>
          <w:rFonts w:ascii="Arial" w:hAnsi="Arial" w:cs="Arial"/>
          <w:b/>
          <w:sz w:val="24"/>
          <w:szCs w:val="24"/>
        </w:rPr>
        <w:t>Supplemental Digital Content</w:t>
      </w:r>
    </w:p>
    <w:p w14:paraId="4BD1DFA3" w14:textId="77777777" w:rsidR="00F25A83" w:rsidRPr="001B46FF" w:rsidRDefault="00F25A83" w:rsidP="00F25A83">
      <w:pPr>
        <w:spacing w:line="480" w:lineRule="auto"/>
        <w:rPr>
          <w:rFonts w:ascii="Arial" w:hAnsi="Arial" w:cs="Arial"/>
          <w:b/>
          <w:sz w:val="24"/>
          <w:szCs w:val="24"/>
        </w:rPr>
      </w:pPr>
    </w:p>
    <w:p w14:paraId="4D7D4435" w14:textId="77777777" w:rsidR="00F25A83" w:rsidRPr="001B46FF" w:rsidRDefault="00F25A83" w:rsidP="00F25A83">
      <w:pPr>
        <w:spacing w:line="480" w:lineRule="auto"/>
        <w:rPr>
          <w:rFonts w:ascii="Arial" w:hAnsi="Arial" w:cs="Arial"/>
          <w:b/>
          <w:sz w:val="24"/>
          <w:szCs w:val="24"/>
        </w:rPr>
      </w:pPr>
      <w:r w:rsidRPr="001B46FF">
        <w:rPr>
          <w:rFonts w:ascii="Arial" w:hAnsi="Arial" w:cs="Arial"/>
          <w:b/>
          <w:sz w:val="24"/>
          <w:szCs w:val="24"/>
        </w:rPr>
        <w:t>Liberal Versus Restrictive Transfusion Strategy in Critically Ill Oncologic Patients: The TRICOP Randomized Controlled Trial</w:t>
      </w:r>
    </w:p>
    <w:p w14:paraId="59AE96D8" w14:textId="77777777" w:rsidR="00F25A83" w:rsidRPr="001B46FF" w:rsidRDefault="00F25A83" w:rsidP="00F25A83">
      <w:pPr>
        <w:spacing w:line="480" w:lineRule="auto"/>
        <w:rPr>
          <w:rFonts w:ascii="Arial" w:hAnsi="Arial" w:cs="Arial"/>
          <w:sz w:val="24"/>
          <w:szCs w:val="24"/>
        </w:rPr>
      </w:pPr>
    </w:p>
    <w:p w14:paraId="19DDC466" w14:textId="77777777" w:rsidR="00195390" w:rsidRPr="001B46FF" w:rsidRDefault="0008493D" w:rsidP="00F25A83">
      <w:pPr>
        <w:spacing w:line="480" w:lineRule="auto"/>
        <w:rPr>
          <w:rFonts w:ascii="Arial" w:hAnsi="Arial" w:cs="Arial"/>
          <w:sz w:val="24"/>
          <w:szCs w:val="24"/>
        </w:rPr>
      </w:pPr>
      <w:r w:rsidRPr="00032A34">
        <w:rPr>
          <w:rStyle w:val="apple-converted-space"/>
          <w:rFonts w:ascii="Arial" w:hAnsi="Arial"/>
          <w:sz w:val="24"/>
          <w:szCs w:val="24"/>
        </w:rPr>
        <w:t>Fabricio S. Bergamin, MD; Juliano P. Almeida, MD, PhD; Giovanni Landoni MD; Filomena R. B. G. Galas, MD, PhD; Julia T. Fukushima, MSc; Evgeny Fominskiy, MD, PhD; Clarice H.L. Park, MD; Eduardo A. Osawa, MD, PhD; Maria P.E. Diz, MD, PhD; Gisele Q. Oliveira, MD; Rafael A. Franco, MD; Rosana E. Nakamura, MD; Elisangela M. Almeida, MD; Edson Abdala, MD, PhD; Maristela P. Freire, MD, PhD; Roberto K. Filho, MD, PhD; Jose Otavio C.A. Junior, MD, PhD; Ludhmila A. Hajjar, MD, PhD</w:t>
      </w:r>
    </w:p>
    <w:p w14:paraId="6BC42E0E" w14:textId="77777777" w:rsidR="00DD71E4" w:rsidRPr="001B46FF" w:rsidRDefault="00DD71E4" w:rsidP="00F25A83">
      <w:pPr>
        <w:spacing w:line="480" w:lineRule="auto"/>
        <w:rPr>
          <w:rFonts w:ascii="Arial" w:hAnsi="Arial" w:cs="Arial"/>
          <w:sz w:val="24"/>
          <w:szCs w:val="24"/>
        </w:rPr>
      </w:pPr>
    </w:p>
    <w:p w14:paraId="6027C758" w14:textId="77777777" w:rsidR="00DD71E4" w:rsidRPr="001B46FF" w:rsidRDefault="00DD71E4" w:rsidP="00264053">
      <w:pPr>
        <w:spacing w:line="480" w:lineRule="auto"/>
        <w:jc w:val="both"/>
        <w:rPr>
          <w:rFonts w:ascii="Arial" w:hAnsi="Arial" w:cs="Arial"/>
          <w:b/>
          <w:sz w:val="24"/>
          <w:szCs w:val="24"/>
          <w:lang w:val="en-US"/>
        </w:rPr>
      </w:pPr>
      <w:r w:rsidRPr="001B46FF">
        <w:rPr>
          <w:rFonts w:ascii="Arial" w:hAnsi="Arial" w:cs="Arial"/>
          <w:b/>
          <w:sz w:val="24"/>
          <w:szCs w:val="24"/>
          <w:lang w:val="en-US"/>
        </w:rPr>
        <w:t>INDEX</w:t>
      </w:r>
    </w:p>
    <w:p w14:paraId="71176956" w14:textId="77777777" w:rsidR="00DD71E4" w:rsidRPr="001B46FF" w:rsidRDefault="00DD71E4" w:rsidP="00264053">
      <w:pPr>
        <w:spacing w:line="480" w:lineRule="auto"/>
        <w:jc w:val="both"/>
        <w:rPr>
          <w:rFonts w:ascii="Arial" w:hAnsi="Arial" w:cs="Arial"/>
          <w:b/>
          <w:sz w:val="24"/>
          <w:szCs w:val="24"/>
          <w:lang w:val="en-US"/>
        </w:rPr>
      </w:pPr>
      <w:r w:rsidRPr="001B46FF">
        <w:rPr>
          <w:rFonts w:ascii="Arial" w:hAnsi="Arial" w:cs="Arial"/>
          <w:b/>
          <w:sz w:val="24"/>
          <w:szCs w:val="24"/>
          <w:lang w:val="en-US"/>
        </w:rPr>
        <w:t>SUPPLEMENTAL METHODS</w:t>
      </w:r>
      <w:r w:rsidRPr="001B46FF">
        <w:rPr>
          <w:rFonts w:ascii="Arial" w:hAnsi="Arial" w:cs="Arial"/>
          <w:b/>
          <w:sz w:val="24"/>
          <w:szCs w:val="24"/>
          <w:lang w:val="en-US"/>
        </w:rPr>
        <w:tab/>
      </w:r>
      <w:r w:rsidRPr="001B46FF">
        <w:rPr>
          <w:rFonts w:ascii="Arial" w:hAnsi="Arial" w:cs="Arial"/>
          <w:b/>
          <w:sz w:val="24"/>
          <w:szCs w:val="24"/>
          <w:lang w:val="en-US"/>
        </w:rPr>
        <w:tab/>
      </w:r>
      <w:r w:rsidRPr="001B46FF">
        <w:rPr>
          <w:rFonts w:ascii="Arial" w:hAnsi="Arial" w:cs="Arial"/>
          <w:b/>
          <w:sz w:val="24"/>
          <w:szCs w:val="24"/>
          <w:lang w:val="en-US"/>
        </w:rPr>
        <w:tab/>
      </w:r>
      <w:r w:rsidRPr="001B46FF">
        <w:rPr>
          <w:rFonts w:ascii="Arial" w:hAnsi="Arial" w:cs="Arial"/>
          <w:b/>
          <w:sz w:val="24"/>
          <w:szCs w:val="24"/>
          <w:lang w:val="en-US"/>
        </w:rPr>
        <w:tab/>
      </w:r>
      <w:r w:rsidRPr="001B46FF">
        <w:rPr>
          <w:rFonts w:ascii="Arial" w:hAnsi="Arial" w:cs="Arial"/>
          <w:b/>
          <w:sz w:val="24"/>
          <w:szCs w:val="24"/>
          <w:lang w:val="en-US"/>
        </w:rPr>
        <w:tab/>
      </w:r>
      <w:r w:rsidR="00195390" w:rsidRPr="001B46FF">
        <w:rPr>
          <w:rFonts w:ascii="Arial" w:hAnsi="Arial" w:cs="Arial"/>
          <w:b/>
          <w:sz w:val="24"/>
          <w:szCs w:val="24"/>
          <w:lang w:val="en-US"/>
        </w:rPr>
        <w:tab/>
      </w:r>
      <w:r w:rsidRPr="001B46FF">
        <w:rPr>
          <w:rFonts w:ascii="Arial" w:hAnsi="Arial" w:cs="Arial"/>
          <w:b/>
          <w:sz w:val="24"/>
          <w:szCs w:val="24"/>
          <w:lang w:val="en-US"/>
        </w:rPr>
        <w:t>page 2</w:t>
      </w:r>
    </w:p>
    <w:p w14:paraId="2A30F770" w14:textId="77777777" w:rsidR="00DD71E4"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Definition of septic shock</w:t>
      </w:r>
    </w:p>
    <w:p w14:paraId="33914C72" w14:textId="77777777" w:rsidR="00DD71E4"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Exclusion criteria</w:t>
      </w:r>
    </w:p>
    <w:p w14:paraId="682E7333" w14:textId="77777777" w:rsidR="00DD71E4"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 xml:space="preserve">Definition </w:t>
      </w:r>
      <w:r w:rsidR="00195390" w:rsidRPr="001B46FF">
        <w:rPr>
          <w:rFonts w:ascii="Arial" w:hAnsi="Arial" w:cs="Arial"/>
          <w:sz w:val="24"/>
          <w:szCs w:val="24"/>
          <w:lang w:val="en-US"/>
        </w:rPr>
        <w:t>of</w:t>
      </w:r>
      <w:r w:rsidRPr="001B46FF">
        <w:rPr>
          <w:rFonts w:ascii="Arial" w:hAnsi="Arial" w:cs="Arial"/>
          <w:sz w:val="24"/>
          <w:szCs w:val="24"/>
          <w:lang w:val="en-US"/>
        </w:rPr>
        <w:t xml:space="preserve"> pragmatic study</w:t>
      </w:r>
    </w:p>
    <w:p w14:paraId="590657CC" w14:textId="77777777" w:rsidR="00DD71E4"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Data collection details</w:t>
      </w:r>
    </w:p>
    <w:p w14:paraId="63631901" w14:textId="77777777" w:rsidR="00DD71E4"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Acute myocardial infarction definition</w:t>
      </w:r>
    </w:p>
    <w:p w14:paraId="72C89AB8" w14:textId="77777777" w:rsidR="00F14931" w:rsidRDefault="00F14931" w:rsidP="00264053">
      <w:pPr>
        <w:spacing w:line="480" w:lineRule="auto"/>
        <w:jc w:val="both"/>
        <w:rPr>
          <w:rFonts w:ascii="Arial" w:hAnsi="Arial" w:cs="Arial"/>
          <w:b/>
          <w:sz w:val="24"/>
          <w:szCs w:val="24"/>
          <w:lang w:val="en-US"/>
        </w:rPr>
      </w:pPr>
    </w:p>
    <w:p w14:paraId="6BC32AC8" w14:textId="0F84C00E" w:rsidR="00DD71E4" w:rsidRPr="001B46FF" w:rsidRDefault="00DD71E4" w:rsidP="00264053">
      <w:pPr>
        <w:spacing w:line="480" w:lineRule="auto"/>
        <w:jc w:val="both"/>
        <w:rPr>
          <w:rFonts w:ascii="Arial" w:hAnsi="Arial" w:cs="Arial"/>
          <w:b/>
          <w:sz w:val="24"/>
          <w:szCs w:val="24"/>
          <w:lang w:val="en-US"/>
        </w:rPr>
      </w:pPr>
      <w:bookmarkStart w:id="0" w:name="_GoBack"/>
      <w:bookmarkEnd w:id="0"/>
      <w:r w:rsidRPr="001B46FF">
        <w:rPr>
          <w:rFonts w:ascii="Arial" w:hAnsi="Arial" w:cs="Arial"/>
          <w:b/>
          <w:sz w:val="24"/>
          <w:szCs w:val="24"/>
          <w:lang w:val="en-US"/>
        </w:rPr>
        <w:lastRenderedPageBreak/>
        <w:t>SUPPLEMENTAL RESULTS</w:t>
      </w:r>
      <w:r w:rsidRPr="001B46FF">
        <w:rPr>
          <w:rFonts w:ascii="Arial" w:hAnsi="Arial" w:cs="Arial"/>
          <w:b/>
          <w:sz w:val="24"/>
          <w:szCs w:val="24"/>
          <w:lang w:val="en-US"/>
        </w:rPr>
        <w:tab/>
      </w:r>
      <w:r w:rsidRPr="001B46FF">
        <w:rPr>
          <w:rFonts w:ascii="Arial" w:hAnsi="Arial" w:cs="Arial"/>
          <w:b/>
          <w:sz w:val="24"/>
          <w:szCs w:val="24"/>
          <w:lang w:val="en-US"/>
        </w:rPr>
        <w:tab/>
      </w:r>
      <w:r w:rsidRPr="001B46FF">
        <w:rPr>
          <w:rFonts w:ascii="Arial" w:hAnsi="Arial" w:cs="Arial"/>
          <w:b/>
          <w:sz w:val="24"/>
          <w:szCs w:val="24"/>
          <w:lang w:val="en-US"/>
        </w:rPr>
        <w:tab/>
      </w:r>
      <w:r w:rsidRPr="001B46FF">
        <w:rPr>
          <w:rFonts w:ascii="Arial" w:hAnsi="Arial" w:cs="Arial"/>
          <w:b/>
          <w:sz w:val="24"/>
          <w:szCs w:val="24"/>
          <w:lang w:val="en-US"/>
        </w:rPr>
        <w:tab/>
      </w:r>
      <w:r w:rsidR="00195390" w:rsidRPr="001B46FF">
        <w:rPr>
          <w:rFonts w:ascii="Arial" w:hAnsi="Arial" w:cs="Arial"/>
          <w:b/>
          <w:sz w:val="24"/>
          <w:szCs w:val="24"/>
          <w:lang w:val="en-US"/>
        </w:rPr>
        <w:tab/>
      </w:r>
      <w:r w:rsidR="00195390" w:rsidRPr="001B46FF">
        <w:rPr>
          <w:rFonts w:ascii="Arial" w:hAnsi="Arial" w:cs="Arial"/>
          <w:b/>
          <w:sz w:val="24"/>
          <w:szCs w:val="24"/>
          <w:lang w:val="en-US"/>
        </w:rPr>
        <w:tab/>
      </w:r>
      <w:r w:rsidRPr="001B46FF">
        <w:rPr>
          <w:rFonts w:ascii="Arial" w:hAnsi="Arial" w:cs="Arial"/>
          <w:b/>
          <w:sz w:val="24"/>
          <w:szCs w:val="24"/>
          <w:lang w:val="en-US"/>
        </w:rPr>
        <w:t>page 4</w:t>
      </w:r>
    </w:p>
    <w:p w14:paraId="394D1851" w14:textId="77777777" w:rsidR="00195390" w:rsidRPr="001B46FF" w:rsidRDefault="00DD71E4" w:rsidP="00264053">
      <w:pPr>
        <w:spacing w:line="480" w:lineRule="auto"/>
        <w:jc w:val="both"/>
        <w:rPr>
          <w:rFonts w:ascii="Arial" w:hAnsi="Arial" w:cs="Arial"/>
          <w:sz w:val="24"/>
          <w:szCs w:val="24"/>
          <w:lang w:val="en-US"/>
        </w:rPr>
      </w:pPr>
      <w:r w:rsidRPr="001B46FF">
        <w:rPr>
          <w:rFonts w:ascii="Arial" w:hAnsi="Arial" w:cs="Arial"/>
          <w:sz w:val="24"/>
          <w:szCs w:val="24"/>
          <w:lang w:val="en-US"/>
        </w:rPr>
        <w:t>Multivariate model</w:t>
      </w:r>
      <w:r w:rsidR="00195390" w:rsidRPr="001B46FF">
        <w:rPr>
          <w:rFonts w:ascii="Arial" w:hAnsi="Arial" w:cs="Arial"/>
          <w:sz w:val="24"/>
          <w:szCs w:val="24"/>
          <w:lang w:val="en-US"/>
        </w:rPr>
        <w:t xml:space="preserve"> results for mortality</w:t>
      </w:r>
    </w:p>
    <w:p w14:paraId="5DAAB75C" w14:textId="77777777" w:rsidR="00195390" w:rsidRPr="001B46FF" w:rsidRDefault="00195390" w:rsidP="00264053">
      <w:pPr>
        <w:spacing w:line="480" w:lineRule="auto"/>
        <w:jc w:val="both"/>
        <w:rPr>
          <w:rFonts w:ascii="Arial" w:hAnsi="Arial" w:cs="Arial"/>
          <w:sz w:val="24"/>
          <w:szCs w:val="24"/>
          <w:lang w:val="en-US"/>
        </w:rPr>
      </w:pPr>
      <w:r w:rsidRPr="001B46FF">
        <w:rPr>
          <w:rFonts w:ascii="Arial" w:hAnsi="Arial" w:cs="Arial"/>
          <w:sz w:val="24"/>
          <w:szCs w:val="24"/>
          <w:lang w:val="en-US"/>
        </w:rPr>
        <w:t>P</w:t>
      </w:r>
      <w:r w:rsidR="00DD71E4" w:rsidRPr="001B46FF">
        <w:rPr>
          <w:rFonts w:ascii="Arial" w:hAnsi="Arial" w:cs="Arial"/>
          <w:sz w:val="24"/>
          <w:szCs w:val="24"/>
          <w:lang w:val="en-US"/>
        </w:rPr>
        <w:t>rotocol deviations</w:t>
      </w:r>
    </w:p>
    <w:p w14:paraId="0A1FA835" w14:textId="77777777" w:rsidR="009E5B18" w:rsidRPr="001B46FF" w:rsidRDefault="009E5B18">
      <w:pPr>
        <w:rPr>
          <w:rFonts w:ascii="Arial" w:hAnsi="Arial" w:cs="Arial"/>
          <w:sz w:val="24"/>
          <w:szCs w:val="24"/>
        </w:rPr>
      </w:pPr>
      <w:r w:rsidRPr="001B46FF">
        <w:rPr>
          <w:rFonts w:ascii="Arial" w:hAnsi="Arial" w:cs="Arial"/>
          <w:sz w:val="24"/>
          <w:szCs w:val="24"/>
        </w:rPr>
        <w:br w:type="page"/>
      </w:r>
    </w:p>
    <w:p w14:paraId="7B84ABAD" w14:textId="77777777" w:rsidR="009E5B18" w:rsidRPr="001B46FF" w:rsidRDefault="00D17229" w:rsidP="009E5B18">
      <w:pPr>
        <w:spacing w:line="480" w:lineRule="auto"/>
        <w:jc w:val="both"/>
        <w:rPr>
          <w:rFonts w:ascii="Arial" w:hAnsi="Arial" w:cs="Arial"/>
          <w:b/>
          <w:sz w:val="24"/>
          <w:szCs w:val="24"/>
          <w:lang w:val="en-US"/>
        </w:rPr>
      </w:pPr>
      <w:r w:rsidRPr="001B46FF">
        <w:rPr>
          <w:rFonts w:ascii="Arial" w:hAnsi="Arial" w:cs="Arial"/>
          <w:b/>
          <w:sz w:val="24"/>
          <w:szCs w:val="24"/>
          <w:lang w:val="en-US"/>
        </w:rPr>
        <w:lastRenderedPageBreak/>
        <w:t>SUPPLEMENTAL METHODS</w:t>
      </w:r>
    </w:p>
    <w:p w14:paraId="2BBB156B" w14:textId="77777777" w:rsidR="00D17229" w:rsidRPr="001B46FF" w:rsidRDefault="00D17229" w:rsidP="009E5B18">
      <w:pPr>
        <w:spacing w:line="480" w:lineRule="auto"/>
        <w:jc w:val="both"/>
        <w:rPr>
          <w:rFonts w:ascii="Arial" w:hAnsi="Arial" w:cs="Arial"/>
          <w:b/>
          <w:sz w:val="24"/>
          <w:szCs w:val="24"/>
          <w:lang w:val="en-US"/>
        </w:rPr>
      </w:pPr>
    </w:p>
    <w:p w14:paraId="4331703B" w14:textId="77777777" w:rsidR="00554C1B" w:rsidRPr="001B46FF" w:rsidRDefault="00554C1B" w:rsidP="009E5B18">
      <w:pPr>
        <w:spacing w:line="480" w:lineRule="auto"/>
        <w:jc w:val="both"/>
        <w:rPr>
          <w:rFonts w:ascii="Arial" w:hAnsi="Arial" w:cs="Arial"/>
          <w:b/>
          <w:sz w:val="24"/>
          <w:szCs w:val="24"/>
          <w:lang w:val="en-US"/>
        </w:rPr>
      </w:pPr>
      <w:r w:rsidRPr="001B46FF">
        <w:rPr>
          <w:rFonts w:ascii="Arial" w:hAnsi="Arial" w:cs="Arial"/>
          <w:b/>
          <w:sz w:val="24"/>
          <w:szCs w:val="24"/>
          <w:lang w:val="en-US"/>
        </w:rPr>
        <w:t>Definition of septic shock</w:t>
      </w:r>
    </w:p>
    <w:p w14:paraId="5AAB506A" w14:textId="77777777" w:rsidR="00554C1B" w:rsidRPr="001B46FF" w:rsidRDefault="00554C1B" w:rsidP="009E5B18">
      <w:pPr>
        <w:spacing w:line="480" w:lineRule="auto"/>
        <w:jc w:val="both"/>
        <w:rPr>
          <w:rStyle w:val="apple-converted-space"/>
          <w:rFonts w:ascii="Arial" w:hAnsi="Arial"/>
          <w:sz w:val="24"/>
          <w:szCs w:val="24"/>
        </w:rPr>
      </w:pPr>
      <w:r w:rsidRPr="001B46FF">
        <w:rPr>
          <w:rStyle w:val="apple-converted-space"/>
          <w:rFonts w:ascii="Arial" w:hAnsi="Arial"/>
          <w:sz w:val="24"/>
          <w:szCs w:val="24"/>
        </w:rPr>
        <w:t>Septic shock was diagnosed in the presence of a suspected or verified focus of infection, complicated by cardiovascular dysfunction, characterized by hypotension (arterial mean pressure &lt; 65 mmHg) despite fluid therapy therefore requiring vasopressor therapy</w:t>
      </w:r>
      <w:r w:rsidR="00CC2361">
        <w:rPr>
          <w:rStyle w:val="apple-converted-space"/>
          <w:rFonts w:ascii="Arial" w:hAnsi="Arial"/>
          <w:sz w:val="24"/>
          <w:szCs w:val="24"/>
        </w:rPr>
        <w:t>.</w:t>
      </w:r>
    </w:p>
    <w:p w14:paraId="7938C932" w14:textId="77777777" w:rsidR="00554C1B" w:rsidRPr="001B46FF" w:rsidRDefault="00554C1B" w:rsidP="00554C1B">
      <w:pPr>
        <w:spacing w:line="480" w:lineRule="auto"/>
        <w:rPr>
          <w:rStyle w:val="apple-converted-space"/>
          <w:rFonts w:ascii="Arial" w:hAnsi="Arial"/>
          <w:sz w:val="24"/>
          <w:szCs w:val="24"/>
        </w:rPr>
      </w:pPr>
    </w:p>
    <w:p w14:paraId="128B8970" w14:textId="4C6D39A7" w:rsidR="00554C1B" w:rsidRPr="001B46FF" w:rsidRDefault="00554C1B" w:rsidP="00554C1B">
      <w:pPr>
        <w:spacing w:line="480" w:lineRule="auto"/>
        <w:rPr>
          <w:rStyle w:val="apple-converted-space"/>
          <w:rFonts w:ascii="Arial" w:eastAsia="Arial" w:hAnsi="Arial" w:cs="Arial"/>
          <w:sz w:val="24"/>
          <w:szCs w:val="24"/>
        </w:rPr>
      </w:pPr>
      <w:r w:rsidRPr="001B46FF">
        <w:rPr>
          <w:rStyle w:val="apple-converted-space"/>
          <w:rFonts w:ascii="Arial" w:hAnsi="Arial"/>
          <w:b/>
          <w:sz w:val="24"/>
          <w:szCs w:val="24"/>
        </w:rPr>
        <w:t>Exclusion criteria due to a too high expected mortality or transfusion rate</w:t>
      </w:r>
      <w:r w:rsidRPr="001B46FF">
        <w:rPr>
          <w:rStyle w:val="apple-converted-space"/>
          <w:rFonts w:ascii="Arial" w:hAnsi="Arial"/>
          <w:sz w:val="24"/>
          <w:szCs w:val="24"/>
        </w:rPr>
        <w:t>: do-not-resuscitate orders, hematological malignancy, end-stage renal disease requiring renal replacement therapy, Karnofsky score less than 50 -</w:t>
      </w:r>
      <w:r w:rsidR="00CC2361">
        <w:rPr>
          <w:rStyle w:val="apple-converted-space"/>
          <w:rFonts w:ascii="Arial" w:hAnsi="Arial"/>
          <w:sz w:val="24"/>
          <w:szCs w:val="24"/>
        </w:rPr>
        <w:t xml:space="preserve"> </w:t>
      </w:r>
      <w:r w:rsidRPr="001B46FF">
        <w:rPr>
          <w:rStyle w:val="apple-converted-space"/>
          <w:rFonts w:ascii="Arial" w:hAnsi="Arial"/>
          <w:sz w:val="24"/>
          <w:szCs w:val="24"/>
        </w:rPr>
        <w:t>Karnofsky Performance Scale Index allows patients to be classified according to their functional impairment -, platelet count &lt; 50,000 per mm</w:t>
      </w:r>
      <w:r w:rsidRPr="001B46FF">
        <w:rPr>
          <w:rStyle w:val="apple-converted-space"/>
          <w:rFonts w:ascii="Arial" w:hAnsi="Arial"/>
          <w:sz w:val="24"/>
          <w:szCs w:val="24"/>
          <w:vertAlign w:val="superscript"/>
        </w:rPr>
        <w:t>3</w:t>
      </w:r>
      <w:r w:rsidRPr="001B46FF">
        <w:rPr>
          <w:rStyle w:val="apple-converted-space"/>
          <w:rFonts w:ascii="Arial" w:hAnsi="Arial"/>
          <w:sz w:val="24"/>
          <w:szCs w:val="24"/>
        </w:rPr>
        <w:t>, prothrombin time &gt; 14.8 s, anticoagulation therapy, uncontrolled bleeding, or estimated life expectancy &lt; 24 hours.</w:t>
      </w:r>
    </w:p>
    <w:p w14:paraId="0E245459" w14:textId="77777777" w:rsidR="00554C1B" w:rsidRPr="001B46FF" w:rsidRDefault="00554C1B" w:rsidP="009E5B18">
      <w:pPr>
        <w:spacing w:line="480" w:lineRule="auto"/>
        <w:jc w:val="both"/>
        <w:rPr>
          <w:rStyle w:val="apple-converted-space"/>
          <w:rFonts w:ascii="Arial" w:hAnsi="Arial"/>
          <w:sz w:val="24"/>
          <w:szCs w:val="24"/>
        </w:rPr>
      </w:pPr>
    </w:p>
    <w:p w14:paraId="22C498D3" w14:textId="77777777" w:rsidR="003C6D0B" w:rsidRPr="001B46FF" w:rsidRDefault="003C6D0B" w:rsidP="003C6D0B">
      <w:pPr>
        <w:spacing w:line="480" w:lineRule="auto"/>
        <w:rPr>
          <w:rStyle w:val="apple-converted-space"/>
          <w:rFonts w:ascii="Arial" w:hAnsi="Arial"/>
          <w:sz w:val="24"/>
          <w:szCs w:val="24"/>
        </w:rPr>
      </w:pPr>
      <w:r w:rsidRPr="001B46FF">
        <w:rPr>
          <w:rStyle w:val="apple-converted-space"/>
          <w:rFonts w:ascii="Arial" w:hAnsi="Arial"/>
          <w:sz w:val="24"/>
          <w:szCs w:val="24"/>
        </w:rPr>
        <w:t xml:space="preserve">This was a </w:t>
      </w:r>
      <w:r w:rsidRPr="001B46FF">
        <w:rPr>
          <w:rStyle w:val="apple-converted-space"/>
          <w:rFonts w:ascii="Arial" w:hAnsi="Arial"/>
          <w:b/>
          <w:sz w:val="24"/>
          <w:szCs w:val="24"/>
        </w:rPr>
        <w:t>pragmatic</w:t>
      </w:r>
      <w:r w:rsidRPr="001B46FF">
        <w:rPr>
          <w:rStyle w:val="apple-converted-space"/>
          <w:rFonts w:ascii="Arial" w:hAnsi="Arial"/>
          <w:sz w:val="24"/>
          <w:szCs w:val="24"/>
        </w:rPr>
        <w:t xml:space="preserve"> study and, with the exception of the RBC transfusion strategy, the treatment given to the patients during the hospital stay, including antibiotics and resuscitation therapy, was performed by the attending physician according to international guidelines and local protocols.</w:t>
      </w:r>
    </w:p>
    <w:p w14:paraId="6B279CDC" w14:textId="70E48905" w:rsidR="00554C1B" w:rsidRDefault="00554C1B" w:rsidP="009E5B18">
      <w:pPr>
        <w:spacing w:line="480" w:lineRule="auto"/>
        <w:jc w:val="both"/>
        <w:rPr>
          <w:rFonts w:ascii="Arial" w:hAnsi="Arial" w:cs="Arial"/>
          <w:b/>
          <w:sz w:val="24"/>
          <w:szCs w:val="24"/>
          <w:lang w:val="en-US"/>
        </w:rPr>
      </w:pPr>
    </w:p>
    <w:p w14:paraId="0A698552" w14:textId="54BF6766" w:rsidR="00F14931" w:rsidRDefault="00F14931" w:rsidP="009E5B18">
      <w:pPr>
        <w:spacing w:line="480" w:lineRule="auto"/>
        <w:jc w:val="both"/>
        <w:rPr>
          <w:rFonts w:ascii="Arial" w:hAnsi="Arial" w:cs="Arial"/>
          <w:b/>
          <w:sz w:val="24"/>
          <w:szCs w:val="24"/>
          <w:lang w:val="en-US"/>
        </w:rPr>
      </w:pPr>
    </w:p>
    <w:p w14:paraId="4DEE9888" w14:textId="77777777" w:rsidR="00F14931" w:rsidRPr="001B46FF" w:rsidRDefault="00F14931" w:rsidP="009E5B18">
      <w:pPr>
        <w:spacing w:line="480" w:lineRule="auto"/>
        <w:jc w:val="both"/>
        <w:rPr>
          <w:rFonts w:ascii="Arial" w:hAnsi="Arial" w:cs="Arial"/>
          <w:b/>
          <w:sz w:val="24"/>
          <w:szCs w:val="24"/>
          <w:lang w:val="en-US"/>
        </w:rPr>
      </w:pPr>
    </w:p>
    <w:p w14:paraId="69B98554" w14:textId="77777777" w:rsidR="003C6D0B" w:rsidRPr="001B46FF" w:rsidRDefault="003C6D0B" w:rsidP="003C6D0B">
      <w:pPr>
        <w:spacing w:line="480" w:lineRule="auto"/>
        <w:jc w:val="both"/>
        <w:rPr>
          <w:rStyle w:val="apple-converted-space"/>
          <w:rFonts w:ascii="Arial" w:eastAsia="Arial" w:hAnsi="Arial" w:cs="Arial"/>
          <w:b/>
          <w:bCs/>
          <w:sz w:val="24"/>
          <w:szCs w:val="24"/>
        </w:rPr>
      </w:pPr>
      <w:r w:rsidRPr="001B46FF">
        <w:rPr>
          <w:rStyle w:val="apple-converted-space"/>
          <w:rFonts w:ascii="Arial" w:hAnsi="Arial"/>
          <w:b/>
          <w:bCs/>
          <w:sz w:val="24"/>
          <w:szCs w:val="24"/>
        </w:rPr>
        <w:lastRenderedPageBreak/>
        <w:t>Data collection</w:t>
      </w:r>
    </w:p>
    <w:p w14:paraId="0D3CC674" w14:textId="77777777" w:rsidR="003C6D0B" w:rsidRPr="001B46FF" w:rsidRDefault="003C6D0B" w:rsidP="003C6D0B">
      <w:pPr>
        <w:spacing w:line="480" w:lineRule="auto"/>
        <w:rPr>
          <w:rStyle w:val="apple-converted-space"/>
          <w:rFonts w:ascii="Arial" w:hAnsi="Arial"/>
          <w:sz w:val="24"/>
          <w:szCs w:val="24"/>
        </w:rPr>
      </w:pPr>
      <w:r w:rsidRPr="001B46FF">
        <w:rPr>
          <w:rStyle w:val="apple-converted-space"/>
          <w:rFonts w:ascii="Arial" w:hAnsi="Arial"/>
          <w:sz w:val="24"/>
          <w:szCs w:val="24"/>
        </w:rPr>
        <w:t>A team of three investigators collected baseline demographic and cancer characteristics, physical status performance, chemotherapy, comorbidities, and the Charlson co-morbidity index (ref A and B). Diagnosis at ICU admission, source of sepsis, positive cultures, Simplified Acute Physiology Score 3 (SAPS 3) and Sepsis-related Organ Failure Assessment score (SOFA) were recorded as well with both scores using the worst value within the first 24 ICU hours.</w:t>
      </w:r>
    </w:p>
    <w:p w14:paraId="6F9608EF" w14:textId="15498F84" w:rsidR="003C6D0B" w:rsidRPr="001B46FF" w:rsidRDefault="003C6D0B" w:rsidP="003C6D0B">
      <w:pPr>
        <w:spacing w:after="0" w:line="480" w:lineRule="auto"/>
        <w:jc w:val="both"/>
        <w:rPr>
          <w:rStyle w:val="apple-converted-space"/>
          <w:rFonts w:ascii="Arial" w:eastAsia="Arial" w:hAnsi="Arial" w:cs="Arial"/>
          <w:sz w:val="24"/>
          <w:szCs w:val="24"/>
        </w:rPr>
      </w:pPr>
      <w:r w:rsidRPr="001B46FF">
        <w:rPr>
          <w:rStyle w:val="apple-converted-space"/>
          <w:rFonts w:ascii="Arial" w:eastAsia="Arial" w:hAnsi="Arial" w:cs="Arial"/>
          <w:sz w:val="24"/>
          <w:szCs w:val="24"/>
        </w:rPr>
        <w:t>Ref A</w:t>
      </w:r>
      <w:r w:rsidRPr="001B46FF">
        <w:rPr>
          <w:rStyle w:val="apple-converted-space"/>
          <w:rFonts w:ascii="Arial" w:eastAsia="Arial" w:hAnsi="Arial" w:cs="Arial"/>
          <w:sz w:val="24"/>
          <w:szCs w:val="24"/>
        </w:rPr>
        <w:tab/>
      </w:r>
      <w:r w:rsidRPr="001B46FF">
        <w:rPr>
          <w:rStyle w:val="apple-converted-space"/>
          <w:rFonts w:ascii="Arial" w:eastAsia="Arial" w:hAnsi="Arial" w:cs="Arial"/>
          <w:sz w:val="24"/>
          <w:szCs w:val="24"/>
        </w:rPr>
        <w:tab/>
        <w:t>Schag CC, Heinrich RL, Ganz PA: Karnofsky performance status revisited: reliability, validity, and guidelines. J Clin Oncol 1984; 2:187-</w:t>
      </w:r>
      <w:r w:rsidR="00CC2361">
        <w:rPr>
          <w:rStyle w:val="apple-converted-space"/>
          <w:rFonts w:ascii="Arial" w:eastAsia="Arial" w:hAnsi="Arial" w:cs="Arial"/>
          <w:sz w:val="24"/>
          <w:szCs w:val="24"/>
        </w:rPr>
        <w:t>1</w:t>
      </w:r>
      <w:r w:rsidRPr="001B46FF">
        <w:rPr>
          <w:rStyle w:val="apple-converted-space"/>
          <w:rFonts w:ascii="Arial" w:eastAsia="Arial" w:hAnsi="Arial" w:cs="Arial"/>
          <w:sz w:val="24"/>
          <w:szCs w:val="24"/>
        </w:rPr>
        <w:t>93</w:t>
      </w:r>
    </w:p>
    <w:p w14:paraId="69E1ACE3" w14:textId="4213783F" w:rsidR="003C6D0B" w:rsidRPr="001B46FF" w:rsidRDefault="003C6D0B" w:rsidP="003C6D0B">
      <w:pPr>
        <w:spacing w:after="0" w:line="480" w:lineRule="auto"/>
        <w:jc w:val="both"/>
        <w:rPr>
          <w:rStyle w:val="apple-converted-space"/>
          <w:rFonts w:ascii="Arial" w:eastAsia="Arial" w:hAnsi="Arial" w:cs="Arial"/>
          <w:sz w:val="24"/>
          <w:szCs w:val="24"/>
        </w:rPr>
      </w:pPr>
      <w:r w:rsidRPr="001B46FF">
        <w:rPr>
          <w:rStyle w:val="apple-converted-space"/>
          <w:rFonts w:ascii="Arial" w:eastAsia="Arial" w:hAnsi="Arial" w:cs="Arial"/>
          <w:sz w:val="24"/>
          <w:szCs w:val="24"/>
        </w:rPr>
        <w:t>Ref B</w:t>
      </w:r>
      <w:r w:rsidRPr="001B46FF">
        <w:rPr>
          <w:rStyle w:val="apple-converted-space"/>
          <w:rFonts w:ascii="Arial" w:eastAsia="Arial" w:hAnsi="Arial" w:cs="Arial"/>
          <w:sz w:val="24"/>
          <w:szCs w:val="24"/>
        </w:rPr>
        <w:tab/>
      </w:r>
      <w:r w:rsidRPr="001B46FF">
        <w:rPr>
          <w:rStyle w:val="apple-converted-space"/>
          <w:rFonts w:ascii="Arial" w:eastAsia="Arial" w:hAnsi="Arial" w:cs="Arial"/>
          <w:sz w:val="24"/>
          <w:szCs w:val="24"/>
        </w:rPr>
        <w:tab/>
        <w:t>Charlson ME, Pompei P, Ales KL, MacKenzie CR: A new method of classifying prognostic comorbidity in longitudinal studies: development and validation. J Chronic Dis 1987; 40:373-</w:t>
      </w:r>
      <w:r w:rsidR="00CC2361">
        <w:rPr>
          <w:rStyle w:val="apple-converted-space"/>
          <w:rFonts w:ascii="Arial" w:eastAsia="Arial" w:hAnsi="Arial" w:cs="Arial"/>
          <w:sz w:val="24"/>
          <w:szCs w:val="24"/>
        </w:rPr>
        <w:t>3</w:t>
      </w:r>
      <w:r w:rsidRPr="001B46FF">
        <w:rPr>
          <w:rStyle w:val="apple-converted-space"/>
          <w:rFonts w:ascii="Arial" w:eastAsia="Arial" w:hAnsi="Arial" w:cs="Arial"/>
          <w:sz w:val="24"/>
          <w:szCs w:val="24"/>
        </w:rPr>
        <w:t>83</w:t>
      </w:r>
    </w:p>
    <w:p w14:paraId="11B2683E" w14:textId="77777777" w:rsidR="003C6D0B" w:rsidRPr="001B46FF" w:rsidRDefault="003C6D0B" w:rsidP="003C6D0B">
      <w:pPr>
        <w:spacing w:line="480" w:lineRule="auto"/>
        <w:rPr>
          <w:rStyle w:val="apple-converted-space"/>
          <w:rFonts w:ascii="Arial" w:hAnsi="Arial"/>
          <w:sz w:val="24"/>
          <w:szCs w:val="24"/>
        </w:rPr>
      </w:pPr>
    </w:p>
    <w:p w14:paraId="0455DBF5" w14:textId="77777777" w:rsidR="006F6508" w:rsidRPr="001B46FF" w:rsidRDefault="006F6508" w:rsidP="003C6D0B">
      <w:pPr>
        <w:spacing w:line="480" w:lineRule="auto"/>
        <w:rPr>
          <w:rStyle w:val="apple-converted-space"/>
          <w:rFonts w:ascii="Arial" w:hAnsi="Arial"/>
          <w:sz w:val="24"/>
          <w:szCs w:val="24"/>
        </w:rPr>
      </w:pPr>
      <w:r w:rsidRPr="001B46FF">
        <w:rPr>
          <w:rStyle w:val="apple-converted-space"/>
          <w:rFonts w:ascii="Arial" w:hAnsi="Arial"/>
          <w:b/>
          <w:sz w:val="24"/>
          <w:szCs w:val="24"/>
        </w:rPr>
        <w:t>Acute myocardial infarction</w:t>
      </w:r>
      <w:r w:rsidRPr="001B46FF">
        <w:rPr>
          <w:rStyle w:val="apple-converted-space"/>
          <w:rFonts w:ascii="Arial" w:hAnsi="Arial"/>
          <w:sz w:val="24"/>
          <w:szCs w:val="24"/>
        </w:rPr>
        <w:t xml:space="preserve"> was defined as an increase or decrease in cardiac troponin I, with at least one value above the 99th percentile of the upper reference limit, electrocardiographic changes or image-based evidence of new loss of viable myocardial).</w:t>
      </w:r>
    </w:p>
    <w:p w14:paraId="6CE3F9C7" w14:textId="77777777" w:rsidR="00D17229" w:rsidRPr="001B46FF" w:rsidRDefault="00D17229">
      <w:pPr>
        <w:rPr>
          <w:rStyle w:val="apple-converted-space"/>
          <w:rFonts w:ascii="Arial" w:hAnsi="Arial"/>
          <w:sz w:val="24"/>
          <w:szCs w:val="24"/>
        </w:rPr>
      </w:pPr>
      <w:r w:rsidRPr="001B46FF">
        <w:rPr>
          <w:rStyle w:val="apple-converted-space"/>
          <w:rFonts w:ascii="Arial" w:hAnsi="Arial"/>
          <w:sz w:val="24"/>
          <w:szCs w:val="24"/>
        </w:rPr>
        <w:br w:type="page"/>
      </w:r>
    </w:p>
    <w:p w14:paraId="00F234D8" w14:textId="77777777" w:rsidR="00D17229" w:rsidRPr="001B46FF" w:rsidRDefault="00D17229" w:rsidP="00D17229">
      <w:pPr>
        <w:spacing w:line="480" w:lineRule="auto"/>
        <w:jc w:val="both"/>
        <w:rPr>
          <w:rFonts w:ascii="Arial" w:hAnsi="Arial" w:cs="Arial"/>
          <w:b/>
          <w:sz w:val="24"/>
          <w:szCs w:val="24"/>
          <w:lang w:val="en-US"/>
        </w:rPr>
      </w:pPr>
      <w:r w:rsidRPr="001B46FF">
        <w:rPr>
          <w:rFonts w:ascii="Arial" w:hAnsi="Arial" w:cs="Arial"/>
          <w:b/>
          <w:sz w:val="24"/>
          <w:szCs w:val="24"/>
          <w:lang w:val="en-US"/>
        </w:rPr>
        <w:lastRenderedPageBreak/>
        <w:t>SUPPLEMENTAL RESULTS</w:t>
      </w:r>
    </w:p>
    <w:p w14:paraId="66E1E529" w14:textId="77777777" w:rsidR="00D17229" w:rsidRPr="001B46FF" w:rsidRDefault="00D17229" w:rsidP="00D17229">
      <w:pPr>
        <w:spacing w:after="0" w:line="480" w:lineRule="auto"/>
        <w:ind w:firstLine="708"/>
        <w:jc w:val="both"/>
        <w:rPr>
          <w:rStyle w:val="apple-converted-space"/>
          <w:rFonts w:ascii="Arial" w:eastAsia="Arial" w:hAnsi="Arial" w:cs="Arial"/>
          <w:sz w:val="24"/>
          <w:szCs w:val="24"/>
        </w:rPr>
      </w:pPr>
      <w:r w:rsidRPr="001B46FF">
        <w:rPr>
          <w:rStyle w:val="apple-converted-space"/>
          <w:rFonts w:ascii="Arial" w:hAnsi="Arial"/>
          <w:sz w:val="24"/>
          <w:szCs w:val="24"/>
        </w:rPr>
        <w:t xml:space="preserve">In the </w:t>
      </w:r>
      <w:r w:rsidRPr="001B46FF">
        <w:rPr>
          <w:rStyle w:val="apple-converted-space"/>
          <w:rFonts w:ascii="Arial" w:hAnsi="Arial"/>
          <w:b/>
          <w:sz w:val="24"/>
          <w:szCs w:val="24"/>
        </w:rPr>
        <w:t>multivariate model</w:t>
      </w:r>
      <w:r w:rsidRPr="001B46FF">
        <w:rPr>
          <w:rStyle w:val="apple-converted-space"/>
          <w:rFonts w:ascii="Arial" w:hAnsi="Arial"/>
          <w:sz w:val="24"/>
          <w:szCs w:val="24"/>
        </w:rPr>
        <w:t>, we identified predictors of 28-day mortality (hepatic dysfunction, respiratory dysfunction, platelet transfusion, SAPS3 score, and baseline serum creatinine &gt; 1.5 mg/dL), 60-day mortality (SOFA score, hepatic dysfunction, and baseline serum creatinine &gt; 1.5 mg/dL), and 90-day mortality (SOFA score, hepatic dysfunction, and restricti</w:t>
      </w:r>
      <w:r w:rsidR="00C600FA" w:rsidRPr="001B46FF">
        <w:rPr>
          <w:rStyle w:val="apple-converted-space"/>
          <w:rFonts w:ascii="Arial" w:hAnsi="Arial"/>
          <w:sz w:val="24"/>
          <w:szCs w:val="24"/>
        </w:rPr>
        <w:t>ve transfusion strategy)</w:t>
      </w:r>
      <w:r w:rsidRPr="001B46FF">
        <w:rPr>
          <w:rStyle w:val="apple-converted-space"/>
          <w:rFonts w:ascii="Arial" w:hAnsi="Arial"/>
          <w:sz w:val="24"/>
          <w:szCs w:val="24"/>
        </w:rPr>
        <w:t>.</w:t>
      </w:r>
    </w:p>
    <w:p w14:paraId="0321338F" w14:textId="77777777" w:rsidR="006F6508" w:rsidRPr="001B46FF" w:rsidRDefault="006F6508" w:rsidP="003C6D0B">
      <w:pPr>
        <w:spacing w:line="480" w:lineRule="auto"/>
        <w:rPr>
          <w:rStyle w:val="apple-converted-space"/>
          <w:rFonts w:ascii="Arial" w:hAnsi="Arial"/>
          <w:sz w:val="24"/>
          <w:szCs w:val="24"/>
        </w:rPr>
      </w:pPr>
    </w:p>
    <w:p w14:paraId="2BC3B5D7" w14:textId="7FF8D2B0" w:rsidR="00D17229" w:rsidRPr="001B46FF" w:rsidRDefault="00D17229" w:rsidP="00D17229">
      <w:pPr>
        <w:spacing w:line="480" w:lineRule="auto"/>
      </w:pPr>
      <w:r w:rsidRPr="00065664">
        <w:rPr>
          <w:rFonts w:ascii="Arial" w:hAnsi="Arial" w:cs="Arial"/>
          <w:b/>
          <w:sz w:val="24"/>
          <w:szCs w:val="24"/>
          <w:lang w:val="en-US"/>
        </w:rPr>
        <w:t>Supplemental Table.</w:t>
      </w:r>
      <w:r w:rsidRPr="001B46FF">
        <w:rPr>
          <w:rFonts w:ascii="Arial" w:hAnsi="Arial" w:cs="Arial"/>
          <w:sz w:val="24"/>
          <w:szCs w:val="24"/>
          <w:lang w:val="en-US"/>
        </w:rPr>
        <w:t xml:space="preserve"> Multivariate Cox proportional hazards model for independent predictors of 28, 60 and 90-day mortality. Only significant variables have been reported</w:t>
      </w:r>
    </w:p>
    <w:tbl>
      <w:tblPr>
        <w:tblW w:w="0" w:type="auto"/>
        <w:tblInd w:w="55" w:type="dxa"/>
        <w:tblCellMar>
          <w:left w:w="70" w:type="dxa"/>
          <w:right w:w="70" w:type="dxa"/>
        </w:tblCellMar>
        <w:tblLook w:val="04A0" w:firstRow="1" w:lastRow="0" w:firstColumn="1" w:lastColumn="0" w:noHBand="0" w:noVBand="1"/>
      </w:tblPr>
      <w:tblGrid>
        <w:gridCol w:w="4146"/>
        <w:gridCol w:w="2296"/>
        <w:gridCol w:w="952"/>
      </w:tblGrid>
      <w:tr w:rsidR="001B46FF" w:rsidRPr="001B46FF" w14:paraId="70DC3E2B" w14:textId="77777777" w:rsidTr="00A86207">
        <w:trPr>
          <w:trHeight w:val="742"/>
        </w:trPr>
        <w:tc>
          <w:tcPr>
            <w:tcW w:w="4146" w:type="dxa"/>
            <w:tcBorders>
              <w:top w:val="single" w:sz="4" w:space="0" w:color="auto"/>
              <w:left w:val="nil"/>
              <w:bottom w:val="single" w:sz="4" w:space="0" w:color="000000"/>
              <w:right w:val="nil"/>
            </w:tcBorders>
            <w:shd w:val="clear" w:color="auto" w:fill="auto"/>
            <w:noWrap/>
            <w:vAlign w:val="center"/>
            <w:hideMark/>
          </w:tcPr>
          <w:p w14:paraId="0E23B820" w14:textId="77777777" w:rsidR="00D17229" w:rsidRPr="001B46FF" w:rsidRDefault="00D17229" w:rsidP="00A86207">
            <w:pPr>
              <w:spacing w:after="0" w:line="240" w:lineRule="auto"/>
              <w:jc w:val="both"/>
              <w:rPr>
                <w:rFonts w:ascii="Arial" w:hAnsi="Arial" w:cs="Arial"/>
                <w:b/>
                <w:sz w:val="20"/>
                <w:szCs w:val="20"/>
              </w:rPr>
            </w:pPr>
            <w:r w:rsidRPr="001B46FF">
              <w:rPr>
                <w:rFonts w:ascii="Arial" w:hAnsi="Arial" w:cs="Arial"/>
                <w:b/>
                <w:sz w:val="20"/>
                <w:szCs w:val="20"/>
              </w:rPr>
              <w:t>Variable</w:t>
            </w:r>
          </w:p>
        </w:tc>
        <w:tc>
          <w:tcPr>
            <w:tcW w:w="2296" w:type="dxa"/>
            <w:tcBorders>
              <w:top w:val="single" w:sz="4" w:space="0" w:color="auto"/>
              <w:left w:val="nil"/>
              <w:right w:val="nil"/>
            </w:tcBorders>
            <w:vAlign w:val="center"/>
          </w:tcPr>
          <w:p w14:paraId="0B5B64E4" w14:textId="77777777" w:rsidR="00D17229" w:rsidRPr="001B46FF" w:rsidRDefault="00D17229" w:rsidP="00A86207">
            <w:pPr>
              <w:spacing w:after="0" w:line="240" w:lineRule="auto"/>
              <w:jc w:val="center"/>
              <w:rPr>
                <w:rFonts w:ascii="Arial" w:hAnsi="Arial" w:cs="Arial"/>
                <w:b/>
                <w:sz w:val="20"/>
                <w:szCs w:val="20"/>
              </w:rPr>
            </w:pPr>
            <w:r w:rsidRPr="001B46FF">
              <w:rPr>
                <w:rFonts w:ascii="Arial" w:eastAsia="Times New Roman" w:hAnsi="Arial" w:cs="Arial"/>
                <w:b/>
                <w:bCs/>
                <w:sz w:val="20"/>
                <w:szCs w:val="20"/>
                <w:lang w:eastAsia="pt-BR"/>
              </w:rPr>
              <w:t>Adjusted HR (95% CI)</w:t>
            </w:r>
          </w:p>
        </w:tc>
        <w:tc>
          <w:tcPr>
            <w:tcW w:w="952" w:type="dxa"/>
            <w:tcBorders>
              <w:top w:val="single" w:sz="4" w:space="0" w:color="auto"/>
              <w:left w:val="nil"/>
              <w:bottom w:val="single" w:sz="4" w:space="0" w:color="000000"/>
              <w:right w:val="nil"/>
            </w:tcBorders>
            <w:shd w:val="clear" w:color="auto" w:fill="auto"/>
            <w:noWrap/>
            <w:vAlign w:val="center"/>
            <w:hideMark/>
          </w:tcPr>
          <w:p w14:paraId="4C3A3A52" w14:textId="77777777" w:rsidR="00D17229" w:rsidRPr="001B46FF" w:rsidRDefault="00D17229" w:rsidP="00A86207">
            <w:pPr>
              <w:spacing w:after="0" w:line="240" w:lineRule="auto"/>
              <w:jc w:val="center"/>
              <w:rPr>
                <w:rFonts w:ascii="Arial" w:hAnsi="Arial" w:cs="Arial"/>
                <w:b/>
                <w:sz w:val="20"/>
                <w:szCs w:val="20"/>
              </w:rPr>
            </w:pPr>
            <w:r w:rsidRPr="001B46FF">
              <w:rPr>
                <w:rFonts w:ascii="Arial" w:hAnsi="Arial" w:cs="Arial"/>
                <w:b/>
                <w:sz w:val="20"/>
                <w:szCs w:val="20"/>
              </w:rPr>
              <w:t>P value</w:t>
            </w:r>
          </w:p>
        </w:tc>
      </w:tr>
      <w:tr w:rsidR="001B46FF" w:rsidRPr="001B46FF" w14:paraId="6DEFC634" w14:textId="77777777" w:rsidTr="00A86207">
        <w:trPr>
          <w:trHeight w:val="397"/>
        </w:trPr>
        <w:tc>
          <w:tcPr>
            <w:tcW w:w="4146" w:type="dxa"/>
            <w:tcBorders>
              <w:top w:val="single" w:sz="4" w:space="0" w:color="auto"/>
              <w:left w:val="nil"/>
              <w:bottom w:val="single" w:sz="4" w:space="0" w:color="auto"/>
              <w:right w:val="nil"/>
            </w:tcBorders>
            <w:shd w:val="clear" w:color="auto" w:fill="auto"/>
            <w:noWrap/>
            <w:vAlign w:val="center"/>
          </w:tcPr>
          <w:p w14:paraId="4C49E46B" w14:textId="77777777" w:rsidR="00D17229" w:rsidRPr="001B46FF" w:rsidRDefault="00D17229" w:rsidP="00A86207">
            <w:pPr>
              <w:spacing w:after="0" w:line="240" w:lineRule="auto"/>
              <w:jc w:val="both"/>
              <w:rPr>
                <w:rFonts w:ascii="Arial" w:eastAsia="Times New Roman" w:hAnsi="Arial" w:cs="Arial"/>
                <w:b/>
                <w:bCs/>
                <w:lang w:eastAsia="pt-BR"/>
              </w:rPr>
            </w:pPr>
            <w:r w:rsidRPr="001B46FF">
              <w:rPr>
                <w:rFonts w:ascii="Arial" w:eastAsia="Times New Roman" w:hAnsi="Arial" w:cs="Arial"/>
                <w:b/>
                <w:bCs/>
                <w:lang w:eastAsia="pt-BR"/>
              </w:rPr>
              <w:t>28-day mortality</w:t>
            </w:r>
          </w:p>
        </w:tc>
        <w:tc>
          <w:tcPr>
            <w:tcW w:w="2296" w:type="dxa"/>
            <w:tcBorders>
              <w:top w:val="single" w:sz="4" w:space="0" w:color="auto"/>
              <w:left w:val="nil"/>
              <w:bottom w:val="single" w:sz="4" w:space="0" w:color="auto"/>
              <w:right w:val="nil"/>
            </w:tcBorders>
            <w:vAlign w:val="center"/>
          </w:tcPr>
          <w:p w14:paraId="49CCACD2" w14:textId="77777777" w:rsidR="00D17229" w:rsidRPr="001B46FF" w:rsidRDefault="00D17229" w:rsidP="00A86207">
            <w:pPr>
              <w:spacing w:after="0" w:line="240" w:lineRule="auto"/>
              <w:jc w:val="center"/>
              <w:rPr>
                <w:rFonts w:ascii="Arial" w:hAnsi="Arial" w:cs="Arial"/>
                <w:sz w:val="20"/>
                <w:szCs w:val="20"/>
              </w:rPr>
            </w:pPr>
          </w:p>
        </w:tc>
        <w:tc>
          <w:tcPr>
            <w:tcW w:w="952" w:type="dxa"/>
            <w:tcBorders>
              <w:top w:val="single" w:sz="4" w:space="0" w:color="auto"/>
              <w:left w:val="nil"/>
              <w:bottom w:val="single" w:sz="4" w:space="0" w:color="auto"/>
              <w:right w:val="nil"/>
            </w:tcBorders>
            <w:shd w:val="clear" w:color="auto" w:fill="auto"/>
            <w:noWrap/>
            <w:vAlign w:val="center"/>
          </w:tcPr>
          <w:p w14:paraId="4C0EC6DC" w14:textId="77777777" w:rsidR="00D17229" w:rsidRPr="001B46FF" w:rsidRDefault="00D17229" w:rsidP="00A86207">
            <w:pPr>
              <w:spacing w:after="0" w:line="240" w:lineRule="auto"/>
              <w:jc w:val="center"/>
              <w:rPr>
                <w:rFonts w:ascii="Arial" w:hAnsi="Arial" w:cs="Arial"/>
                <w:sz w:val="20"/>
                <w:szCs w:val="20"/>
              </w:rPr>
            </w:pPr>
          </w:p>
        </w:tc>
      </w:tr>
      <w:tr w:rsidR="001B46FF" w:rsidRPr="001B46FF" w14:paraId="331FABA2" w14:textId="77777777" w:rsidTr="00A86207">
        <w:trPr>
          <w:trHeight w:val="397"/>
        </w:trPr>
        <w:tc>
          <w:tcPr>
            <w:tcW w:w="4146" w:type="dxa"/>
            <w:tcBorders>
              <w:top w:val="single" w:sz="4" w:space="0" w:color="auto"/>
              <w:left w:val="nil"/>
              <w:right w:val="nil"/>
            </w:tcBorders>
            <w:shd w:val="clear" w:color="auto" w:fill="auto"/>
            <w:noWrap/>
            <w:vAlign w:val="center"/>
          </w:tcPr>
          <w:p w14:paraId="2293A264"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Hepatic dysfunction</w:t>
            </w:r>
          </w:p>
        </w:tc>
        <w:tc>
          <w:tcPr>
            <w:tcW w:w="2296" w:type="dxa"/>
            <w:tcBorders>
              <w:top w:val="single" w:sz="4" w:space="0" w:color="auto"/>
              <w:left w:val="nil"/>
              <w:right w:val="nil"/>
            </w:tcBorders>
            <w:vAlign w:val="center"/>
          </w:tcPr>
          <w:p w14:paraId="14C9A694"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3.12 (1.59 - 6.13)</w:t>
            </w:r>
          </w:p>
        </w:tc>
        <w:tc>
          <w:tcPr>
            <w:tcW w:w="952" w:type="dxa"/>
            <w:tcBorders>
              <w:top w:val="single" w:sz="4" w:space="0" w:color="auto"/>
              <w:left w:val="nil"/>
              <w:right w:val="nil"/>
            </w:tcBorders>
            <w:shd w:val="clear" w:color="auto" w:fill="auto"/>
            <w:noWrap/>
            <w:vAlign w:val="center"/>
          </w:tcPr>
          <w:p w14:paraId="170843D9"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0.001</w:t>
            </w:r>
          </w:p>
        </w:tc>
      </w:tr>
      <w:tr w:rsidR="001B46FF" w:rsidRPr="001B46FF" w14:paraId="529F18AC" w14:textId="77777777" w:rsidTr="00A86207">
        <w:trPr>
          <w:trHeight w:val="397"/>
        </w:trPr>
        <w:tc>
          <w:tcPr>
            <w:tcW w:w="4146" w:type="dxa"/>
            <w:tcBorders>
              <w:top w:val="nil"/>
              <w:left w:val="nil"/>
              <w:right w:val="nil"/>
            </w:tcBorders>
            <w:shd w:val="clear" w:color="auto" w:fill="auto"/>
            <w:noWrap/>
            <w:vAlign w:val="center"/>
          </w:tcPr>
          <w:p w14:paraId="61082A7C"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Respiratory dysfunction</w:t>
            </w:r>
          </w:p>
        </w:tc>
        <w:tc>
          <w:tcPr>
            <w:tcW w:w="2296" w:type="dxa"/>
            <w:tcBorders>
              <w:top w:val="nil"/>
              <w:left w:val="nil"/>
              <w:right w:val="nil"/>
            </w:tcBorders>
            <w:vAlign w:val="center"/>
          </w:tcPr>
          <w:p w14:paraId="1152BF93"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1.68 (1.19 - 2.37)</w:t>
            </w:r>
          </w:p>
        </w:tc>
        <w:tc>
          <w:tcPr>
            <w:tcW w:w="952" w:type="dxa"/>
            <w:tcBorders>
              <w:top w:val="nil"/>
              <w:left w:val="nil"/>
              <w:right w:val="nil"/>
            </w:tcBorders>
            <w:shd w:val="clear" w:color="auto" w:fill="auto"/>
            <w:noWrap/>
            <w:vAlign w:val="center"/>
          </w:tcPr>
          <w:p w14:paraId="2E8C2CCA"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0.003</w:t>
            </w:r>
          </w:p>
        </w:tc>
      </w:tr>
      <w:tr w:rsidR="001B46FF" w:rsidRPr="001B46FF" w14:paraId="1270DCD7" w14:textId="77777777" w:rsidTr="00A86207">
        <w:trPr>
          <w:trHeight w:val="397"/>
        </w:trPr>
        <w:tc>
          <w:tcPr>
            <w:tcW w:w="4146" w:type="dxa"/>
            <w:tcBorders>
              <w:top w:val="nil"/>
              <w:left w:val="nil"/>
              <w:right w:val="nil"/>
            </w:tcBorders>
            <w:shd w:val="clear" w:color="auto" w:fill="auto"/>
            <w:noWrap/>
            <w:vAlign w:val="center"/>
          </w:tcPr>
          <w:p w14:paraId="3C826FC7"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Platelet transfusion</w:t>
            </w:r>
          </w:p>
        </w:tc>
        <w:tc>
          <w:tcPr>
            <w:tcW w:w="2296" w:type="dxa"/>
            <w:tcBorders>
              <w:top w:val="nil"/>
              <w:left w:val="nil"/>
              <w:right w:val="nil"/>
            </w:tcBorders>
            <w:vAlign w:val="center"/>
          </w:tcPr>
          <w:p w14:paraId="7306F158"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1.89 (1.13 - 3.14)</w:t>
            </w:r>
          </w:p>
        </w:tc>
        <w:tc>
          <w:tcPr>
            <w:tcW w:w="952" w:type="dxa"/>
            <w:tcBorders>
              <w:top w:val="nil"/>
              <w:left w:val="nil"/>
              <w:right w:val="nil"/>
            </w:tcBorders>
            <w:shd w:val="clear" w:color="auto" w:fill="auto"/>
            <w:noWrap/>
            <w:vAlign w:val="center"/>
          </w:tcPr>
          <w:p w14:paraId="6C65A4D1"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0.015</w:t>
            </w:r>
          </w:p>
        </w:tc>
      </w:tr>
      <w:tr w:rsidR="001B46FF" w:rsidRPr="001B46FF" w14:paraId="551B7516" w14:textId="77777777" w:rsidTr="00A86207">
        <w:trPr>
          <w:trHeight w:val="397"/>
        </w:trPr>
        <w:tc>
          <w:tcPr>
            <w:tcW w:w="4146" w:type="dxa"/>
            <w:tcBorders>
              <w:top w:val="nil"/>
              <w:left w:val="nil"/>
              <w:right w:val="nil"/>
            </w:tcBorders>
            <w:shd w:val="clear" w:color="auto" w:fill="auto"/>
            <w:noWrap/>
            <w:vAlign w:val="center"/>
          </w:tcPr>
          <w:p w14:paraId="0ED4E1C6"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SAPS3</w:t>
            </w:r>
          </w:p>
        </w:tc>
        <w:tc>
          <w:tcPr>
            <w:tcW w:w="2296" w:type="dxa"/>
            <w:tcBorders>
              <w:top w:val="nil"/>
              <w:left w:val="nil"/>
              <w:right w:val="nil"/>
            </w:tcBorders>
            <w:vAlign w:val="center"/>
          </w:tcPr>
          <w:p w14:paraId="17E62F37"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1.01 (1.01 - 1.02)</w:t>
            </w:r>
          </w:p>
        </w:tc>
        <w:tc>
          <w:tcPr>
            <w:tcW w:w="952" w:type="dxa"/>
            <w:tcBorders>
              <w:top w:val="nil"/>
              <w:left w:val="nil"/>
              <w:right w:val="nil"/>
            </w:tcBorders>
            <w:shd w:val="clear" w:color="auto" w:fill="auto"/>
            <w:noWrap/>
            <w:vAlign w:val="center"/>
          </w:tcPr>
          <w:p w14:paraId="74AE12FD"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0.021</w:t>
            </w:r>
          </w:p>
        </w:tc>
      </w:tr>
      <w:tr w:rsidR="001B46FF" w:rsidRPr="001B46FF" w14:paraId="47C0B52C" w14:textId="77777777" w:rsidTr="00A86207">
        <w:trPr>
          <w:trHeight w:val="397"/>
        </w:trPr>
        <w:tc>
          <w:tcPr>
            <w:tcW w:w="4146" w:type="dxa"/>
            <w:tcBorders>
              <w:top w:val="nil"/>
              <w:left w:val="nil"/>
              <w:bottom w:val="single" w:sz="4" w:space="0" w:color="auto"/>
              <w:right w:val="nil"/>
            </w:tcBorders>
            <w:shd w:val="clear" w:color="auto" w:fill="auto"/>
            <w:noWrap/>
            <w:vAlign w:val="center"/>
          </w:tcPr>
          <w:p w14:paraId="1967AC87" w14:textId="07B7A6EC"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Baseline serum creatinine &gt; 1.5 mg/dL</w:t>
            </w:r>
          </w:p>
        </w:tc>
        <w:tc>
          <w:tcPr>
            <w:tcW w:w="2296" w:type="dxa"/>
            <w:tcBorders>
              <w:top w:val="nil"/>
              <w:left w:val="nil"/>
              <w:bottom w:val="single" w:sz="4" w:space="0" w:color="auto"/>
              <w:right w:val="nil"/>
            </w:tcBorders>
            <w:vAlign w:val="center"/>
          </w:tcPr>
          <w:p w14:paraId="39528139"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3.24 (1.02 - 10.32)</w:t>
            </w:r>
          </w:p>
        </w:tc>
        <w:tc>
          <w:tcPr>
            <w:tcW w:w="952" w:type="dxa"/>
            <w:tcBorders>
              <w:top w:val="nil"/>
              <w:left w:val="nil"/>
              <w:bottom w:val="single" w:sz="4" w:space="0" w:color="auto"/>
              <w:right w:val="nil"/>
            </w:tcBorders>
            <w:shd w:val="clear" w:color="auto" w:fill="auto"/>
            <w:noWrap/>
            <w:vAlign w:val="center"/>
          </w:tcPr>
          <w:p w14:paraId="2D343ACE"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0.047</w:t>
            </w:r>
          </w:p>
        </w:tc>
      </w:tr>
      <w:tr w:rsidR="001B46FF" w:rsidRPr="001B46FF" w14:paraId="3C13EE1C" w14:textId="77777777" w:rsidTr="00A86207">
        <w:trPr>
          <w:trHeight w:val="397"/>
        </w:trPr>
        <w:tc>
          <w:tcPr>
            <w:tcW w:w="4146" w:type="dxa"/>
            <w:tcBorders>
              <w:top w:val="nil"/>
              <w:left w:val="nil"/>
              <w:bottom w:val="single" w:sz="4" w:space="0" w:color="auto"/>
              <w:right w:val="nil"/>
            </w:tcBorders>
            <w:shd w:val="clear" w:color="auto" w:fill="auto"/>
            <w:noWrap/>
            <w:vAlign w:val="center"/>
          </w:tcPr>
          <w:p w14:paraId="46F325A3" w14:textId="77777777" w:rsidR="00D17229" w:rsidRPr="001B46FF" w:rsidRDefault="00D17229" w:rsidP="00A86207">
            <w:pPr>
              <w:spacing w:after="0" w:line="240" w:lineRule="auto"/>
              <w:jc w:val="both"/>
              <w:rPr>
                <w:rFonts w:ascii="Arial" w:eastAsia="Times New Roman" w:hAnsi="Arial" w:cs="Arial"/>
                <w:b/>
                <w:bCs/>
                <w:lang w:eastAsia="pt-BR"/>
              </w:rPr>
            </w:pPr>
            <w:r w:rsidRPr="001B46FF">
              <w:rPr>
                <w:rFonts w:ascii="Arial" w:eastAsia="Times New Roman" w:hAnsi="Arial" w:cs="Arial"/>
                <w:b/>
                <w:bCs/>
                <w:lang w:eastAsia="pt-BR"/>
              </w:rPr>
              <w:t>60-day mortality</w:t>
            </w:r>
          </w:p>
        </w:tc>
        <w:tc>
          <w:tcPr>
            <w:tcW w:w="2296" w:type="dxa"/>
            <w:tcBorders>
              <w:top w:val="nil"/>
              <w:left w:val="nil"/>
              <w:bottom w:val="single" w:sz="4" w:space="0" w:color="auto"/>
              <w:right w:val="nil"/>
            </w:tcBorders>
            <w:vAlign w:val="center"/>
          </w:tcPr>
          <w:p w14:paraId="78F7B115" w14:textId="77777777" w:rsidR="00D17229" w:rsidRPr="001B46FF" w:rsidRDefault="00D17229" w:rsidP="00A86207">
            <w:pPr>
              <w:spacing w:after="0" w:line="240" w:lineRule="auto"/>
              <w:jc w:val="center"/>
              <w:rPr>
                <w:rFonts w:ascii="Arial" w:eastAsia="Times New Roman" w:hAnsi="Arial" w:cs="Arial"/>
                <w:lang w:eastAsia="pt-BR"/>
              </w:rPr>
            </w:pPr>
          </w:p>
        </w:tc>
        <w:tc>
          <w:tcPr>
            <w:tcW w:w="952" w:type="dxa"/>
            <w:tcBorders>
              <w:top w:val="nil"/>
              <w:left w:val="nil"/>
              <w:bottom w:val="single" w:sz="4" w:space="0" w:color="auto"/>
              <w:right w:val="nil"/>
            </w:tcBorders>
            <w:shd w:val="clear" w:color="auto" w:fill="auto"/>
            <w:noWrap/>
            <w:vAlign w:val="center"/>
          </w:tcPr>
          <w:p w14:paraId="51516EC9" w14:textId="77777777" w:rsidR="00D17229" w:rsidRPr="001B46FF" w:rsidRDefault="00D17229" w:rsidP="00A86207">
            <w:pPr>
              <w:spacing w:after="0" w:line="240" w:lineRule="auto"/>
              <w:jc w:val="center"/>
              <w:rPr>
                <w:rFonts w:ascii="Arial" w:eastAsia="Times New Roman" w:hAnsi="Arial" w:cs="Arial"/>
                <w:lang w:eastAsia="pt-BR"/>
              </w:rPr>
            </w:pPr>
          </w:p>
        </w:tc>
      </w:tr>
      <w:tr w:rsidR="001B46FF" w:rsidRPr="001B46FF" w14:paraId="58EC6AC4" w14:textId="77777777" w:rsidTr="00A86207">
        <w:trPr>
          <w:trHeight w:val="397"/>
        </w:trPr>
        <w:tc>
          <w:tcPr>
            <w:tcW w:w="4146" w:type="dxa"/>
            <w:tcBorders>
              <w:top w:val="single" w:sz="4" w:space="0" w:color="auto"/>
              <w:left w:val="nil"/>
              <w:right w:val="nil"/>
            </w:tcBorders>
            <w:shd w:val="clear" w:color="auto" w:fill="auto"/>
            <w:noWrap/>
            <w:vAlign w:val="center"/>
          </w:tcPr>
          <w:p w14:paraId="63A280E3"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SOFA score</w:t>
            </w:r>
          </w:p>
        </w:tc>
        <w:tc>
          <w:tcPr>
            <w:tcW w:w="2296" w:type="dxa"/>
            <w:tcBorders>
              <w:top w:val="single" w:sz="4" w:space="0" w:color="auto"/>
              <w:left w:val="nil"/>
              <w:right w:val="nil"/>
            </w:tcBorders>
            <w:vAlign w:val="center"/>
          </w:tcPr>
          <w:p w14:paraId="6C3760B3"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1.08 (1.04 - 1.12)</w:t>
            </w:r>
          </w:p>
        </w:tc>
        <w:tc>
          <w:tcPr>
            <w:tcW w:w="952" w:type="dxa"/>
            <w:tcBorders>
              <w:top w:val="single" w:sz="4" w:space="0" w:color="auto"/>
              <w:left w:val="nil"/>
              <w:right w:val="nil"/>
            </w:tcBorders>
            <w:shd w:val="clear" w:color="auto" w:fill="auto"/>
            <w:noWrap/>
            <w:vAlign w:val="center"/>
          </w:tcPr>
          <w:p w14:paraId="2385A3DF"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&lt;0.001</w:t>
            </w:r>
          </w:p>
        </w:tc>
      </w:tr>
      <w:tr w:rsidR="001B46FF" w:rsidRPr="001B46FF" w14:paraId="503A5D0B" w14:textId="77777777" w:rsidTr="00A86207">
        <w:trPr>
          <w:trHeight w:val="397"/>
        </w:trPr>
        <w:tc>
          <w:tcPr>
            <w:tcW w:w="4146" w:type="dxa"/>
            <w:tcBorders>
              <w:top w:val="nil"/>
              <w:left w:val="nil"/>
              <w:right w:val="nil"/>
            </w:tcBorders>
            <w:shd w:val="clear" w:color="auto" w:fill="auto"/>
            <w:noWrap/>
            <w:vAlign w:val="center"/>
          </w:tcPr>
          <w:p w14:paraId="00C8C95C"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Hepatic dysfunction</w:t>
            </w:r>
          </w:p>
        </w:tc>
        <w:tc>
          <w:tcPr>
            <w:tcW w:w="2296" w:type="dxa"/>
            <w:tcBorders>
              <w:top w:val="nil"/>
              <w:left w:val="nil"/>
              <w:right w:val="nil"/>
            </w:tcBorders>
            <w:vAlign w:val="center"/>
          </w:tcPr>
          <w:p w14:paraId="31E16DF8"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2.17 (1.15 - 4.1)</w:t>
            </w:r>
          </w:p>
        </w:tc>
        <w:tc>
          <w:tcPr>
            <w:tcW w:w="952" w:type="dxa"/>
            <w:tcBorders>
              <w:top w:val="nil"/>
              <w:left w:val="nil"/>
              <w:right w:val="nil"/>
            </w:tcBorders>
            <w:shd w:val="clear" w:color="auto" w:fill="auto"/>
            <w:noWrap/>
            <w:vAlign w:val="center"/>
          </w:tcPr>
          <w:p w14:paraId="304488A1"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0.016</w:t>
            </w:r>
          </w:p>
        </w:tc>
      </w:tr>
      <w:tr w:rsidR="001B46FF" w:rsidRPr="001B46FF" w14:paraId="679FDCD0" w14:textId="77777777" w:rsidTr="00A86207">
        <w:trPr>
          <w:trHeight w:val="397"/>
        </w:trPr>
        <w:tc>
          <w:tcPr>
            <w:tcW w:w="4146" w:type="dxa"/>
            <w:tcBorders>
              <w:top w:val="nil"/>
              <w:left w:val="nil"/>
              <w:bottom w:val="single" w:sz="4" w:space="0" w:color="auto"/>
              <w:right w:val="nil"/>
            </w:tcBorders>
            <w:shd w:val="clear" w:color="auto" w:fill="auto"/>
            <w:noWrap/>
            <w:vAlign w:val="center"/>
          </w:tcPr>
          <w:p w14:paraId="6A105B4D" w14:textId="1CADEDD8"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Baseline serum creatinine &gt; 1.5 mg/dL</w:t>
            </w:r>
          </w:p>
        </w:tc>
        <w:tc>
          <w:tcPr>
            <w:tcW w:w="2296" w:type="dxa"/>
            <w:tcBorders>
              <w:top w:val="nil"/>
              <w:left w:val="nil"/>
              <w:bottom w:val="single" w:sz="4" w:space="0" w:color="auto"/>
              <w:right w:val="nil"/>
            </w:tcBorders>
            <w:vAlign w:val="center"/>
          </w:tcPr>
          <w:p w14:paraId="108B9B80"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3.4 (1.08 - 10.75)</w:t>
            </w:r>
          </w:p>
        </w:tc>
        <w:tc>
          <w:tcPr>
            <w:tcW w:w="952" w:type="dxa"/>
            <w:tcBorders>
              <w:top w:val="nil"/>
              <w:left w:val="nil"/>
              <w:bottom w:val="single" w:sz="4" w:space="0" w:color="auto"/>
              <w:right w:val="nil"/>
            </w:tcBorders>
            <w:shd w:val="clear" w:color="auto" w:fill="auto"/>
            <w:noWrap/>
            <w:vAlign w:val="center"/>
          </w:tcPr>
          <w:p w14:paraId="56D94102"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0.037</w:t>
            </w:r>
          </w:p>
        </w:tc>
      </w:tr>
      <w:tr w:rsidR="001B46FF" w:rsidRPr="001B46FF" w14:paraId="0DD3922C" w14:textId="77777777" w:rsidTr="00A86207">
        <w:trPr>
          <w:trHeight w:val="397"/>
        </w:trPr>
        <w:tc>
          <w:tcPr>
            <w:tcW w:w="4146" w:type="dxa"/>
            <w:tcBorders>
              <w:top w:val="nil"/>
              <w:left w:val="nil"/>
              <w:bottom w:val="single" w:sz="4" w:space="0" w:color="auto"/>
              <w:right w:val="nil"/>
            </w:tcBorders>
            <w:shd w:val="clear" w:color="auto" w:fill="auto"/>
            <w:noWrap/>
            <w:vAlign w:val="center"/>
          </w:tcPr>
          <w:p w14:paraId="7AE717C3" w14:textId="77777777" w:rsidR="00D17229" w:rsidRPr="001B46FF" w:rsidRDefault="00D17229" w:rsidP="00A86207">
            <w:pPr>
              <w:spacing w:after="0" w:line="240" w:lineRule="auto"/>
              <w:jc w:val="both"/>
              <w:rPr>
                <w:rFonts w:ascii="Arial" w:eastAsia="Times New Roman" w:hAnsi="Arial" w:cs="Arial"/>
                <w:b/>
                <w:bCs/>
                <w:lang w:eastAsia="pt-BR"/>
              </w:rPr>
            </w:pPr>
            <w:r w:rsidRPr="001B46FF">
              <w:rPr>
                <w:rFonts w:ascii="Arial" w:eastAsia="Times New Roman" w:hAnsi="Arial" w:cs="Arial"/>
                <w:b/>
                <w:bCs/>
                <w:lang w:eastAsia="pt-BR"/>
              </w:rPr>
              <w:t>90-day mortality</w:t>
            </w:r>
          </w:p>
        </w:tc>
        <w:tc>
          <w:tcPr>
            <w:tcW w:w="2296" w:type="dxa"/>
            <w:tcBorders>
              <w:top w:val="nil"/>
              <w:left w:val="nil"/>
              <w:bottom w:val="single" w:sz="4" w:space="0" w:color="auto"/>
              <w:right w:val="nil"/>
            </w:tcBorders>
            <w:vAlign w:val="center"/>
          </w:tcPr>
          <w:p w14:paraId="0E878BE1" w14:textId="77777777" w:rsidR="00D17229" w:rsidRPr="001B46FF" w:rsidRDefault="00D17229" w:rsidP="00A86207">
            <w:pPr>
              <w:spacing w:after="0" w:line="240" w:lineRule="auto"/>
              <w:jc w:val="center"/>
              <w:rPr>
                <w:rFonts w:ascii="Arial" w:eastAsia="Times New Roman" w:hAnsi="Arial" w:cs="Arial"/>
                <w:lang w:eastAsia="pt-BR"/>
              </w:rPr>
            </w:pPr>
          </w:p>
        </w:tc>
        <w:tc>
          <w:tcPr>
            <w:tcW w:w="952" w:type="dxa"/>
            <w:tcBorders>
              <w:top w:val="nil"/>
              <w:left w:val="nil"/>
              <w:bottom w:val="single" w:sz="4" w:space="0" w:color="auto"/>
              <w:right w:val="nil"/>
            </w:tcBorders>
            <w:shd w:val="clear" w:color="auto" w:fill="auto"/>
            <w:noWrap/>
            <w:vAlign w:val="center"/>
          </w:tcPr>
          <w:p w14:paraId="010DE9EB" w14:textId="77777777" w:rsidR="00D17229" w:rsidRPr="001B46FF" w:rsidRDefault="00D17229" w:rsidP="00A86207">
            <w:pPr>
              <w:spacing w:after="0" w:line="240" w:lineRule="auto"/>
              <w:jc w:val="center"/>
              <w:rPr>
                <w:rFonts w:ascii="Arial" w:eastAsia="Times New Roman" w:hAnsi="Arial" w:cs="Arial"/>
                <w:lang w:eastAsia="pt-BR"/>
              </w:rPr>
            </w:pPr>
          </w:p>
        </w:tc>
      </w:tr>
      <w:tr w:rsidR="001B46FF" w:rsidRPr="001B46FF" w14:paraId="353FA08D" w14:textId="77777777" w:rsidTr="00A86207">
        <w:trPr>
          <w:trHeight w:val="397"/>
        </w:trPr>
        <w:tc>
          <w:tcPr>
            <w:tcW w:w="4146" w:type="dxa"/>
            <w:tcBorders>
              <w:top w:val="single" w:sz="4" w:space="0" w:color="auto"/>
              <w:left w:val="nil"/>
              <w:right w:val="nil"/>
            </w:tcBorders>
            <w:shd w:val="clear" w:color="auto" w:fill="auto"/>
            <w:noWrap/>
            <w:vAlign w:val="center"/>
          </w:tcPr>
          <w:p w14:paraId="089B6580"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SOFA score</w:t>
            </w:r>
          </w:p>
        </w:tc>
        <w:tc>
          <w:tcPr>
            <w:tcW w:w="2296" w:type="dxa"/>
            <w:tcBorders>
              <w:top w:val="single" w:sz="4" w:space="0" w:color="auto"/>
              <w:left w:val="nil"/>
              <w:right w:val="nil"/>
            </w:tcBorders>
            <w:vAlign w:val="center"/>
          </w:tcPr>
          <w:p w14:paraId="4C91915D"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1.07 (1.03 - 1.11)</w:t>
            </w:r>
          </w:p>
        </w:tc>
        <w:tc>
          <w:tcPr>
            <w:tcW w:w="952" w:type="dxa"/>
            <w:tcBorders>
              <w:top w:val="single" w:sz="4" w:space="0" w:color="auto"/>
              <w:left w:val="nil"/>
              <w:right w:val="nil"/>
            </w:tcBorders>
            <w:shd w:val="clear" w:color="auto" w:fill="auto"/>
            <w:noWrap/>
            <w:vAlign w:val="center"/>
          </w:tcPr>
          <w:p w14:paraId="07828547"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&lt;0.001</w:t>
            </w:r>
          </w:p>
        </w:tc>
      </w:tr>
      <w:tr w:rsidR="001B46FF" w:rsidRPr="001B46FF" w14:paraId="2E69CB06" w14:textId="77777777" w:rsidTr="00A86207">
        <w:trPr>
          <w:trHeight w:val="397"/>
        </w:trPr>
        <w:tc>
          <w:tcPr>
            <w:tcW w:w="4146" w:type="dxa"/>
            <w:tcBorders>
              <w:top w:val="nil"/>
              <w:left w:val="nil"/>
              <w:right w:val="nil"/>
            </w:tcBorders>
            <w:shd w:val="clear" w:color="auto" w:fill="auto"/>
            <w:noWrap/>
            <w:vAlign w:val="center"/>
          </w:tcPr>
          <w:p w14:paraId="64FF1E0F"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Hepatic dysfunction</w:t>
            </w:r>
          </w:p>
        </w:tc>
        <w:tc>
          <w:tcPr>
            <w:tcW w:w="2296" w:type="dxa"/>
            <w:tcBorders>
              <w:top w:val="nil"/>
              <w:left w:val="nil"/>
              <w:right w:val="nil"/>
            </w:tcBorders>
            <w:vAlign w:val="center"/>
          </w:tcPr>
          <w:p w14:paraId="2A310150"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2.36 (1.25 - 4.45)</w:t>
            </w:r>
          </w:p>
        </w:tc>
        <w:tc>
          <w:tcPr>
            <w:tcW w:w="952" w:type="dxa"/>
            <w:tcBorders>
              <w:top w:val="nil"/>
              <w:left w:val="nil"/>
              <w:right w:val="nil"/>
            </w:tcBorders>
            <w:shd w:val="clear" w:color="auto" w:fill="auto"/>
            <w:noWrap/>
            <w:vAlign w:val="center"/>
          </w:tcPr>
          <w:p w14:paraId="350C2810"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0.008</w:t>
            </w:r>
          </w:p>
        </w:tc>
      </w:tr>
      <w:tr w:rsidR="001B46FF" w:rsidRPr="001B46FF" w14:paraId="2EAA5AB8" w14:textId="77777777" w:rsidTr="00A86207">
        <w:trPr>
          <w:trHeight w:val="397"/>
        </w:trPr>
        <w:tc>
          <w:tcPr>
            <w:tcW w:w="4146" w:type="dxa"/>
            <w:tcBorders>
              <w:top w:val="nil"/>
              <w:left w:val="nil"/>
              <w:bottom w:val="single" w:sz="4" w:space="0" w:color="auto"/>
              <w:right w:val="nil"/>
            </w:tcBorders>
            <w:shd w:val="clear" w:color="auto" w:fill="auto"/>
            <w:noWrap/>
            <w:vAlign w:val="center"/>
          </w:tcPr>
          <w:p w14:paraId="2B9E7D86" w14:textId="77777777" w:rsidR="00D17229" w:rsidRPr="001B46FF" w:rsidRDefault="00D17229" w:rsidP="00A86207">
            <w:pPr>
              <w:spacing w:after="0" w:line="240" w:lineRule="auto"/>
              <w:jc w:val="both"/>
              <w:rPr>
                <w:rFonts w:ascii="Arial" w:eastAsia="Times New Roman" w:hAnsi="Arial" w:cs="Arial"/>
                <w:lang w:eastAsia="pt-BR"/>
              </w:rPr>
            </w:pPr>
            <w:r w:rsidRPr="001B46FF">
              <w:rPr>
                <w:rFonts w:ascii="Arial" w:eastAsia="Times New Roman" w:hAnsi="Arial" w:cs="Arial"/>
                <w:lang w:eastAsia="pt-BR"/>
              </w:rPr>
              <w:t>Strategy (Restrictive)</w:t>
            </w:r>
          </w:p>
        </w:tc>
        <w:tc>
          <w:tcPr>
            <w:tcW w:w="2296" w:type="dxa"/>
            <w:tcBorders>
              <w:top w:val="nil"/>
              <w:left w:val="nil"/>
              <w:bottom w:val="single" w:sz="4" w:space="0" w:color="auto"/>
              <w:right w:val="nil"/>
            </w:tcBorders>
            <w:vAlign w:val="center"/>
          </w:tcPr>
          <w:p w14:paraId="7A423712"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1.39 (1.03 - 1.87)</w:t>
            </w:r>
          </w:p>
        </w:tc>
        <w:tc>
          <w:tcPr>
            <w:tcW w:w="952" w:type="dxa"/>
            <w:tcBorders>
              <w:top w:val="nil"/>
              <w:left w:val="nil"/>
              <w:bottom w:val="single" w:sz="4" w:space="0" w:color="auto"/>
              <w:right w:val="nil"/>
            </w:tcBorders>
            <w:shd w:val="clear" w:color="auto" w:fill="auto"/>
            <w:noWrap/>
            <w:vAlign w:val="center"/>
          </w:tcPr>
          <w:p w14:paraId="5947B2FC" w14:textId="77777777" w:rsidR="00D17229" w:rsidRPr="001B46FF" w:rsidRDefault="00D17229" w:rsidP="00A86207">
            <w:pPr>
              <w:spacing w:after="0" w:line="240" w:lineRule="auto"/>
              <w:jc w:val="center"/>
              <w:rPr>
                <w:rFonts w:ascii="Arial" w:eastAsia="Times New Roman" w:hAnsi="Arial" w:cs="Arial"/>
                <w:lang w:eastAsia="pt-BR"/>
              </w:rPr>
            </w:pPr>
            <w:r w:rsidRPr="001B46FF">
              <w:rPr>
                <w:rFonts w:ascii="Arial" w:eastAsia="Times New Roman" w:hAnsi="Arial" w:cs="Arial"/>
                <w:lang w:eastAsia="pt-BR"/>
              </w:rPr>
              <w:t>0.030</w:t>
            </w:r>
          </w:p>
        </w:tc>
      </w:tr>
    </w:tbl>
    <w:p w14:paraId="58671145" w14:textId="77777777" w:rsidR="006F6508" w:rsidRPr="001B46FF" w:rsidRDefault="00D17229" w:rsidP="00C600FA">
      <w:pPr>
        <w:spacing w:line="240" w:lineRule="auto"/>
        <w:jc w:val="both"/>
        <w:rPr>
          <w:rFonts w:ascii="Arial" w:hAnsi="Arial" w:cs="Arial"/>
          <w:sz w:val="20"/>
          <w:szCs w:val="20"/>
          <w:lang w:val="en-US"/>
        </w:rPr>
      </w:pPr>
      <w:r w:rsidRPr="001B46FF">
        <w:rPr>
          <w:rFonts w:ascii="Arial" w:hAnsi="Arial" w:cs="Arial"/>
          <w:sz w:val="20"/>
          <w:szCs w:val="20"/>
          <w:lang w:val="en-US"/>
        </w:rPr>
        <w:t>Abbreviations: CI = confidence interval; SAPS 3 = Simplified Acute Physiology Score 3; SOFA = Sepsis-related Organ Failure Assessment score</w:t>
      </w:r>
    </w:p>
    <w:p w14:paraId="050E6866" w14:textId="77777777" w:rsidR="00DD71E4" w:rsidRPr="001B46FF" w:rsidRDefault="00DD71E4" w:rsidP="00C600FA">
      <w:pPr>
        <w:spacing w:line="240" w:lineRule="auto"/>
        <w:jc w:val="both"/>
        <w:rPr>
          <w:rFonts w:ascii="Arial" w:hAnsi="Arial" w:cs="Arial"/>
          <w:sz w:val="20"/>
          <w:szCs w:val="20"/>
          <w:lang w:val="en-US"/>
        </w:rPr>
      </w:pPr>
    </w:p>
    <w:p w14:paraId="14C7CCDA" w14:textId="77777777" w:rsidR="00DD71E4" w:rsidRPr="001B46FF" w:rsidRDefault="00DD71E4" w:rsidP="00C600FA">
      <w:pPr>
        <w:spacing w:line="240" w:lineRule="auto"/>
        <w:jc w:val="both"/>
        <w:rPr>
          <w:rFonts w:ascii="Arial" w:hAnsi="Arial" w:cs="Arial"/>
          <w:sz w:val="20"/>
          <w:szCs w:val="20"/>
          <w:lang w:val="en-US"/>
        </w:rPr>
      </w:pPr>
    </w:p>
    <w:p w14:paraId="500A78B9" w14:textId="77777777" w:rsidR="00DD71E4" w:rsidRPr="001B46FF" w:rsidRDefault="00DD71E4" w:rsidP="00C600FA">
      <w:pPr>
        <w:spacing w:line="240" w:lineRule="auto"/>
        <w:jc w:val="both"/>
        <w:rPr>
          <w:rFonts w:ascii="Arial" w:hAnsi="Arial" w:cs="Arial"/>
          <w:sz w:val="20"/>
          <w:szCs w:val="20"/>
          <w:lang w:val="en-US"/>
        </w:rPr>
      </w:pPr>
    </w:p>
    <w:p w14:paraId="3CC62D85" w14:textId="77777777" w:rsidR="00DD71E4" w:rsidRPr="001B46FF" w:rsidRDefault="00DD71E4" w:rsidP="00C600FA">
      <w:pPr>
        <w:spacing w:line="240" w:lineRule="auto"/>
        <w:jc w:val="both"/>
        <w:rPr>
          <w:rFonts w:ascii="Arial" w:hAnsi="Arial" w:cs="Arial"/>
          <w:sz w:val="20"/>
          <w:szCs w:val="20"/>
          <w:lang w:val="en-US"/>
        </w:rPr>
      </w:pPr>
    </w:p>
    <w:p w14:paraId="4BC81EE6" w14:textId="61CC8E2F" w:rsidR="00C600FA" w:rsidRPr="001B46FF" w:rsidRDefault="00DD71E4" w:rsidP="00655386">
      <w:pPr>
        <w:spacing w:line="480" w:lineRule="auto"/>
        <w:ind w:firstLine="709"/>
        <w:jc w:val="both"/>
        <w:rPr>
          <w:rFonts w:ascii="Arial" w:hAnsi="Arial" w:cs="Arial"/>
          <w:sz w:val="24"/>
          <w:szCs w:val="24"/>
        </w:rPr>
      </w:pPr>
      <w:r w:rsidRPr="001B46FF">
        <w:rPr>
          <w:rStyle w:val="apple-converted-space"/>
          <w:rFonts w:ascii="Arial" w:hAnsi="Arial"/>
          <w:sz w:val="24"/>
          <w:szCs w:val="24"/>
        </w:rPr>
        <w:t xml:space="preserve">Few </w:t>
      </w:r>
      <w:r w:rsidRPr="001B46FF">
        <w:rPr>
          <w:rStyle w:val="apple-converted-space"/>
          <w:rFonts w:ascii="Arial" w:hAnsi="Arial"/>
          <w:b/>
          <w:sz w:val="24"/>
          <w:szCs w:val="24"/>
        </w:rPr>
        <w:t>protocol deviations</w:t>
      </w:r>
      <w:r w:rsidRPr="001B46FF">
        <w:rPr>
          <w:rStyle w:val="apple-converted-space"/>
          <w:rFonts w:ascii="Arial" w:hAnsi="Arial"/>
          <w:sz w:val="24"/>
          <w:szCs w:val="24"/>
        </w:rPr>
        <w:t xml:space="preserve"> were noted: 3% of patients in the liberal group were not given RBC transfusion on the same day when the hemoglobin threshold was reached, while 5% of patients in the restrictive group received RBC transfusion for refractory shock when the hemoglobin concentration was above the threshold.</w:t>
      </w:r>
    </w:p>
    <w:sectPr w:rsidR="00C600FA" w:rsidRPr="001B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68"/>
    <w:rsid w:val="00065664"/>
    <w:rsid w:val="0008493D"/>
    <w:rsid w:val="00124738"/>
    <w:rsid w:val="00133B57"/>
    <w:rsid w:val="00195390"/>
    <w:rsid w:val="001B46FF"/>
    <w:rsid w:val="00264053"/>
    <w:rsid w:val="003423DE"/>
    <w:rsid w:val="003B0B3A"/>
    <w:rsid w:val="003C6D0B"/>
    <w:rsid w:val="00554C1B"/>
    <w:rsid w:val="00614F77"/>
    <w:rsid w:val="00631668"/>
    <w:rsid w:val="00655386"/>
    <w:rsid w:val="006F6508"/>
    <w:rsid w:val="009722BC"/>
    <w:rsid w:val="009E5B18"/>
    <w:rsid w:val="00BD3BD5"/>
    <w:rsid w:val="00C600FA"/>
    <w:rsid w:val="00CC2361"/>
    <w:rsid w:val="00D17229"/>
    <w:rsid w:val="00DD71E4"/>
    <w:rsid w:val="00E11B19"/>
    <w:rsid w:val="00E97A6D"/>
    <w:rsid w:val="00F11611"/>
    <w:rsid w:val="00F14931"/>
    <w:rsid w:val="00F25A83"/>
    <w:rsid w:val="00F411DE"/>
    <w:rsid w:val="00F9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C398"/>
  <w15:docId w15:val="{7856F3C9-698F-4ABF-9952-AD50A4A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18"/>
    <w:rPr>
      <w:rFonts w:ascii="Tahoma" w:hAnsi="Tahoma" w:cs="Tahoma"/>
      <w:sz w:val="16"/>
      <w:szCs w:val="16"/>
    </w:rPr>
  </w:style>
  <w:style w:type="character" w:customStyle="1" w:styleId="apple-converted-space">
    <w:name w:val="apple-converted-space"/>
    <w:rsid w:val="00554C1B"/>
    <w:rPr>
      <w:lang w:val="en-US"/>
    </w:rPr>
  </w:style>
  <w:style w:type="character" w:styleId="CommentReference">
    <w:name w:val="annotation reference"/>
    <w:basedOn w:val="DefaultParagraphFont"/>
    <w:uiPriority w:val="99"/>
    <w:semiHidden/>
    <w:unhideWhenUsed/>
    <w:rsid w:val="00CC2361"/>
    <w:rPr>
      <w:sz w:val="16"/>
      <w:szCs w:val="16"/>
    </w:rPr>
  </w:style>
  <w:style w:type="paragraph" w:styleId="CommentText">
    <w:name w:val="annotation text"/>
    <w:basedOn w:val="Normal"/>
    <w:link w:val="CommentTextChar"/>
    <w:uiPriority w:val="99"/>
    <w:semiHidden/>
    <w:unhideWhenUsed/>
    <w:rsid w:val="00CC2361"/>
    <w:pPr>
      <w:spacing w:line="240" w:lineRule="auto"/>
    </w:pPr>
    <w:rPr>
      <w:sz w:val="20"/>
      <w:szCs w:val="20"/>
    </w:rPr>
  </w:style>
  <w:style w:type="character" w:customStyle="1" w:styleId="CommentTextChar">
    <w:name w:val="Comment Text Char"/>
    <w:basedOn w:val="DefaultParagraphFont"/>
    <w:link w:val="CommentText"/>
    <w:uiPriority w:val="99"/>
    <w:semiHidden/>
    <w:rsid w:val="00CC2361"/>
    <w:rPr>
      <w:sz w:val="20"/>
      <w:szCs w:val="20"/>
    </w:rPr>
  </w:style>
  <w:style w:type="paragraph" w:styleId="CommentSubject">
    <w:name w:val="annotation subject"/>
    <w:basedOn w:val="CommentText"/>
    <w:next w:val="CommentText"/>
    <w:link w:val="CommentSubjectChar"/>
    <w:uiPriority w:val="99"/>
    <w:semiHidden/>
    <w:unhideWhenUsed/>
    <w:rsid w:val="00CC2361"/>
    <w:rPr>
      <w:b/>
      <w:bCs/>
    </w:rPr>
  </w:style>
  <w:style w:type="character" w:customStyle="1" w:styleId="CommentSubjectChar">
    <w:name w:val="Comment Subject Char"/>
    <w:basedOn w:val="CommentTextChar"/>
    <w:link w:val="CommentSubject"/>
    <w:uiPriority w:val="99"/>
    <w:semiHidden/>
    <w:rsid w:val="00CC2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704</Words>
  <Characters>4018</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Fominskiy</dc:creator>
  <cp:lastModifiedBy>Baeuerlein, Christopher</cp:lastModifiedBy>
  <cp:revision>10</cp:revision>
  <dcterms:created xsi:type="dcterms:W3CDTF">2016-11-01T20:03:00Z</dcterms:created>
  <dcterms:modified xsi:type="dcterms:W3CDTF">2017-01-17T15:57:00Z</dcterms:modified>
</cp:coreProperties>
</file>