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07A8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Supplemental Figure Legends</w:t>
      </w:r>
    </w:p>
    <w:p w14:paraId="70E4788B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7F15566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E1534">
        <w:rPr>
          <w:b/>
          <w:sz w:val="24"/>
          <w:szCs w:val="24"/>
        </w:rPr>
        <w:t>Figure S1.</w:t>
      </w:r>
      <w:r w:rsidRPr="005E1534"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Funnel plot for meta-analysis of the effect of NIV on intubation rate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failure patients compared with standard oxygen therapy. Plots were symmetrically distributed, indicating no publication bias. Each point represents one trial.</w:t>
      </w:r>
    </w:p>
    <w:p w14:paraId="5065E8EB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A5686B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E1534">
        <w:rPr>
          <w:b/>
          <w:sz w:val="24"/>
          <w:szCs w:val="24"/>
        </w:rPr>
        <w:t xml:space="preserve">Figure S2. </w:t>
      </w:r>
      <w:r w:rsidRPr="005E1534">
        <w:rPr>
          <w:rFonts w:ascii="Calibri" w:hAnsi="Calibri" w:cs="Calibri"/>
          <w:sz w:val="24"/>
          <w:szCs w:val="24"/>
        </w:rPr>
        <w:t>Relative risk for</w:t>
      </w:r>
      <w:r w:rsidRPr="005E1534">
        <w:rPr>
          <w:b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intubation rate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failure patients available for NIV versus standard oxygen therapy related to the types of interfaces. </w:t>
      </w:r>
    </w:p>
    <w:p w14:paraId="14A3C40A" w14:textId="77777777" w:rsidR="0027559C" w:rsidRDefault="0027559C" w:rsidP="0027559C">
      <w:pPr>
        <w:rPr>
          <w:b/>
          <w:sz w:val="24"/>
        </w:rPr>
      </w:pPr>
    </w:p>
    <w:p w14:paraId="69A46E26" w14:textId="77777777" w:rsidR="0027559C" w:rsidRPr="005E1534" w:rsidRDefault="0027559C" w:rsidP="0027559C">
      <w:pPr>
        <w:rPr>
          <w:rFonts w:ascii="Calibri" w:hAnsi="Calibri" w:cs="Calibri"/>
          <w:sz w:val="24"/>
          <w:szCs w:val="24"/>
        </w:rPr>
      </w:pPr>
      <w:r w:rsidRPr="005E1534">
        <w:rPr>
          <w:b/>
          <w:sz w:val="24"/>
        </w:rPr>
        <w:t>Figure S3.</w:t>
      </w:r>
      <w:bookmarkStart w:id="0" w:name="OLE_LINK24"/>
      <w:r w:rsidRPr="005E1534">
        <w:rPr>
          <w:rFonts w:ascii="Calibri" w:hAnsi="Calibri" w:cs="Calibri"/>
          <w:kern w:val="0"/>
          <w:sz w:val="24"/>
          <w:szCs w:val="21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Relative risk for</w:t>
      </w:r>
      <w:r w:rsidRPr="005E1534">
        <w:rPr>
          <w:b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intubation rate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failure patients available for NIV versus standard oxygen therapy related to the NIV mode setting.</w:t>
      </w:r>
      <w:bookmarkEnd w:id="0"/>
      <w:r w:rsidRPr="005E153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534">
        <w:rPr>
          <w:rFonts w:ascii="Calibri" w:hAnsi="Calibri" w:cs="Calibri"/>
          <w:sz w:val="24"/>
          <w:szCs w:val="24"/>
        </w:rPr>
        <w:t>BiPAP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E1534">
        <w:rPr>
          <w:rFonts w:ascii="Calibri" w:hAnsi="Calibri" w:cs="Calibri"/>
          <w:sz w:val="24"/>
          <w:szCs w:val="24"/>
        </w:rPr>
        <w:t>bilevel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inspiratory positive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airway pressure; CPAP, continuous positive airway pressure.</w:t>
      </w:r>
    </w:p>
    <w:p w14:paraId="6422A2AF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C80F95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E1534">
        <w:rPr>
          <w:b/>
          <w:sz w:val="24"/>
          <w:szCs w:val="24"/>
        </w:rPr>
        <w:t>Figure S4</w:t>
      </w:r>
      <w:r w:rsidRPr="005E1534">
        <w:rPr>
          <w:rFonts w:ascii="Calibri" w:hAnsi="Calibri" w:cs="Calibri"/>
          <w:b/>
          <w:kern w:val="0"/>
          <w:sz w:val="24"/>
          <w:szCs w:val="21"/>
        </w:rPr>
        <w:t>.</w:t>
      </w:r>
      <w:r w:rsidRPr="005E1534">
        <w:rPr>
          <w:rFonts w:ascii="Calibri" w:hAnsi="Calibri" w:cs="Calibri"/>
          <w:kern w:val="0"/>
          <w:sz w:val="24"/>
          <w:szCs w:val="21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Relative risk for</w:t>
      </w:r>
      <w:r w:rsidRPr="005E1534">
        <w:rPr>
          <w:b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intubation rate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failure patients available for NIV versus standard oxygen therapy related to PaO2/FiO2.</w:t>
      </w:r>
    </w:p>
    <w:p w14:paraId="590A9235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597D53F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szCs w:val="24"/>
        </w:rPr>
      </w:pPr>
      <w:r w:rsidRPr="005E1534">
        <w:rPr>
          <w:b/>
          <w:sz w:val="24"/>
          <w:szCs w:val="24"/>
        </w:rPr>
        <w:t>Figure S5.</w:t>
      </w:r>
      <w:r w:rsidRPr="005E1534">
        <w:rPr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Funnel plot for meta-analysis of the effect of NIV on ICU mortality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failure patients compared with standard oxygen therapy. P</w:t>
      </w:r>
      <w:r w:rsidRPr="005E1534">
        <w:rPr>
          <w:rFonts w:ascii="Calibri" w:hAnsi="Calibri" w:cs="Calibri"/>
          <w:kern w:val="0"/>
          <w:sz w:val="24"/>
          <w:szCs w:val="24"/>
        </w:rPr>
        <w:t>lots were symmetrically distributed, indicating no obvious publication bias. Each point represents one trial.</w:t>
      </w:r>
    </w:p>
    <w:p w14:paraId="2CDC8B22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</w:rPr>
      </w:pPr>
    </w:p>
    <w:p w14:paraId="23D26880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E1534">
        <w:rPr>
          <w:b/>
          <w:sz w:val="24"/>
        </w:rPr>
        <w:t>Figure S6.</w:t>
      </w:r>
      <w:r w:rsidRPr="005E1534">
        <w:rPr>
          <w:rFonts w:ascii="Calibri" w:hAnsi="Calibri" w:cs="Calibri"/>
          <w:kern w:val="0"/>
          <w:sz w:val="24"/>
          <w:szCs w:val="21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Subgroup analysis for</w:t>
      </w:r>
      <w:r w:rsidRPr="005E1534">
        <w:rPr>
          <w:b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ICU mortality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failure patients available for NIV versus standard oxygen therapy. </w:t>
      </w:r>
      <w:r w:rsidRPr="005E1534">
        <w:rPr>
          <w:rFonts w:ascii="Calibri" w:hAnsi="Calibri" w:cs="Calibri" w:hint="eastAsia"/>
          <w:sz w:val="24"/>
          <w:szCs w:val="24"/>
        </w:rPr>
        <w:t>(A)</w:t>
      </w:r>
      <w:r w:rsidRPr="005E1534">
        <w:rPr>
          <w:rFonts w:ascii="Calibri" w:hAnsi="Calibri" w:cs="Calibri"/>
          <w:sz w:val="24"/>
          <w:szCs w:val="24"/>
        </w:rPr>
        <w:t xml:space="preserve"> NIV mode setting</w:t>
      </w:r>
      <w:r w:rsidRPr="005E1534">
        <w:rPr>
          <w:rFonts w:ascii="Calibri" w:hAnsi="Calibri" w:cs="Calibri" w:hint="eastAsia"/>
          <w:sz w:val="24"/>
          <w:szCs w:val="24"/>
        </w:rPr>
        <w:t xml:space="preserve">; </w:t>
      </w:r>
      <w:r w:rsidRPr="005E1534">
        <w:rPr>
          <w:rFonts w:ascii="Calibri" w:hAnsi="Calibri" w:cs="Calibri"/>
          <w:sz w:val="24"/>
          <w:szCs w:val="24"/>
        </w:rPr>
        <w:t xml:space="preserve">(B) PaO2/FiO2 ratio. </w:t>
      </w:r>
      <w:proofErr w:type="spellStart"/>
      <w:r w:rsidRPr="005E1534">
        <w:rPr>
          <w:rFonts w:ascii="Calibri" w:hAnsi="Calibri" w:cs="Calibri"/>
          <w:sz w:val="24"/>
          <w:szCs w:val="24"/>
        </w:rPr>
        <w:t>BiPAP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E1534">
        <w:rPr>
          <w:rFonts w:ascii="Calibri" w:hAnsi="Calibri" w:cs="Calibri"/>
          <w:sz w:val="24"/>
          <w:szCs w:val="24"/>
        </w:rPr>
        <w:t>bilevel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inspiratory positive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airway pressure; CPAP, continuous positive airway pressure.</w:t>
      </w:r>
    </w:p>
    <w:p w14:paraId="59FFC579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479E08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szCs w:val="24"/>
        </w:rPr>
      </w:pPr>
      <w:r w:rsidRPr="005E1534">
        <w:rPr>
          <w:b/>
          <w:sz w:val="24"/>
          <w:szCs w:val="24"/>
        </w:rPr>
        <w:t>Figure S7.</w:t>
      </w:r>
      <w:r w:rsidRPr="005E1534">
        <w:rPr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Funnel plot for meta-analysis of the effect of NIV on hospital mortality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>failure patients compared with standard oxygen therapy.</w:t>
      </w:r>
      <w:r w:rsidRPr="005E1534">
        <w:rPr>
          <w:rFonts w:ascii="Calibri" w:hAnsi="Calibri" w:cs="Calibri"/>
          <w:kern w:val="0"/>
          <w:sz w:val="24"/>
          <w:szCs w:val="24"/>
        </w:rPr>
        <w:t xml:space="preserve"> Plots were symmetrically distributed, indicating no obvious publication bias. Each point represents one trial.</w:t>
      </w:r>
    </w:p>
    <w:p w14:paraId="0A86620A" w14:textId="77777777" w:rsidR="0027559C" w:rsidRDefault="0027559C" w:rsidP="0027559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06BD7E6" w14:textId="77777777" w:rsidR="0027559C" w:rsidRPr="005E1534" w:rsidRDefault="0027559C" w:rsidP="0027559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5E1534">
        <w:rPr>
          <w:b/>
          <w:sz w:val="24"/>
          <w:szCs w:val="24"/>
        </w:rPr>
        <w:t>Figure S8</w:t>
      </w:r>
      <w:r w:rsidRPr="005E1534">
        <w:rPr>
          <w:rFonts w:ascii="Calibri" w:hAnsi="Calibri" w:cs="Calibri"/>
          <w:b/>
          <w:kern w:val="0"/>
          <w:sz w:val="24"/>
          <w:szCs w:val="21"/>
        </w:rPr>
        <w:t xml:space="preserve">. </w:t>
      </w:r>
      <w:r w:rsidRPr="005E1534">
        <w:rPr>
          <w:rFonts w:ascii="Calibri" w:hAnsi="Calibri" w:cs="Calibri"/>
          <w:sz w:val="24"/>
          <w:szCs w:val="24"/>
        </w:rPr>
        <w:t xml:space="preserve">Subgroup analysis for hospital mortality in </w:t>
      </w:r>
      <w:r w:rsidRPr="005E1534">
        <w:rPr>
          <w:rFonts w:ascii="Calibri" w:hAnsi="Calibri" w:cs="Calibri" w:hint="eastAsia"/>
          <w:sz w:val="24"/>
          <w:szCs w:val="24"/>
        </w:rPr>
        <w:t xml:space="preserve">acute hypoxemic </w:t>
      </w:r>
      <w:r w:rsidRPr="005E1534">
        <w:rPr>
          <w:rFonts w:ascii="Calibri" w:hAnsi="Calibri" w:cs="Calibri"/>
          <w:sz w:val="24"/>
          <w:szCs w:val="24"/>
        </w:rPr>
        <w:t>non-</w:t>
      </w:r>
      <w:proofErr w:type="spellStart"/>
      <w:r w:rsidRPr="005E1534">
        <w:rPr>
          <w:rFonts w:ascii="Calibri" w:hAnsi="Calibri" w:cs="Calibri"/>
          <w:sz w:val="24"/>
          <w:szCs w:val="24"/>
        </w:rPr>
        <w:t>hypercapnic</w:t>
      </w:r>
      <w:proofErr w:type="spellEnd"/>
      <w:r w:rsidRPr="005E1534">
        <w:rPr>
          <w:rFonts w:ascii="Calibri" w:hAnsi="Calibri" w:cs="Calibri"/>
          <w:sz w:val="24"/>
          <w:szCs w:val="24"/>
        </w:rPr>
        <w:t xml:space="preserve"> respiratory</w:t>
      </w:r>
      <w:r w:rsidRPr="005E1534">
        <w:rPr>
          <w:rFonts w:ascii="Calibri" w:hAnsi="Calibri" w:cs="Calibri" w:hint="eastAsia"/>
          <w:sz w:val="24"/>
          <w:szCs w:val="24"/>
        </w:rPr>
        <w:t xml:space="preserve"> </w:t>
      </w:r>
      <w:r w:rsidRPr="005E1534">
        <w:rPr>
          <w:rFonts w:ascii="Calibri" w:hAnsi="Calibri" w:cs="Calibri"/>
          <w:sz w:val="24"/>
          <w:szCs w:val="24"/>
        </w:rPr>
        <w:t xml:space="preserve">failure patients available for NIV versus standard oxygen therapy. </w:t>
      </w:r>
      <w:r w:rsidRPr="005E1534">
        <w:rPr>
          <w:rFonts w:ascii="Calibri" w:hAnsi="Calibri" w:cs="Calibri" w:hint="eastAsia"/>
          <w:sz w:val="24"/>
          <w:szCs w:val="24"/>
        </w:rPr>
        <w:t>(A)</w:t>
      </w:r>
      <w:r w:rsidRPr="005E1534">
        <w:rPr>
          <w:rFonts w:ascii="Calibri" w:hAnsi="Calibri" w:cs="Calibri"/>
          <w:sz w:val="24"/>
          <w:szCs w:val="24"/>
        </w:rPr>
        <w:t xml:space="preserve"> Types of interfaces</w:t>
      </w:r>
      <w:r w:rsidRPr="005E1534">
        <w:rPr>
          <w:rFonts w:ascii="Calibri" w:hAnsi="Calibri" w:cs="Calibri" w:hint="eastAsia"/>
          <w:sz w:val="24"/>
          <w:szCs w:val="24"/>
        </w:rPr>
        <w:t xml:space="preserve">; </w:t>
      </w:r>
      <w:r w:rsidRPr="005E1534">
        <w:rPr>
          <w:rFonts w:ascii="Calibri" w:hAnsi="Calibri" w:cs="Calibri"/>
          <w:sz w:val="24"/>
          <w:szCs w:val="24"/>
        </w:rPr>
        <w:t>(B) PaO2/FiO2 ratio.</w:t>
      </w:r>
    </w:p>
    <w:p w14:paraId="24466A39" w14:textId="77777777" w:rsidR="005A464C" w:rsidRDefault="0027559C" w:rsidP="0027559C"/>
    <w:sectPr w:rsidR="005A464C" w:rsidSect="0027559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992289"/>
      <w:docPartObj>
        <w:docPartGallery w:val="Page Numbers (Bottom of Page)"/>
        <w:docPartUnique/>
      </w:docPartObj>
    </w:sdtPr>
    <w:sdtEndPr/>
    <w:sdtContent>
      <w:p w14:paraId="3F2C8651" w14:textId="77777777" w:rsidR="004D46E9" w:rsidRDefault="002755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59C">
          <w:rPr>
            <w:noProof/>
            <w:lang w:val="zh-CN"/>
          </w:rPr>
          <w:t>1</w:t>
        </w:r>
        <w:r>
          <w:fldChar w:fldCharType="end"/>
        </w:r>
      </w:p>
    </w:sdtContent>
  </w:sdt>
  <w:p w14:paraId="2A29A14D" w14:textId="77777777" w:rsidR="004D46E9" w:rsidRDefault="002755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C"/>
    <w:rsid w:val="0027559C"/>
    <w:rsid w:val="00905C03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7714"/>
  <w15:chartTrackingRefBased/>
  <w15:docId w15:val="{A0B35C7D-B967-4AD8-A488-01DF024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559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5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559C"/>
    <w:rPr>
      <w:rFonts w:ascii="Times New Roman" w:eastAsia="SimSu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2017-02-08T15:17:00Z</dcterms:created>
  <dcterms:modified xsi:type="dcterms:W3CDTF">2017-02-08T15:18:00Z</dcterms:modified>
</cp:coreProperties>
</file>