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9404" w14:textId="77777777" w:rsidR="006F104C" w:rsidRDefault="006F104C" w:rsidP="006F104C">
      <w:pPr>
        <w:rPr>
          <w:b/>
        </w:rPr>
      </w:pPr>
      <w:r>
        <w:rPr>
          <w:b/>
        </w:rPr>
        <w:t>SUPPLEMENTARY DIGITAL CONTEN</w:t>
      </w:r>
      <w:bookmarkStart w:id="0" w:name="_GoBack"/>
      <w:bookmarkEnd w:id="0"/>
      <w:r>
        <w:rPr>
          <w:b/>
        </w:rPr>
        <w:t>T</w:t>
      </w:r>
    </w:p>
    <w:p w14:paraId="73CB20BC" w14:textId="77777777" w:rsidR="006F104C" w:rsidRDefault="006F104C" w:rsidP="006F104C">
      <w:pPr>
        <w:rPr>
          <w:b/>
        </w:rPr>
      </w:pPr>
      <w:r>
        <w:rPr>
          <w:b/>
        </w:rPr>
        <w:t xml:space="preserve"> </w:t>
      </w:r>
    </w:p>
    <w:p w14:paraId="52B3D0D8" w14:textId="77777777" w:rsidR="006F104C" w:rsidRPr="00482F70" w:rsidRDefault="006F104C" w:rsidP="006F104C">
      <w:r>
        <w:rPr>
          <w:b/>
        </w:rPr>
        <w:t xml:space="preserve">Supplementary </w:t>
      </w:r>
      <w:r w:rsidRPr="007E5F5F">
        <w:rPr>
          <w:b/>
        </w:rPr>
        <w:t>File 1</w:t>
      </w:r>
      <w:r>
        <w:t xml:space="preserve"> </w:t>
      </w:r>
      <w:r>
        <w:rPr>
          <w:b/>
        </w:rPr>
        <w:t xml:space="preserve">- </w:t>
      </w:r>
      <w:r>
        <w:t xml:space="preserve">Search Strategy.  This file represents the search strategy used for MEDINE, EMBASE, and COCHRANE databases. </w:t>
      </w:r>
    </w:p>
    <w:p w14:paraId="575FD4BF" w14:textId="77777777" w:rsidR="006F104C" w:rsidRDefault="006F104C" w:rsidP="006F104C"/>
    <w:p w14:paraId="12717AE8" w14:textId="5C7CAFD6" w:rsidR="006F104C" w:rsidRDefault="00C40517" w:rsidP="006F104C">
      <w:r>
        <w:rPr>
          <w:b/>
        </w:rPr>
        <w:t>Fig. S1</w:t>
      </w:r>
      <w:r w:rsidR="006F104C" w:rsidRPr="00BF6542">
        <w:t xml:space="preserve"> - </w:t>
      </w:r>
      <w:r w:rsidR="006F104C">
        <w:t xml:space="preserve">Trim and fill analysis for mortality.  Legend: Unfilled circles represent included </w:t>
      </w:r>
      <w:proofErr w:type="gramStart"/>
      <w:r w:rsidR="006F104C">
        <w:t>trials,</w:t>
      </w:r>
      <w:proofErr w:type="gramEnd"/>
      <w:r w:rsidR="006F104C">
        <w:t xml:space="preserve"> black circles are imputed. </w:t>
      </w:r>
    </w:p>
    <w:p w14:paraId="2684CFC1" w14:textId="77777777" w:rsidR="006F104C" w:rsidRDefault="006F104C" w:rsidP="006F104C"/>
    <w:p w14:paraId="5022DECD" w14:textId="182DAF2C" w:rsidR="006F104C" w:rsidRDefault="0072611D" w:rsidP="006F104C">
      <w:r>
        <w:rPr>
          <w:b/>
        </w:rPr>
        <w:t>Supplemental Table 1</w:t>
      </w:r>
      <w:r w:rsidR="006F104C">
        <w:t xml:space="preserve">–Subgroup analysis for mortality.  Legend: ICU, intensive care unit; OR, operating room; SVV, stroke volume variation; PPV, pulse pressure variation; SV, stroke volume; HES, hydroxyethyl starch; MD, physician.  </w:t>
      </w:r>
    </w:p>
    <w:p w14:paraId="64CA4772" w14:textId="77777777" w:rsidR="006F104C" w:rsidRDefault="006F104C" w:rsidP="006F104C"/>
    <w:p w14:paraId="3F23CC9C" w14:textId="151AA921" w:rsidR="006F104C" w:rsidRDefault="0072611D" w:rsidP="006F104C">
      <w:r>
        <w:rPr>
          <w:b/>
        </w:rPr>
        <w:t>Fig. S2</w:t>
      </w:r>
      <w:r w:rsidR="006F104C">
        <w:t xml:space="preserve"> – Subgroup analysis for mortality based on patient population.  Legend: ICU, intensive care unit. </w:t>
      </w:r>
    </w:p>
    <w:p w14:paraId="5B6D6199" w14:textId="77777777" w:rsidR="006F104C" w:rsidRDefault="006F104C" w:rsidP="006F104C"/>
    <w:p w14:paraId="0E461E20" w14:textId="1780561F" w:rsidR="006F104C" w:rsidRDefault="00D66781" w:rsidP="006F104C">
      <w:r>
        <w:rPr>
          <w:b/>
        </w:rPr>
        <w:t>Fig. S3</w:t>
      </w:r>
      <w:r w:rsidR="006F104C">
        <w:t xml:space="preserve"> – Subgroup analysis for mortality based on fluid responsiveness criteria.  Legend: SV, stroke volume. </w:t>
      </w:r>
    </w:p>
    <w:p w14:paraId="32FE688C" w14:textId="77777777" w:rsidR="006F104C" w:rsidRDefault="006F104C" w:rsidP="006F104C"/>
    <w:p w14:paraId="64FDA22B" w14:textId="61F8549F" w:rsidR="006F104C" w:rsidRDefault="00D66781" w:rsidP="006F104C">
      <w:r>
        <w:rPr>
          <w:b/>
        </w:rPr>
        <w:t>Fig. S4</w:t>
      </w:r>
      <w:r w:rsidR="006F104C">
        <w:t xml:space="preserve"> – Subgroup analysis for mortality based on fluid type. </w:t>
      </w:r>
    </w:p>
    <w:p w14:paraId="71432741" w14:textId="77777777" w:rsidR="006F104C" w:rsidRDefault="006F104C" w:rsidP="006F104C"/>
    <w:p w14:paraId="3845EE70" w14:textId="5A980AC9" w:rsidR="006F104C" w:rsidRDefault="00D66781" w:rsidP="006F104C">
      <w:r>
        <w:rPr>
          <w:b/>
        </w:rPr>
        <w:t>Fig. S5</w:t>
      </w:r>
      <w:r w:rsidR="006F104C">
        <w:t xml:space="preserve"> – Subgroup analysis for mortality based on timing of intervention.  Legend: OR, operating room; ICU, intensive care unit. </w:t>
      </w:r>
    </w:p>
    <w:p w14:paraId="6DD9020C" w14:textId="77777777" w:rsidR="006F104C" w:rsidRDefault="006F104C" w:rsidP="006F104C"/>
    <w:p w14:paraId="39306B83" w14:textId="30CC0210" w:rsidR="006F104C" w:rsidRDefault="00D66781" w:rsidP="006F104C">
      <w:r>
        <w:rPr>
          <w:b/>
        </w:rPr>
        <w:t>Fig. S6</w:t>
      </w:r>
      <w:r w:rsidR="006F104C">
        <w:t xml:space="preserve"> – Subgroup analysis for mortality based on duration of intervention. </w:t>
      </w:r>
    </w:p>
    <w:p w14:paraId="119962D3" w14:textId="77777777" w:rsidR="006F104C" w:rsidRDefault="006F104C" w:rsidP="006F104C"/>
    <w:p w14:paraId="4470F126" w14:textId="1B0277C3" w:rsidR="006F104C" w:rsidRDefault="00D66781" w:rsidP="006F104C">
      <w:r>
        <w:rPr>
          <w:b/>
        </w:rPr>
        <w:t>Fig. S7</w:t>
      </w:r>
      <w:r w:rsidR="006F104C">
        <w:t xml:space="preserve"> – Subgroup analysis for mortality based on study quality. </w:t>
      </w:r>
    </w:p>
    <w:p w14:paraId="3BE016FF" w14:textId="77777777" w:rsidR="006F104C" w:rsidRDefault="006F104C" w:rsidP="006F104C"/>
    <w:p w14:paraId="1EDF0676" w14:textId="036DD15C" w:rsidR="006F104C" w:rsidRDefault="00D66781" w:rsidP="006F104C">
      <w:r>
        <w:rPr>
          <w:b/>
        </w:rPr>
        <w:t>Fig. S8</w:t>
      </w:r>
      <w:r w:rsidR="006F104C">
        <w:t xml:space="preserve"> – Subgroup analysis for mortality based on funding source.  </w:t>
      </w:r>
    </w:p>
    <w:p w14:paraId="6D079DD4" w14:textId="77777777" w:rsidR="006F104C" w:rsidRDefault="006F104C" w:rsidP="006F104C"/>
    <w:p w14:paraId="583EBA5C" w14:textId="02BD674A" w:rsidR="006F104C" w:rsidRDefault="008E313C" w:rsidP="006F104C">
      <w:r>
        <w:rPr>
          <w:b/>
        </w:rPr>
        <w:t>Fig. S9</w:t>
      </w:r>
      <w:r w:rsidR="006F104C">
        <w:t xml:space="preserve"> – The effect of fluid therapy guided by dynamic assessment of fluid responsiveness on intensive care unit length of stay. </w:t>
      </w:r>
    </w:p>
    <w:p w14:paraId="79804E6F" w14:textId="77777777" w:rsidR="006F104C" w:rsidRDefault="006F104C" w:rsidP="006F104C"/>
    <w:p w14:paraId="4A4DF18F" w14:textId="4E006D2B" w:rsidR="006F104C" w:rsidRDefault="008E313C" w:rsidP="006F104C">
      <w:r>
        <w:rPr>
          <w:b/>
        </w:rPr>
        <w:t>Fig. S10</w:t>
      </w:r>
      <w:r w:rsidR="006F104C">
        <w:t xml:space="preserve"> – The effect of fluid therapy guided by dynamic assessment of fluid responsiveness on duration of mechanical ventilation. </w:t>
      </w:r>
    </w:p>
    <w:p w14:paraId="2B38D0E5" w14:textId="77777777" w:rsidR="006F104C" w:rsidRDefault="006F104C" w:rsidP="006F104C"/>
    <w:p w14:paraId="3DB2A1C8" w14:textId="2EBB43EE" w:rsidR="006F104C" w:rsidRDefault="008E313C" w:rsidP="006F104C">
      <w:r>
        <w:rPr>
          <w:b/>
        </w:rPr>
        <w:t>Fig. S11</w:t>
      </w:r>
      <w:r w:rsidR="006F104C">
        <w:t xml:space="preserve"> – The effect of fluid therapy guided by dynamic assessment of fluid responsiveness on hospital length of stay. </w:t>
      </w:r>
    </w:p>
    <w:p w14:paraId="08F53F2A" w14:textId="77777777" w:rsidR="006F104C" w:rsidRDefault="006F104C" w:rsidP="006F104C"/>
    <w:p w14:paraId="4384E900" w14:textId="1C7EA548" w:rsidR="006F104C" w:rsidRDefault="008E313C" w:rsidP="006F104C">
      <w:r>
        <w:rPr>
          <w:b/>
        </w:rPr>
        <w:t>Fig. S12</w:t>
      </w:r>
      <w:r w:rsidR="006F104C">
        <w:t xml:space="preserve"> – The effect of fluid therapy guided by dynamic assessment of fluid responsiveness on incidence of renal complications. </w:t>
      </w:r>
    </w:p>
    <w:p w14:paraId="5CEB8E6C" w14:textId="77777777" w:rsidR="006F104C" w:rsidRDefault="006F104C" w:rsidP="006F104C"/>
    <w:p w14:paraId="53C3B4E0" w14:textId="366D9B2B" w:rsidR="006F104C" w:rsidRDefault="00966922" w:rsidP="006F104C">
      <w:r>
        <w:rPr>
          <w:b/>
        </w:rPr>
        <w:t>Fig. S13</w:t>
      </w:r>
      <w:r w:rsidR="006F104C">
        <w:t xml:space="preserve"> – The effect of fluid therapy guided by dynamic assessment of fluid responsiveness on serum lactate at end-intervention.  </w:t>
      </w:r>
    </w:p>
    <w:p w14:paraId="15FEE7F1" w14:textId="77777777" w:rsidR="00C40517" w:rsidRDefault="00C40517"/>
    <w:sectPr w:rsidR="00C40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4C"/>
    <w:rsid w:val="006F104C"/>
    <w:rsid w:val="0072611D"/>
    <w:rsid w:val="008E313C"/>
    <w:rsid w:val="00905C03"/>
    <w:rsid w:val="00966922"/>
    <w:rsid w:val="00C3068B"/>
    <w:rsid w:val="00C40517"/>
    <w:rsid w:val="00D66781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1C6E5"/>
  <w15:docId w15:val="{AE8FB34C-0BDC-4F04-A236-D7428216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104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2</cp:revision>
  <dcterms:created xsi:type="dcterms:W3CDTF">2017-06-12T14:19:00Z</dcterms:created>
  <dcterms:modified xsi:type="dcterms:W3CDTF">2017-06-12T14:19:00Z</dcterms:modified>
</cp:coreProperties>
</file>