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9A" w:rsidRPr="001C65E1" w:rsidRDefault="00936E9A" w:rsidP="00936E9A">
      <w:pPr>
        <w:keepNext/>
        <w:rPr>
          <w:sz w:val="19"/>
          <w:szCs w:val="19"/>
        </w:rPr>
      </w:pPr>
      <w:r w:rsidRPr="001C65E1">
        <w:rPr>
          <w:b/>
          <w:sz w:val="19"/>
          <w:szCs w:val="19"/>
        </w:rPr>
        <w:t xml:space="preserve">Supplementary </w:t>
      </w:r>
      <w:r w:rsidR="008F3218" w:rsidRPr="001C65E1">
        <w:rPr>
          <w:b/>
          <w:sz w:val="19"/>
          <w:szCs w:val="19"/>
        </w:rPr>
        <w:t>Figure</w:t>
      </w:r>
      <w:r w:rsidRPr="001C65E1">
        <w:rPr>
          <w:b/>
          <w:sz w:val="19"/>
          <w:szCs w:val="19"/>
        </w:rPr>
        <w:t xml:space="preserve"> 1:</w:t>
      </w:r>
      <w:r w:rsidRPr="001C65E1">
        <w:rPr>
          <w:sz w:val="19"/>
          <w:szCs w:val="19"/>
        </w:rPr>
        <w:t xml:space="preserve"> </w:t>
      </w:r>
      <w:r w:rsidR="008F3218" w:rsidRPr="001C65E1">
        <w:rPr>
          <w:sz w:val="19"/>
          <w:szCs w:val="19"/>
        </w:rPr>
        <w:t>Risk of Bias Summary</w:t>
      </w:r>
    </w:p>
    <w:tbl>
      <w:tblPr>
        <w:tblW w:w="657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6"/>
        <w:gridCol w:w="725"/>
        <w:gridCol w:w="66"/>
        <w:gridCol w:w="552"/>
        <w:gridCol w:w="571"/>
        <w:gridCol w:w="38"/>
        <w:gridCol w:w="750"/>
        <w:gridCol w:w="38"/>
        <w:gridCol w:w="750"/>
        <w:gridCol w:w="38"/>
        <w:gridCol w:w="750"/>
        <w:gridCol w:w="18"/>
      </w:tblGrid>
      <w:tr w:rsidR="00874E96" w:rsidRPr="001C65E1" w:rsidTr="001C65E1">
        <w:trPr>
          <w:gridAfter w:val="1"/>
          <w:wAfter w:w="18" w:type="dxa"/>
          <w:cantSplit/>
          <w:trHeight w:val="3945"/>
          <w:tblHeader/>
          <w:jc w:val="center"/>
        </w:trPr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  <w:r w:rsidRPr="001C65E1">
              <w:rPr>
                <w:bCs/>
                <w:sz w:val="19"/>
                <w:szCs w:val="19"/>
              </w:rPr>
              <w:t>Random Sequence Generation</w:t>
            </w:r>
            <w:r w:rsidRPr="001C65E1">
              <w:rPr>
                <w:bCs/>
                <w:sz w:val="19"/>
                <w:szCs w:val="19"/>
              </w:rPr>
              <w:br/>
              <w:t>(selection bias)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  <w:r w:rsidRPr="001C65E1">
              <w:rPr>
                <w:bCs/>
                <w:sz w:val="19"/>
                <w:szCs w:val="19"/>
              </w:rPr>
              <w:t>Allocation Concealment (selection bias)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  <w:r w:rsidRPr="001C65E1">
              <w:rPr>
                <w:bCs/>
                <w:sz w:val="19"/>
                <w:szCs w:val="19"/>
              </w:rPr>
              <w:t>Blinding of Participants and Personnel (performance bias)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  <w:r w:rsidRPr="001C65E1">
              <w:rPr>
                <w:bCs/>
                <w:sz w:val="19"/>
                <w:szCs w:val="19"/>
              </w:rPr>
              <w:t xml:space="preserve">Blinding of Outcome Assessment </w:t>
            </w:r>
            <w:r w:rsidRPr="001C65E1">
              <w:rPr>
                <w:bCs/>
                <w:sz w:val="19"/>
                <w:szCs w:val="19"/>
              </w:rPr>
              <w:br/>
              <w:t>(detection bias)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  <w:r w:rsidRPr="001C65E1">
              <w:rPr>
                <w:bCs/>
                <w:sz w:val="19"/>
                <w:szCs w:val="19"/>
                <w:lang w:val="it-IT"/>
              </w:rPr>
              <w:t>Incomplete Outcome Data</w:t>
            </w:r>
            <w:r w:rsidRPr="001C65E1">
              <w:rPr>
                <w:bCs/>
                <w:sz w:val="19"/>
                <w:szCs w:val="19"/>
                <w:lang w:val="it-IT"/>
              </w:rPr>
              <w:br/>
              <w:t>(attrition bias)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74E96" w:rsidRPr="001C65E1" w:rsidRDefault="00874E96" w:rsidP="001C65E1">
            <w:pPr>
              <w:spacing w:before="0" w:after="0" w:line="240" w:lineRule="auto"/>
              <w:rPr>
                <w:sz w:val="19"/>
                <w:szCs w:val="19"/>
              </w:rPr>
            </w:pPr>
            <w:r w:rsidRPr="001C65E1">
              <w:rPr>
                <w:bCs/>
                <w:sz w:val="19"/>
                <w:szCs w:val="19"/>
              </w:rPr>
              <w:t xml:space="preserve">Selective Reporting </w:t>
            </w:r>
            <w:r w:rsidRPr="001C65E1">
              <w:rPr>
                <w:bCs/>
                <w:sz w:val="19"/>
                <w:szCs w:val="19"/>
              </w:rPr>
              <w:br/>
              <w:t>(reporting bias)</w:t>
            </w:r>
          </w:p>
        </w:tc>
        <w:bookmarkStart w:id="0" w:name="_GoBack"/>
        <w:bookmarkEnd w:id="0"/>
      </w:tr>
      <w:tr w:rsidR="00236262" w:rsidRPr="001C65E1" w:rsidTr="001034D9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Annane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2013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(24)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1C65E1" w:rsidRDefault="001034D9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09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Bouadma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2010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(25)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09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de Jong, 2016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(26)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09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Deliberato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2013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(27)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09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Hochreiter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2009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(28)</w:t>
            </w:r>
          </w:p>
        </w:tc>
        <w:tc>
          <w:tcPr>
            <w:tcW w:w="725" w:type="dxa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1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09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Layios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2012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(29)</w:t>
            </w:r>
          </w:p>
        </w:tc>
        <w:tc>
          <w:tcPr>
            <w:tcW w:w="725" w:type="dxa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1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09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8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Najafi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2015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(30)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09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Nobre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2008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(31)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09" w:type="dxa"/>
            <w:gridSpan w:val="2"/>
            <w:shd w:val="clear" w:color="auto" w:fill="FF00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Schroeder, 2009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(32)</w:t>
            </w:r>
          </w:p>
        </w:tc>
        <w:tc>
          <w:tcPr>
            <w:tcW w:w="725" w:type="dxa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1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609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  <w:tr w:rsidR="00236262" w:rsidRPr="001C65E1" w:rsidTr="001C65E1">
        <w:trPr>
          <w:cantSplit/>
          <w:trHeight w:val="20"/>
          <w:jc w:val="center"/>
        </w:trPr>
        <w:tc>
          <w:tcPr>
            <w:tcW w:w="2276" w:type="dxa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6F6272" w:rsidRDefault="00236262" w:rsidP="00236262">
            <w:pPr>
              <w:spacing w:before="0" w:after="0"/>
              <w:rPr>
                <w:bCs/>
                <w:snapToGrid w:val="0"/>
                <w:color w:val="231F20"/>
                <w:sz w:val="18"/>
                <w:szCs w:val="18"/>
                <w:lang w:eastAsia="zh-CN"/>
              </w:rPr>
            </w:pPr>
            <w:proofErr w:type="spellStart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Shehabi</w:t>
            </w:r>
            <w:proofErr w:type="spellEnd"/>
            <w:r w:rsidRPr="006F6272">
              <w:rPr>
                <w:snapToGrid w:val="0"/>
                <w:color w:val="231F20"/>
                <w:sz w:val="18"/>
                <w:szCs w:val="18"/>
                <w:lang w:eastAsia="zh-CN"/>
              </w:rPr>
              <w:t>, 2014</w:t>
            </w:r>
            <w:r w:rsidRPr="006F6272">
              <w:rPr>
                <w:noProof/>
                <w:snapToGrid w:val="0"/>
                <w:color w:val="231F20"/>
                <w:sz w:val="18"/>
                <w:szCs w:val="18"/>
                <w:lang w:eastAsia="zh-CN"/>
              </w:rPr>
              <w:t>(33)</w:t>
            </w:r>
          </w:p>
        </w:tc>
        <w:tc>
          <w:tcPr>
            <w:tcW w:w="725" w:type="dxa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1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609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F011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5B2A323" wp14:editId="412959D2">
                      <wp:simplePos x="0" y="0"/>
                      <wp:positionH relativeFrom="margin">
                        <wp:posOffset>-1336195</wp:posOffset>
                      </wp:positionH>
                      <wp:positionV relativeFrom="paragraph">
                        <wp:posOffset>383540</wp:posOffset>
                      </wp:positionV>
                      <wp:extent cx="2601594" cy="707522"/>
                      <wp:effectExtent l="0" t="0" r="0" b="0"/>
                      <wp:wrapNone/>
                      <wp:docPr id="8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1594" cy="707522"/>
                                <a:chOff x="0" y="0"/>
                                <a:chExt cx="2601594" cy="707522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380" y="0"/>
                                  <a:ext cx="2355214" cy="679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Legend</w:t>
                                    </w:r>
                                  </w:p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Low risk of bias</w:t>
                                    </w:r>
                                  </w:p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High risk of bias</w:t>
                                    </w:r>
                                  </w:p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Unclear risk of bias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946"/>
                                  <a:ext cx="246379" cy="24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61778"/>
                                  <a:ext cx="246379" cy="24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9981"/>
                                  <a:ext cx="246379" cy="24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6262" w:rsidRDefault="00236262" w:rsidP="00AB319C">
                                    <w:pPr>
                                      <w:pStyle w:val="NormalWeb"/>
                                      <w:spacing w:before="0" w:beforeAutospacing="0" w:after="0" w:afterAutospacing="0" w:line="264" w:lineRule="auto"/>
                                      <w:jc w:val="center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2A323" id="Group 7" o:spid="_x0000_s1026" style="position:absolute;left:0;text-align:left;margin-left:-105.2pt;margin-top:30.2pt;width:204.85pt;height:55.7pt;z-index:251661312;mso-position-horizontal-relative:margin;mso-width-relative:margin;mso-height-relative:margin" coordsize="26015,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463;width:2355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Legend</w:t>
                              </w:r>
                            </w:p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Low risk of bias</w:t>
                              </w:r>
                            </w:p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High risk of bias</w:t>
                              </w:r>
                            </w:p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Unclear risk of bias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top:1579;width:246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3" o:spid="_x0000_s1029" type="#_x0000_t202" style="position:absolute;top:4617;width:246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top:3099;width:246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:rsidR="00236262" w:rsidRDefault="00236262" w:rsidP="00AB319C">
                              <w:pPr>
                                <w:pStyle w:val="NormalWeb"/>
                                <w:spacing w:before="0" w:beforeAutospacing="0" w:after="0" w:afterAutospacing="0" w:line="264" w:lineRule="auto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88" w:type="dxa"/>
            <w:gridSpan w:val="2"/>
            <w:shd w:val="clear" w:color="auto" w:fill="00B05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+</w:t>
            </w:r>
          </w:p>
        </w:tc>
        <w:tc>
          <w:tcPr>
            <w:tcW w:w="768" w:type="dxa"/>
            <w:gridSpan w:val="2"/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236262" w:rsidRPr="001C65E1" w:rsidRDefault="00236262" w:rsidP="00236262">
            <w:pPr>
              <w:spacing w:before="0" w:after="0" w:line="240" w:lineRule="auto"/>
              <w:jc w:val="center"/>
              <w:rPr>
                <w:sz w:val="19"/>
                <w:szCs w:val="19"/>
              </w:rPr>
            </w:pPr>
            <w:r w:rsidRPr="001C65E1">
              <w:rPr>
                <w:sz w:val="19"/>
                <w:szCs w:val="19"/>
              </w:rPr>
              <w:t>?</w:t>
            </w:r>
          </w:p>
        </w:tc>
      </w:tr>
    </w:tbl>
    <w:p w:rsidR="00395803" w:rsidRPr="001C65E1" w:rsidRDefault="00395803" w:rsidP="00936E9A">
      <w:pPr>
        <w:spacing w:before="0" w:after="0"/>
        <w:rPr>
          <w:sz w:val="19"/>
          <w:szCs w:val="19"/>
        </w:rPr>
      </w:pPr>
    </w:p>
    <w:sectPr w:rsidR="00395803" w:rsidRPr="001C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9A"/>
    <w:rsid w:val="001034D9"/>
    <w:rsid w:val="001C65E1"/>
    <w:rsid w:val="00236262"/>
    <w:rsid w:val="00395803"/>
    <w:rsid w:val="00874E96"/>
    <w:rsid w:val="008F3218"/>
    <w:rsid w:val="00936E9A"/>
    <w:rsid w:val="00A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CBFFC-29EE-4170-A5B8-59CC9A47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G Normal"/>
    <w:qFormat/>
    <w:rsid w:val="00936E9A"/>
    <w:pPr>
      <w:spacing w:before="120" w:after="120" w:line="264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6E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B319C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Thompson-Leduc, Philippe</dc:creator>
  <cp:keywords/>
  <dc:description/>
  <cp:lastModifiedBy>Thompson-Leduc, Philippe</cp:lastModifiedBy>
  <cp:revision>5</cp:revision>
  <dcterms:created xsi:type="dcterms:W3CDTF">2017-08-21T19:37:00Z</dcterms:created>
  <dcterms:modified xsi:type="dcterms:W3CDTF">2017-09-14T20:18:00Z</dcterms:modified>
</cp:coreProperties>
</file>