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b w:val="1"/>
          <w:color w:val="000000"/>
          <w:rtl w:val="0"/>
        </w:rPr>
        <w:t xml:space="preserve">Supplemental Table </w:t>
      </w:r>
      <w:r w:rsidDel="00000000" w:rsidR="00000000" w:rsidRPr="00000000">
        <w:rPr>
          <w:b w:val="1"/>
          <w:rtl w:val="0"/>
        </w:rPr>
        <w:t xml:space="preserve">2. AUROC for logistic regression models predicting total in-hospital mortality and acute 14-day mortality based on single biomarkers.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5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75"/>
        <w:gridCol w:w="1875"/>
        <w:gridCol w:w="1875"/>
        <w:gridCol w:w="1875"/>
        <w:tblGridChange w:id="0">
          <w:tblGrid>
            <w:gridCol w:w="1875"/>
            <w:gridCol w:w="1875"/>
            <w:gridCol w:w="1875"/>
            <w:gridCol w:w="187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Biomarker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(hours)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AUROC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14-Day Mortality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AUROC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Mortality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0.490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0.532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0.506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0.499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0.562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0.583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0.469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0.558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0.526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0.588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0.587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0.611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0.645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0.612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0.577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0.438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0.560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0.607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0.540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0.554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0.565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0.538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PCT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0.566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0.500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0.543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0.583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0.482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0.490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0.460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0.570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0.528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0.608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0.646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0.704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0.696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0.688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TPA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0.680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0.624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0.661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0.726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0.673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The table displays the AUROC of logistic regression models for acute 14-day and total in-hospital mortality based on each biomarker at the time of meeting SIRS criteria, 24-hours, 48-hours, and 72-hours thereafter. The five best performing biomarkers for total in-hospital mortality are highlighted in grey.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