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4E" w:rsidRPr="00ED5A70" w:rsidRDefault="0047304E" w:rsidP="0047304E">
      <w:pPr>
        <w:spacing w:after="0" w:line="480" w:lineRule="auto"/>
        <w:rPr>
          <w:rFonts w:ascii="Arial" w:hAnsi="Arial" w:cs="Arial"/>
        </w:rPr>
      </w:pPr>
      <w:r w:rsidRPr="00ED5A70">
        <w:rPr>
          <w:rFonts w:ascii="Arial" w:hAnsi="Arial" w:cs="Arial"/>
          <w:b/>
        </w:rPr>
        <w:t>e-Table 1.</w:t>
      </w:r>
      <w:r w:rsidRPr="00ED5A70">
        <w:rPr>
          <w:rFonts w:ascii="Arial" w:hAnsi="Arial" w:cs="Arial"/>
        </w:rPr>
        <w:t xml:space="preserve"> Sensitivity analyses of FiO</w:t>
      </w:r>
      <w:r w:rsidRPr="00ED5A70">
        <w:rPr>
          <w:rFonts w:ascii="Arial" w:hAnsi="Arial" w:cs="Arial"/>
          <w:vertAlign w:val="subscript"/>
        </w:rPr>
        <w:t>2</w:t>
      </w:r>
      <w:r w:rsidRPr="00ED5A70">
        <w:rPr>
          <w:rFonts w:ascii="Arial" w:hAnsi="Arial" w:cs="Arial"/>
        </w:rPr>
        <w:t xml:space="preserve"> thresholds </w:t>
      </w:r>
      <w:r w:rsidR="00F1380C">
        <w:rPr>
          <w:rFonts w:ascii="Arial" w:hAnsi="Arial" w:cs="Arial"/>
        </w:rPr>
        <w:t>at a constant PaO</w:t>
      </w:r>
      <w:r w:rsidR="00F1380C" w:rsidRPr="00F1380C">
        <w:rPr>
          <w:rFonts w:ascii="Arial" w:hAnsi="Arial" w:cs="Arial"/>
          <w:vertAlign w:val="subscript"/>
        </w:rPr>
        <w:t>2</w:t>
      </w:r>
      <w:r w:rsidR="00F1380C">
        <w:rPr>
          <w:rFonts w:ascii="Arial" w:hAnsi="Arial" w:cs="Arial"/>
        </w:rPr>
        <w:t xml:space="preserve"> limit of </w:t>
      </w:r>
      <w:r w:rsidR="000C3DDE">
        <w:rPr>
          <w:rFonts w:ascii="Arial" w:hAnsi="Arial" w:cs="Arial"/>
        </w:rPr>
        <w:t>&gt;</w:t>
      </w:r>
      <w:r w:rsidR="00F1380C">
        <w:rPr>
          <w:rFonts w:ascii="Arial" w:hAnsi="Arial" w:cs="Arial"/>
        </w:rPr>
        <w:t xml:space="preserve">80 mmHg </w:t>
      </w:r>
      <w:r w:rsidRPr="00ED5A70">
        <w:rPr>
          <w:rFonts w:ascii="Arial" w:hAnsi="Arial" w:cs="Arial"/>
        </w:rPr>
        <w:t>to define unnecessary oxygen exposure.</w:t>
      </w:r>
    </w:p>
    <w:p w:rsidR="0047304E" w:rsidRPr="00ED5A70" w:rsidRDefault="0047304E" w:rsidP="0047304E">
      <w:pPr>
        <w:spacing w:after="0" w:line="480" w:lineRule="auto"/>
        <w:rPr>
          <w:rFonts w:ascii="Arial" w:hAnsi="Arial" w:cs="Arial"/>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6"/>
        <w:gridCol w:w="2698"/>
        <w:gridCol w:w="1737"/>
        <w:gridCol w:w="2097"/>
        <w:gridCol w:w="2492"/>
        <w:gridCol w:w="2360"/>
      </w:tblGrid>
      <w:tr w:rsidR="00F1380C" w:rsidRPr="00ED5A70" w:rsidTr="00F1380C">
        <w:tc>
          <w:tcPr>
            <w:tcW w:w="1566" w:type="dxa"/>
          </w:tcPr>
          <w:p w:rsidR="00F1380C" w:rsidRPr="00ED5A70" w:rsidRDefault="00F1380C" w:rsidP="00A97143">
            <w:pPr>
              <w:spacing w:after="0" w:line="480" w:lineRule="auto"/>
              <w:rPr>
                <w:rFonts w:ascii="Arial" w:hAnsi="Arial" w:cs="Arial"/>
                <w:b/>
              </w:rPr>
            </w:pPr>
            <w:r w:rsidRPr="00ED5A70">
              <w:rPr>
                <w:rFonts w:ascii="Arial" w:hAnsi="Arial" w:cs="Arial"/>
                <w:b/>
              </w:rPr>
              <w:t>FiO</w:t>
            </w:r>
            <w:r w:rsidRPr="00ED5A70">
              <w:rPr>
                <w:rFonts w:ascii="Arial" w:hAnsi="Arial" w:cs="Arial"/>
                <w:b/>
                <w:vertAlign w:val="subscript"/>
              </w:rPr>
              <w:t>2</w:t>
            </w:r>
            <w:r w:rsidRPr="00ED5A70">
              <w:rPr>
                <w:rFonts w:ascii="Arial" w:hAnsi="Arial" w:cs="Arial"/>
                <w:b/>
              </w:rPr>
              <w:t xml:space="preserve"> threshold</w:t>
            </w:r>
          </w:p>
        </w:tc>
        <w:tc>
          <w:tcPr>
            <w:tcW w:w="2698" w:type="dxa"/>
          </w:tcPr>
          <w:p w:rsidR="00F1380C" w:rsidRPr="00ED5A70" w:rsidRDefault="00F1380C" w:rsidP="00A97143">
            <w:pPr>
              <w:spacing w:after="0" w:line="480" w:lineRule="auto"/>
              <w:rPr>
                <w:rFonts w:ascii="Arial" w:hAnsi="Arial" w:cs="Arial"/>
                <w:b/>
              </w:rPr>
            </w:pPr>
            <w:r w:rsidRPr="00ED5A70">
              <w:rPr>
                <w:rFonts w:ascii="Arial" w:hAnsi="Arial" w:cs="Arial"/>
                <w:b/>
              </w:rPr>
              <w:t>Interquartile range of unnecessary oxygen exposure</w:t>
            </w:r>
          </w:p>
        </w:tc>
        <w:tc>
          <w:tcPr>
            <w:tcW w:w="1737" w:type="dxa"/>
          </w:tcPr>
          <w:p w:rsidR="00F1380C" w:rsidRPr="00ED5A70" w:rsidRDefault="00F1380C" w:rsidP="00A97143">
            <w:pPr>
              <w:spacing w:after="0" w:line="480" w:lineRule="auto"/>
              <w:rPr>
                <w:rFonts w:ascii="Arial" w:hAnsi="Arial" w:cs="Arial"/>
                <w:b/>
              </w:rPr>
            </w:pPr>
            <w:r>
              <w:rPr>
                <w:rFonts w:ascii="Arial" w:hAnsi="Arial" w:cs="Arial"/>
                <w:b/>
              </w:rPr>
              <w:t>% with unnecessary oxygen exposure</w:t>
            </w:r>
          </w:p>
        </w:tc>
        <w:tc>
          <w:tcPr>
            <w:tcW w:w="2097" w:type="dxa"/>
          </w:tcPr>
          <w:p w:rsidR="00F1380C" w:rsidRPr="00ED5A70" w:rsidRDefault="00F1380C" w:rsidP="00A97143">
            <w:pPr>
              <w:spacing w:after="0" w:line="480" w:lineRule="auto"/>
              <w:rPr>
                <w:rFonts w:ascii="Arial" w:hAnsi="Arial" w:cs="Arial"/>
                <w:b/>
              </w:rPr>
            </w:pPr>
            <w:r w:rsidRPr="00ED5A70">
              <w:rPr>
                <w:rFonts w:ascii="Arial" w:hAnsi="Arial" w:cs="Arial"/>
                <w:b/>
              </w:rPr>
              <w:t>Interquartile OR of death (95% CI)</w:t>
            </w:r>
          </w:p>
        </w:tc>
        <w:tc>
          <w:tcPr>
            <w:tcW w:w="2492" w:type="dxa"/>
          </w:tcPr>
          <w:p w:rsidR="00F1380C" w:rsidRPr="00ED5A70" w:rsidRDefault="00B2652E" w:rsidP="00A97143">
            <w:pPr>
              <w:spacing w:after="0" w:line="480" w:lineRule="auto"/>
              <w:rPr>
                <w:rFonts w:ascii="Arial" w:hAnsi="Arial" w:cs="Arial"/>
                <w:b/>
              </w:rPr>
            </w:pPr>
            <w:r>
              <w:rPr>
                <w:rFonts w:ascii="Arial" w:hAnsi="Arial" w:cs="Arial"/>
                <w:b/>
              </w:rPr>
              <w:t>Interquartile d</w:t>
            </w:r>
            <w:r w:rsidR="00F1380C" w:rsidRPr="00ED5A70">
              <w:rPr>
                <w:rFonts w:ascii="Arial" w:hAnsi="Arial" w:cs="Arial"/>
                <w:b/>
              </w:rPr>
              <w:t>ifference in ventilator-free days score (95% CI)</w:t>
            </w:r>
          </w:p>
        </w:tc>
        <w:tc>
          <w:tcPr>
            <w:tcW w:w="2360" w:type="dxa"/>
          </w:tcPr>
          <w:p w:rsidR="00F1380C" w:rsidRPr="00ED5A70" w:rsidRDefault="00B2652E" w:rsidP="00A97143">
            <w:pPr>
              <w:spacing w:after="0" w:line="480" w:lineRule="auto"/>
              <w:rPr>
                <w:rFonts w:ascii="Arial" w:hAnsi="Arial" w:cs="Arial"/>
                <w:b/>
              </w:rPr>
            </w:pPr>
            <w:r>
              <w:rPr>
                <w:rFonts w:ascii="Arial" w:hAnsi="Arial" w:cs="Arial"/>
                <w:b/>
              </w:rPr>
              <w:t>Interquartile d</w:t>
            </w:r>
            <w:r w:rsidR="00444817">
              <w:rPr>
                <w:rFonts w:ascii="Arial" w:hAnsi="Arial" w:cs="Arial"/>
                <w:b/>
              </w:rPr>
              <w:t>ifference in hospital</w:t>
            </w:r>
            <w:r w:rsidR="00F1380C" w:rsidRPr="00ED5A70">
              <w:rPr>
                <w:rFonts w:ascii="Arial" w:hAnsi="Arial" w:cs="Arial"/>
                <w:b/>
              </w:rPr>
              <w:t>-free days score (95% CI)</w:t>
            </w:r>
          </w:p>
        </w:tc>
      </w:tr>
      <w:tr w:rsidR="00F1380C" w:rsidRPr="00ED5A70" w:rsidTr="00F1380C">
        <w:tc>
          <w:tcPr>
            <w:tcW w:w="1566" w:type="dxa"/>
          </w:tcPr>
          <w:p w:rsidR="00F1380C" w:rsidRPr="00ED5A70" w:rsidRDefault="00F1380C" w:rsidP="00A97143">
            <w:pPr>
              <w:spacing w:after="0" w:line="480" w:lineRule="auto"/>
              <w:rPr>
                <w:rFonts w:ascii="Arial" w:hAnsi="Arial" w:cs="Arial"/>
              </w:rPr>
            </w:pPr>
            <w:r w:rsidRPr="00ED5A70">
              <w:rPr>
                <w:rFonts w:ascii="Arial" w:hAnsi="Arial" w:cs="Arial"/>
              </w:rPr>
              <w:t>0.3</w:t>
            </w:r>
          </w:p>
        </w:tc>
        <w:tc>
          <w:tcPr>
            <w:tcW w:w="2698" w:type="dxa"/>
          </w:tcPr>
          <w:p w:rsidR="00F1380C" w:rsidRPr="00ED5A70" w:rsidRDefault="00406AE5" w:rsidP="00A97143">
            <w:pPr>
              <w:spacing w:after="0" w:line="480" w:lineRule="auto"/>
              <w:rPr>
                <w:rFonts w:ascii="Arial" w:hAnsi="Arial" w:cs="Arial"/>
              </w:rPr>
            </w:pPr>
            <w:r>
              <w:rPr>
                <w:rFonts w:ascii="Arial" w:hAnsi="Arial" w:cs="Arial"/>
              </w:rPr>
              <w:t>0.2 – 0.9</w:t>
            </w:r>
          </w:p>
        </w:tc>
        <w:tc>
          <w:tcPr>
            <w:tcW w:w="1737" w:type="dxa"/>
          </w:tcPr>
          <w:p w:rsidR="00F1380C" w:rsidRPr="00ED5A70" w:rsidRDefault="00F1380C" w:rsidP="00406AE5">
            <w:pPr>
              <w:spacing w:after="0" w:line="480" w:lineRule="auto"/>
              <w:rPr>
                <w:rFonts w:ascii="Arial" w:hAnsi="Arial" w:cs="Arial"/>
              </w:rPr>
            </w:pPr>
            <w:r>
              <w:rPr>
                <w:rFonts w:ascii="Arial" w:hAnsi="Arial" w:cs="Arial"/>
              </w:rPr>
              <w:t>8</w:t>
            </w:r>
            <w:r w:rsidR="00406AE5">
              <w:rPr>
                <w:rFonts w:ascii="Arial" w:hAnsi="Arial" w:cs="Arial"/>
              </w:rPr>
              <w:t>2</w:t>
            </w:r>
            <w:r>
              <w:rPr>
                <w:rFonts w:ascii="Arial" w:hAnsi="Arial" w:cs="Arial"/>
              </w:rPr>
              <w:t>.</w:t>
            </w:r>
            <w:r w:rsidR="00406AE5">
              <w:rPr>
                <w:rFonts w:ascii="Arial" w:hAnsi="Arial" w:cs="Arial"/>
              </w:rPr>
              <w:t>1</w:t>
            </w:r>
            <w:r>
              <w:rPr>
                <w:rFonts w:ascii="Arial" w:hAnsi="Arial" w:cs="Arial"/>
              </w:rPr>
              <w:t>%</w:t>
            </w:r>
          </w:p>
        </w:tc>
        <w:tc>
          <w:tcPr>
            <w:tcW w:w="2097" w:type="dxa"/>
          </w:tcPr>
          <w:p w:rsidR="00F1380C" w:rsidRPr="00ED5A70" w:rsidRDefault="00F1380C" w:rsidP="00406AE5">
            <w:pPr>
              <w:spacing w:after="0" w:line="480" w:lineRule="auto"/>
              <w:rPr>
                <w:rFonts w:ascii="Arial" w:hAnsi="Arial" w:cs="Arial"/>
              </w:rPr>
            </w:pPr>
            <w:r w:rsidRPr="00ED5A70">
              <w:rPr>
                <w:rFonts w:ascii="Arial" w:hAnsi="Arial" w:cs="Arial"/>
              </w:rPr>
              <w:t>1.1</w:t>
            </w:r>
            <w:r w:rsidR="00406AE5">
              <w:rPr>
                <w:rFonts w:ascii="Arial" w:hAnsi="Arial" w:cs="Arial"/>
              </w:rPr>
              <w:t>0</w:t>
            </w:r>
            <w:r w:rsidRPr="00ED5A70">
              <w:rPr>
                <w:rFonts w:ascii="Arial" w:hAnsi="Arial" w:cs="Arial"/>
              </w:rPr>
              <w:t xml:space="preserve"> (</w:t>
            </w:r>
            <w:r w:rsidR="00406AE5">
              <w:rPr>
                <w:rFonts w:ascii="Arial" w:hAnsi="Arial" w:cs="Arial"/>
              </w:rPr>
              <w:t>0.99</w:t>
            </w:r>
            <w:r w:rsidRPr="00ED5A70">
              <w:rPr>
                <w:rFonts w:ascii="Arial" w:hAnsi="Arial" w:cs="Arial"/>
              </w:rPr>
              <w:t xml:space="preserve"> to 1.2</w:t>
            </w:r>
            <w:r w:rsidR="00406AE5">
              <w:rPr>
                <w:rFonts w:ascii="Arial" w:hAnsi="Arial" w:cs="Arial"/>
              </w:rPr>
              <w:t>1</w:t>
            </w:r>
            <w:r w:rsidRPr="00ED5A70">
              <w:rPr>
                <w:rFonts w:ascii="Arial" w:hAnsi="Arial" w:cs="Arial"/>
              </w:rPr>
              <w:t>)</w:t>
            </w:r>
          </w:p>
        </w:tc>
        <w:tc>
          <w:tcPr>
            <w:tcW w:w="2492" w:type="dxa"/>
          </w:tcPr>
          <w:p w:rsidR="00F1380C" w:rsidRPr="00ED5A70" w:rsidRDefault="00F1380C" w:rsidP="00406AE5">
            <w:pPr>
              <w:spacing w:after="0" w:line="480" w:lineRule="auto"/>
              <w:rPr>
                <w:rFonts w:ascii="Arial" w:hAnsi="Arial" w:cs="Arial"/>
              </w:rPr>
            </w:pPr>
            <w:r w:rsidRPr="00ED5A70">
              <w:rPr>
                <w:rFonts w:ascii="Arial" w:hAnsi="Arial" w:cs="Arial"/>
              </w:rPr>
              <w:t>-0.</w:t>
            </w:r>
            <w:r w:rsidR="00406AE5">
              <w:rPr>
                <w:rFonts w:ascii="Arial" w:hAnsi="Arial" w:cs="Arial"/>
              </w:rPr>
              <w:t>25</w:t>
            </w:r>
            <w:r w:rsidRPr="00ED5A70">
              <w:rPr>
                <w:rFonts w:ascii="Arial" w:hAnsi="Arial" w:cs="Arial"/>
              </w:rPr>
              <w:t xml:space="preserve"> (-0.</w:t>
            </w:r>
            <w:r w:rsidR="00406AE5">
              <w:rPr>
                <w:rFonts w:ascii="Arial" w:hAnsi="Arial" w:cs="Arial"/>
              </w:rPr>
              <w:t>66</w:t>
            </w:r>
            <w:r w:rsidRPr="00ED5A70">
              <w:rPr>
                <w:rFonts w:ascii="Arial" w:hAnsi="Arial" w:cs="Arial"/>
              </w:rPr>
              <w:t xml:space="preserve"> to 0.</w:t>
            </w:r>
            <w:r w:rsidR="00406AE5">
              <w:rPr>
                <w:rFonts w:ascii="Arial" w:hAnsi="Arial" w:cs="Arial"/>
              </w:rPr>
              <w:t>17</w:t>
            </w:r>
            <w:r w:rsidRPr="00ED5A70">
              <w:rPr>
                <w:rFonts w:ascii="Arial" w:hAnsi="Arial" w:cs="Arial"/>
              </w:rPr>
              <w:t>)</w:t>
            </w:r>
          </w:p>
        </w:tc>
        <w:tc>
          <w:tcPr>
            <w:tcW w:w="2360" w:type="dxa"/>
          </w:tcPr>
          <w:p w:rsidR="00F1380C" w:rsidRPr="00ED5A70" w:rsidRDefault="00F1380C" w:rsidP="00406AE5">
            <w:pPr>
              <w:spacing w:after="0" w:line="480" w:lineRule="auto"/>
              <w:rPr>
                <w:rFonts w:ascii="Arial" w:hAnsi="Arial" w:cs="Arial"/>
              </w:rPr>
            </w:pPr>
            <w:r w:rsidRPr="00ED5A70">
              <w:rPr>
                <w:rFonts w:ascii="Arial" w:hAnsi="Arial" w:cs="Arial"/>
              </w:rPr>
              <w:t>-0.</w:t>
            </w:r>
            <w:r w:rsidR="00406AE5">
              <w:rPr>
                <w:rFonts w:ascii="Arial" w:hAnsi="Arial" w:cs="Arial"/>
              </w:rPr>
              <w:t>39</w:t>
            </w:r>
            <w:r w:rsidRPr="00ED5A70">
              <w:rPr>
                <w:rFonts w:ascii="Arial" w:hAnsi="Arial" w:cs="Arial"/>
              </w:rPr>
              <w:t xml:space="preserve"> (-1.39 to 0.37)</w:t>
            </w:r>
          </w:p>
        </w:tc>
      </w:tr>
      <w:tr w:rsidR="00F1380C" w:rsidRPr="00ED5A70" w:rsidTr="00F1380C">
        <w:tc>
          <w:tcPr>
            <w:tcW w:w="1566" w:type="dxa"/>
          </w:tcPr>
          <w:p w:rsidR="00F1380C" w:rsidRPr="00ED5A70" w:rsidRDefault="00F1380C" w:rsidP="00A97143">
            <w:pPr>
              <w:spacing w:after="0" w:line="480" w:lineRule="auto"/>
              <w:rPr>
                <w:rFonts w:ascii="Arial" w:hAnsi="Arial" w:cs="Arial"/>
              </w:rPr>
            </w:pPr>
            <w:r w:rsidRPr="00ED5A70">
              <w:rPr>
                <w:rFonts w:ascii="Arial" w:hAnsi="Arial" w:cs="Arial"/>
              </w:rPr>
              <w:t>0.4</w:t>
            </w:r>
          </w:p>
        </w:tc>
        <w:tc>
          <w:tcPr>
            <w:tcW w:w="2698" w:type="dxa"/>
          </w:tcPr>
          <w:p w:rsidR="00F1380C" w:rsidRPr="00ED5A70" w:rsidRDefault="00F1380C" w:rsidP="00A97143">
            <w:pPr>
              <w:spacing w:after="0" w:line="480" w:lineRule="auto"/>
              <w:rPr>
                <w:rFonts w:ascii="Arial" w:hAnsi="Arial" w:cs="Arial"/>
              </w:rPr>
            </w:pPr>
            <w:r w:rsidRPr="00ED5A70">
              <w:rPr>
                <w:rFonts w:ascii="Arial" w:hAnsi="Arial" w:cs="Arial"/>
              </w:rPr>
              <w:t>0 – 0.6</w:t>
            </w:r>
          </w:p>
        </w:tc>
        <w:tc>
          <w:tcPr>
            <w:tcW w:w="1737" w:type="dxa"/>
          </w:tcPr>
          <w:p w:rsidR="00F1380C" w:rsidRPr="00ED5A70" w:rsidRDefault="00F1380C" w:rsidP="000D635F">
            <w:pPr>
              <w:spacing w:after="0" w:line="480" w:lineRule="auto"/>
              <w:rPr>
                <w:rFonts w:ascii="Arial" w:hAnsi="Arial" w:cs="Arial"/>
              </w:rPr>
            </w:pPr>
            <w:r>
              <w:rPr>
                <w:rFonts w:ascii="Arial" w:hAnsi="Arial" w:cs="Arial"/>
              </w:rPr>
              <w:t>6</w:t>
            </w:r>
            <w:r w:rsidR="004F45AF">
              <w:rPr>
                <w:rFonts w:ascii="Arial" w:hAnsi="Arial" w:cs="Arial"/>
              </w:rPr>
              <w:t>7.3</w:t>
            </w:r>
            <w:r>
              <w:rPr>
                <w:rFonts w:ascii="Arial" w:hAnsi="Arial" w:cs="Arial"/>
              </w:rPr>
              <w:t>%</w:t>
            </w:r>
          </w:p>
        </w:tc>
        <w:tc>
          <w:tcPr>
            <w:tcW w:w="2097" w:type="dxa"/>
          </w:tcPr>
          <w:p w:rsidR="00F1380C" w:rsidRPr="00ED5A70" w:rsidRDefault="00F1380C" w:rsidP="00406AE5">
            <w:pPr>
              <w:spacing w:after="0" w:line="480" w:lineRule="auto"/>
              <w:rPr>
                <w:rFonts w:ascii="Arial" w:hAnsi="Arial" w:cs="Arial"/>
              </w:rPr>
            </w:pPr>
            <w:r w:rsidRPr="00ED5A70">
              <w:rPr>
                <w:rFonts w:ascii="Arial" w:hAnsi="Arial" w:cs="Arial"/>
              </w:rPr>
              <w:t>1.</w:t>
            </w:r>
            <w:r w:rsidR="00406AE5">
              <w:rPr>
                <w:rFonts w:ascii="Arial" w:hAnsi="Arial" w:cs="Arial"/>
              </w:rPr>
              <w:t>19</w:t>
            </w:r>
            <w:r w:rsidRPr="00ED5A70">
              <w:rPr>
                <w:rFonts w:ascii="Arial" w:hAnsi="Arial" w:cs="Arial"/>
              </w:rPr>
              <w:t xml:space="preserve"> (1.0</w:t>
            </w:r>
            <w:r w:rsidR="00406AE5">
              <w:rPr>
                <w:rFonts w:ascii="Arial" w:hAnsi="Arial" w:cs="Arial"/>
              </w:rPr>
              <w:t>8</w:t>
            </w:r>
            <w:r w:rsidRPr="00ED5A70">
              <w:rPr>
                <w:rFonts w:ascii="Arial" w:hAnsi="Arial" w:cs="Arial"/>
              </w:rPr>
              <w:t xml:space="preserve"> to 1.3</w:t>
            </w:r>
            <w:r w:rsidR="00406AE5">
              <w:rPr>
                <w:rFonts w:ascii="Arial" w:hAnsi="Arial" w:cs="Arial"/>
              </w:rPr>
              <w:t>2</w:t>
            </w:r>
            <w:r w:rsidRPr="00ED5A70">
              <w:rPr>
                <w:rFonts w:ascii="Arial" w:hAnsi="Arial" w:cs="Arial"/>
              </w:rPr>
              <w:t>)</w:t>
            </w:r>
          </w:p>
        </w:tc>
        <w:tc>
          <w:tcPr>
            <w:tcW w:w="2492" w:type="dxa"/>
          </w:tcPr>
          <w:p w:rsidR="00F1380C" w:rsidRPr="00ED5A70" w:rsidRDefault="00F1380C" w:rsidP="0072163F">
            <w:pPr>
              <w:spacing w:after="0" w:line="480" w:lineRule="auto"/>
              <w:rPr>
                <w:rFonts w:ascii="Arial" w:hAnsi="Arial" w:cs="Arial"/>
              </w:rPr>
            </w:pPr>
            <w:r w:rsidRPr="00ED5A70">
              <w:rPr>
                <w:rFonts w:ascii="Arial" w:hAnsi="Arial" w:cs="Arial"/>
              </w:rPr>
              <w:t>-0.</w:t>
            </w:r>
            <w:r w:rsidR="00406AE5">
              <w:rPr>
                <w:rFonts w:ascii="Arial" w:hAnsi="Arial" w:cs="Arial"/>
              </w:rPr>
              <w:t>7</w:t>
            </w:r>
            <w:r w:rsidR="0072163F">
              <w:rPr>
                <w:rFonts w:ascii="Arial" w:hAnsi="Arial" w:cs="Arial"/>
              </w:rPr>
              <w:t>7</w:t>
            </w:r>
            <w:r w:rsidRPr="00ED5A70">
              <w:rPr>
                <w:rFonts w:ascii="Arial" w:hAnsi="Arial" w:cs="Arial"/>
              </w:rPr>
              <w:t xml:space="preserve"> (-1.2</w:t>
            </w:r>
            <w:r w:rsidR="0072163F">
              <w:rPr>
                <w:rFonts w:ascii="Arial" w:hAnsi="Arial" w:cs="Arial"/>
              </w:rPr>
              <w:t>1</w:t>
            </w:r>
            <w:r w:rsidRPr="00ED5A70">
              <w:rPr>
                <w:rFonts w:ascii="Arial" w:hAnsi="Arial" w:cs="Arial"/>
              </w:rPr>
              <w:t xml:space="preserve"> to -0.3</w:t>
            </w:r>
            <w:r w:rsidR="0072163F">
              <w:rPr>
                <w:rFonts w:ascii="Arial" w:hAnsi="Arial" w:cs="Arial"/>
              </w:rPr>
              <w:t>3</w:t>
            </w:r>
            <w:r w:rsidRPr="00ED5A70">
              <w:rPr>
                <w:rFonts w:ascii="Arial" w:hAnsi="Arial" w:cs="Arial"/>
              </w:rPr>
              <w:t>)</w:t>
            </w:r>
          </w:p>
        </w:tc>
        <w:tc>
          <w:tcPr>
            <w:tcW w:w="2360" w:type="dxa"/>
          </w:tcPr>
          <w:p w:rsidR="00F1380C" w:rsidRPr="00ED5A70" w:rsidRDefault="00F1380C" w:rsidP="0072163F">
            <w:pPr>
              <w:spacing w:after="0" w:line="480" w:lineRule="auto"/>
              <w:rPr>
                <w:rFonts w:ascii="Arial" w:hAnsi="Arial" w:cs="Arial"/>
              </w:rPr>
            </w:pPr>
            <w:r w:rsidRPr="00ED5A70">
              <w:rPr>
                <w:rFonts w:ascii="Arial" w:hAnsi="Arial" w:cs="Arial"/>
              </w:rPr>
              <w:t>-1.</w:t>
            </w:r>
            <w:r w:rsidR="0072163F">
              <w:rPr>
                <w:rFonts w:ascii="Arial" w:hAnsi="Arial" w:cs="Arial"/>
              </w:rPr>
              <w:t>26</w:t>
            </w:r>
            <w:r w:rsidRPr="00ED5A70">
              <w:rPr>
                <w:rFonts w:ascii="Arial" w:hAnsi="Arial" w:cs="Arial"/>
              </w:rPr>
              <w:t xml:space="preserve"> (-2.</w:t>
            </w:r>
            <w:r w:rsidR="0072163F">
              <w:rPr>
                <w:rFonts w:ascii="Arial" w:hAnsi="Arial" w:cs="Arial"/>
              </w:rPr>
              <w:t>14</w:t>
            </w:r>
            <w:r w:rsidRPr="00ED5A70">
              <w:rPr>
                <w:rFonts w:ascii="Arial" w:hAnsi="Arial" w:cs="Arial"/>
              </w:rPr>
              <w:t xml:space="preserve"> to -0.</w:t>
            </w:r>
            <w:r w:rsidR="0072163F">
              <w:rPr>
                <w:rFonts w:ascii="Arial" w:hAnsi="Arial" w:cs="Arial"/>
              </w:rPr>
              <w:t>38</w:t>
            </w:r>
            <w:r w:rsidRPr="00ED5A70">
              <w:rPr>
                <w:rFonts w:ascii="Arial" w:hAnsi="Arial" w:cs="Arial"/>
              </w:rPr>
              <w:t>)</w:t>
            </w:r>
          </w:p>
        </w:tc>
      </w:tr>
      <w:tr w:rsidR="00F1380C" w:rsidRPr="00ED5A70" w:rsidTr="00F1380C">
        <w:tc>
          <w:tcPr>
            <w:tcW w:w="1566" w:type="dxa"/>
          </w:tcPr>
          <w:p w:rsidR="00F1380C" w:rsidRPr="00ED5A70" w:rsidRDefault="00F1380C" w:rsidP="00A97143">
            <w:pPr>
              <w:spacing w:after="0" w:line="480" w:lineRule="auto"/>
              <w:rPr>
                <w:rFonts w:ascii="Arial" w:hAnsi="Arial" w:cs="Arial"/>
              </w:rPr>
            </w:pPr>
            <w:r w:rsidRPr="00ED5A70">
              <w:rPr>
                <w:rFonts w:ascii="Arial" w:hAnsi="Arial" w:cs="Arial"/>
              </w:rPr>
              <w:t>0.5</w:t>
            </w:r>
          </w:p>
        </w:tc>
        <w:tc>
          <w:tcPr>
            <w:tcW w:w="2698" w:type="dxa"/>
          </w:tcPr>
          <w:p w:rsidR="00F1380C" w:rsidRPr="00ED5A70" w:rsidRDefault="0099186C" w:rsidP="00A97143">
            <w:pPr>
              <w:spacing w:after="0" w:line="480" w:lineRule="auto"/>
              <w:rPr>
                <w:rFonts w:ascii="Arial" w:hAnsi="Arial" w:cs="Arial"/>
              </w:rPr>
            </w:pPr>
            <w:r>
              <w:rPr>
                <w:rFonts w:ascii="Arial" w:hAnsi="Arial" w:cs="Arial"/>
              </w:rPr>
              <w:t>0 – 0.38</w:t>
            </w:r>
          </w:p>
        </w:tc>
        <w:tc>
          <w:tcPr>
            <w:tcW w:w="1737" w:type="dxa"/>
          </w:tcPr>
          <w:p w:rsidR="00F1380C" w:rsidRPr="00ED5A70" w:rsidRDefault="00F1380C" w:rsidP="00680CEB">
            <w:pPr>
              <w:spacing w:after="0" w:line="480" w:lineRule="auto"/>
              <w:rPr>
                <w:rFonts w:ascii="Arial" w:hAnsi="Arial" w:cs="Arial"/>
              </w:rPr>
            </w:pPr>
            <w:r>
              <w:rPr>
                <w:rFonts w:ascii="Arial" w:hAnsi="Arial" w:cs="Arial"/>
              </w:rPr>
              <w:t>49.</w:t>
            </w:r>
            <w:r w:rsidR="00680CEB">
              <w:rPr>
                <w:rFonts w:ascii="Arial" w:hAnsi="Arial" w:cs="Arial"/>
              </w:rPr>
              <w:t>3</w:t>
            </w:r>
            <w:r>
              <w:rPr>
                <w:rFonts w:ascii="Arial" w:hAnsi="Arial" w:cs="Arial"/>
              </w:rPr>
              <w:t>%</w:t>
            </w:r>
          </w:p>
        </w:tc>
        <w:tc>
          <w:tcPr>
            <w:tcW w:w="2097" w:type="dxa"/>
          </w:tcPr>
          <w:p w:rsidR="00F1380C" w:rsidRPr="00ED5A70" w:rsidRDefault="00F1380C" w:rsidP="00B31B83">
            <w:pPr>
              <w:spacing w:after="0" w:line="480" w:lineRule="auto"/>
              <w:rPr>
                <w:rFonts w:ascii="Arial" w:hAnsi="Arial" w:cs="Arial"/>
              </w:rPr>
            </w:pPr>
            <w:r w:rsidRPr="00ED5A70">
              <w:rPr>
                <w:rFonts w:ascii="Arial" w:hAnsi="Arial" w:cs="Arial"/>
              </w:rPr>
              <w:t>1.2</w:t>
            </w:r>
            <w:r w:rsidR="00B31B83">
              <w:rPr>
                <w:rFonts w:ascii="Arial" w:hAnsi="Arial" w:cs="Arial"/>
              </w:rPr>
              <w:t>0</w:t>
            </w:r>
            <w:r w:rsidRPr="00ED5A70">
              <w:rPr>
                <w:rFonts w:ascii="Arial" w:hAnsi="Arial" w:cs="Arial"/>
              </w:rPr>
              <w:t xml:space="preserve"> (1.1</w:t>
            </w:r>
            <w:r w:rsidR="00B31B83">
              <w:rPr>
                <w:rFonts w:ascii="Arial" w:hAnsi="Arial" w:cs="Arial"/>
              </w:rPr>
              <w:t>1</w:t>
            </w:r>
            <w:r w:rsidRPr="00ED5A70">
              <w:rPr>
                <w:rFonts w:ascii="Arial" w:hAnsi="Arial" w:cs="Arial"/>
              </w:rPr>
              <w:t xml:space="preserve"> to 1.3</w:t>
            </w:r>
            <w:r w:rsidR="00B31B83">
              <w:rPr>
                <w:rFonts w:ascii="Arial" w:hAnsi="Arial" w:cs="Arial"/>
              </w:rPr>
              <w:t>1</w:t>
            </w:r>
            <w:r w:rsidRPr="00ED5A70">
              <w:rPr>
                <w:rFonts w:ascii="Arial" w:hAnsi="Arial" w:cs="Arial"/>
              </w:rPr>
              <w:t>)</w:t>
            </w:r>
          </w:p>
        </w:tc>
        <w:tc>
          <w:tcPr>
            <w:tcW w:w="2492" w:type="dxa"/>
          </w:tcPr>
          <w:p w:rsidR="00F1380C" w:rsidRPr="00ED5A70" w:rsidRDefault="00F1380C" w:rsidP="00B31B83">
            <w:pPr>
              <w:spacing w:after="0" w:line="480" w:lineRule="auto"/>
              <w:rPr>
                <w:rFonts w:ascii="Arial" w:hAnsi="Arial" w:cs="Arial"/>
              </w:rPr>
            </w:pPr>
            <w:r w:rsidRPr="00ED5A70">
              <w:rPr>
                <w:rFonts w:ascii="Arial" w:hAnsi="Arial" w:cs="Arial"/>
              </w:rPr>
              <w:t>-0.</w:t>
            </w:r>
            <w:r w:rsidR="00B31B83">
              <w:rPr>
                <w:rFonts w:ascii="Arial" w:hAnsi="Arial" w:cs="Arial"/>
              </w:rPr>
              <w:t>83</w:t>
            </w:r>
            <w:r w:rsidRPr="00ED5A70">
              <w:rPr>
                <w:rFonts w:ascii="Arial" w:hAnsi="Arial" w:cs="Arial"/>
              </w:rPr>
              <w:t xml:space="preserve"> (-1.</w:t>
            </w:r>
            <w:r w:rsidR="00B31B83">
              <w:rPr>
                <w:rFonts w:ascii="Arial" w:hAnsi="Arial" w:cs="Arial"/>
              </w:rPr>
              <w:t>18</w:t>
            </w:r>
            <w:r w:rsidRPr="00ED5A70">
              <w:rPr>
                <w:rFonts w:ascii="Arial" w:hAnsi="Arial" w:cs="Arial"/>
              </w:rPr>
              <w:t xml:space="preserve"> to -0.</w:t>
            </w:r>
            <w:r w:rsidR="00B31B83">
              <w:rPr>
                <w:rFonts w:ascii="Arial" w:hAnsi="Arial" w:cs="Arial"/>
              </w:rPr>
              <w:t>48</w:t>
            </w:r>
            <w:r w:rsidRPr="00ED5A70">
              <w:rPr>
                <w:rFonts w:ascii="Arial" w:hAnsi="Arial" w:cs="Arial"/>
              </w:rPr>
              <w:t>)</w:t>
            </w:r>
          </w:p>
        </w:tc>
        <w:tc>
          <w:tcPr>
            <w:tcW w:w="2360" w:type="dxa"/>
          </w:tcPr>
          <w:p w:rsidR="00F1380C" w:rsidRPr="00ED5A70" w:rsidRDefault="00F1380C" w:rsidP="003F67FB">
            <w:pPr>
              <w:spacing w:after="0" w:line="480" w:lineRule="auto"/>
              <w:rPr>
                <w:rFonts w:ascii="Arial" w:hAnsi="Arial" w:cs="Arial"/>
              </w:rPr>
            </w:pPr>
            <w:r w:rsidRPr="00ED5A70">
              <w:rPr>
                <w:rFonts w:ascii="Arial" w:hAnsi="Arial" w:cs="Arial"/>
              </w:rPr>
              <w:t>-1.</w:t>
            </w:r>
            <w:r w:rsidR="003F67FB">
              <w:rPr>
                <w:rFonts w:ascii="Arial" w:hAnsi="Arial" w:cs="Arial"/>
              </w:rPr>
              <w:t>38</w:t>
            </w:r>
            <w:r w:rsidRPr="00ED5A70">
              <w:rPr>
                <w:rFonts w:ascii="Arial" w:hAnsi="Arial" w:cs="Arial"/>
              </w:rPr>
              <w:t xml:space="preserve"> (-2.</w:t>
            </w:r>
            <w:r w:rsidR="003F67FB">
              <w:rPr>
                <w:rFonts w:ascii="Arial" w:hAnsi="Arial" w:cs="Arial"/>
              </w:rPr>
              <w:t>09</w:t>
            </w:r>
            <w:r w:rsidRPr="00ED5A70">
              <w:rPr>
                <w:rFonts w:ascii="Arial" w:hAnsi="Arial" w:cs="Arial"/>
              </w:rPr>
              <w:t xml:space="preserve"> to -0.</w:t>
            </w:r>
            <w:r w:rsidR="003F67FB">
              <w:rPr>
                <w:rFonts w:ascii="Arial" w:hAnsi="Arial" w:cs="Arial"/>
              </w:rPr>
              <w:t>68</w:t>
            </w:r>
            <w:r w:rsidRPr="00ED5A70">
              <w:rPr>
                <w:rFonts w:ascii="Arial" w:hAnsi="Arial" w:cs="Arial"/>
              </w:rPr>
              <w:t>)</w:t>
            </w:r>
          </w:p>
        </w:tc>
      </w:tr>
      <w:tr w:rsidR="00F1380C" w:rsidRPr="00ED5A70" w:rsidTr="00F1380C">
        <w:tc>
          <w:tcPr>
            <w:tcW w:w="1566" w:type="dxa"/>
          </w:tcPr>
          <w:p w:rsidR="00F1380C" w:rsidRPr="00ED5A70" w:rsidRDefault="00F1380C" w:rsidP="00A97143">
            <w:pPr>
              <w:spacing w:after="0" w:line="480" w:lineRule="auto"/>
              <w:rPr>
                <w:rFonts w:ascii="Arial" w:hAnsi="Arial" w:cs="Arial"/>
              </w:rPr>
            </w:pPr>
            <w:r w:rsidRPr="00ED5A70">
              <w:rPr>
                <w:rFonts w:ascii="Arial" w:hAnsi="Arial" w:cs="Arial"/>
              </w:rPr>
              <w:t>0.6</w:t>
            </w:r>
          </w:p>
        </w:tc>
        <w:tc>
          <w:tcPr>
            <w:tcW w:w="2698" w:type="dxa"/>
          </w:tcPr>
          <w:p w:rsidR="00F1380C" w:rsidRPr="00ED5A70" w:rsidRDefault="00F1380C" w:rsidP="00A97143">
            <w:pPr>
              <w:spacing w:after="0" w:line="480" w:lineRule="auto"/>
              <w:rPr>
                <w:rFonts w:ascii="Arial" w:hAnsi="Arial" w:cs="Arial"/>
              </w:rPr>
            </w:pPr>
            <w:r w:rsidRPr="00ED5A70">
              <w:rPr>
                <w:rFonts w:ascii="Arial" w:hAnsi="Arial" w:cs="Arial"/>
              </w:rPr>
              <w:t xml:space="preserve">0 – 0.2 </w:t>
            </w:r>
          </w:p>
        </w:tc>
        <w:tc>
          <w:tcPr>
            <w:tcW w:w="1737" w:type="dxa"/>
          </w:tcPr>
          <w:p w:rsidR="00F1380C" w:rsidRPr="00ED5A70" w:rsidRDefault="00F1380C" w:rsidP="0072163F">
            <w:pPr>
              <w:spacing w:after="0" w:line="480" w:lineRule="auto"/>
              <w:rPr>
                <w:rFonts w:ascii="Arial" w:hAnsi="Arial" w:cs="Arial"/>
              </w:rPr>
            </w:pPr>
            <w:r>
              <w:rPr>
                <w:rFonts w:ascii="Arial" w:hAnsi="Arial" w:cs="Arial"/>
              </w:rPr>
              <w:t>3</w:t>
            </w:r>
            <w:r w:rsidR="0072163F">
              <w:rPr>
                <w:rFonts w:ascii="Arial" w:hAnsi="Arial" w:cs="Arial"/>
              </w:rPr>
              <w:t>5</w:t>
            </w:r>
            <w:r>
              <w:rPr>
                <w:rFonts w:ascii="Arial" w:hAnsi="Arial" w:cs="Arial"/>
              </w:rPr>
              <w:t>.</w:t>
            </w:r>
            <w:r w:rsidR="0072163F">
              <w:rPr>
                <w:rFonts w:ascii="Arial" w:hAnsi="Arial" w:cs="Arial"/>
              </w:rPr>
              <w:t>5</w:t>
            </w:r>
            <w:r>
              <w:rPr>
                <w:rFonts w:ascii="Arial" w:hAnsi="Arial" w:cs="Arial"/>
              </w:rPr>
              <w:t>%</w:t>
            </w:r>
          </w:p>
        </w:tc>
        <w:tc>
          <w:tcPr>
            <w:tcW w:w="2097" w:type="dxa"/>
          </w:tcPr>
          <w:p w:rsidR="00F1380C" w:rsidRPr="00ED5A70" w:rsidRDefault="00F1380C" w:rsidP="0072163F">
            <w:pPr>
              <w:spacing w:after="0" w:line="480" w:lineRule="auto"/>
              <w:rPr>
                <w:rFonts w:ascii="Arial" w:hAnsi="Arial" w:cs="Arial"/>
              </w:rPr>
            </w:pPr>
            <w:r w:rsidRPr="00ED5A70">
              <w:rPr>
                <w:rFonts w:ascii="Arial" w:hAnsi="Arial" w:cs="Arial"/>
              </w:rPr>
              <w:t>1.1</w:t>
            </w:r>
            <w:r w:rsidR="0072163F">
              <w:rPr>
                <w:rFonts w:ascii="Arial" w:hAnsi="Arial" w:cs="Arial"/>
              </w:rPr>
              <w:t>4</w:t>
            </w:r>
            <w:r w:rsidRPr="00ED5A70">
              <w:rPr>
                <w:rFonts w:ascii="Arial" w:hAnsi="Arial" w:cs="Arial"/>
              </w:rPr>
              <w:t xml:space="preserve"> (1.08 to 1.21)</w:t>
            </w:r>
          </w:p>
        </w:tc>
        <w:tc>
          <w:tcPr>
            <w:tcW w:w="2492" w:type="dxa"/>
          </w:tcPr>
          <w:p w:rsidR="00F1380C" w:rsidRPr="00ED5A70" w:rsidRDefault="00F1380C" w:rsidP="0072163F">
            <w:pPr>
              <w:spacing w:after="0" w:line="480" w:lineRule="auto"/>
              <w:rPr>
                <w:rFonts w:ascii="Arial" w:hAnsi="Arial" w:cs="Arial"/>
              </w:rPr>
            </w:pPr>
            <w:r w:rsidRPr="00ED5A70">
              <w:rPr>
                <w:rFonts w:ascii="Arial" w:hAnsi="Arial" w:cs="Arial"/>
              </w:rPr>
              <w:t>-0.56 (-0.8</w:t>
            </w:r>
            <w:r w:rsidR="0072163F">
              <w:rPr>
                <w:rFonts w:ascii="Arial" w:hAnsi="Arial" w:cs="Arial"/>
              </w:rPr>
              <w:t>1</w:t>
            </w:r>
            <w:r w:rsidRPr="00ED5A70">
              <w:rPr>
                <w:rFonts w:ascii="Arial" w:hAnsi="Arial" w:cs="Arial"/>
              </w:rPr>
              <w:t xml:space="preserve"> to -0.3</w:t>
            </w:r>
            <w:r w:rsidR="0072163F">
              <w:rPr>
                <w:rFonts w:ascii="Arial" w:hAnsi="Arial" w:cs="Arial"/>
              </w:rPr>
              <w:t>1</w:t>
            </w:r>
            <w:r w:rsidRPr="00ED5A70">
              <w:rPr>
                <w:rFonts w:ascii="Arial" w:hAnsi="Arial" w:cs="Arial"/>
              </w:rPr>
              <w:t>)</w:t>
            </w:r>
          </w:p>
        </w:tc>
        <w:tc>
          <w:tcPr>
            <w:tcW w:w="2360" w:type="dxa"/>
          </w:tcPr>
          <w:p w:rsidR="00F1380C" w:rsidRPr="00ED5A70" w:rsidRDefault="00F1380C" w:rsidP="0072163F">
            <w:pPr>
              <w:spacing w:after="0" w:line="480" w:lineRule="auto"/>
              <w:rPr>
                <w:rFonts w:ascii="Arial" w:hAnsi="Arial" w:cs="Arial"/>
              </w:rPr>
            </w:pPr>
            <w:r w:rsidRPr="00ED5A70">
              <w:rPr>
                <w:rFonts w:ascii="Arial" w:hAnsi="Arial" w:cs="Arial"/>
              </w:rPr>
              <w:t>-0.9</w:t>
            </w:r>
            <w:r w:rsidR="0072163F">
              <w:rPr>
                <w:rFonts w:ascii="Arial" w:hAnsi="Arial" w:cs="Arial"/>
              </w:rPr>
              <w:t>6</w:t>
            </w:r>
            <w:r w:rsidRPr="00ED5A70">
              <w:rPr>
                <w:rFonts w:ascii="Arial" w:hAnsi="Arial" w:cs="Arial"/>
              </w:rPr>
              <w:t xml:space="preserve"> (-1.46 to -0.4</w:t>
            </w:r>
            <w:r w:rsidR="0072163F">
              <w:rPr>
                <w:rFonts w:ascii="Arial" w:hAnsi="Arial" w:cs="Arial"/>
              </w:rPr>
              <w:t>6</w:t>
            </w:r>
            <w:r w:rsidRPr="00ED5A70">
              <w:rPr>
                <w:rFonts w:ascii="Arial" w:hAnsi="Arial" w:cs="Arial"/>
              </w:rPr>
              <w:t>)</w:t>
            </w:r>
          </w:p>
        </w:tc>
      </w:tr>
    </w:tbl>
    <w:p w:rsidR="0047304E" w:rsidRPr="00ED5A70" w:rsidRDefault="0047304E" w:rsidP="0047304E">
      <w:pPr>
        <w:spacing w:after="0" w:line="480" w:lineRule="auto"/>
        <w:rPr>
          <w:rFonts w:ascii="Arial" w:hAnsi="Arial" w:cs="Arial"/>
        </w:rPr>
      </w:pPr>
    </w:p>
    <w:p w:rsidR="0047304E" w:rsidRPr="00ED5A70" w:rsidRDefault="0047304E" w:rsidP="0047304E">
      <w:pPr>
        <w:spacing w:after="0" w:line="480" w:lineRule="auto"/>
        <w:rPr>
          <w:rFonts w:ascii="Arial" w:hAnsi="Arial" w:cs="Arial"/>
        </w:rPr>
      </w:pPr>
      <w:r w:rsidRPr="00ED5A70">
        <w:rPr>
          <w:rFonts w:ascii="Arial" w:hAnsi="Arial" w:cs="Arial"/>
        </w:rPr>
        <w:br w:type="page"/>
      </w:r>
    </w:p>
    <w:p w:rsidR="0047304E" w:rsidRPr="00ED5A70" w:rsidRDefault="0047304E" w:rsidP="0047304E">
      <w:pPr>
        <w:spacing w:after="0" w:line="480" w:lineRule="auto"/>
        <w:rPr>
          <w:rFonts w:ascii="Arial" w:hAnsi="Arial" w:cs="Arial"/>
        </w:rPr>
      </w:pPr>
      <w:r w:rsidRPr="0047304E">
        <w:rPr>
          <w:rFonts w:ascii="Arial" w:hAnsi="Arial" w:cs="Arial"/>
          <w:b/>
        </w:rPr>
        <w:lastRenderedPageBreak/>
        <w:t>e-Table 2.</w:t>
      </w:r>
      <w:r w:rsidRPr="00ED5A70">
        <w:rPr>
          <w:rFonts w:ascii="Arial" w:hAnsi="Arial" w:cs="Arial"/>
        </w:rPr>
        <w:t xml:space="preserve"> Sensitivity analyses of PaO</w:t>
      </w:r>
      <w:r w:rsidRPr="00ED5A70">
        <w:rPr>
          <w:rFonts w:ascii="Arial" w:hAnsi="Arial" w:cs="Arial"/>
          <w:vertAlign w:val="subscript"/>
        </w:rPr>
        <w:t>2</w:t>
      </w:r>
      <w:r w:rsidRPr="00ED5A70">
        <w:rPr>
          <w:rFonts w:ascii="Arial" w:hAnsi="Arial" w:cs="Arial"/>
        </w:rPr>
        <w:t xml:space="preserve"> thresholds </w:t>
      </w:r>
      <w:r w:rsidR="00F1380C">
        <w:rPr>
          <w:rFonts w:ascii="Arial" w:hAnsi="Arial" w:cs="Arial"/>
        </w:rPr>
        <w:t>at a constant FiO</w:t>
      </w:r>
      <w:r w:rsidR="00F1380C" w:rsidRPr="00F1380C">
        <w:rPr>
          <w:rFonts w:ascii="Arial" w:hAnsi="Arial" w:cs="Arial"/>
          <w:vertAlign w:val="subscript"/>
        </w:rPr>
        <w:t>2</w:t>
      </w:r>
      <w:r w:rsidR="00F1380C">
        <w:rPr>
          <w:rFonts w:ascii="Arial" w:hAnsi="Arial" w:cs="Arial"/>
        </w:rPr>
        <w:t xml:space="preserve"> of </w:t>
      </w:r>
      <w:r w:rsidR="000C3DDE">
        <w:rPr>
          <w:rFonts w:ascii="Arial" w:hAnsi="Arial" w:cs="Arial"/>
        </w:rPr>
        <w:t>&gt;</w:t>
      </w:r>
      <w:r w:rsidR="00F1380C">
        <w:rPr>
          <w:rFonts w:ascii="Arial" w:hAnsi="Arial" w:cs="Arial"/>
        </w:rPr>
        <w:t xml:space="preserve">0.5 </w:t>
      </w:r>
      <w:r w:rsidRPr="00ED5A70">
        <w:rPr>
          <w:rFonts w:ascii="Arial" w:hAnsi="Arial" w:cs="Arial"/>
        </w:rPr>
        <w:t>to define unnecessary oxygen exposure.</w:t>
      </w:r>
    </w:p>
    <w:p w:rsidR="0047304E" w:rsidRPr="00ED5A70" w:rsidRDefault="0047304E" w:rsidP="0047304E">
      <w:pPr>
        <w:spacing w:after="0" w:line="480" w:lineRule="auto"/>
        <w:rPr>
          <w:rFonts w:ascii="Arial" w:hAnsi="Arial" w:cs="Arial"/>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49"/>
        <w:gridCol w:w="2681"/>
        <w:gridCol w:w="1714"/>
        <w:gridCol w:w="2088"/>
        <w:gridCol w:w="2474"/>
        <w:gridCol w:w="2344"/>
      </w:tblGrid>
      <w:tr w:rsidR="00F1380C" w:rsidRPr="00ED5A70" w:rsidTr="00F1380C">
        <w:tc>
          <w:tcPr>
            <w:tcW w:w="1649" w:type="dxa"/>
          </w:tcPr>
          <w:p w:rsidR="00F1380C" w:rsidRPr="00ED5A70" w:rsidRDefault="00F1380C" w:rsidP="00A97143">
            <w:pPr>
              <w:spacing w:after="0" w:line="480" w:lineRule="auto"/>
              <w:rPr>
                <w:rFonts w:ascii="Arial" w:hAnsi="Arial" w:cs="Arial"/>
                <w:b/>
              </w:rPr>
            </w:pPr>
            <w:r w:rsidRPr="00ED5A70">
              <w:rPr>
                <w:rFonts w:ascii="Arial" w:hAnsi="Arial" w:cs="Arial"/>
                <w:b/>
              </w:rPr>
              <w:t>PaO</w:t>
            </w:r>
            <w:r w:rsidRPr="00ED5A70">
              <w:rPr>
                <w:rFonts w:ascii="Arial" w:hAnsi="Arial" w:cs="Arial"/>
                <w:b/>
                <w:vertAlign w:val="subscript"/>
              </w:rPr>
              <w:t>2</w:t>
            </w:r>
            <w:r w:rsidRPr="00ED5A70">
              <w:rPr>
                <w:rFonts w:ascii="Arial" w:hAnsi="Arial" w:cs="Arial"/>
                <w:b/>
              </w:rPr>
              <w:t xml:space="preserve"> oxygenation goal threshold</w:t>
            </w:r>
          </w:p>
        </w:tc>
        <w:tc>
          <w:tcPr>
            <w:tcW w:w="2681" w:type="dxa"/>
          </w:tcPr>
          <w:p w:rsidR="00F1380C" w:rsidRPr="00ED5A70" w:rsidRDefault="00F1380C" w:rsidP="00A97143">
            <w:pPr>
              <w:spacing w:after="0" w:line="480" w:lineRule="auto"/>
              <w:rPr>
                <w:rFonts w:ascii="Arial" w:hAnsi="Arial" w:cs="Arial"/>
                <w:b/>
              </w:rPr>
            </w:pPr>
            <w:r w:rsidRPr="00ED5A70">
              <w:rPr>
                <w:rFonts w:ascii="Arial" w:hAnsi="Arial" w:cs="Arial"/>
                <w:b/>
              </w:rPr>
              <w:t>Interquartile range of unnecessary oxygen exposure</w:t>
            </w:r>
          </w:p>
        </w:tc>
        <w:tc>
          <w:tcPr>
            <w:tcW w:w="1714" w:type="dxa"/>
          </w:tcPr>
          <w:p w:rsidR="00F1380C" w:rsidRPr="00ED5A70" w:rsidRDefault="00F1380C" w:rsidP="00A97143">
            <w:pPr>
              <w:spacing w:after="0" w:line="480" w:lineRule="auto"/>
              <w:rPr>
                <w:rFonts w:ascii="Arial" w:hAnsi="Arial" w:cs="Arial"/>
                <w:b/>
              </w:rPr>
            </w:pPr>
            <w:r>
              <w:rPr>
                <w:rFonts w:ascii="Arial" w:hAnsi="Arial" w:cs="Arial"/>
                <w:b/>
              </w:rPr>
              <w:t>% with unnecessary oxygen exposure</w:t>
            </w:r>
          </w:p>
        </w:tc>
        <w:tc>
          <w:tcPr>
            <w:tcW w:w="2088" w:type="dxa"/>
          </w:tcPr>
          <w:p w:rsidR="00F1380C" w:rsidRPr="00ED5A70" w:rsidRDefault="00F1380C" w:rsidP="00A97143">
            <w:pPr>
              <w:spacing w:after="0" w:line="480" w:lineRule="auto"/>
              <w:rPr>
                <w:rFonts w:ascii="Arial" w:hAnsi="Arial" w:cs="Arial"/>
                <w:b/>
              </w:rPr>
            </w:pPr>
            <w:r w:rsidRPr="00ED5A70">
              <w:rPr>
                <w:rFonts w:ascii="Arial" w:hAnsi="Arial" w:cs="Arial"/>
                <w:b/>
              </w:rPr>
              <w:t>Interquartile OR of death (95% CI)</w:t>
            </w:r>
          </w:p>
        </w:tc>
        <w:tc>
          <w:tcPr>
            <w:tcW w:w="2474" w:type="dxa"/>
          </w:tcPr>
          <w:p w:rsidR="00F1380C" w:rsidRPr="00ED5A70" w:rsidRDefault="007C1B10" w:rsidP="007C1B10">
            <w:pPr>
              <w:spacing w:after="0" w:line="480" w:lineRule="auto"/>
              <w:rPr>
                <w:rFonts w:ascii="Arial" w:hAnsi="Arial" w:cs="Arial"/>
                <w:b/>
              </w:rPr>
            </w:pPr>
            <w:r w:rsidRPr="00ED5A70">
              <w:rPr>
                <w:rFonts w:ascii="Arial" w:hAnsi="Arial" w:cs="Arial"/>
                <w:b/>
              </w:rPr>
              <w:t xml:space="preserve">Interquartile </w:t>
            </w:r>
            <w:r>
              <w:rPr>
                <w:rFonts w:ascii="Arial" w:hAnsi="Arial" w:cs="Arial"/>
                <w:b/>
              </w:rPr>
              <w:t>d</w:t>
            </w:r>
            <w:r w:rsidR="00F1380C" w:rsidRPr="00ED5A70">
              <w:rPr>
                <w:rFonts w:ascii="Arial" w:hAnsi="Arial" w:cs="Arial"/>
                <w:b/>
              </w:rPr>
              <w:t>ifference in ventilator free-days score (95% CI)</w:t>
            </w:r>
          </w:p>
        </w:tc>
        <w:tc>
          <w:tcPr>
            <w:tcW w:w="2344" w:type="dxa"/>
          </w:tcPr>
          <w:p w:rsidR="00F1380C" w:rsidRPr="00ED5A70" w:rsidRDefault="007C1B10" w:rsidP="007C1B10">
            <w:pPr>
              <w:spacing w:after="0" w:line="480" w:lineRule="auto"/>
              <w:rPr>
                <w:rFonts w:ascii="Arial" w:hAnsi="Arial" w:cs="Arial"/>
                <w:b/>
              </w:rPr>
            </w:pPr>
            <w:r w:rsidRPr="00ED5A70">
              <w:rPr>
                <w:rFonts w:ascii="Arial" w:hAnsi="Arial" w:cs="Arial"/>
                <w:b/>
              </w:rPr>
              <w:t xml:space="preserve">Interquartile </w:t>
            </w:r>
            <w:r>
              <w:rPr>
                <w:rFonts w:ascii="Arial" w:hAnsi="Arial" w:cs="Arial"/>
                <w:b/>
              </w:rPr>
              <w:t>d</w:t>
            </w:r>
            <w:r w:rsidR="00444817">
              <w:rPr>
                <w:rFonts w:ascii="Arial" w:hAnsi="Arial" w:cs="Arial"/>
                <w:b/>
              </w:rPr>
              <w:t>ifference in hospital</w:t>
            </w:r>
            <w:r w:rsidR="00F1380C" w:rsidRPr="00ED5A70">
              <w:rPr>
                <w:rFonts w:ascii="Arial" w:hAnsi="Arial" w:cs="Arial"/>
                <w:b/>
              </w:rPr>
              <w:t>-free days score (95% CI)</w:t>
            </w:r>
          </w:p>
        </w:tc>
      </w:tr>
      <w:tr w:rsidR="009F7BF7" w:rsidRPr="00ED5A70" w:rsidTr="00F1380C">
        <w:tc>
          <w:tcPr>
            <w:tcW w:w="1649" w:type="dxa"/>
          </w:tcPr>
          <w:p w:rsidR="009F7BF7" w:rsidRPr="00ED5A70" w:rsidRDefault="009F7BF7" w:rsidP="00A97143">
            <w:pPr>
              <w:spacing w:after="0" w:line="480" w:lineRule="auto"/>
              <w:rPr>
                <w:rFonts w:ascii="Arial" w:hAnsi="Arial" w:cs="Arial"/>
              </w:rPr>
            </w:pPr>
            <w:r w:rsidRPr="00ED5A70">
              <w:rPr>
                <w:rFonts w:ascii="Arial" w:hAnsi="Arial" w:cs="Arial"/>
              </w:rPr>
              <w:t>80</w:t>
            </w:r>
          </w:p>
        </w:tc>
        <w:tc>
          <w:tcPr>
            <w:tcW w:w="2681" w:type="dxa"/>
          </w:tcPr>
          <w:p w:rsidR="009F7BF7" w:rsidRPr="00ED5A70" w:rsidRDefault="001D331D" w:rsidP="00A97143">
            <w:pPr>
              <w:spacing w:after="0" w:line="480" w:lineRule="auto"/>
              <w:rPr>
                <w:rFonts w:ascii="Arial" w:hAnsi="Arial" w:cs="Arial"/>
              </w:rPr>
            </w:pPr>
            <w:r>
              <w:rPr>
                <w:rFonts w:ascii="Arial" w:hAnsi="Arial" w:cs="Arial"/>
              </w:rPr>
              <w:t>0 – 0.38</w:t>
            </w:r>
          </w:p>
        </w:tc>
        <w:tc>
          <w:tcPr>
            <w:tcW w:w="1714" w:type="dxa"/>
          </w:tcPr>
          <w:p w:rsidR="009F7BF7" w:rsidRPr="00ED5A70" w:rsidRDefault="009F7BF7" w:rsidP="004812CF">
            <w:pPr>
              <w:spacing w:after="0" w:line="480" w:lineRule="auto"/>
              <w:rPr>
                <w:rFonts w:ascii="Arial" w:hAnsi="Arial" w:cs="Arial"/>
              </w:rPr>
            </w:pPr>
            <w:r>
              <w:rPr>
                <w:rFonts w:ascii="Arial" w:hAnsi="Arial" w:cs="Arial"/>
              </w:rPr>
              <w:t>49.3%</w:t>
            </w:r>
          </w:p>
        </w:tc>
        <w:tc>
          <w:tcPr>
            <w:tcW w:w="2088" w:type="dxa"/>
          </w:tcPr>
          <w:p w:rsidR="009F7BF7" w:rsidRPr="00ED5A70" w:rsidRDefault="009F7BF7" w:rsidP="004812CF">
            <w:pPr>
              <w:spacing w:after="0" w:line="480" w:lineRule="auto"/>
              <w:rPr>
                <w:rFonts w:ascii="Arial" w:hAnsi="Arial" w:cs="Arial"/>
              </w:rPr>
            </w:pPr>
            <w:r w:rsidRPr="00ED5A70">
              <w:rPr>
                <w:rFonts w:ascii="Arial" w:hAnsi="Arial" w:cs="Arial"/>
              </w:rPr>
              <w:t>1.2</w:t>
            </w:r>
            <w:r>
              <w:rPr>
                <w:rFonts w:ascii="Arial" w:hAnsi="Arial" w:cs="Arial"/>
              </w:rPr>
              <w:t>0</w:t>
            </w:r>
            <w:r w:rsidRPr="00ED5A70">
              <w:rPr>
                <w:rFonts w:ascii="Arial" w:hAnsi="Arial" w:cs="Arial"/>
              </w:rPr>
              <w:t xml:space="preserve"> (1.1</w:t>
            </w:r>
            <w:r>
              <w:rPr>
                <w:rFonts w:ascii="Arial" w:hAnsi="Arial" w:cs="Arial"/>
              </w:rPr>
              <w:t>1</w:t>
            </w:r>
            <w:r w:rsidRPr="00ED5A70">
              <w:rPr>
                <w:rFonts w:ascii="Arial" w:hAnsi="Arial" w:cs="Arial"/>
              </w:rPr>
              <w:t xml:space="preserve"> to 1.3</w:t>
            </w:r>
            <w:r>
              <w:rPr>
                <w:rFonts w:ascii="Arial" w:hAnsi="Arial" w:cs="Arial"/>
              </w:rPr>
              <w:t>1</w:t>
            </w:r>
            <w:r w:rsidRPr="00ED5A70">
              <w:rPr>
                <w:rFonts w:ascii="Arial" w:hAnsi="Arial" w:cs="Arial"/>
              </w:rPr>
              <w:t>)</w:t>
            </w:r>
          </w:p>
        </w:tc>
        <w:tc>
          <w:tcPr>
            <w:tcW w:w="2474" w:type="dxa"/>
          </w:tcPr>
          <w:p w:rsidR="009F7BF7" w:rsidRPr="00ED5A70" w:rsidRDefault="009F7BF7" w:rsidP="004B4B7F">
            <w:pPr>
              <w:spacing w:after="0" w:line="480" w:lineRule="auto"/>
              <w:rPr>
                <w:rFonts w:ascii="Arial" w:hAnsi="Arial" w:cs="Arial"/>
              </w:rPr>
            </w:pPr>
            <w:r w:rsidRPr="00ED5A70">
              <w:rPr>
                <w:rFonts w:ascii="Arial" w:hAnsi="Arial" w:cs="Arial"/>
              </w:rPr>
              <w:t>-0.</w:t>
            </w:r>
            <w:r>
              <w:rPr>
                <w:rFonts w:ascii="Arial" w:hAnsi="Arial" w:cs="Arial"/>
              </w:rPr>
              <w:t>83</w:t>
            </w:r>
            <w:r w:rsidRPr="00ED5A70">
              <w:rPr>
                <w:rFonts w:ascii="Arial" w:hAnsi="Arial" w:cs="Arial"/>
              </w:rPr>
              <w:t xml:space="preserve"> (-1.</w:t>
            </w:r>
            <w:r>
              <w:rPr>
                <w:rFonts w:ascii="Arial" w:hAnsi="Arial" w:cs="Arial"/>
              </w:rPr>
              <w:t>18</w:t>
            </w:r>
            <w:r w:rsidRPr="00ED5A70">
              <w:rPr>
                <w:rFonts w:ascii="Arial" w:hAnsi="Arial" w:cs="Arial"/>
              </w:rPr>
              <w:t xml:space="preserve"> to -0.</w:t>
            </w:r>
            <w:r>
              <w:rPr>
                <w:rFonts w:ascii="Arial" w:hAnsi="Arial" w:cs="Arial"/>
              </w:rPr>
              <w:t>48</w:t>
            </w:r>
            <w:r w:rsidRPr="00ED5A70">
              <w:rPr>
                <w:rFonts w:ascii="Arial" w:hAnsi="Arial" w:cs="Arial"/>
              </w:rPr>
              <w:t>)</w:t>
            </w:r>
          </w:p>
        </w:tc>
        <w:tc>
          <w:tcPr>
            <w:tcW w:w="2344" w:type="dxa"/>
          </w:tcPr>
          <w:p w:rsidR="009F7BF7" w:rsidRPr="00ED5A70" w:rsidRDefault="009F7BF7" w:rsidP="004B4B7F">
            <w:pPr>
              <w:spacing w:after="0" w:line="480" w:lineRule="auto"/>
              <w:rPr>
                <w:rFonts w:ascii="Arial" w:hAnsi="Arial" w:cs="Arial"/>
              </w:rPr>
            </w:pPr>
            <w:r w:rsidRPr="00ED5A70">
              <w:rPr>
                <w:rFonts w:ascii="Arial" w:hAnsi="Arial" w:cs="Arial"/>
              </w:rPr>
              <w:t>-1.</w:t>
            </w:r>
            <w:r>
              <w:rPr>
                <w:rFonts w:ascii="Arial" w:hAnsi="Arial" w:cs="Arial"/>
              </w:rPr>
              <w:t>38</w:t>
            </w:r>
            <w:r w:rsidRPr="00ED5A70">
              <w:rPr>
                <w:rFonts w:ascii="Arial" w:hAnsi="Arial" w:cs="Arial"/>
              </w:rPr>
              <w:t xml:space="preserve"> (-2.</w:t>
            </w:r>
            <w:r>
              <w:rPr>
                <w:rFonts w:ascii="Arial" w:hAnsi="Arial" w:cs="Arial"/>
              </w:rPr>
              <w:t>09</w:t>
            </w:r>
            <w:r w:rsidRPr="00ED5A70">
              <w:rPr>
                <w:rFonts w:ascii="Arial" w:hAnsi="Arial" w:cs="Arial"/>
              </w:rPr>
              <w:t xml:space="preserve"> to -0.</w:t>
            </w:r>
            <w:r>
              <w:rPr>
                <w:rFonts w:ascii="Arial" w:hAnsi="Arial" w:cs="Arial"/>
              </w:rPr>
              <w:t>68</w:t>
            </w:r>
            <w:r w:rsidRPr="00ED5A70">
              <w:rPr>
                <w:rFonts w:ascii="Arial" w:hAnsi="Arial" w:cs="Arial"/>
              </w:rPr>
              <w:t>)</w:t>
            </w:r>
          </w:p>
        </w:tc>
      </w:tr>
      <w:tr w:rsidR="00F1380C" w:rsidRPr="00ED5A70" w:rsidTr="00F1380C">
        <w:tc>
          <w:tcPr>
            <w:tcW w:w="1649" w:type="dxa"/>
          </w:tcPr>
          <w:p w:rsidR="00F1380C" w:rsidRPr="00ED5A70" w:rsidRDefault="00F1380C" w:rsidP="00A97143">
            <w:pPr>
              <w:spacing w:after="0" w:line="480" w:lineRule="auto"/>
              <w:rPr>
                <w:rFonts w:ascii="Arial" w:hAnsi="Arial" w:cs="Arial"/>
              </w:rPr>
            </w:pPr>
            <w:r w:rsidRPr="00ED5A70">
              <w:rPr>
                <w:rFonts w:ascii="Arial" w:hAnsi="Arial" w:cs="Arial"/>
              </w:rPr>
              <w:t>85</w:t>
            </w:r>
          </w:p>
        </w:tc>
        <w:tc>
          <w:tcPr>
            <w:tcW w:w="2681" w:type="dxa"/>
          </w:tcPr>
          <w:p w:rsidR="00F1380C" w:rsidRPr="00ED5A70" w:rsidRDefault="00F1380C" w:rsidP="00A97143">
            <w:pPr>
              <w:spacing w:after="0" w:line="480" w:lineRule="auto"/>
              <w:rPr>
                <w:rFonts w:ascii="Arial" w:hAnsi="Arial" w:cs="Arial"/>
              </w:rPr>
            </w:pPr>
            <w:r w:rsidRPr="00ED5A70">
              <w:rPr>
                <w:rFonts w:ascii="Arial" w:hAnsi="Arial" w:cs="Arial"/>
              </w:rPr>
              <w:t>0 – 0.3</w:t>
            </w:r>
          </w:p>
        </w:tc>
        <w:tc>
          <w:tcPr>
            <w:tcW w:w="1714" w:type="dxa"/>
          </w:tcPr>
          <w:p w:rsidR="00F1380C" w:rsidRPr="00ED5A70" w:rsidRDefault="00F1380C" w:rsidP="00625FA4">
            <w:pPr>
              <w:spacing w:after="0" w:line="480" w:lineRule="auto"/>
              <w:rPr>
                <w:rFonts w:ascii="Arial" w:hAnsi="Arial" w:cs="Arial"/>
              </w:rPr>
            </w:pPr>
            <w:r>
              <w:rPr>
                <w:rFonts w:ascii="Arial" w:hAnsi="Arial" w:cs="Arial"/>
              </w:rPr>
              <w:t>4</w:t>
            </w:r>
            <w:r w:rsidR="00625FA4">
              <w:rPr>
                <w:rFonts w:ascii="Arial" w:hAnsi="Arial" w:cs="Arial"/>
              </w:rPr>
              <w:t>2.7</w:t>
            </w:r>
            <w:r>
              <w:rPr>
                <w:rFonts w:ascii="Arial" w:hAnsi="Arial" w:cs="Arial"/>
              </w:rPr>
              <w:t>%</w:t>
            </w:r>
          </w:p>
        </w:tc>
        <w:tc>
          <w:tcPr>
            <w:tcW w:w="2088" w:type="dxa"/>
          </w:tcPr>
          <w:p w:rsidR="00F1380C" w:rsidRPr="00ED5A70" w:rsidRDefault="00F1380C" w:rsidP="00625FA4">
            <w:pPr>
              <w:spacing w:after="0" w:line="480" w:lineRule="auto"/>
              <w:rPr>
                <w:rFonts w:ascii="Arial" w:hAnsi="Arial" w:cs="Arial"/>
              </w:rPr>
            </w:pPr>
            <w:r w:rsidRPr="00ED5A70">
              <w:rPr>
                <w:rFonts w:ascii="Arial" w:hAnsi="Arial" w:cs="Arial"/>
              </w:rPr>
              <w:t>1.1</w:t>
            </w:r>
            <w:r w:rsidR="00625FA4">
              <w:rPr>
                <w:rFonts w:ascii="Arial" w:hAnsi="Arial" w:cs="Arial"/>
              </w:rPr>
              <w:t>2</w:t>
            </w:r>
            <w:r w:rsidRPr="00ED5A70">
              <w:rPr>
                <w:rFonts w:ascii="Arial" w:hAnsi="Arial" w:cs="Arial"/>
              </w:rPr>
              <w:t xml:space="preserve"> (1.05 to 1.21)</w:t>
            </w:r>
          </w:p>
        </w:tc>
        <w:tc>
          <w:tcPr>
            <w:tcW w:w="2474" w:type="dxa"/>
          </w:tcPr>
          <w:p w:rsidR="00F1380C" w:rsidRPr="00ED5A70" w:rsidRDefault="00F1380C" w:rsidP="00625FA4">
            <w:pPr>
              <w:spacing w:after="0" w:line="480" w:lineRule="auto"/>
              <w:rPr>
                <w:rFonts w:ascii="Arial" w:hAnsi="Arial" w:cs="Arial"/>
              </w:rPr>
            </w:pPr>
            <w:r w:rsidRPr="00ED5A70">
              <w:rPr>
                <w:rFonts w:ascii="Arial" w:hAnsi="Arial" w:cs="Arial"/>
              </w:rPr>
              <w:t>-0.</w:t>
            </w:r>
            <w:r w:rsidR="00625FA4">
              <w:rPr>
                <w:rFonts w:ascii="Arial" w:hAnsi="Arial" w:cs="Arial"/>
              </w:rPr>
              <w:t>46</w:t>
            </w:r>
            <w:r w:rsidRPr="00ED5A70">
              <w:rPr>
                <w:rFonts w:ascii="Arial" w:hAnsi="Arial" w:cs="Arial"/>
              </w:rPr>
              <w:t xml:space="preserve"> (-0.</w:t>
            </w:r>
            <w:r w:rsidR="00625FA4">
              <w:rPr>
                <w:rFonts w:ascii="Arial" w:hAnsi="Arial" w:cs="Arial"/>
              </w:rPr>
              <w:t>75</w:t>
            </w:r>
            <w:r w:rsidRPr="00ED5A70">
              <w:rPr>
                <w:rFonts w:ascii="Arial" w:hAnsi="Arial" w:cs="Arial"/>
              </w:rPr>
              <w:t xml:space="preserve"> to -0.</w:t>
            </w:r>
            <w:r w:rsidR="00625FA4">
              <w:rPr>
                <w:rFonts w:ascii="Arial" w:hAnsi="Arial" w:cs="Arial"/>
              </w:rPr>
              <w:t>17</w:t>
            </w:r>
            <w:r w:rsidRPr="00ED5A70">
              <w:rPr>
                <w:rFonts w:ascii="Arial" w:hAnsi="Arial" w:cs="Arial"/>
              </w:rPr>
              <w:t>)</w:t>
            </w:r>
          </w:p>
        </w:tc>
        <w:tc>
          <w:tcPr>
            <w:tcW w:w="2344" w:type="dxa"/>
          </w:tcPr>
          <w:p w:rsidR="00F1380C" w:rsidRPr="00ED5A70" w:rsidRDefault="00F1380C" w:rsidP="00625FA4">
            <w:pPr>
              <w:spacing w:after="0" w:line="480" w:lineRule="auto"/>
              <w:rPr>
                <w:rFonts w:ascii="Arial" w:hAnsi="Arial" w:cs="Arial"/>
              </w:rPr>
            </w:pPr>
            <w:r w:rsidRPr="00ED5A70">
              <w:rPr>
                <w:rFonts w:ascii="Arial" w:hAnsi="Arial" w:cs="Arial"/>
              </w:rPr>
              <w:t>-0.7</w:t>
            </w:r>
            <w:r w:rsidR="00625FA4">
              <w:rPr>
                <w:rFonts w:ascii="Arial" w:hAnsi="Arial" w:cs="Arial"/>
              </w:rPr>
              <w:t>2</w:t>
            </w:r>
            <w:r w:rsidRPr="00ED5A70">
              <w:rPr>
                <w:rFonts w:ascii="Arial" w:hAnsi="Arial" w:cs="Arial"/>
              </w:rPr>
              <w:t xml:space="preserve"> (-1.3</w:t>
            </w:r>
            <w:r w:rsidR="00625FA4">
              <w:rPr>
                <w:rFonts w:ascii="Arial" w:hAnsi="Arial" w:cs="Arial"/>
              </w:rPr>
              <w:t>1</w:t>
            </w:r>
            <w:r w:rsidRPr="00ED5A70">
              <w:rPr>
                <w:rFonts w:ascii="Arial" w:hAnsi="Arial" w:cs="Arial"/>
              </w:rPr>
              <w:t xml:space="preserve"> to -0.1</w:t>
            </w:r>
            <w:r w:rsidR="00625FA4">
              <w:rPr>
                <w:rFonts w:ascii="Arial" w:hAnsi="Arial" w:cs="Arial"/>
              </w:rPr>
              <w:t>3</w:t>
            </w:r>
            <w:r w:rsidRPr="00ED5A70">
              <w:rPr>
                <w:rFonts w:ascii="Arial" w:hAnsi="Arial" w:cs="Arial"/>
              </w:rPr>
              <w:t>)</w:t>
            </w:r>
          </w:p>
        </w:tc>
      </w:tr>
      <w:tr w:rsidR="00F1380C" w:rsidRPr="00ED5A70" w:rsidTr="00F1380C">
        <w:tc>
          <w:tcPr>
            <w:tcW w:w="1649" w:type="dxa"/>
          </w:tcPr>
          <w:p w:rsidR="00F1380C" w:rsidRPr="00ED5A70" w:rsidRDefault="00F1380C" w:rsidP="00A97143">
            <w:pPr>
              <w:spacing w:after="0" w:line="480" w:lineRule="auto"/>
              <w:rPr>
                <w:rFonts w:ascii="Arial" w:hAnsi="Arial" w:cs="Arial"/>
              </w:rPr>
            </w:pPr>
            <w:r w:rsidRPr="00ED5A70">
              <w:rPr>
                <w:rFonts w:ascii="Arial" w:hAnsi="Arial" w:cs="Arial"/>
              </w:rPr>
              <w:t>90</w:t>
            </w:r>
          </w:p>
        </w:tc>
        <w:tc>
          <w:tcPr>
            <w:tcW w:w="2681" w:type="dxa"/>
          </w:tcPr>
          <w:p w:rsidR="00F1380C" w:rsidRPr="00ED5A70" w:rsidRDefault="007659A5" w:rsidP="00A97143">
            <w:pPr>
              <w:spacing w:after="0" w:line="480" w:lineRule="auto"/>
              <w:rPr>
                <w:rFonts w:ascii="Arial" w:hAnsi="Arial" w:cs="Arial"/>
              </w:rPr>
            </w:pPr>
            <w:r>
              <w:rPr>
                <w:rFonts w:ascii="Arial" w:hAnsi="Arial" w:cs="Arial"/>
              </w:rPr>
              <w:t>0 – 0.2</w:t>
            </w:r>
          </w:p>
        </w:tc>
        <w:tc>
          <w:tcPr>
            <w:tcW w:w="1714" w:type="dxa"/>
          </w:tcPr>
          <w:p w:rsidR="00F1380C" w:rsidRPr="00ED5A70" w:rsidRDefault="00F1380C" w:rsidP="007659A5">
            <w:pPr>
              <w:spacing w:after="0" w:line="480" w:lineRule="auto"/>
              <w:rPr>
                <w:rFonts w:ascii="Arial" w:hAnsi="Arial" w:cs="Arial"/>
              </w:rPr>
            </w:pPr>
            <w:r>
              <w:rPr>
                <w:rFonts w:ascii="Arial" w:hAnsi="Arial" w:cs="Arial"/>
              </w:rPr>
              <w:t>3</w:t>
            </w:r>
            <w:r w:rsidR="007659A5">
              <w:rPr>
                <w:rFonts w:ascii="Arial" w:hAnsi="Arial" w:cs="Arial"/>
              </w:rPr>
              <w:t>7</w:t>
            </w:r>
            <w:r>
              <w:rPr>
                <w:rFonts w:ascii="Arial" w:hAnsi="Arial" w:cs="Arial"/>
              </w:rPr>
              <w:t>.</w:t>
            </w:r>
            <w:r w:rsidR="007659A5">
              <w:rPr>
                <w:rFonts w:ascii="Arial" w:hAnsi="Arial" w:cs="Arial"/>
              </w:rPr>
              <w:t>8</w:t>
            </w:r>
            <w:r>
              <w:rPr>
                <w:rFonts w:ascii="Arial" w:hAnsi="Arial" w:cs="Arial"/>
              </w:rPr>
              <w:t>%</w:t>
            </w:r>
          </w:p>
        </w:tc>
        <w:tc>
          <w:tcPr>
            <w:tcW w:w="2088" w:type="dxa"/>
          </w:tcPr>
          <w:p w:rsidR="00F1380C" w:rsidRPr="00ED5A70" w:rsidRDefault="00F1380C" w:rsidP="007659A5">
            <w:pPr>
              <w:spacing w:after="0" w:line="480" w:lineRule="auto"/>
              <w:rPr>
                <w:rFonts w:ascii="Arial" w:hAnsi="Arial" w:cs="Arial"/>
              </w:rPr>
            </w:pPr>
            <w:r w:rsidRPr="00ED5A70">
              <w:rPr>
                <w:rFonts w:ascii="Arial" w:hAnsi="Arial" w:cs="Arial"/>
              </w:rPr>
              <w:t>1.0</w:t>
            </w:r>
            <w:r w:rsidR="007659A5">
              <w:rPr>
                <w:rFonts w:ascii="Arial" w:hAnsi="Arial" w:cs="Arial"/>
              </w:rPr>
              <w:t>8</w:t>
            </w:r>
            <w:r w:rsidRPr="00ED5A70">
              <w:rPr>
                <w:rFonts w:ascii="Arial" w:hAnsi="Arial" w:cs="Arial"/>
              </w:rPr>
              <w:t xml:space="preserve"> (1.0</w:t>
            </w:r>
            <w:r w:rsidR="007659A5">
              <w:rPr>
                <w:rFonts w:ascii="Arial" w:hAnsi="Arial" w:cs="Arial"/>
              </w:rPr>
              <w:t>3</w:t>
            </w:r>
            <w:r w:rsidRPr="00ED5A70">
              <w:rPr>
                <w:rFonts w:ascii="Arial" w:hAnsi="Arial" w:cs="Arial"/>
              </w:rPr>
              <w:t xml:space="preserve"> to 1.1</w:t>
            </w:r>
            <w:r w:rsidR="007659A5">
              <w:rPr>
                <w:rFonts w:ascii="Arial" w:hAnsi="Arial" w:cs="Arial"/>
              </w:rPr>
              <w:t>3</w:t>
            </w:r>
            <w:r w:rsidRPr="00ED5A70">
              <w:rPr>
                <w:rFonts w:ascii="Arial" w:hAnsi="Arial" w:cs="Arial"/>
              </w:rPr>
              <w:t>)</w:t>
            </w:r>
          </w:p>
        </w:tc>
        <w:tc>
          <w:tcPr>
            <w:tcW w:w="2474" w:type="dxa"/>
          </w:tcPr>
          <w:p w:rsidR="00F1380C" w:rsidRPr="00ED5A70" w:rsidRDefault="00F1380C" w:rsidP="007659A5">
            <w:pPr>
              <w:spacing w:after="0" w:line="480" w:lineRule="auto"/>
              <w:rPr>
                <w:rFonts w:ascii="Arial" w:hAnsi="Arial" w:cs="Arial"/>
              </w:rPr>
            </w:pPr>
            <w:r w:rsidRPr="00ED5A70">
              <w:rPr>
                <w:rFonts w:ascii="Arial" w:hAnsi="Arial" w:cs="Arial"/>
              </w:rPr>
              <w:t>-0.</w:t>
            </w:r>
            <w:r w:rsidR="007659A5">
              <w:rPr>
                <w:rFonts w:ascii="Arial" w:hAnsi="Arial" w:cs="Arial"/>
              </w:rPr>
              <w:t>29</w:t>
            </w:r>
            <w:r w:rsidRPr="00ED5A70">
              <w:rPr>
                <w:rFonts w:ascii="Arial" w:hAnsi="Arial" w:cs="Arial"/>
              </w:rPr>
              <w:t xml:space="preserve"> (-0.</w:t>
            </w:r>
            <w:r w:rsidR="007659A5">
              <w:rPr>
                <w:rFonts w:ascii="Arial" w:hAnsi="Arial" w:cs="Arial"/>
              </w:rPr>
              <w:t>50</w:t>
            </w:r>
            <w:r w:rsidRPr="00ED5A70">
              <w:rPr>
                <w:rFonts w:ascii="Arial" w:hAnsi="Arial" w:cs="Arial"/>
              </w:rPr>
              <w:t xml:space="preserve"> to -0.</w:t>
            </w:r>
            <w:r w:rsidR="007659A5">
              <w:rPr>
                <w:rFonts w:ascii="Arial" w:hAnsi="Arial" w:cs="Arial"/>
              </w:rPr>
              <w:t>08</w:t>
            </w:r>
            <w:r w:rsidRPr="00ED5A70">
              <w:rPr>
                <w:rFonts w:ascii="Arial" w:hAnsi="Arial" w:cs="Arial"/>
              </w:rPr>
              <w:t>)</w:t>
            </w:r>
          </w:p>
        </w:tc>
        <w:tc>
          <w:tcPr>
            <w:tcW w:w="2344" w:type="dxa"/>
          </w:tcPr>
          <w:p w:rsidR="00F1380C" w:rsidRPr="00ED5A70" w:rsidRDefault="00F1380C" w:rsidP="007659A5">
            <w:pPr>
              <w:spacing w:after="0" w:line="480" w:lineRule="auto"/>
              <w:rPr>
                <w:rFonts w:ascii="Arial" w:hAnsi="Arial" w:cs="Arial"/>
              </w:rPr>
            </w:pPr>
            <w:r w:rsidRPr="00ED5A70">
              <w:rPr>
                <w:rFonts w:ascii="Arial" w:hAnsi="Arial" w:cs="Arial"/>
              </w:rPr>
              <w:t>-0.</w:t>
            </w:r>
            <w:r w:rsidR="007659A5">
              <w:rPr>
                <w:rFonts w:ascii="Arial" w:hAnsi="Arial" w:cs="Arial"/>
              </w:rPr>
              <w:t>48</w:t>
            </w:r>
            <w:r w:rsidRPr="00ED5A70">
              <w:rPr>
                <w:rFonts w:ascii="Arial" w:hAnsi="Arial" w:cs="Arial"/>
              </w:rPr>
              <w:t xml:space="preserve"> (-</w:t>
            </w:r>
            <w:r w:rsidR="007659A5">
              <w:rPr>
                <w:rFonts w:ascii="Arial" w:hAnsi="Arial" w:cs="Arial"/>
              </w:rPr>
              <w:t>0.90</w:t>
            </w:r>
            <w:r w:rsidRPr="00ED5A70">
              <w:rPr>
                <w:rFonts w:ascii="Arial" w:hAnsi="Arial" w:cs="Arial"/>
              </w:rPr>
              <w:t xml:space="preserve"> to -0.06)</w:t>
            </w:r>
          </w:p>
        </w:tc>
      </w:tr>
      <w:tr w:rsidR="00F1380C" w:rsidRPr="00ED5A70" w:rsidTr="00F1380C">
        <w:tc>
          <w:tcPr>
            <w:tcW w:w="1649" w:type="dxa"/>
          </w:tcPr>
          <w:p w:rsidR="00F1380C" w:rsidRPr="00ED5A70" w:rsidRDefault="00F1380C" w:rsidP="00A97143">
            <w:pPr>
              <w:spacing w:after="0" w:line="480" w:lineRule="auto"/>
              <w:rPr>
                <w:rFonts w:ascii="Arial" w:hAnsi="Arial" w:cs="Arial"/>
              </w:rPr>
            </w:pPr>
            <w:r w:rsidRPr="00ED5A70">
              <w:rPr>
                <w:rFonts w:ascii="Arial" w:hAnsi="Arial" w:cs="Arial"/>
              </w:rPr>
              <w:t>95</w:t>
            </w:r>
          </w:p>
        </w:tc>
        <w:tc>
          <w:tcPr>
            <w:tcW w:w="2681" w:type="dxa"/>
          </w:tcPr>
          <w:p w:rsidR="00F1380C" w:rsidRPr="00ED5A70" w:rsidRDefault="00F1380C" w:rsidP="00A97143">
            <w:pPr>
              <w:spacing w:after="0" w:line="480" w:lineRule="auto"/>
              <w:rPr>
                <w:rFonts w:ascii="Arial" w:hAnsi="Arial" w:cs="Arial"/>
              </w:rPr>
            </w:pPr>
            <w:r w:rsidRPr="00ED5A70">
              <w:rPr>
                <w:rFonts w:ascii="Arial" w:hAnsi="Arial" w:cs="Arial"/>
              </w:rPr>
              <w:t>0 – 0.2</w:t>
            </w:r>
          </w:p>
        </w:tc>
        <w:tc>
          <w:tcPr>
            <w:tcW w:w="1714" w:type="dxa"/>
          </w:tcPr>
          <w:p w:rsidR="00F1380C" w:rsidRPr="00ED5A70" w:rsidRDefault="00F1380C" w:rsidP="00AD31BD">
            <w:pPr>
              <w:spacing w:after="0" w:line="480" w:lineRule="auto"/>
              <w:rPr>
                <w:rFonts w:ascii="Arial" w:hAnsi="Arial" w:cs="Arial"/>
              </w:rPr>
            </w:pPr>
            <w:r>
              <w:rPr>
                <w:rFonts w:ascii="Arial" w:hAnsi="Arial" w:cs="Arial"/>
              </w:rPr>
              <w:t>3</w:t>
            </w:r>
            <w:r w:rsidR="00AD31BD">
              <w:rPr>
                <w:rFonts w:ascii="Arial" w:hAnsi="Arial" w:cs="Arial"/>
              </w:rPr>
              <w:t>2</w:t>
            </w:r>
            <w:r>
              <w:rPr>
                <w:rFonts w:ascii="Arial" w:hAnsi="Arial" w:cs="Arial"/>
              </w:rPr>
              <w:t>.</w:t>
            </w:r>
            <w:r w:rsidR="00AD31BD">
              <w:rPr>
                <w:rFonts w:ascii="Arial" w:hAnsi="Arial" w:cs="Arial"/>
              </w:rPr>
              <w:t>7</w:t>
            </w:r>
            <w:r>
              <w:rPr>
                <w:rFonts w:ascii="Arial" w:hAnsi="Arial" w:cs="Arial"/>
              </w:rPr>
              <w:t>%</w:t>
            </w:r>
          </w:p>
        </w:tc>
        <w:tc>
          <w:tcPr>
            <w:tcW w:w="2088" w:type="dxa"/>
          </w:tcPr>
          <w:p w:rsidR="00F1380C" w:rsidRPr="00ED5A70" w:rsidRDefault="00F1380C" w:rsidP="00A97143">
            <w:pPr>
              <w:spacing w:after="0" w:line="480" w:lineRule="auto"/>
              <w:rPr>
                <w:rFonts w:ascii="Arial" w:hAnsi="Arial" w:cs="Arial"/>
              </w:rPr>
            </w:pPr>
            <w:r w:rsidRPr="00ED5A70">
              <w:rPr>
                <w:rFonts w:ascii="Arial" w:hAnsi="Arial" w:cs="Arial"/>
              </w:rPr>
              <w:t>1.08 (1.03 to 1.14)</w:t>
            </w:r>
          </w:p>
        </w:tc>
        <w:tc>
          <w:tcPr>
            <w:tcW w:w="2474" w:type="dxa"/>
          </w:tcPr>
          <w:p w:rsidR="00F1380C" w:rsidRPr="00ED5A70" w:rsidRDefault="00F1380C" w:rsidP="00A97143">
            <w:pPr>
              <w:spacing w:after="0" w:line="480" w:lineRule="auto"/>
              <w:rPr>
                <w:rFonts w:ascii="Arial" w:hAnsi="Arial" w:cs="Arial"/>
              </w:rPr>
            </w:pPr>
            <w:r w:rsidRPr="00ED5A70">
              <w:rPr>
                <w:rFonts w:ascii="Arial" w:hAnsi="Arial" w:cs="Arial"/>
              </w:rPr>
              <w:t>-0.28 (-0.50 to -0.06)</w:t>
            </w:r>
          </w:p>
        </w:tc>
        <w:tc>
          <w:tcPr>
            <w:tcW w:w="2344" w:type="dxa"/>
          </w:tcPr>
          <w:p w:rsidR="00F1380C" w:rsidRPr="00ED5A70" w:rsidRDefault="00AD31BD" w:rsidP="00A97143">
            <w:pPr>
              <w:spacing w:after="0" w:line="480" w:lineRule="auto"/>
              <w:rPr>
                <w:rFonts w:ascii="Arial" w:hAnsi="Arial" w:cs="Arial"/>
              </w:rPr>
            </w:pPr>
            <w:r>
              <w:rPr>
                <w:rFonts w:ascii="Arial" w:hAnsi="Arial" w:cs="Arial"/>
              </w:rPr>
              <w:t>-0.43 (-0.87 to 0.01</w:t>
            </w:r>
            <w:r w:rsidR="00F1380C" w:rsidRPr="00ED5A70">
              <w:rPr>
                <w:rFonts w:ascii="Arial" w:hAnsi="Arial" w:cs="Arial"/>
              </w:rPr>
              <w:t>)</w:t>
            </w:r>
          </w:p>
        </w:tc>
      </w:tr>
      <w:tr w:rsidR="00F1380C" w:rsidRPr="00ED5A70" w:rsidTr="00F1380C">
        <w:tc>
          <w:tcPr>
            <w:tcW w:w="1649" w:type="dxa"/>
          </w:tcPr>
          <w:p w:rsidR="00F1380C" w:rsidRPr="00ED5A70" w:rsidRDefault="00F1380C" w:rsidP="00A97143">
            <w:pPr>
              <w:spacing w:after="0" w:line="480" w:lineRule="auto"/>
              <w:rPr>
                <w:rFonts w:ascii="Arial" w:hAnsi="Arial" w:cs="Arial"/>
              </w:rPr>
            </w:pPr>
            <w:r w:rsidRPr="00ED5A70">
              <w:rPr>
                <w:rFonts w:ascii="Arial" w:hAnsi="Arial" w:cs="Arial"/>
              </w:rPr>
              <w:t>100</w:t>
            </w:r>
          </w:p>
        </w:tc>
        <w:tc>
          <w:tcPr>
            <w:tcW w:w="2681" w:type="dxa"/>
          </w:tcPr>
          <w:p w:rsidR="00F1380C" w:rsidRPr="00ED5A70" w:rsidRDefault="00AD31BD" w:rsidP="00A97143">
            <w:pPr>
              <w:spacing w:after="0" w:line="480" w:lineRule="auto"/>
              <w:rPr>
                <w:rFonts w:ascii="Arial" w:hAnsi="Arial" w:cs="Arial"/>
              </w:rPr>
            </w:pPr>
            <w:r>
              <w:rPr>
                <w:rFonts w:ascii="Arial" w:hAnsi="Arial" w:cs="Arial"/>
              </w:rPr>
              <w:t>0 – 0.1</w:t>
            </w:r>
          </w:p>
        </w:tc>
        <w:tc>
          <w:tcPr>
            <w:tcW w:w="1714" w:type="dxa"/>
          </w:tcPr>
          <w:p w:rsidR="00F1380C" w:rsidRPr="00ED5A70" w:rsidRDefault="00F1380C" w:rsidP="00A97143">
            <w:pPr>
              <w:spacing w:after="0" w:line="480" w:lineRule="auto"/>
              <w:rPr>
                <w:rFonts w:ascii="Arial" w:hAnsi="Arial" w:cs="Arial"/>
              </w:rPr>
            </w:pPr>
            <w:r>
              <w:rPr>
                <w:rFonts w:ascii="Arial" w:hAnsi="Arial" w:cs="Arial"/>
              </w:rPr>
              <w:t>29.2%</w:t>
            </w:r>
          </w:p>
        </w:tc>
        <w:tc>
          <w:tcPr>
            <w:tcW w:w="2088" w:type="dxa"/>
          </w:tcPr>
          <w:p w:rsidR="00F1380C" w:rsidRPr="00ED5A70" w:rsidRDefault="00AD31BD" w:rsidP="00AD31BD">
            <w:pPr>
              <w:spacing w:after="0" w:line="480" w:lineRule="auto"/>
              <w:rPr>
                <w:rFonts w:ascii="Arial" w:hAnsi="Arial" w:cs="Arial"/>
              </w:rPr>
            </w:pPr>
            <w:r>
              <w:rPr>
                <w:rFonts w:ascii="Arial" w:hAnsi="Arial" w:cs="Arial"/>
              </w:rPr>
              <w:t>1.04</w:t>
            </w:r>
            <w:r w:rsidR="00F1380C" w:rsidRPr="00ED5A70">
              <w:rPr>
                <w:rFonts w:ascii="Arial" w:hAnsi="Arial" w:cs="Arial"/>
              </w:rPr>
              <w:t xml:space="preserve"> (1.01 to 1.0</w:t>
            </w:r>
            <w:r>
              <w:rPr>
                <w:rFonts w:ascii="Arial" w:hAnsi="Arial" w:cs="Arial"/>
              </w:rPr>
              <w:t>6</w:t>
            </w:r>
            <w:r w:rsidR="00F1380C" w:rsidRPr="00ED5A70">
              <w:rPr>
                <w:rFonts w:ascii="Arial" w:hAnsi="Arial" w:cs="Arial"/>
              </w:rPr>
              <w:t>)</w:t>
            </w:r>
          </w:p>
        </w:tc>
        <w:tc>
          <w:tcPr>
            <w:tcW w:w="2474" w:type="dxa"/>
          </w:tcPr>
          <w:p w:rsidR="00F1380C" w:rsidRPr="00ED5A70" w:rsidRDefault="00F1380C" w:rsidP="00AD31BD">
            <w:pPr>
              <w:spacing w:after="0" w:line="480" w:lineRule="auto"/>
              <w:rPr>
                <w:rFonts w:ascii="Arial" w:hAnsi="Arial" w:cs="Arial"/>
              </w:rPr>
            </w:pPr>
            <w:r w:rsidRPr="00ED5A70">
              <w:rPr>
                <w:rFonts w:ascii="Arial" w:hAnsi="Arial" w:cs="Arial"/>
              </w:rPr>
              <w:t>-0.1</w:t>
            </w:r>
            <w:r w:rsidR="00AD31BD">
              <w:rPr>
                <w:rFonts w:ascii="Arial" w:hAnsi="Arial" w:cs="Arial"/>
              </w:rPr>
              <w:t>2</w:t>
            </w:r>
            <w:r w:rsidRPr="00ED5A70">
              <w:rPr>
                <w:rFonts w:ascii="Arial" w:hAnsi="Arial" w:cs="Arial"/>
              </w:rPr>
              <w:t xml:space="preserve"> (-</w:t>
            </w:r>
            <w:r w:rsidR="00AD31BD">
              <w:rPr>
                <w:rFonts w:ascii="Arial" w:hAnsi="Arial" w:cs="Arial"/>
              </w:rPr>
              <w:t>0.24</w:t>
            </w:r>
            <w:r w:rsidRPr="00ED5A70">
              <w:rPr>
                <w:rFonts w:ascii="Arial" w:hAnsi="Arial" w:cs="Arial"/>
              </w:rPr>
              <w:t xml:space="preserve"> to -0.</w:t>
            </w:r>
            <w:r w:rsidR="00AD31BD">
              <w:rPr>
                <w:rFonts w:ascii="Arial" w:hAnsi="Arial" w:cs="Arial"/>
              </w:rPr>
              <w:t>01</w:t>
            </w:r>
            <w:r w:rsidRPr="00ED5A70">
              <w:rPr>
                <w:rFonts w:ascii="Arial" w:hAnsi="Arial" w:cs="Arial"/>
              </w:rPr>
              <w:t>)</w:t>
            </w:r>
          </w:p>
        </w:tc>
        <w:tc>
          <w:tcPr>
            <w:tcW w:w="2344" w:type="dxa"/>
          </w:tcPr>
          <w:p w:rsidR="00F1380C" w:rsidRPr="00ED5A70" w:rsidRDefault="00F1380C" w:rsidP="00AD31BD">
            <w:pPr>
              <w:spacing w:after="0" w:line="480" w:lineRule="auto"/>
              <w:rPr>
                <w:rFonts w:ascii="Arial" w:hAnsi="Arial" w:cs="Arial"/>
              </w:rPr>
            </w:pPr>
            <w:r w:rsidRPr="00ED5A70">
              <w:rPr>
                <w:rFonts w:ascii="Arial" w:hAnsi="Arial" w:cs="Arial"/>
              </w:rPr>
              <w:t>-0.</w:t>
            </w:r>
            <w:r w:rsidR="00AD31BD">
              <w:rPr>
                <w:rFonts w:ascii="Arial" w:hAnsi="Arial" w:cs="Arial"/>
              </w:rPr>
              <w:t>17</w:t>
            </w:r>
            <w:r w:rsidRPr="00ED5A70">
              <w:rPr>
                <w:rFonts w:ascii="Arial" w:hAnsi="Arial" w:cs="Arial"/>
              </w:rPr>
              <w:t xml:space="preserve"> (-0.</w:t>
            </w:r>
            <w:r w:rsidR="00AD31BD">
              <w:rPr>
                <w:rFonts w:ascii="Arial" w:hAnsi="Arial" w:cs="Arial"/>
              </w:rPr>
              <w:t>41</w:t>
            </w:r>
            <w:r w:rsidRPr="00ED5A70">
              <w:rPr>
                <w:rFonts w:ascii="Arial" w:hAnsi="Arial" w:cs="Arial"/>
              </w:rPr>
              <w:t xml:space="preserve"> to 0.0</w:t>
            </w:r>
            <w:r w:rsidR="00AD31BD">
              <w:rPr>
                <w:rFonts w:ascii="Arial" w:hAnsi="Arial" w:cs="Arial"/>
              </w:rPr>
              <w:t>6</w:t>
            </w:r>
            <w:r w:rsidRPr="00ED5A70">
              <w:rPr>
                <w:rFonts w:ascii="Arial" w:hAnsi="Arial" w:cs="Arial"/>
              </w:rPr>
              <w:t>)</w:t>
            </w:r>
          </w:p>
        </w:tc>
      </w:tr>
    </w:tbl>
    <w:p w:rsidR="0047304E" w:rsidRPr="00ED5A70" w:rsidRDefault="0047304E" w:rsidP="0047304E">
      <w:pPr>
        <w:spacing w:after="0" w:line="480" w:lineRule="auto"/>
        <w:rPr>
          <w:rFonts w:ascii="Arial" w:hAnsi="Arial" w:cs="Arial"/>
        </w:rPr>
      </w:pPr>
    </w:p>
    <w:p w:rsidR="00625843" w:rsidRDefault="00625843">
      <w:pPr>
        <w:spacing w:after="160" w:line="259" w:lineRule="auto"/>
      </w:pPr>
      <w:r>
        <w:br w:type="page"/>
      </w:r>
    </w:p>
    <w:p w:rsidR="00450726" w:rsidRDefault="00450726"/>
    <w:p w:rsidR="00625843" w:rsidRDefault="00B668C7">
      <w:pPr>
        <w:rPr>
          <w:rFonts w:ascii="Arial" w:hAnsi="Arial" w:cs="Arial"/>
        </w:rPr>
      </w:pPr>
      <w:r>
        <w:rPr>
          <w:rFonts w:ascii="Arial" w:hAnsi="Arial" w:cs="Arial"/>
          <w:b/>
          <w:noProof/>
        </w:rPr>
        <w:drawing>
          <wp:anchor distT="0" distB="0" distL="114300" distR="114300" simplePos="0" relativeHeight="251659264" behindDoc="0" locked="0" layoutInCell="1" allowOverlap="1">
            <wp:simplePos x="0" y="0"/>
            <wp:positionH relativeFrom="column">
              <wp:posOffset>240030</wp:posOffset>
            </wp:positionH>
            <wp:positionV relativeFrom="paragraph">
              <wp:posOffset>1377950</wp:posOffset>
            </wp:positionV>
            <wp:extent cx="7415530" cy="49335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15530" cy="4933551"/>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625843">
        <w:rPr>
          <w:rFonts w:ascii="Arial" w:hAnsi="Arial" w:cs="Arial"/>
          <w:b/>
        </w:rPr>
        <w:t>e-</w:t>
      </w:r>
      <w:r w:rsidR="00625843" w:rsidRPr="00ED5A70">
        <w:rPr>
          <w:rFonts w:ascii="Arial" w:hAnsi="Arial" w:cs="Arial"/>
          <w:b/>
        </w:rPr>
        <w:t xml:space="preserve">Figure </w:t>
      </w:r>
      <w:r w:rsidR="00625843">
        <w:rPr>
          <w:rFonts w:ascii="Arial" w:hAnsi="Arial" w:cs="Arial"/>
          <w:b/>
        </w:rPr>
        <w:t>1</w:t>
      </w:r>
      <w:r w:rsidR="00625843" w:rsidRPr="00ED5A70">
        <w:rPr>
          <w:rFonts w:ascii="Arial" w:hAnsi="Arial" w:cs="Arial"/>
          <w:b/>
        </w:rPr>
        <w:t>.</w:t>
      </w:r>
      <w:r w:rsidR="00625843" w:rsidRPr="00ED5A70">
        <w:rPr>
          <w:rFonts w:ascii="Arial" w:hAnsi="Arial" w:cs="Arial"/>
        </w:rPr>
        <w:t xml:space="preserve"> Time series of mean monthly cumulative </w:t>
      </w:r>
      <w:r w:rsidR="00625843">
        <w:rPr>
          <w:rFonts w:ascii="Arial" w:hAnsi="Arial" w:cs="Arial"/>
        </w:rPr>
        <w:t>above goal</w:t>
      </w:r>
      <w:r w:rsidR="00625843" w:rsidRPr="00ED5A70">
        <w:rPr>
          <w:rFonts w:ascii="Arial" w:hAnsi="Arial" w:cs="Arial"/>
        </w:rPr>
        <w:t xml:space="preserve"> oxygen </w:t>
      </w:r>
      <w:r w:rsidR="00625843">
        <w:rPr>
          <w:rFonts w:ascii="Arial" w:hAnsi="Arial" w:cs="Arial"/>
        </w:rPr>
        <w:t>exposure</w:t>
      </w:r>
      <w:r w:rsidR="00625843" w:rsidRPr="00ED5A70">
        <w:rPr>
          <w:rFonts w:ascii="Arial" w:hAnsi="Arial" w:cs="Arial"/>
        </w:rPr>
        <w:t xml:space="preserve"> at five days (left panel) and severity of ARDS (right panel).  Left panel: Each “+” corresponds to a monthly estimate of mean cumulative </w:t>
      </w:r>
      <w:r w:rsidR="00625843">
        <w:rPr>
          <w:rFonts w:ascii="Arial" w:hAnsi="Arial" w:cs="Arial"/>
        </w:rPr>
        <w:t>above goal</w:t>
      </w:r>
      <w:r w:rsidR="00625843" w:rsidRPr="00ED5A70">
        <w:rPr>
          <w:rFonts w:ascii="Arial" w:hAnsi="Arial" w:cs="Arial"/>
        </w:rPr>
        <w:t xml:space="preserve"> oxygen </w:t>
      </w:r>
      <w:r w:rsidR="00625843">
        <w:rPr>
          <w:rFonts w:ascii="Arial" w:hAnsi="Arial" w:cs="Arial"/>
        </w:rPr>
        <w:t>exposure</w:t>
      </w:r>
      <w:r w:rsidR="00625843" w:rsidRPr="00ED5A70">
        <w:rPr>
          <w:rFonts w:ascii="Arial" w:hAnsi="Arial" w:cs="Arial"/>
        </w:rPr>
        <w:t xml:space="preserve">.  The solid line is a smooth function of cumulative excessive oxygen </w:t>
      </w:r>
      <w:r w:rsidR="00625843">
        <w:rPr>
          <w:rFonts w:ascii="Arial" w:hAnsi="Arial" w:cs="Arial"/>
        </w:rPr>
        <w:t>exposure</w:t>
      </w:r>
      <w:r w:rsidR="00625843" w:rsidRPr="00ED5A70">
        <w:rPr>
          <w:rFonts w:ascii="Arial" w:hAnsi="Arial" w:cs="Arial"/>
        </w:rPr>
        <w:t xml:space="preserve"> with calendar time. Cumulative </w:t>
      </w:r>
      <w:r w:rsidR="00625843">
        <w:rPr>
          <w:rFonts w:ascii="Arial" w:hAnsi="Arial" w:cs="Arial"/>
        </w:rPr>
        <w:t>above goal</w:t>
      </w:r>
      <w:r w:rsidR="00625843" w:rsidRPr="00ED5A70">
        <w:rPr>
          <w:rFonts w:ascii="Arial" w:hAnsi="Arial" w:cs="Arial"/>
        </w:rPr>
        <w:t xml:space="preserve"> oxygen </w:t>
      </w:r>
      <w:r w:rsidR="00625843">
        <w:rPr>
          <w:rFonts w:ascii="Arial" w:hAnsi="Arial" w:cs="Arial"/>
        </w:rPr>
        <w:t>exposure</w:t>
      </w:r>
      <w:r w:rsidR="00625843" w:rsidRPr="00ED5A70">
        <w:rPr>
          <w:rFonts w:ascii="Arial" w:hAnsi="Arial" w:cs="Arial"/>
        </w:rPr>
        <w:t xml:space="preserve"> increased over time. The tidal volume and PEEP trials were conducted in the earlier years, during which we were more focused on ventilator management rules. Perhaps investigators and clinicians were more inclined to reduce FiO</w:t>
      </w:r>
      <w:r w:rsidR="00625843" w:rsidRPr="00ED5A70">
        <w:rPr>
          <w:rFonts w:ascii="Arial" w:hAnsi="Arial" w:cs="Arial"/>
          <w:vertAlign w:val="subscript"/>
        </w:rPr>
        <w:t>2</w:t>
      </w:r>
      <w:r w:rsidR="00625843" w:rsidRPr="00ED5A70">
        <w:rPr>
          <w:rFonts w:ascii="Arial" w:hAnsi="Arial" w:cs="Arial"/>
        </w:rPr>
        <w:t xml:space="preserve"> when arterial oxygenation exceeded the goal range during those trials.  Right panel: Stacked barplot of severity with time suggests that there was a smaller proportion of severe cases in later years. There were no data available between 2006 and 2008.</w:t>
      </w:r>
    </w:p>
    <w:p w:rsidR="00B668C7" w:rsidRDefault="00B668C7">
      <w:pPr>
        <w:rPr>
          <w:rFonts w:ascii="Arial" w:hAnsi="Arial" w:cs="Arial"/>
        </w:rPr>
      </w:pPr>
    </w:p>
    <w:p w:rsidR="00B668C7" w:rsidRDefault="00B668C7">
      <w:pPr>
        <w:rPr>
          <w:rFonts w:ascii="Arial" w:hAnsi="Arial" w:cs="Arial"/>
        </w:rPr>
      </w:pPr>
    </w:p>
    <w:p w:rsidR="00625843" w:rsidRDefault="00625843">
      <w:pPr>
        <w:rPr>
          <w:rFonts w:ascii="Arial" w:hAnsi="Arial" w:cs="Arial"/>
        </w:rPr>
      </w:pPr>
    </w:p>
    <w:p w:rsidR="00625843" w:rsidRDefault="00625843">
      <w:pPr>
        <w:rPr>
          <w:rFonts w:ascii="Arial" w:hAnsi="Arial" w:cs="Arial"/>
        </w:rPr>
      </w:pPr>
    </w:p>
    <w:p w:rsidR="00625843" w:rsidRDefault="00625843">
      <w:bookmarkStart w:id="0" w:name="_GoBack"/>
      <w:bookmarkEnd w:id="0"/>
    </w:p>
    <w:sectPr w:rsidR="00625843" w:rsidSect="0047304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4E"/>
    <w:rsid w:val="000C3DDE"/>
    <w:rsid w:val="000D635F"/>
    <w:rsid w:val="001D331D"/>
    <w:rsid w:val="003F67FB"/>
    <w:rsid w:val="00406AE5"/>
    <w:rsid w:val="00444817"/>
    <w:rsid w:val="00450726"/>
    <w:rsid w:val="0047304E"/>
    <w:rsid w:val="004812CF"/>
    <w:rsid w:val="004F45AF"/>
    <w:rsid w:val="00625843"/>
    <w:rsid w:val="00625FA4"/>
    <w:rsid w:val="00680CEB"/>
    <w:rsid w:val="0072163F"/>
    <w:rsid w:val="007659A5"/>
    <w:rsid w:val="007C1B10"/>
    <w:rsid w:val="0099186C"/>
    <w:rsid w:val="009F7BF7"/>
    <w:rsid w:val="00AD31BD"/>
    <w:rsid w:val="00B2652E"/>
    <w:rsid w:val="00B31B83"/>
    <w:rsid w:val="00B668C7"/>
    <w:rsid w:val="00F1380C"/>
    <w:rsid w:val="00FA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0C2B9-88DE-440A-8DFF-65505353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4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68C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Checkley</dc:creator>
  <cp:lastModifiedBy>William Checkley</cp:lastModifiedBy>
  <cp:revision>3</cp:revision>
  <dcterms:created xsi:type="dcterms:W3CDTF">2017-03-11T05:49:00Z</dcterms:created>
  <dcterms:modified xsi:type="dcterms:W3CDTF">2017-03-11T05:50:00Z</dcterms:modified>
</cp:coreProperties>
</file>