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65" w:rsidRPr="00073183" w:rsidRDefault="00955B65" w:rsidP="000E3F08">
      <w:pPr>
        <w:rPr>
          <w:rFonts w:ascii="Times New Roman" w:hAnsi="Times New Roman" w:cs="Times New Roman"/>
          <w:sz w:val="24"/>
          <w:szCs w:val="24"/>
        </w:rPr>
      </w:pPr>
      <w:r w:rsidRPr="00073183">
        <w:rPr>
          <w:rFonts w:ascii="Times New Roman" w:hAnsi="Times New Roman" w:cs="Times New Roman"/>
          <w:sz w:val="24"/>
          <w:szCs w:val="24"/>
        </w:rPr>
        <w:t>Online supplement 8</w:t>
      </w:r>
    </w:p>
    <w:p w:rsidR="000E3F08" w:rsidRPr="00073183" w:rsidRDefault="001701DF" w:rsidP="000E3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bookmarkStart w:id="0" w:name="_GoBack"/>
      <w:bookmarkEnd w:id="0"/>
      <w:r w:rsidR="000E3F08" w:rsidRPr="00073183">
        <w:rPr>
          <w:rFonts w:ascii="Times New Roman" w:hAnsi="Times New Roman" w:cs="Times New Roman"/>
          <w:sz w:val="24"/>
          <w:szCs w:val="24"/>
        </w:rPr>
        <w:t>: Sensitivity analysis: proportions and incidence rates of CVAD failure per device by ROB and prospective/retrospective studies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1242"/>
        <w:gridCol w:w="1220"/>
        <w:gridCol w:w="1239"/>
        <w:gridCol w:w="1220"/>
        <w:gridCol w:w="1212"/>
        <w:gridCol w:w="1237"/>
        <w:gridCol w:w="1231"/>
        <w:gridCol w:w="1239"/>
        <w:gridCol w:w="1220"/>
        <w:gridCol w:w="1214"/>
      </w:tblGrid>
      <w:tr w:rsidR="000E3F08" w:rsidRPr="00EC377F" w:rsidTr="00F83D93">
        <w:tc>
          <w:tcPr>
            <w:tcW w:w="603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219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Proportion of failure</w:t>
            </w:r>
          </w:p>
        </w:tc>
        <w:tc>
          <w:tcPr>
            <w:tcW w:w="220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Incidence Rates of failure per 1000 catheter days</w:t>
            </w:r>
          </w:p>
        </w:tc>
      </w:tr>
      <w:tr w:rsidR="000E3F08" w:rsidRPr="00EC377F" w:rsidTr="00F83D93"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CVAD type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Studies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CVADs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Outcomes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Pooled %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95% CI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Studies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Catheter days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Outcomes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Pooled IR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95% CI</w:t>
            </w:r>
          </w:p>
        </w:tc>
      </w:tr>
      <w:tr w:rsidR="000E3F08" w:rsidRPr="00EC377F" w:rsidTr="00F83D93">
        <w:tc>
          <w:tcPr>
            <w:tcW w:w="603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NTCVAD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ROB: All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41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22,635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885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4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d,e,h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3-6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35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210,114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813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5.18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d,e,h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4.13-6.24</w:t>
            </w: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 5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25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17,151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679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3-7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24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183,184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676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5.96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4.61-7.30</w:t>
            </w:r>
          </w:p>
        </w:tc>
      </w:tr>
      <w:tr w:rsidR="000E3F08" w:rsidRPr="00EC377F" w:rsidTr="00F83D93">
        <w:tc>
          <w:tcPr>
            <w:tcW w:w="603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 &lt;4</w:t>
            </w:r>
          </w:p>
        </w:tc>
        <w:tc>
          <w:tcPr>
            <w:tcW w:w="445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16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5,484</w:t>
            </w:r>
          </w:p>
        </w:tc>
        <w:tc>
          <w:tcPr>
            <w:tcW w:w="444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206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3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4" w:type="pct"/>
            <w:tcBorders>
              <w:bottom w:val="dashSmallGap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1-6</w:t>
            </w:r>
          </w:p>
        </w:tc>
        <w:tc>
          <w:tcPr>
            <w:tcW w:w="443" w:type="pct"/>
            <w:tcBorders>
              <w:left w:val="single" w:sz="4" w:space="0" w:color="auto"/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11</w:t>
            </w:r>
          </w:p>
        </w:tc>
        <w:tc>
          <w:tcPr>
            <w:tcW w:w="441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26,930</w:t>
            </w:r>
          </w:p>
        </w:tc>
        <w:tc>
          <w:tcPr>
            <w:tcW w:w="444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137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3.71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  <w:r w:rsidRPr="007E1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1.68-5.75</w:t>
            </w:r>
          </w:p>
        </w:tc>
      </w:tr>
      <w:tr w:rsidR="000E3F08" w:rsidRPr="00EC377F" w:rsidTr="00F83D93">
        <w:tc>
          <w:tcPr>
            <w:tcW w:w="603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Study type: All</w:t>
            </w:r>
          </w:p>
        </w:tc>
        <w:tc>
          <w:tcPr>
            <w:tcW w:w="445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41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22,635</w:t>
            </w:r>
          </w:p>
        </w:tc>
        <w:tc>
          <w:tcPr>
            <w:tcW w:w="444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885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4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d,e,h</w:t>
            </w:r>
            <w:proofErr w:type="spellEnd"/>
          </w:p>
        </w:tc>
        <w:tc>
          <w:tcPr>
            <w:tcW w:w="434" w:type="pct"/>
            <w:tcBorders>
              <w:top w:val="dashSmallGap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3-6</w:t>
            </w:r>
          </w:p>
        </w:tc>
        <w:tc>
          <w:tcPr>
            <w:tcW w:w="443" w:type="pct"/>
            <w:tcBorders>
              <w:top w:val="dashSmallGap" w:sz="4" w:space="0" w:color="auto"/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35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210,114</w:t>
            </w:r>
          </w:p>
        </w:tc>
        <w:tc>
          <w:tcPr>
            <w:tcW w:w="444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813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5.18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d,e,g</w:t>
            </w:r>
            <w:proofErr w:type="spellEnd"/>
          </w:p>
        </w:tc>
        <w:tc>
          <w:tcPr>
            <w:tcW w:w="435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4.13-6.24</w:t>
            </w: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Prospective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38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22,115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861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4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3-6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33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207,160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793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5.17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4.09-6.25</w:t>
            </w:r>
          </w:p>
        </w:tc>
      </w:tr>
      <w:tr w:rsidR="000E3F08" w:rsidRPr="00EC377F" w:rsidTr="00F83D93">
        <w:tc>
          <w:tcPr>
            <w:tcW w:w="603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Retrospective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520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24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4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a,e</w:t>
            </w:r>
            <w:proofErr w:type="spellEnd"/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1-8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2,954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20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5.42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d,f</w:t>
            </w:r>
            <w:proofErr w:type="spell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0.00-11.8</w:t>
            </w:r>
          </w:p>
        </w:tc>
      </w:tr>
      <w:tr w:rsidR="000E3F08" w:rsidRPr="00EC377F" w:rsidTr="00F83D93">
        <w:tc>
          <w:tcPr>
            <w:tcW w:w="603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PICC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ROB: All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1,654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6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d,e,h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2-12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13,078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58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3.98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d,e,g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0.57-7.40</w:t>
            </w: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 5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640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22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d,f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0-17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6,533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22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3.70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c,f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0.00-8.24</w:t>
            </w:r>
          </w:p>
        </w:tc>
      </w:tr>
      <w:tr w:rsidR="000E3F08" w:rsidRPr="00EC377F" w:rsidTr="00F83D93">
        <w:tc>
          <w:tcPr>
            <w:tcW w:w="603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 &lt;4</w:t>
            </w:r>
          </w:p>
        </w:tc>
        <w:tc>
          <w:tcPr>
            <w:tcW w:w="445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1,014</w:t>
            </w:r>
          </w:p>
        </w:tc>
        <w:tc>
          <w:tcPr>
            <w:tcW w:w="444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78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4" w:type="pct"/>
            <w:tcBorders>
              <w:bottom w:val="dashSmallGap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2-16</w:t>
            </w:r>
          </w:p>
        </w:tc>
        <w:tc>
          <w:tcPr>
            <w:tcW w:w="443" w:type="pct"/>
            <w:tcBorders>
              <w:left w:val="single" w:sz="4" w:space="0" w:color="auto"/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6,545</w:t>
            </w:r>
          </w:p>
        </w:tc>
        <w:tc>
          <w:tcPr>
            <w:tcW w:w="444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36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5.50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a,e</w:t>
            </w:r>
            <w:proofErr w:type="spellEnd"/>
          </w:p>
        </w:tc>
        <w:tc>
          <w:tcPr>
            <w:tcW w:w="435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3.62-7.38</w:t>
            </w:r>
          </w:p>
        </w:tc>
      </w:tr>
      <w:tr w:rsidR="000E3F08" w:rsidRPr="00EC377F" w:rsidTr="00F83D93">
        <w:tc>
          <w:tcPr>
            <w:tcW w:w="603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Study type: All</w:t>
            </w:r>
          </w:p>
        </w:tc>
        <w:tc>
          <w:tcPr>
            <w:tcW w:w="445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9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1,654</w:t>
            </w:r>
          </w:p>
        </w:tc>
        <w:tc>
          <w:tcPr>
            <w:tcW w:w="444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6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d,e,h</w:t>
            </w:r>
            <w:proofErr w:type="spellEnd"/>
          </w:p>
        </w:tc>
        <w:tc>
          <w:tcPr>
            <w:tcW w:w="434" w:type="pct"/>
            <w:tcBorders>
              <w:top w:val="dashSmallGap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2-12</w:t>
            </w:r>
          </w:p>
        </w:tc>
        <w:tc>
          <w:tcPr>
            <w:tcW w:w="443" w:type="pct"/>
            <w:tcBorders>
              <w:top w:val="dashSmallGap" w:sz="4" w:space="0" w:color="auto"/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13,078</w:t>
            </w:r>
          </w:p>
        </w:tc>
        <w:tc>
          <w:tcPr>
            <w:tcW w:w="444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58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3.98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d,e,g</w:t>
            </w:r>
            <w:proofErr w:type="spellEnd"/>
            <w:r w:rsidRPr="007E1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0.57-7.40</w:t>
            </w: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Prospective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679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36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0-24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6,533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22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3.70 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c,f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0.00-8.24</w:t>
            </w:r>
          </w:p>
        </w:tc>
      </w:tr>
      <w:tr w:rsidR="000E3F08" w:rsidRPr="00EC377F" w:rsidTr="00F83D93">
        <w:tc>
          <w:tcPr>
            <w:tcW w:w="603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Retrospective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975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64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4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a,e</w:t>
            </w:r>
            <w:proofErr w:type="spellEnd"/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1-9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6,545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36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5.50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a,e</w:t>
            </w:r>
            <w:proofErr w:type="spell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3.62-7.38</w:t>
            </w:r>
          </w:p>
        </w:tc>
      </w:tr>
      <w:tr w:rsidR="000E3F08" w:rsidRPr="00EC377F" w:rsidTr="00F83D93">
        <w:tc>
          <w:tcPr>
            <w:tcW w:w="603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HD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ROB: All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1,481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130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7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3-12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8,809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11.2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d,f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0.00-22.9</w:t>
            </w: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 5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-</w:t>
            </w:r>
          </w:p>
        </w:tc>
      </w:tr>
      <w:tr w:rsidR="000E3F08" w:rsidRPr="00EC377F" w:rsidTr="00F83D93">
        <w:tc>
          <w:tcPr>
            <w:tcW w:w="603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ROB &lt;4</w:t>
            </w:r>
          </w:p>
        </w:tc>
        <w:tc>
          <w:tcPr>
            <w:tcW w:w="445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1,481</w:t>
            </w:r>
          </w:p>
        </w:tc>
        <w:tc>
          <w:tcPr>
            <w:tcW w:w="444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130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7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</w:t>
            </w:r>
            <w:proofErr w:type="spellEnd"/>
          </w:p>
        </w:tc>
        <w:tc>
          <w:tcPr>
            <w:tcW w:w="434" w:type="pct"/>
            <w:tcBorders>
              <w:bottom w:val="dashSmallGap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3-12</w:t>
            </w:r>
          </w:p>
        </w:tc>
        <w:tc>
          <w:tcPr>
            <w:tcW w:w="443" w:type="pct"/>
            <w:tcBorders>
              <w:left w:val="single" w:sz="4" w:space="0" w:color="auto"/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8,809</w:t>
            </w:r>
          </w:p>
        </w:tc>
        <w:tc>
          <w:tcPr>
            <w:tcW w:w="444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437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11.2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d,f</w:t>
            </w:r>
            <w:proofErr w:type="spellEnd"/>
          </w:p>
        </w:tc>
        <w:tc>
          <w:tcPr>
            <w:tcW w:w="435" w:type="pct"/>
            <w:tcBorders>
              <w:bottom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0.00-22.9</w:t>
            </w:r>
          </w:p>
        </w:tc>
      </w:tr>
      <w:tr w:rsidR="000E3F08" w:rsidRPr="00EC377F" w:rsidTr="00F83D93">
        <w:tc>
          <w:tcPr>
            <w:tcW w:w="603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Study type: All</w:t>
            </w:r>
          </w:p>
        </w:tc>
        <w:tc>
          <w:tcPr>
            <w:tcW w:w="445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1,481</w:t>
            </w:r>
          </w:p>
        </w:tc>
        <w:tc>
          <w:tcPr>
            <w:tcW w:w="444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130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7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d,e,h</w:t>
            </w:r>
            <w:proofErr w:type="spellEnd"/>
          </w:p>
        </w:tc>
        <w:tc>
          <w:tcPr>
            <w:tcW w:w="434" w:type="pct"/>
            <w:tcBorders>
              <w:top w:val="dashSmallGap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3-12</w:t>
            </w:r>
          </w:p>
        </w:tc>
        <w:tc>
          <w:tcPr>
            <w:tcW w:w="443" w:type="pct"/>
            <w:tcBorders>
              <w:top w:val="dashSmallGap" w:sz="4" w:space="0" w:color="auto"/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8,809</w:t>
            </w:r>
          </w:p>
        </w:tc>
        <w:tc>
          <w:tcPr>
            <w:tcW w:w="444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124</w:t>
            </w:r>
          </w:p>
        </w:tc>
        <w:tc>
          <w:tcPr>
            <w:tcW w:w="437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11.2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d,f,g</w:t>
            </w:r>
            <w:proofErr w:type="spellEnd"/>
          </w:p>
        </w:tc>
        <w:tc>
          <w:tcPr>
            <w:tcW w:w="435" w:type="pct"/>
            <w:tcBorders>
              <w:top w:val="dashSmallGap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0.00-22.9</w:t>
            </w:r>
          </w:p>
        </w:tc>
      </w:tr>
      <w:tr w:rsidR="000E3F08" w:rsidRPr="00EC377F" w:rsidTr="00F83D93">
        <w:tc>
          <w:tcPr>
            <w:tcW w:w="603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Prospective</w:t>
            </w:r>
          </w:p>
        </w:tc>
        <w:tc>
          <w:tcPr>
            <w:tcW w:w="44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909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85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9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a,e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7-11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5,769</w:t>
            </w:r>
          </w:p>
        </w:tc>
        <w:tc>
          <w:tcPr>
            <w:tcW w:w="444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85</w:t>
            </w:r>
          </w:p>
        </w:tc>
        <w:tc>
          <w:tcPr>
            <w:tcW w:w="437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5</w:t>
            </w:r>
            <w:r w:rsidRPr="007E1A33">
              <w:rPr>
                <w:sz w:val="20"/>
                <w:szCs w:val="20"/>
              </w:rPr>
              <w:t xml:space="preserve">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d,f</w:t>
            </w:r>
            <w:proofErr w:type="spellEnd"/>
          </w:p>
        </w:tc>
        <w:tc>
          <w:tcPr>
            <w:tcW w:w="435" w:type="pct"/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0.00-28.7</w:t>
            </w:r>
          </w:p>
        </w:tc>
      </w:tr>
      <w:tr w:rsidR="000E3F08" w:rsidRPr="00EC377F" w:rsidTr="00F83D93">
        <w:tc>
          <w:tcPr>
            <w:tcW w:w="603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    Retrospective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572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45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a,e</w:t>
            </w:r>
            <w:proofErr w:type="spellEnd"/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6-10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3,040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39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 xml:space="preserve">12.8 </w:t>
            </w:r>
            <w:proofErr w:type="spellStart"/>
            <w:r w:rsidRPr="007E1A33">
              <w:rPr>
                <w:sz w:val="20"/>
                <w:szCs w:val="20"/>
                <w:vertAlign w:val="superscript"/>
              </w:rPr>
              <w:t>a,e</w:t>
            </w:r>
            <w:proofErr w:type="spell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E3F08" w:rsidRPr="007E1A33" w:rsidRDefault="000E3F08" w:rsidP="00F83D93">
            <w:pPr>
              <w:rPr>
                <w:sz w:val="20"/>
                <w:szCs w:val="20"/>
              </w:rPr>
            </w:pPr>
            <w:r w:rsidRPr="007E1A33">
              <w:rPr>
                <w:sz w:val="20"/>
                <w:szCs w:val="20"/>
              </w:rPr>
              <w:t>8.62-17.0</w:t>
            </w:r>
          </w:p>
        </w:tc>
      </w:tr>
    </w:tbl>
    <w:p w:rsidR="000E3F08" w:rsidRPr="00EC377F" w:rsidRDefault="000E3F08" w:rsidP="000E3F08">
      <w:pPr>
        <w:autoSpaceDE w:val="0"/>
        <w:autoSpaceDN w:val="0"/>
        <w:adjustRightInd w:val="0"/>
        <w:spacing w:after="0" w:line="240" w:lineRule="auto"/>
        <w:rPr>
          <w:rFonts w:cs="AdvOTf011d512"/>
          <w:sz w:val="20"/>
          <w:szCs w:val="20"/>
        </w:rPr>
      </w:pPr>
      <w:r w:rsidRPr="00EC377F">
        <w:rPr>
          <w:rFonts w:cs="AdvOTf011d512"/>
          <w:sz w:val="20"/>
          <w:szCs w:val="20"/>
        </w:rPr>
        <w:t>CVAD: Central Vascular Access Devices CI: confidence intervals IR: incidence rate NTCVAD: Non-tunnelled central venous access device PICC: Peripherally inserted central catheter HD: Haemodialysis catheter ROB: Risk of Bias</w:t>
      </w:r>
    </w:p>
    <w:p w:rsidR="000E3F08" w:rsidRPr="00EC377F" w:rsidRDefault="000E3F08" w:rsidP="000E3F08">
      <w:pPr>
        <w:autoSpaceDE w:val="0"/>
        <w:autoSpaceDN w:val="0"/>
        <w:adjustRightInd w:val="0"/>
        <w:spacing w:after="0" w:line="240" w:lineRule="auto"/>
        <w:rPr>
          <w:rFonts w:cs="AdvOTf011d512"/>
          <w:sz w:val="20"/>
          <w:szCs w:val="20"/>
        </w:rPr>
      </w:pPr>
      <w:r w:rsidRPr="00EC377F">
        <w:rPr>
          <w:rFonts w:cs="AdvOTf011d512"/>
          <w:sz w:val="20"/>
          <w:szCs w:val="20"/>
        </w:rPr>
        <w:t xml:space="preserve">Heterogeneity of studies </w:t>
      </w:r>
      <w:proofErr w:type="gramStart"/>
      <w:r w:rsidRPr="00EC377F">
        <w:rPr>
          <w:rFonts w:cs="AdvOTf011d512"/>
          <w:sz w:val="20"/>
          <w:szCs w:val="20"/>
          <w:vertAlign w:val="superscript"/>
        </w:rPr>
        <w:t>a</w:t>
      </w:r>
      <w:r w:rsidRPr="00EC377F">
        <w:rPr>
          <w:rFonts w:cs="AdvOTf011d512"/>
          <w:sz w:val="20"/>
          <w:szCs w:val="20"/>
        </w:rPr>
        <w:t xml:space="preserve"> cannot</w:t>
      </w:r>
      <w:proofErr w:type="gramEnd"/>
      <w:r w:rsidRPr="00EC377F">
        <w:rPr>
          <w:rFonts w:cs="AdvOTf011d512"/>
          <w:sz w:val="20"/>
          <w:szCs w:val="20"/>
        </w:rPr>
        <w:t xml:space="preserve"> be calculated, </w:t>
      </w:r>
      <w:r w:rsidRPr="00EC377F">
        <w:rPr>
          <w:rFonts w:cs="AdvOTf011d512"/>
          <w:sz w:val="20"/>
          <w:szCs w:val="20"/>
          <w:vertAlign w:val="superscript"/>
        </w:rPr>
        <w:t>b</w:t>
      </w:r>
      <w:r w:rsidRPr="00EC377F">
        <w:rPr>
          <w:rFonts w:cs="AdvOTf011d512"/>
          <w:sz w:val="20"/>
          <w:szCs w:val="20"/>
        </w:rPr>
        <w:t xml:space="preserve">low (&lt;25%), </w:t>
      </w:r>
      <w:r w:rsidRPr="00EC377F">
        <w:rPr>
          <w:rFonts w:cs="AdvOTf011d512"/>
          <w:sz w:val="20"/>
          <w:szCs w:val="20"/>
          <w:vertAlign w:val="superscript"/>
        </w:rPr>
        <w:t xml:space="preserve">c </w:t>
      </w:r>
      <w:r w:rsidRPr="00EC377F">
        <w:rPr>
          <w:rFonts w:cs="AdvOTf011d512"/>
          <w:sz w:val="20"/>
          <w:szCs w:val="20"/>
        </w:rPr>
        <w:t xml:space="preserve">moderate (25%-75%), or </w:t>
      </w:r>
      <w:r w:rsidRPr="00EC377F">
        <w:rPr>
          <w:rFonts w:cs="AdvOTf011d512"/>
          <w:sz w:val="20"/>
          <w:szCs w:val="20"/>
          <w:vertAlign w:val="superscript"/>
        </w:rPr>
        <w:t xml:space="preserve">d </w:t>
      </w:r>
      <w:r w:rsidRPr="00EC377F">
        <w:rPr>
          <w:rFonts w:cs="AdvOTf011d512"/>
          <w:sz w:val="20"/>
          <w:szCs w:val="20"/>
        </w:rPr>
        <w:t xml:space="preserve">high (&gt;75%). </w:t>
      </w:r>
    </w:p>
    <w:p w:rsidR="000E3F08" w:rsidRPr="0072038A" w:rsidRDefault="000E3F08" w:rsidP="000E3F08">
      <w:pPr>
        <w:autoSpaceDE w:val="0"/>
        <w:autoSpaceDN w:val="0"/>
        <w:adjustRightInd w:val="0"/>
        <w:spacing w:after="0" w:line="240" w:lineRule="auto"/>
        <w:rPr>
          <w:rFonts w:cs="AdvOTf011d512"/>
          <w:sz w:val="20"/>
          <w:szCs w:val="20"/>
        </w:rPr>
      </w:pPr>
      <w:r w:rsidRPr="0072038A">
        <w:rPr>
          <w:rFonts w:cs="AdvOTf011d512"/>
          <w:sz w:val="20"/>
          <w:szCs w:val="20"/>
        </w:rPr>
        <w:t xml:space="preserve">Effect-size test </w:t>
      </w:r>
      <w:r w:rsidRPr="0072038A">
        <w:rPr>
          <w:rFonts w:cs="AdvOTf011d512"/>
          <w:sz w:val="20"/>
          <w:szCs w:val="20"/>
          <w:vertAlign w:val="superscript"/>
        </w:rPr>
        <w:t>e</w:t>
      </w:r>
      <w:r>
        <w:rPr>
          <w:rFonts w:cs="AdvOTf011d512"/>
          <w:sz w:val="20"/>
          <w:szCs w:val="20"/>
          <w:vertAlign w:val="superscript"/>
        </w:rPr>
        <w:t xml:space="preserve"> </w:t>
      </w:r>
      <w:r w:rsidRPr="0072038A">
        <w:rPr>
          <w:rFonts w:cs="AdvOTf011d512"/>
          <w:sz w:val="20"/>
          <w:szCs w:val="20"/>
        </w:rPr>
        <w:t>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 xml:space="preserve">cant or </w:t>
      </w:r>
      <w:r w:rsidRPr="0072038A">
        <w:rPr>
          <w:rFonts w:cs="AdvOTf011d512"/>
          <w:sz w:val="20"/>
          <w:szCs w:val="20"/>
          <w:vertAlign w:val="superscript"/>
        </w:rPr>
        <w:t>f</w:t>
      </w:r>
      <w:r>
        <w:rPr>
          <w:rFonts w:cs="AdvOTf011d512"/>
          <w:sz w:val="20"/>
          <w:szCs w:val="20"/>
          <w:vertAlign w:val="superscript"/>
        </w:rPr>
        <w:t xml:space="preserve"> </w:t>
      </w:r>
      <w:proofErr w:type="spellStart"/>
      <w:r w:rsidRPr="0072038A">
        <w:rPr>
          <w:rFonts w:cs="AdvOTf011d512"/>
          <w:sz w:val="20"/>
          <w:szCs w:val="20"/>
        </w:rPr>
        <w:t>nonsigni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>cant</w:t>
      </w:r>
      <w:proofErr w:type="spellEnd"/>
      <w:r w:rsidRPr="0072038A">
        <w:rPr>
          <w:rFonts w:cs="AdvOTf011d512"/>
          <w:sz w:val="20"/>
          <w:szCs w:val="20"/>
        </w:rPr>
        <w:t>.</w:t>
      </w:r>
    </w:p>
    <w:p w:rsidR="000E3F08" w:rsidRDefault="000E3F08" w:rsidP="000E3F08">
      <w:pPr>
        <w:rPr>
          <w:rFonts w:cs="AdvOTf011d512"/>
          <w:sz w:val="20"/>
          <w:szCs w:val="20"/>
        </w:rPr>
      </w:pPr>
      <w:r w:rsidRPr="0072038A">
        <w:rPr>
          <w:rFonts w:cs="AdvOTf011d512"/>
          <w:sz w:val="20"/>
          <w:szCs w:val="20"/>
        </w:rPr>
        <w:t xml:space="preserve">Test for heterogeneity between subgroups </w:t>
      </w:r>
      <w:r w:rsidRPr="0072038A">
        <w:rPr>
          <w:rFonts w:cs="AdvOTf011d512"/>
          <w:sz w:val="20"/>
          <w:szCs w:val="20"/>
          <w:vertAlign w:val="superscript"/>
        </w:rPr>
        <w:t>g</w:t>
      </w:r>
      <w:r>
        <w:rPr>
          <w:rFonts w:cs="AdvOTf011d512"/>
          <w:sz w:val="20"/>
          <w:szCs w:val="20"/>
          <w:vertAlign w:val="superscript"/>
        </w:rPr>
        <w:t xml:space="preserve"> </w:t>
      </w:r>
      <w:r w:rsidRPr="0072038A">
        <w:rPr>
          <w:rFonts w:cs="AdvOTf011d512"/>
          <w:sz w:val="20"/>
          <w:szCs w:val="20"/>
        </w:rPr>
        <w:t>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 xml:space="preserve">cant or </w:t>
      </w:r>
      <w:r w:rsidRPr="0072038A">
        <w:rPr>
          <w:rFonts w:cs="AdvOTf011d512"/>
          <w:sz w:val="20"/>
          <w:szCs w:val="20"/>
          <w:vertAlign w:val="superscript"/>
        </w:rPr>
        <w:t>h</w:t>
      </w:r>
      <w:r>
        <w:rPr>
          <w:rFonts w:cs="AdvOTf011d512"/>
          <w:sz w:val="20"/>
          <w:szCs w:val="20"/>
        </w:rPr>
        <w:t xml:space="preserve"> </w:t>
      </w:r>
      <w:proofErr w:type="spellStart"/>
      <w:r w:rsidRPr="0072038A">
        <w:rPr>
          <w:rFonts w:cs="AdvOTf011d512"/>
          <w:sz w:val="20"/>
          <w:szCs w:val="20"/>
        </w:rPr>
        <w:t>nonsigni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>cant</w:t>
      </w:r>
      <w:proofErr w:type="spellEnd"/>
      <w:r w:rsidRPr="0072038A">
        <w:rPr>
          <w:rFonts w:cs="AdvOTf011d512"/>
          <w:sz w:val="20"/>
          <w:szCs w:val="20"/>
        </w:rPr>
        <w:t>.</w:t>
      </w:r>
    </w:p>
    <w:p w:rsidR="00481D4E" w:rsidRDefault="001701DF"/>
    <w:sectPr w:rsidR="00481D4E" w:rsidSect="000E3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f011d51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f011d51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N7IwNzU3MTI3MzFW0lEKTi0uzszPAymwqAUA+zF+LywAAAA="/>
  </w:docVars>
  <w:rsids>
    <w:rsidRoot w:val="000E3F08"/>
    <w:rsid w:val="0005690F"/>
    <w:rsid w:val="00073183"/>
    <w:rsid w:val="000E3F08"/>
    <w:rsid w:val="001701DF"/>
    <w:rsid w:val="002D5AE3"/>
    <w:rsid w:val="004D54D4"/>
    <w:rsid w:val="00955B65"/>
    <w:rsid w:val="00A72091"/>
    <w:rsid w:val="00AE4302"/>
    <w:rsid w:val="00BB38CE"/>
    <w:rsid w:val="00D74881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7114"/>
  <w15:chartTrackingRefBased/>
  <w15:docId w15:val="{73E4C865-F3CF-4DD3-9B83-3465FCF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Takashima</dc:creator>
  <cp:keywords/>
  <dc:description/>
  <cp:lastModifiedBy>Mari Takashima</cp:lastModifiedBy>
  <cp:revision>8</cp:revision>
  <cp:lastPrinted>2018-03-21T00:06:00Z</cp:lastPrinted>
  <dcterms:created xsi:type="dcterms:W3CDTF">2018-03-14T03:47:00Z</dcterms:created>
  <dcterms:modified xsi:type="dcterms:W3CDTF">2018-03-21T02:24:00Z</dcterms:modified>
</cp:coreProperties>
</file>