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EB124" w14:textId="3C223D19" w:rsidR="009D6672" w:rsidRPr="009D6672" w:rsidRDefault="009D6672" w:rsidP="009D6672">
      <w:pPr>
        <w:shd w:val="clear" w:color="auto" w:fill="FFFFFF"/>
        <w:jc w:val="center"/>
        <w:rPr>
          <w:rFonts w:ascii="Arial" w:hAnsi="Arial" w:cs="Arial"/>
          <w:b/>
          <w:color w:val="222222"/>
          <w:sz w:val="19"/>
          <w:szCs w:val="19"/>
        </w:rPr>
      </w:pPr>
      <w:r w:rsidRPr="009D6672">
        <w:rPr>
          <w:rFonts w:ascii="Arial" w:hAnsi="Arial" w:cs="Arial"/>
          <w:b/>
          <w:color w:val="222222"/>
          <w:sz w:val="19"/>
          <w:szCs w:val="19"/>
        </w:rPr>
        <w:t>Appendix 3: Comparison of sources of systematic variance across analyses</w:t>
      </w:r>
    </w:p>
    <w:p w14:paraId="5C6AA8DB" w14:textId="77777777" w:rsidR="00B77A6A" w:rsidRDefault="00B77A6A" w:rsidP="009D6672">
      <w:pPr>
        <w:shd w:val="clear" w:color="auto" w:fill="FFFFFF"/>
        <w:rPr>
          <w:rFonts w:ascii="Arial" w:hAnsi="Arial" w:cs="Arial"/>
          <w:color w:val="222222"/>
          <w:sz w:val="19"/>
          <w:szCs w:val="19"/>
        </w:rPr>
      </w:pPr>
    </w:p>
    <w:p w14:paraId="38FD51B8" w14:textId="0E32399A" w:rsidR="00700DFB" w:rsidRDefault="00700DFB" w:rsidP="00B77A6A">
      <w:pPr>
        <w:shd w:val="clear" w:color="auto" w:fill="FFFFFF"/>
        <w:rPr>
          <w:rFonts w:ascii="Arial" w:hAnsi="Arial" w:cs="Arial"/>
          <w:b/>
          <w:color w:val="222222"/>
          <w:sz w:val="19"/>
          <w:szCs w:val="19"/>
        </w:rPr>
      </w:pPr>
      <w:r w:rsidRPr="009D6672">
        <w:rPr>
          <w:rFonts w:ascii="Arial" w:hAnsi="Arial" w:cs="Arial"/>
          <w:b/>
          <w:color w:val="222222"/>
          <w:sz w:val="19"/>
          <w:szCs w:val="19"/>
        </w:rPr>
        <w:t>Appendix 3</w:t>
      </w:r>
      <w:r>
        <w:rPr>
          <w:rFonts w:ascii="Arial" w:hAnsi="Arial" w:cs="Arial"/>
          <w:b/>
          <w:color w:val="222222"/>
          <w:sz w:val="19"/>
          <w:szCs w:val="19"/>
        </w:rPr>
        <w:t>A</w:t>
      </w:r>
      <w:r w:rsidRPr="009D6672">
        <w:rPr>
          <w:rFonts w:ascii="Arial" w:hAnsi="Arial" w:cs="Arial"/>
          <w:b/>
          <w:color w:val="222222"/>
          <w:sz w:val="19"/>
          <w:szCs w:val="19"/>
        </w:rPr>
        <w:t>:</w:t>
      </w:r>
      <w:r>
        <w:rPr>
          <w:rFonts w:ascii="Arial" w:hAnsi="Arial" w:cs="Arial"/>
          <w:b/>
          <w:color w:val="222222"/>
          <w:sz w:val="19"/>
          <w:szCs w:val="19"/>
        </w:rPr>
        <w:t xml:space="preserve"> </w:t>
      </w:r>
      <w:r w:rsidRPr="00700DFB">
        <w:rPr>
          <w:rFonts w:ascii="Arial" w:hAnsi="Arial" w:cs="Arial"/>
          <w:b/>
          <w:color w:val="222222"/>
          <w:sz w:val="19"/>
          <w:szCs w:val="19"/>
        </w:rPr>
        <w:t>Overview of observation procedure</w:t>
      </w:r>
    </w:p>
    <w:p w14:paraId="09D958B6" w14:textId="53EB2B2D" w:rsidR="00B77A6A" w:rsidRDefault="00B77A6A" w:rsidP="00B77A6A">
      <w:pPr>
        <w:shd w:val="clear" w:color="auto" w:fill="FFFFFF"/>
        <w:rPr>
          <w:rFonts w:ascii="Arial" w:hAnsi="Arial" w:cs="Arial"/>
          <w:b/>
          <w:color w:val="222222"/>
          <w:sz w:val="19"/>
          <w:szCs w:val="19"/>
        </w:rPr>
      </w:pPr>
      <w:r w:rsidRPr="009D6672">
        <w:rPr>
          <w:rFonts w:ascii="Arial" w:hAnsi="Arial" w:cs="Arial"/>
          <w:b/>
          <w:color w:val="222222"/>
          <w:sz w:val="19"/>
          <w:szCs w:val="19"/>
        </w:rPr>
        <w:t>Appendix 3</w:t>
      </w:r>
      <w:r>
        <w:rPr>
          <w:rFonts w:ascii="Arial" w:hAnsi="Arial" w:cs="Arial"/>
          <w:b/>
          <w:color w:val="222222"/>
          <w:sz w:val="19"/>
          <w:szCs w:val="19"/>
        </w:rPr>
        <w:t>B</w:t>
      </w:r>
      <w:r w:rsidRPr="009D6672">
        <w:rPr>
          <w:rFonts w:ascii="Arial" w:hAnsi="Arial" w:cs="Arial"/>
          <w:b/>
          <w:color w:val="222222"/>
          <w:sz w:val="19"/>
          <w:szCs w:val="19"/>
        </w:rPr>
        <w:t>:</w:t>
      </w:r>
      <w:r>
        <w:rPr>
          <w:rFonts w:ascii="Arial" w:hAnsi="Arial" w:cs="Arial"/>
          <w:b/>
          <w:color w:val="222222"/>
          <w:sz w:val="19"/>
          <w:szCs w:val="19"/>
        </w:rPr>
        <w:t xml:space="preserve"> </w:t>
      </w:r>
      <w:r w:rsidR="007947BD" w:rsidRPr="00FC261A">
        <w:rPr>
          <w:rFonts w:ascii="Arial" w:hAnsi="Arial" w:cs="Arial"/>
          <w:b/>
          <w:color w:val="222222"/>
          <w:sz w:val="19"/>
          <w:szCs w:val="19"/>
        </w:rPr>
        <w:t>Sources of variability for nested generalizability study analyses</w:t>
      </w:r>
    </w:p>
    <w:p w14:paraId="02DCB367" w14:textId="67DB21B9" w:rsidR="00B77A6A" w:rsidRPr="009D6672" w:rsidRDefault="00B77A6A" w:rsidP="00B77A6A">
      <w:pPr>
        <w:shd w:val="clear" w:color="auto" w:fill="FFFFFF"/>
        <w:rPr>
          <w:rFonts w:ascii="Arial" w:hAnsi="Arial" w:cs="Arial"/>
          <w:b/>
          <w:color w:val="222222"/>
          <w:sz w:val="19"/>
          <w:szCs w:val="19"/>
        </w:rPr>
      </w:pPr>
      <w:r w:rsidRPr="009D6672">
        <w:rPr>
          <w:rFonts w:ascii="Arial" w:hAnsi="Arial" w:cs="Arial"/>
          <w:b/>
          <w:color w:val="222222"/>
          <w:sz w:val="19"/>
          <w:szCs w:val="19"/>
        </w:rPr>
        <w:t>Appendix 3</w:t>
      </w:r>
      <w:r>
        <w:rPr>
          <w:rFonts w:ascii="Arial" w:hAnsi="Arial" w:cs="Arial"/>
          <w:b/>
          <w:color w:val="222222"/>
          <w:sz w:val="19"/>
          <w:szCs w:val="19"/>
        </w:rPr>
        <w:t>C</w:t>
      </w:r>
      <w:r w:rsidRPr="009D6672">
        <w:rPr>
          <w:rFonts w:ascii="Arial" w:hAnsi="Arial" w:cs="Arial"/>
          <w:b/>
          <w:color w:val="222222"/>
          <w:sz w:val="19"/>
          <w:szCs w:val="19"/>
        </w:rPr>
        <w:t>: Comparison of sources of systematic variance across analyses</w:t>
      </w:r>
    </w:p>
    <w:p w14:paraId="611E986E" w14:textId="77777777" w:rsidR="009D6672" w:rsidRPr="009D6672" w:rsidRDefault="009D6672" w:rsidP="009D6672">
      <w:pPr>
        <w:shd w:val="clear" w:color="auto" w:fill="FFFFFF"/>
        <w:rPr>
          <w:rFonts w:ascii="Arial" w:hAnsi="Arial" w:cs="Arial"/>
          <w:color w:val="222222"/>
          <w:sz w:val="19"/>
          <w:szCs w:val="19"/>
        </w:rPr>
      </w:pPr>
      <w:r w:rsidRPr="009D6672">
        <w:rPr>
          <w:rFonts w:ascii="Arial" w:hAnsi="Arial" w:cs="Arial"/>
          <w:color w:val="222222"/>
          <w:sz w:val="19"/>
          <w:szCs w:val="19"/>
        </w:rPr>
        <w:t> </w:t>
      </w:r>
    </w:p>
    <w:p w14:paraId="6CB4A35C" w14:textId="77777777" w:rsidR="00DC1BEC" w:rsidRDefault="00DC1BEC">
      <w:pPr>
        <w:rPr>
          <w:rFonts w:ascii="Arial" w:hAnsi="Arial" w:cs="Arial"/>
          <w:color w:val="222222"/>
          <w:sz w:val="19"/>
          <w:szCs w:val="19"/>
        </w:rPr>
      </w:pPr>
      <w:r>
        <w:rPr>
          <w:rFonts w:ascii="Arial" w:hAnsi="Arial" w:cs="Arial"/>
          <w:color w:val="222222"/>
          <w:sz w:val="19"/>
          <w:szCs w:val="19"/>
        </w:rPr>
        <w:br w:type="page"/>
      </w:r>
    </w:p>
    <w:p w14:paraId="07BF862F" w14:textId="77777777" w:rsidR="00700DFB" w:rsidRDefault="00700DFB" w:rsidP="00700DFB">
      <w:pPr>
        <w:shd w:val="clear" w:color="auto" w:fill="FFFFFF"/>
        <w:rPr>
          <w:rFonts w:ascii="Arial" w:hAnsi="Arial" w:cs="Arial"/>
          <w:b/>
          <w:color w:val="222222"/>
          <w:sz w:val="19"/>
          <w:szCs w:val="19"/>
        </w:rPr>
      </w:pPr>
      <w:r w:rsidRPr="009D6672">
        <w:rPr>
          <w:rFonts w:ascii="Arial" w:hAnsi="Arial" w:cs="Arial"/>
          <w:b/>
          <w:color w:val="222222"/>
          <w:sz w:val="19"/>
          <w:szCs w:val="19"/>
        </w:rPr>
        <w:lastRenderedPageBreak/>
        <w:t>Appendix 3</w:t>
      </w:r>
      <w:r>
        <w:rPr>
          <w:rFonts w:ascii="Arial" w:hAnsi="Arial" w:cs="Arial"/>
          <w:b/>
          <w:color w:val="222222"/>
          <w:sz w:val="19"/>
          <w:szCs w:val="19"/>
        </w:rPr>
        <w:t>A</w:t>
      </w:r>
      <w:r w:rsidRPr="009D6672">
        <w:rPr>
          <w:rFonts w:ascii="Arial" w:hAnsi="Arial" w:cs="Arial"/>
          <w:b/>
          <w:color w:val="222222"/>
          <w:sz w:val="19"/>
          <w:szCs w:val="19"/>
        </w:rPr>
        <w:t>:</w:t>
      </w:r>
      <w:r>
        <w:rPr>
          <w:rFonts w:ascii="Arial" w:hAnsi="Arial" w:cs="Arial"/>
          <w:b/>
          <w:color w:val="222222"/>
          <w:sz w:val="19"/>
          <w:szCs w:val="19"/>
        </w:rPr>
        <w:t xml:space="preserve"> </w:t>
      </w:r>
      <w:r w:rsidRPr="00700DFB">
        <w:rPr>
          <w:rFonts w:ascii="Arial" w:hAnsi="Arial" w:cs="Arial"/>
          <w:b/>
          <w:color w:val="222222"/>
          <w:sz w:val="19"/>
          <w:szCs w:val="19"/>
        </w:rPr>
        <w:t>Overview of observation procedure</w:t>
      </w:r>
    </w:p>
    <w:p w14:paraId="598B7BFC" w14:textId="77777777" w:rsidR="00700DFB" w:rsidRDefault="00700DFB" w:rsidP="00700DFB">
      <w:pPr>
        <w:spacing w:line="480" w:lineRule="auto"/>
      </w:pPr>
    </w:p>
    <w:p w14:paraId="57205441" w14:textId="677EF5FA" w:rsidR="00700DFB" w:rsidRDefault="00306503" w:rsidP="00700DFB">
      <w:pPr>
        <w:spacing w:line="480" w:lineRule="auto"/>
      </w:pPr>
      <w:r>
        <w:rPr>
          <w:noProof/>
        </w:rPr>
        <w:drawing>
          <wp:inline distT="0" distB="0" distL="0" distR="0" wp14:anchorId="0CAF697D" wp14:editId="6E59446A">
            <wp:extent cx="5943119" cy="2497244"/>
            <wp:effectExtent l="0" t="0" r="63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pdf"/>
                    <pic:cNvPicPr/>
                  </pic:nvPicPr>
                  <pic:blipFill rotWithShape="1">
                    <a:blip r:embed="rId9"/>
                    <a:srcRect t="35447" b="32084"/>
                    <a:stretch/>
                  </pic:blipFill>
                  <pic:spPr bwMode="auto">
                    <a:xfrm>
                      <a:off x="0" y="0"/>
                      <a:ext cx="5943600" cy="2497446"/>
                    </a:xfrm>
                    <a:prstGeom prst="rect">
                      <a:avLst/>
                    </a:prstGeom>
                    <a:ln>
                      <a:noFill/>
                    </a:ln>
                    <a:extLst>
                      <a:ext uri="{53640926-AAD7-44D8-BBD7-CCE9431645EC}">
                        <a14:shadowObscured xmlns:a14="http://schemas.microsoft.com/office/drawing/2010/main"/>
                      </a:ext>
                    </a:extLst>
                  </pic:spPr>
                </pic:pic>
              </a:graphicData>
            </a:graphic>
          </wp:inline>
        </w:drawing>
      </w:r>
    </w:p>
    <w:p w14:paraId="7196F07D" w14:textId="77777777" w:rsidR="00700DFB" w:rsidRDefault="00700DFB" w:rsidP="00700DFB">
      <w:pPr>
        <w:spacing w:line="480" w:lineRule="auto"/>
      </w:pPr>
      <w:r w:rsidRPr="00A36809">
        <w:t>Observers rated team performance using the behavioral marker systems for three common ICU team tasks representing both action- and transition-oriented tasks. For rounds, 88 total instances of teamwork were observed across four different attending physicians and team performance was rated on eight subdimensions. For handoffs, 25 teams were rated on six subdimensions. For codes, 25 teams were rated along five subdimensions. These subdimensions were core competencies that emerged from four main dimensions that engender teamwork in the ICU</w:t>
      </w:r>
      <w:r>
        <w:t>:</w:t>
      </w:r>
    </w:p>
    <w:p w14:paraId="4694D595" w14:textId="77777777" w:rsidR="00700DFB" w:rsidRDefault="00700DFB" w:rsidP="00700DFB">
      <w:pPr>
        <w:spacing w:line="480" w:lineRule="auto"/>
      </w:pPr>
    </w:p>
    <w:p w14:paraId="56D29DCD" w14:textId="77777777" w:rsidR="00700DFB" w:rsidRDefault="00700DFB" w:rsidP="00700DFB">
      <w:pPr>
        <w:spacing w:line="480" w:lineRule="auto"/>
      </w:pPr>
      <w:r w:rsidRPr="00A36809">
        <w:t xml:space="preserve">S1= communication style, S2 = communication content, S3 = closed-loop communication, S4 = task management and delegation, S5 = norms, S6 = offering and seeking support, S7 = error correction and feedback, S8 = planning and establishing goals, S9 = contingency planning, S10 = updating and revising goals. </w:t>
      </w:r>
    </w:p>
    <w:p w14:paraId="2571707A" w14:textId="0BF4D05D" w:rsidR="003147BA" w:rsidRDefault="003147BA">
      <w:r>
        <w:br w:type="page"/>
      </w:r>
    </w:p>
    <w:p w14:paraId="146D1944" w14:textId="7A17F400" w:rsidR="00FC261A" w:rsidRDefault="00FC261A" w:rsidP="00FC261A">
      <w:pPr>
        <w:rPr>
          <w:rFonts w:ascii="Arial" w:hAnsi="Arial" w:cs="Arial"/>
          <w:b/>
          <w:color w:val="222222"/>
          <w:sz w:val="19"/>
          <w:szCs w:val="19"/>
        </w:rPr>
      </w:pPr>
      <w:r w:rsidRPr="009D6672">
        <w:rPr>
          <w:rFonts w:ascii="Arial" w:hAnsi="Arial" w:cs="Arial"/>
          <w:b/>
          <w:color w:val="222222"/>
          <w:sz w:val="19"/>
          <w:szCs w:val="19"/>
        </w:rPr>
        <w:lastRenderedPageBreak/>
        <w:t>Appendix 3</w:t>
      </w:r>
      <w:r>
        <w:rPr>
          <w:rFonts w:ascii="Arial" w:hAnsi="Arial" w:cs="Arial"/>
          <w:b/>
          <w:color w:val="222222"/>
          <w:sz w:val="19"/>
          <w:szCs w:val="19"/>
        </w:rPr>
        <w:t>B:</w:t>
      </w:r>
      <w:r w:rsidRPr="00A36809">
        <w:t xml:space="preserve"> </w:t>
      </w:r>
      <w:r w:rsidRPr="00FC261A">
        <w:rPr>
          <w:rFonts w:ascii="Arial" w:hAnsi="Arial" w:cs="Arial"/>
          <w:b/>
          <w:color w:val="222222"/>
          <w:sz w:val="19"/>
          <w:szCs w:val="19"/>
        </w:rPr>
        <w:t>Sources of variability for nested generalizability study analyses</w:t>
      </w:r>
    </w:p>
    <w:p w14:paraId="3373EF28" w14:textId="77777777" w:rsidR="00FC261A" w:rsidRDefault="00FC261A" w:rsidP="00FC261A">
      <w:pPr>
        <w:rPr>
          <w:rFonts w:ascii="Arial" w:hAnsi="Arial" w:cs="Arial"/>
          <w:b/>
          <w:color w:val="222222"/>
          <w:sz w:val="19"/>
          <w:szCs w:val="19"/>
        </w:rPr>
      </w:pPr>
    </w:p>
    <w:p w14:paraId="01AAA1C9" w14:textId="02B3B5F1" w:rsidR="00FC261A" w:rsidRDefault="00306503" w:rsidP="00FC261A">
      <w:r>
        <w:rPr>
          <w:noProof/>
        </w:rPr>
        <w:drawing>
          <wp:inline distT="0" distB="0" distL="0" distR="0" wp14:anchorId="43578AD5" wp14:editId="2A349EF9">
            <wp:extent cx="5943366" cy="288692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pdf"/>
                    <pic:cNvPicPr/>
                  </pic:nvPicPr>
                  <pic:blipFill rotWithShape="1">
                    <a:blip r:embed="rId10"/>
                    <a:srcRect t="32584" b="29883"/>
                    <a:stretch/>
                  </pic:blipFill>
                  <pic:spPr bwMode="auto">
                    <a:xfrm>
                      <a:off x="0" y="0"/>
                      <a:ext cx="5943600" cy="288703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386EF8E1" w14:textId="77777777" w:rsidR="00FC261A" w:rsidRDefault="00FC261A" w:rsidP="00FC26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904"/>
      </w:tblGrid>
      <w:tr w:rsidR="00FC261A" w:rsidRPr="00E35593" w14:paraId="4B6BE1C7" w14:textId="77777777" w:rsidTr="003006BC">
        <w:trPr>
          <w:trHeight w:val="272"/>
        </w:trPr>
        <w:tc>
          <w:tcPr>
            <w:tcW w:w="1458" w:type="dxa"/>
            <w:tcBorders>
              <w:left w:val="nil"/>
              <w:right w:val="nil"/>
            </w:tcBorders>
          </w:tcPr>
          <w:p w14:paraId="144EABE7" w14:textId="77777777" w:rsidR="00FC261A" w:rsidRPr="00E35593" w:rsidRDefault="00FC261A" w:rsidP="003006BC">
            <w:pPr>
              <w:rPr>
                <w:b/>
                <w:sz w:val="20"/>
                <w:szCs w:val="20"/>
              </w:rPr>
            </w:pPr>
            <w:r w:rsidRPr="00E35593">
              <w:rPr>
                <w:b/>
                <w:sz w:val="20"/>
                <w:szCs w:val="20"/>
              </w:rPr>
              <w:t>Source of Variation</w:t>
            </w:r>
          </w:p>
        </w:tc>
        <w:tc>
          <w:tcPr>
            <w:tcW w:w="7936" w:type="dxa"/>
            <w:tcBorders>
              <w:left w:val="nil"/>
              <w:right w:val="nil"/>
            </w:tcBorders>
          </w:tcPr>
          <w:p w14:paraId="2925806E" w14:textId="77777777" w:rsidR="00FC261A" w:rsidRPr="00E35593" w:rsidRDefault="00FC261A" w:rsidP="003006BC">
            <w:pPr>
              <w:pStyle w:val="LightGrid-Accent31"/>
              <w:ind w:left="0"/>
              <w:rPr>
                <w:b/>
                <w:sz w:val="20"/>
                <w:szCs w:val="20"/>
              </w:rPr>
            </w:pPr>
            <w:r w:rsidRPr="00E35593">
              <w:rPr>
                <w:b/>
                <w:sz w:val="20"/>
                <w:szCs w:val="20"/>
              </w:rPr>
              <w:t xml:space="preserve">Description </w:t>
            </w:r>
          </w:p>
          <w:p w14:paraId="1EBCC8B1" w14:textId="77777777" w:rsidR="00FC261A" w:rsidRPr="00E35593" w:rsidRDefault="00FC261A" w:rsidP="003006BC">
            <w:pPr>
              <w:pStyle w:val="LightGrid-Accent31"/>
              <w:ind w:left="0"/>
              <w:rPr>
                <w:sz w:val="20"/>
                <w:szCs w:val="20"/>
                <w:vertAlign w:val="superscript"/>
              </w:rPr>
            </w:pPr>
            <w:r w:rsidRPr="00E35593">
              <w:rPr>
                <w:sz w:val="20"/>
                <w:szCs w:val="20"/>
              </w:rPr>
              <w:t>Adopted from previous literature</w:t>
            </w:r>
            <w:r>
              <w:rPr>
                <w:sz w:val="20"/>
                <w:szCs w:val="20"/>
              </w:rPr>
              <w:fldChar w:fldCharType="begin" w:fldLock="1"/>
            </w:r>
            <w:r>
              <w:rPr>
                <w:sz w:val="20"/>
                <w:szCs w:val="20"/>
              </w:rPr>
              <w:instrText>ADDIN CSL_CITATION { "citationItems" : [ { "id" : "ITEM-1", "itemData" : { "DOI" : "10.1207/s15327043hup0301_2", "ISSN" : "0895-9285", "author" : [ { "dropping-particle" : "", "family" : "Kraiger", "given" : "Kurt", "non-dropping-particle" : "", "parse-names" : false, "suffix" : "" }, { "dropping-particle" : "", "family" : "Teachout", "given" : "Mark", "non-dropping-particle" : "", "parse-names" : false, "suffix" : "" } ], "container-title" : "Human Performance", "id" : "ITEM-1", "issue" : "1", "issued" : { "date-parts" : [ [ "1990", "3", "1" ] ] }, "page" : "19-35", "title" : "Generalizability Theory as Construct-Related Evidence of the Validity of Job Performance Ratings", "type" : "article-journal", "volume" : "3" }, "uris" : [ "http://www.mendeley.com/documents/?uuid=1f35b8e5-f33b-3b2e-8c18-272f8567b64d" ] }, { "id" : "ITEM-2", "itemData" : { "DOI" : "10.1111/j.1365-2923.2007.02843.x", "author" : [ { "dropping-particle" : "", "family" : "Crossley", "given" : "Jim", "non-dropping-particle" : "", "parse-names" : false, "suffix" : "" }, { "dropping-particle" : "", "family" : "Russell", "given" : "Jean", "non-dropping-particle" : "", "parse-names" : false, "suffix" : "" }, { "dropping-particle" : "", "family" : "Jolly", "given" : "Brian", "non-dropping-particle" : "", "parse-names" : false, "suffix" : "" }, { "dropping-particle" : "", "family" : "Ricketts", "given" : "Chris", "non-dropping-particle" : "", "parse-names" : false, "suffix" : "" }, { "dropping-particle" : "", "family" : "Roberts", "given" : "Chris", "non-dropping-particle" : "", "parse-names" : false, "suffix" : "" }, { "dropping-particle" : "", "family" : "Schuwirth", "given" : "Lambert", "non-dropping-particle" : "", "parse-names" : false, "suffix" : "" }, { "dropping-particle" : "", "family" : "Norcini", "given" : "John", "non-dropping-particle" : "", "parse-names" : false, "suffix" : "" } ], "container-title" : "Medical Education", "id" : "ITEM-2", "issue" : "10", "issued" : { "date-parts" : [ [ "2007", "10", "1" ] ] }, "page" : "926-934", "publisher" : "Blackwell Publishing Ltd", "title" : "'I'm pickin' up good regressions': the governance of generalisability analyses", "type" : "article-journal", "volume" : "41" }, "uris" : [ "http://www.mendeley.com/documents/?uuid=27a79c17-b69f-31bf-8510-1abe8072781f" ] }, { "id" : "ITEM-3", "itemData" : { "DOI" : "10.1046/j.1365-2923.2002.01320.x", "ISSN" : "0308-0110", "author" : [ { "dropping-particle" : "", "family" : "Crossley", "given" : "Jim", "non-dropping-particle" : "", "parse-names" : false, "suffix" : "" }, { "dropping-particle" : "", "family" : "Davies", "given" : "Helena", "non-dropping-particle" : "", "parse-names" : false, "suffix" : "" }, { "dropping-particle" : "", "family" : "Humphris", "given" : "Gerry", "non-dropping-particle" : "", "parse-names" : false, "suffix" : "" }, { "dropping-particle" : "", "family" : "Jolly", "given" : "Brian", "non-dropping-particle" : "", "parse-names" : false, "suffix" : "" } ], "container-title" : "Medical Education", "id" : "ITEM-3", "issue" : "10", "issued" : { "date-parts" : [ [ "2002", "10", "1" ] ] }, "page" : "972-978", "publisher" : "Blackwell Science Ltd", "title" : "Generalisability: a key to unlock professional assessment", "type" : "article-journal", "volume" : "36" }, "uris" : [ "http://www.mendeley.com/documents/?uuid=851ac492-fe19-388b-b6b4-ba5c385ed6ff" ] }, { "id" : "ITEM-4", "itemData" : { "DOI" : "10.1177/014920630002600410", "ISSN" : "0149-2063", "abstract" : "This study notes that the lack of convergent and discriminant validity of assessment center ratings in the presence of content-related and criterion-related validity is paradoxical within a unitarian framework of validity. It also empirically demonstrates an application of generalizability theory to examining the convergent and discriminant validity of assessment center dimensional ratings. Generalizability analyses indicated that person, dimension, and person by dimension effects contribute large proportions of variance to the total variance in assessment center ratings. Alternately, exercise, rater, person by exercise, and dimension by exercise effects are shown to contribute little to the total variance. Correlational and confirmatory factor analyses results were consistent with the generalizability results. This provides strong evidence for the convergent and discriminant validity of the assessment center dimension ratings\u2013a finding consistent with the conceptual underpinnings of the unitarian view of...", "author" : [ { "dropping-particle" : "", "family" : "Arthur", "given" : "Winfred", "non-dropping-particle" : "", "parse-names" : false, "suffix" : "" }, { "dropping-particle" : "", "family" : "Woehr", "given" : "David J.", "non-dropping-particle" : "", "parse-names" : false, "suffix" : "" }, { "dropping-particle" : "", "family" : "Maldegen", "given" : "Robyn", "non-dropping-particle" : "", "parse-names" : false, "suffix" : "" } ], "container-title" : "Journal of Management", "id" : "ITEM-4", "issue" : "4", "issued" : { "date-parts" : [ [ "2000", "8", "30" ] ] }, "page" : "813-835", "publisher" : "Sage PublicationsSage CA: Thousand Oaks, CA", "title" : "Convergent and Discriminant Validity of Assessment Center Dimensions: A Conceptual and Empirical Reexamination of the Assessment Center Construct-Related Validity Paradox", "type" : "article-journal", "volume" : "26" }, "uris" : [ "http://www.mendeley.com/documents/?uuid=3f4e77e4-6c17-3dad-8d62-1a1958cb3cbb" ] } ], "mendeley" : { "formattedCitation" : "&lt;sup&gt;30,34,38,39&lt;/sup&gt;", "plainTextFormattedCitation" : "30,34,38,39", "previouslyFormattedCitation" : "&lt;sup&gt;30,34,38,39&lt;/sup&gt;" }, "properties" : {  }, "schema" : "https://github.com/citation-style-language/schema/raw/master/csl-citation.json" }</w:instrText>
            </w:r>
            <w:r>
              <w:rPr>
                <w:sz w:val="20"/>
                <w:szCs w:val="20"/>
              </w:rPr>
              <w:fldChar w:fldCharType="separate"/>
            </w:r>
            <w:r w:rsidRPr="00146E5B">
              <w:rPr>
                <w:noProof/>
                <w:sz w:val="20"/>
                <w:szCs w:val="20"/>
                <w:vertAlign w:val="superscript"/>
              </w:rPr>
              <w:t>30,34,38,39</w:t>
            </w:r>
            <w:r>
              <w:rPr>
                <w:sz w:val="20"/>
                <w:szCs w:val="20"/>
              </w:rPr>
              <w:fldChar w:fldCharType="end"/>
            </w:r>
            <w:r>
              <w:rPr>
                <w:sz w:val="20"/>
                <w:szCs w:val="20"/>
              </w:rPr>
              <w:t xml:space="preserve">  </w:t>
            </w:r>
            <w:r w:rsidRPr="00E35593">
              <w:rPr>
                <w:sz w:val="20"/>
                <w:szCs w:val="20"/>
              </w:rPr>
              <w:t xml:space="preserve">   </w:t>
            </w:r>
          </w:p>
        </w:tc>
      </w:tr>
      <w:tr w:rsidR="00FC261A" w:rsidRPr="00E35593" w14:paraId="02B11C7E" w14:textId="77777777" w:rsidTr="003006BC">
        <w:trPr>
          <w:trHeight w:val="272"/>
        </w:trPr>
        <w:tc>
          <w:tcPr>
            <w:tcW w:w="1458" w:type="dxa"/>
            <w:tcBorders>
              <w:left w:val="nil"/>
              <w:bottom w:val="nil"/>
              <w:right w:val="nil"/>
            </w:tcBorders>
          </w:tcPr>
          <w:p w14:paraId="04C160F8" w14:textId="77777777" w:rsidR="00FC261A" w:rsidRPr="00E35593" w:rsidRDefault="00FC261A" w:rsidP="003006BC">
            <w:pPr>
              <w:spacing w:after="120"/>
              <w:rPr>
                <w:sz w:val="20"/>
                <w:szCs w:val="20"/>
              </w:rPr>
            </w:pPr>
            <w:r w:rsidRPr="00E35593">
              <w:rPr>
                <w:sz w:val="20"/>
                <w:szCs w:val="20"/>
              </w:rPr>
              <w:t>T</w:t>
            </w:r>
          </w:p>
        </w:tc>
        <w:tc>
          <w:tcPr>
            <w:tcW w:w="7936" w:type="dxa"/>
            <w:tcBorders>
              <w:left w:val="nil"/>
              <w:bottom w:val="nil"/>
              <w:right w:val="nil"/>
            </w:tcBorders>
          </w:tcPr>
          <w:p w14:paraId="09B1BD20" w14:textId="77777777" w:rsidR="00FC261A" w:rsidRPr="00E35593" w:rsidRDefault="00FC261A" w:rsidP="003006BC">
            <w:pPr>
              <w:pStyle w:val="LightGrid-Accent31"/>
              <w:numPr>
                <w:ilvl w:val="0"/>
                <w:numId w:val="6"/>
              </w:numPr>
              <w:spacing w:after="120"/>
              <w:ind w:left="252" w:hanging="252"/>
              <w:rPr>
                <w:sz w:val="20"/>
                <w:szCs w:val="20"/>
              </w:rPr>
            </w:pPr>
            <w:r w:rsidRPr="00E35593">
              <w:rPr>
                <w:sz w:val="20"/>
                <w:szCs w:val="20"/>
              </w:rPr>
              <w:t>Systematic variances in tasks averaged across instances, subdimensions, and raters.</w:t>
            </w:r>
          </w:p>
        </w:tc>
      </w:tr>
      <w:tr w:rsidR="00FC261A" w:rsidRPr="00E35593" w14:paraId="1130DBAF" w14:textId="77777777" w:rsidTr="003006BC">
        <w:trPr>
          <w:trHeight w:val="333"/>
        </w:trPr>
        <w:tc>
          <w:tcPr>
            <w:tcW w:w="1458" w:type="dxa"/>
            <w:tcBorders>
              <w:top w:val="nil"/>
              <w:left w:val="nil"/>
              <w:bottom w:val="nil"/>
              <w:right w:val="nil"/>
            </w:tcBorders>
          </w:tcPr>
          <w:p w14:paraId="5F9EB329" w14:textId="77777777" w:rsidR="00FC261A" w:rsidRPr="00E35593" w:rsidRDefault="00FC261A" w:rsidP="003006BC">
            <w:pPr>
              <w:spacing w:after="120"/>
              <w:rPr>
                <w:sz w:val="20"/>
                <w:szCs w:val="20"/>
              </w:rPr>
            </w:pPr>
            <w:proofErr w:type="gramStart"/>
            <w:r w:rsidRPr="00E35593">
              <w:rPr>
                <w:sz w:val="20"/>
                <w:szCs w:val="20"/>
              </w:rPr>
              <w:t>I:T</w:t>
            </w:r>
            <w:proofErr w:type="gramEnd"/>
          </w:p>
        </w:tc>
        <w:tc>
          <w:tcPr>
            <w:tcW w:w="7936" w:type="dxa"/>
            <w:tcBorders>
              <w:top w:val="nil"/>
              <w:left w:val="nil"/>
              <w:bottom w:val="nil"/>
              <w:right w:val="nil"/>
            </w:tcBorders>
          </w:tcPr>
          <w:p w14:paraId="664C1E3C" w14:textId="77777777" w:rsidR="00FC261A" w:rsidRPr="00E35593" w:rsidRDefault="00FC261A" w:rsidP="003006BC">
            <w:pPr>
              <w:pStyle w:val="LightGrid-Accent31"/>
              <w:numPr>
                <w:ilvl w:val="0"/>
                <w:numId w:val="6"/>
              </w:numPr>
              <w:spacing w:after="120"/>
              <w:ind w:left="252" w:hanging="252"/>
              <w:rPr>
                <w:sz w:val="20"/>
                <w:szCs w:val="20"/>
              </w:rPr>
            </w:pPr>
            <w:r w:rsidRPr="00E35593">
              <w:rPr>
                <w:sz w:val="20"/>
                <w:szCs w:val="20"/>
              </w:rPr>
              <w:t xml:space="preserve">Systematic variance in instances of teamwork (nested within tasks) across subdimensions and raters. </w:t>
            </w:r>
          </w:p>
        </w:tc>
      </w:tr>
      <w:tr w:rsidR="00FC261A" w:rsidRPr="00E35593" w14:paraId="5C2AE917" w14:textId="77777777" w:rsidTr="003006BC">
        <w:trPr>
          <w:trHeight w:val="68"/>
        </w:trPr>
        <w:tc>
          <w:tcPr>
            <w:tcW w:w="1458" w:type="dxa"/>
            <w:tcBorders>
              <w:top w:val="nil"/>
              <w:left w:val="nil"/>
              <w:bottom w:val="nil"/>
              <w:right w:val="nil"/>
            </w:tcBorders>
          </w:tcPr>
          <w:p w14:paraId="1A689408" w14:textId="77777777" w:rsidR="00FC261A" w:rsidRPr="00E35593" w:rsidRDefault="00FC261A" w:rsidP="003006BC">
            <w:pPr>
              <w:spacing w:after="120"/>
              <w:rPr>
                <w:sz w:val="20"/>
                <w:szCs w:val="20"/>
              </w:rPr>
            </w:pPr>
            <w:r w:rsidRPr="00E35593">
              <w:rPr>
                <w:sz w:val="20"/>
                <w:szCs w:val="20"/>
              </w:rPr>
              <w:t>S</w:t>
            </w:r>
          </w:p>
        </w:tc>
        <w:tc>
          <w:tcPr>
            <w:tcW w:w="7936" w:type="dxa"/>
            <w:tcBorders>
              <w:top w:val="nil"/>
              <w:left w:val="nil"/>
              <w:bottom w:val="nil"/>
              <w:right w:val="nil"/>
            </w:tcBorders>
          </w:tcPr>
          <w:p w14:paraId="3903A703" w14:textId="77777777" w:rsidR="00FC261A" w:rsidRPr="00E35593" w:rsidRDefault="00FC261A" w:rsidP="003006BC">
            <w:pPr>
              <w:pStyle w:val="LightGrid-Accent31"/>
              <w:numPr>
                <w:ilvl w:val="0"/>
                <w:numId w:val="6"/>
              </w:numPr>
              <w:spacing w:after="120"/>
              <w:ind w:left="252" w:hanging="252"/>
              <w:rPr>
                <w:sz w:val="20"/>
                <w:szCs w:val="20"/>
              </w:rPr>
            </w:pPr>
            <w:r w:rsidRPr="00E35593">
              <w:rPr>
                <w:sz w:val="20"/>
                <w:szCs w:val="20"/>
              </w:rPr>
              <w:t>Systematic variance in subdimensions across instances and tasks.</w:t>
            </w:r>
          </w:p>
        </w:tc>
      </w:tr>
      <w:tr w:rsidR="00FC261A" w:rsidRPr="00E35593" w14:paraId="28D9FB2D" w14:textId="77777777" w:rsidTr="003006BC">
        <w:trPr>
          <w:trHeight w:val="332"/>
        </w:trPr>
        <w:tc>
          <w:tcPr>
            <w:tcW w:w="1458" w:type="dxa"/>
            <w:tcBorders>
              <w:top w:val="nil"/>
              <w:left w:val="nil"/>
              <w:bottom w:val="nil"/>
              <w:right w:val="nil"/>
            </w:tcBorders>
          </w:tcPr>
          <w:p w14:paraId="753D10BD" w14:textId="77777777" w:rsidR="00FC261A" w:rsidRPr="00E35593" w:rsidRDefault="00FC261A" w:rsidP="003006BC">
            <w:pPr>
              <w:spacing w:after="120"/>
              <w:rPr>
                <w:sz w:val="20"/>
                <w:szCs w:val="20"/>
              </w:rPr>
            </w:pPr>
            <w:r w:rsidRPr="00E35593">
              <w:rPr>
                <w:sz w:val="20"/>
                <w:szCs w:val="20"/>
              </w:rPr>
              <w:t>R</w:t>
            </w:r>
          </w:p>
        </w:tc>
        <w:tc>
          <w:tcPr>
            <w:tcW w:w="7936" w:type="dxa"/>
            <w:tcBorders>
              <w:top w:val="nil"/>
              <w:left w:val="nil"/>
              <w:bottom w:val="nil"/>
              <w:right w:val="nil"/>
            </w:tcBorders>
          </w:tcPr>
          <w:p w14:paraId="42B80664" w14:textId="77777777" w:rsidR="00FC261A" w:rsidRPr="00E35593" w:rsidRDefault="00FC261A" w:rsidP="003006BC">
            <w:pPr>
              <w:pStyle w:val="LightGrid-Accent31"/>
              <w:numPr>
                <w:ilvl w:val="0"/>
                <w:numId w:val="6"/>
              </w:numPr>
              <w:spacing w:after="120"/>
              <w:ind w:left="252" w:hanging="252"/>
              <w:rPr>
                <w:sz w:val="20"/>
                <w:szCs w:val="20"/>
              </w:rPr>
            </w:pPr>
            <w:r w:rsidRPr="00E35593">
              <w:rPr>
                <w:sz w:val="20"/>
                <w:szCs w:val="20"/>
              </w:rPr>
              <w:t xml:space="preserve">Systematic variance in ratings across subdimensions, instances of teamwork, and tasks. </w:t>
            </w:r>
          </w:p>
        </w:tc>
      </w:tr>
      <w:tr w:rsidR="00FC261A" w:rsidRPr="00E35593" w14:paraId="5D5C501B" w14:textId="77777777" w:rsidTr="003006BC">
        <w:trPr>
          <w:trHeight w:val="272"/>
        </w:trPr>
        <w:tc>
          <w:tcPr>
            <w:tcW w:w="1458" w:type="dxa"/>
            <w:tcBorders>
              <w:top w:val="nil"/>
              <w:left w:val="nil"/>
              <w:bottom w:val="nil"/>
              <w:right w:val="nil"/>
            </w:tcBorders>
          </w:tcPr>
          <w:p w14:paraId="4D85C6D0" w14:textId="77777777" w:rsidR="00FC261A" w:rsidRPr="00E35593" w:rsidRDefault="00FC261A" w:rsidP="003006BC">
            <w:pPr>
              <w:spacing w:after="120"/>
              <w:rPr>
                <w:sz w:val="20"/>
                <w:szCs w:val="20"/>
              </w:rPr>
            </w:pPr>
            <w:r w:rsidRPr="00E35593">
              <w:rPr>
                <w:sz w:val="20"/>
                <w:szCs w:val="20"/>
              </w:rPr>
              <w:t>RS</w:t>
            </w:r>
          </w:p>
        </w:tc>
        <w:tc>
          <w:tcPr>
            <w:tcW w:w="7936" w:type="dxa"/>
            <w:tcBorders>
              <w:top w:val="nil"/>
              <w:left w:val="nil"/>
              <w:bottom w:val="nil"/>
              <w:right w:val="nil"/>
            </w:tcBorders>
          </w:tcPr>
          <w:p w14:paraId="2028EEC2" w14:textId="77777777" w:rsidR="00FC261A" w:rsidRPr="00E35593" w:rsidRDefault="00FC261A" w:rsidP="003006BC">
            <w:pPr>
              <w:pStyle w:val="LightGrid-Accent31"/>
              <w:numPr>
                <w:ilvl w:val="0"/>
                <w:numId w:val="6"/>
              </w:numPr>
              <w:spacing w:after="120"/>
              <w:ind w:left="252" w:hanging="252"/>
              <w:rPr>
                <w:sz w:val="20"/>
                <w:szCs w:val="20"/>
              </w:rPr>
            </w:pPr>
            <w:r w:rsidRPr="00E35593">
              <w:rPr>
                <w:sz w:val="20"/>
                <w:szCs w:val="20"/>
              </w:rPr>
              <w:t xml:space="preserve">Variance due to raters consistently scoring a particular teamwork subdimension differently.  </w:t>
            </w:r>
          </w:p>
        </w:tc>
      </w:tr>
      <w:tr w:rsidR="00FC261A" w:rsidRPr="00E35593" w14:paraId="091D4DEA" w14:textId="77777777" w:rsidTr="003006BC">
        <w:trPr>
          <w:trHeight w:val="272"/>
        </w:trPr>
        <w:tc>
          <w:tcPr>
            <w:tcW w:w="1458" w:type="dxa"/>
            <w:tcBorders>
              <w:top w:val="nil"/>
              <w:left w:val="nil"/>
              <w:bottom w:val="nil"/>
              <w:right w:val="nil"/>
            </w:tcBorders>
          </w:tcPr>
          <w:p w14:paraId="397A0E86" w14:textId="77777777" w:rsidR="00FC261A" w:rsidRPr="00E35593" w:rsidRDefault="00FC261A" w:rsidP="003006BC">
            <w:pPr>
              <w:spacing w:after="120"/>
              <w:rPr>
                <w:sz w:val="20"/>
                <w:szCs w:val="20"/>
              </w:rPr>
            </w:pPr>
            <w:r w:rsidRPr="00E35593">
              <w:rPr>
                <w:sz w:val="20"/>
                <w:szCs w:val="20"/>
              </w:rPr>
              <w:t>T R</w:t>
            </w:r>
          </w:p>
        </w:tc>
        <w:tc>
          <w:tcPr>
            <w:tcW w:w="7936" w:type="dxa"/>
            <w:tcBorders>
              <w:top w:val="nil"/>
              <w:left w:val="nil"/>
              <w:bottom w:val="nil"/>
              <w:right w:val="nil"/>
            </w:tcBorders>
          </w:tcPr>
          <w:p w14:paraId="1A8C080B" w14:textId="77777777" w:rsidR="00FC261A" w:rsidRPr="00E35593" w:rsidRDefault="00FC261A" w:rsidP="003006BC">
            <w:pPr>
              <w:pStyle w:val="LightGrid-Accent31"/>
              <w:numPr>
                <w:ilvl w:val="0"/>
                <w:numId w:val="6"/>
              </w:numPr>
              <w:spacing w:after="120"/>
              <w:ind w:left="252" w:hanging="252"/>
              <w:rPr>
                <w:sz w:val="20"/>
                <w:szCs w:val="20"/>
              </w:rPr>
            </w:pPr>
            <w:r w:rsidRPr="00E35593">
              <w:rPr>
                <w:sz w:val="20"/>
                <w:szCs w:val="20"/>
              </w:rPr>
              <w:t>Variance due to raters consistently scoring a particular task differently.</w:t>
            </w:r>
          </w:p>
        </w:tc>
      </w:tr>
      <w:tr w:rsidR="00FC261A" w:rsidRPr="00E35593" w14:paraId="251D0CA0" w14:textId="77777777" w:rsidTr="003006BC">
        <w:trPr>
          <w:trHeight w:val="272"/>
        </w:trPr>
        <w:tc>
          <w:tcPr>
            <w:tcW w:w="1458" w:type="dxa"/>
            <w:tcBorders>
              <w:top w:val="nil"/>
              <w:left w:val="nil"/>
              <w:bottom w:val="nil"/>
              <w:right w:val="nil"/>
            </w:tcBorders>
          </w:tcPr>
          <w:p w14:paraId="4442BB29" w14:textId="77777777" w:rsidR="00FC261A" w:rsidRPr="00E35593" w:rsidRDefault="00FC261A" w:rsidP="003006BC">
            <w:pPr>
              <w:spacing w:after="120"/>
              <w:rPr>
                <w:sz w:val="20"/>
                <w:szCs w:val="20"/>
              </w:rPr>
            </w:pPr>
            <w:proofErr w:type="gramStart"/>
            <w:r w:rsidRPr="00E35593">
              <w:rPr>
                <w:sz w:val="20"/>
                <w:szCs w:val="20"/>
              </w:rPr>
              <w:t>I:T</w:t>
            </w:r>
            <w:proofErr w:type="gramEnd"/>
            <w:r w:rsidRPr="00E35593">
              <w:rPr>
                <w:sz w:val="20"/>
                <w:szCs w:val="20"/>
              </w:rPr>
              <w:t xml:space="preserve"> R</w:t>
            </w:r>
          </w:p>
        </w:tc>
        <w:tc>
          <w:tcPr>
            <w:tcW w:w="7936" w:type="dxa"/>
            <w:tcBorders>
              <w:top w:val="nil"/>
              <w:left w:val="nil"/>
              <w:bottom w:val="nil"/>
              <w:right w:val="nil"/>
            </w:tcBorders>
          </w:tcPr>
          <w:p w14:paraId="4F12F3BA" w14:textId="77777777" w:rsidR="00FC261A" w:rsidRPr="00E35593" w:rsidRDefault="00FC261A" w:rsidP="003006BC">
            <w:pPr>
              <w:pStyle w:val="LightGrid-Accent31"/>
              <w:numPr>
                <w:ilvl w:val="0"/>
                <w:numId w:val="6"/>
              </w:numPr>
              <w:spacing w:after="120"/>
              <w:ind w:left="252" w:hanging="252"/>
              <w:rPr>
                <w:sz w:val="20"/>
                <w:szCs w:val="20"/>
              </w:rPr>
            </w:pPr>
            <w:r w:rsidRPr="00E35593">
              <w:rPr>
                <w:sz w:val="20"/>
                <w:szCs w:val="20"/>
              </w:rPr>
              <w:t>Variance due to raters consistently scoring teams within a particular task differently.</w:t>
            </w:r>
          </w:p>
        </w:tc>
      </w:tr>
      <w:tr w:rsidR="00FC261A" w:rsidRPr="00E35593" w14:paraId="143256B4" w14:textId="77777777" w:rsidTr="003006BC">
        <w:trPr>
          <w:trHeight w:val="272"/>
        </w:trPr>
        <w:tc>
          <w:tcPr>
            <w:tcW w:w="1458" w:type="dxa"/>
            <w:tcBorders>
              <w:top w:val="nil"/>
              <w:left w:val="nil"/>
              <w:bottom w:val="nil"/>
              <w:right w:val="nil"/>
            </w:tcBorders>
          </w:tcPr>
          <w:p w14:paraId="667A18BC" w14:textId="77777777" w:rsidR="00FC261A" w:rsidRPr="00E35593" w:rsidRDefault="00FC261A" w:rsidP="003006BC">
            <w:pPr>
              <w:spacing w:after="120"/>
              <w:rPr>
                <w:sz w:val="20"/>
                <w:szCs w:val="20"/>
              </w:rPr>
            </w:pPr>
            <w:proofErr w:type="gramStart"/>
            <w:r w:rsidRPr="00E35593">
              <w:rPr>
                <w:sz w:val="20"/>
                <w:szCs w:val="20"/>
              </w:rPr>
              <w:t>I:T</w:t>
            </w:r>
            <w:proofErr w:type="gramEnd"/>
            <w:r w:rsidRPr="00E35593">
              <w:rPr>
                <w:sz w:val="20"/>
                <w:szCs w:val="20"/>
              </w:rPr>
              <w:t xml:space="preserve"> S</w:t>
            </w:r>
          </w:p>
        </w:tc>
        <w:tc>
          <w:tcPr>
            <w:tcW w:w="7936" w:type="dxa"/>
            <w:tcBorders>
              <w:top w:val="nil"/>
              <w:left w:val="nil"/>
              <w:bottom w:val="nil"/>
              <w:right w:val="nil"/>
            </w:tcBorders>
          </w:tcPr>
          <w:p w14:paraId="7513D07E" w14:textId="77777777" w:rsidR="00FC261A" w:rsidRPr="00E35593" w:rsidRDefault="00FC261A" w:rsidP="003006BC">
            <w:pPr>
              <w:pStyle w:val="LightGrid-Accent31"/>
              <w:numPr>
                <w:ilvl w:val="0"/>
                <w:numId w:val="6"/>
              </w:numPr>
              <w:spacing w:after="120"/>
              <w:ind w:left="252" w:hanging="252"/>
              <w:rPr>
                <w:sz w:val="20"/>
                <w:szCs w:val="20"/>
              </w:rPr>
            </w:pPr>
            <w:r w:rsidRPr="00E35593">
              <w:rPr>
                <w:sz w:val="20"/>
                <w:szCs w:val="20"/>
              </w:rPr>
              <w:t>Variance due to teams within tasks performing differently on subdimensions of teamwork.</w:t>
            </w:r>
          </w:p>
        </w:tc>
      </w:tr>
      <w:tr w:rsidR="00FC261A" w:rsidRPr="00E35593" w14:paraId="2C3907B0" w14:textId="77777777" w:rsidTr="003006BC">
        <w:trPr>
          <w:trHeight w:val="289"/>
        </w:trPr>
        <w:tc>
          <w:tcPr>
            <w:tcW w:w="1458" w:type="dxa"/>
            <w:tcBorders>
              <w:top w:val="nil"/>
              <w:left w:val="nil"/>
              <w:right w:val="nil"/>
            </w:tcBorders>
          </w:tcPr>
          <w:p w14:paraId="6A3504A4" w14:textId="77777777" w:rsidR="00FC261A" w:rsidRPr="00E35593" w:rsidRDefault="00FC261A" w:rsidP="003006BC">
            <w:pPr>
              <w:spacing w:after="120"/>
              <w:rPr>
                <w:sz w:val="20"/>
                <w:szCs w:val="20"/>
              </w:rPr>
            </w:pPr>
            <w:proofErr w:type="gramStart"/>
            <w:r w:rsidRPr="00E35593">
              <w:rPr>
                <w:sz w:val="20"/>
                <w:szCs w:val="20"/>
              </w:rPr>
              <w:t>I:T</w:t>
            </w:r>
            <w:proofErr w:type="gramEnd"/>
            <w:r w:rsidRPr="00E35593">
              <w:rPr>
                <w:sz w:val="20"/>
                <w:szCs w:val="20"/>
              </w:rPr>
              <w:t xml:space="preserve"> R S</w:t>
            </w:r>
          </w:p>
          <w:p w14:paraId="0EFFEBD6" w14:textId="77777777" w:rsidR="00FC261A" w:rsidRPr="00E35593" w:rsidRDefault="00FC261A" w:rsidP="003006BC">
            <w:pPr>
              <w:rPr>
                <w:sz w:val="20"/>
                <w:szCs w:val="20"/>
              </w:rPr>
            </w:pPr>
          </w:p>
        </w:tc>
        <w:tc>
          <w:tcPr>
            <w:tcW w:w="7936" w:type="dxa"/>
            <w:tcBorders>
              <w:top w:val="nil"/>
              <w:left w:val="nil"/>
              <w:right w:val="nil"/>
            </w:tcBorders>
          </w:tcPr>
          <w:p w14:paraId="0B072592" w14:textId="77777777" w:rsidR="00FC261A" w:rsidRPr="00E35593" w:rsidRDefault="00FC261A" w:rsidP="003006BC">
            <w:pPr>
              <w:pStyle w:val="LightGrid-Accent31"/>
              <w:numPr>
                <w:ilvl w:val="0"/>
                <w:numId w:val="6"/>
              </w:numPr>
              <w:spacing w:after="120"/>
              <w:ind w:left="252" w:hanging="252"/>
              <w:rPr>
                <w:sz w:val="20"/>
                <w:szCs w:val="20"/>
              </w:rPr>
            </w:pPr>
            <w:r w:rsidRPr="00E35593">
              <w:rPr>
                <w:sz w:val="20"/>
                <w:szCs w:val="20"/>
              </w:rPr>
              <w:t>Residual error. Note: the T X R X S interaction is not distinguishable from the residual error term for interpretation.</w:t>
            </w:r>
            <w:r>
              <w:rPr>
                <w:sz w:val="20"/>
                <w:szCs w:val="20"/>
              </w:rPr>
              <w:fldChar w:fldCharType="begin" w:fldLock="1"/>
            </w:r>
            <w:r>
              <w:rPr>
                <w:sz w:val="20"/>
                <w:szCs w:val="20"/>
              </w:rPr>
              <w:instrText>ADDIN CSL_CITATION { "citationItems" : [ { "id" : "ITEM-1", "itemData" : { "DOI" : "10.1111/j.1365-2923.2007.02843.x", "author" : [ { "dropping-particle" : "", "family" : "Crossley", "given" : "Jim", "non-dropping-particle" : "", "parse-names" : false, "suffix" : "" }, { "dropping-particle" : "", "family" : "Russell", "given" : "Jean", "non-dropping-particle" : "", "parse-names" : false, "suffix" : "" }, { "dropping-particle" : "", "family" : "Jolly", "given" : "Brian", "non-dropping-particle" : "", "parse-names" : false, "suffix" : "" }, { "dropping-particle" : "", "family" : "Ricketts", "given" : "Chris", "non-dropping-particle" : "", "parse-names" : false, "suffix" : "" }, { "dropping-particle" : "", "family" : "Roberts", "given" : "Chris", "non-dropping-particle" : "", "parse-names" : false, "suffix" : "" }, { "dropping-particle" : "", "family" : "Schuwirth", "given" : "Lambert", "non-dropping-particle" : "", "parse-names" : false, "suffix" : "" }, { "dropping-particle" : "", "family" : "Norcini", "given" : "John", "non-dropping-particle" : "", "parse-names" : false, "suffix" : "" } ], "container-title" : "Medical Education", "id" : "ITEM-1", "issue" : "10", "issued" : { "date-parts" : [ [ "2007", "10", "1" ] ] }, "page" : "926-934", "publisher" : "Blackwell Publishing Ltd", "title" : "'I'm pickin' up good regressions': the governance of generalisability analyses", "type" : "article-journal", "volume" : "41" }, "uris" : [ "http://www.mendeley.com/documents/?uuid=27a79c17-b69f-31bf-8510-1abe8072781f" ] } ], "mendeley" : { "formattedCitation" : "&lt;sup&gt;34&lt;/sup&gt;", "plainTextFormattedCitation" : "34", "previouslyFormattedCitation" : "&lt;sup&gt;34&lt;/sup&gt;" }, "properties" : {  }, "schema" : "https://github.com/citation-style-language/schema/raw/master/csl-citation.json" }</w:instrText>
            </w:r>
            <w:r>
              <w:rPr>
                <w:sz w:val="20"/>
                <w:szCs w:val="20"/>
              </w:rPr>
              <w:fldChar w:fldCharType="separate"/>
            </w:r>
            <w:r w:rsidRPr="00146E5B">
              <w:rPr>
                <w:noProof/>
                <w:sz w:val="20"/>
                <w:szCs w:val="20"/>
                <w:vertAlign w:val="superscript"/>
              </w:rPr>
              <w:t>34</w:t>
            </w:r>
            <w:r>
              <w:rPr>
                <w:sz w:val="20"/>
                <w:szCs w:val="20"/>
              </w:rPr>
              <w:fldChar w:fldCharType="end"/>
            </w:r>
            <w:r w:rsidRPr="00E35593">
              <w:rPr>
                <w:sz w:val="20"/>
                <w:szCs w:val="20"/>
              </w:rPr>
              <w:t xml:space="preserve"> </w:t>
            </w:r>
          </w:p>
        </w:tc>
      </w:tr>
    </w:tbl>
    <w:p w14:paraId="22E8C6E0" w14:textId="77777777" w:rsidR="00FC261A" w:rsidRDefault="00FC261A" w:rsidP="00FC261A">
      <w:pPr>
        <w:rPr>
          <w:b/>
        </w:rPr>
      </w:pPr>
    </w:p>
    <w:p w14:paraId="49EA43AB" w14:textId="77777777" w:rsidR="003147BA" w:rsidRDefault="003147BA" w:rsidP="00700DFB">
      <w:pPr>
        <w:spacing w:line="480" w:lineRule="auto"/>
      </w:pPr>
    </w:p>
    <w:p w14:paraId="49325B0B" w14:textId="1B6ECCD6" w:rsidR="00700DFB" w:rsidRDefault="00700DFB">
      <w:pPr>
        <w:rPr>
          <w:rFonts w:ascii="Arial" w:hAnsi="Arial" w:cs="Arial"/>
          <w:b/>
          <w:color w:val="222222"/>
          <w:sz w:val="19"/>
          <w:szCs w:val="19"/>
        </w:rPr>
      </w:pPr>
      <w:r>
        <w:rPr>
          <w:rFonts w:ascii="Arial" w:hAnsi="Arial" w:cs="Arial"/>
          <w:b/>
          <w:color w:val="222222"/>
          <w:sz w:val="19"/>
          <w:szCs w:val="19"/>
        </w:rPr>
        <w:br w:type="page"/>
      </w:r>
    </w:p>
    <w:p w14:paraId="04B4EE7C" w14:textId="77777777" w:rsidR="00700DFB" w:rsidRDefault="00700DFB">
      <w:pPr>
        <w:rPr>
          <w:rFonts w:ascii="Arial" w:hAnsi="Arial" w:cs="Arial"/>
          <w:b/>
          <w:color w:val="222222"/>
          <w:sz w:val="19"/>
          <w:szCs w:val="19"/>
        </w:rPr>
      </w:pPr>
    </w:p>
    <w:p w14:paraId="209BFE12" w14:textId="77777777" w:rsidR="00700DFB" w:rsidRDefault="00700DFB">
      <w:pPr>
        <w:rPr>
          <w:rFonts w:ascii="Arial" w:hAnsi="Arial" w:cs="Arial"/>
          <w:b/>
          <w:color w:val="222222"/>
          <w:sz w:val="19"/>
          <w:szCs w:val="19"/>
        </w:rPr>
      </w:pPr>
    </w:p>
    <w:p w14:paraId="2B31EF05" w14:textId="7C183EE9" w:rsidR="00B77A6A" w:rsidRPr="009D6672" w:rsidRDefault="00B77A6A" w:rsidP="00B77A6A">
      <w:pPr>
        <w:shd w:val="clear" w:color="auto" w:fill="FFFFFF"/>
        <w:rPr>
          <w:rFonts w:ascii="Arial" w:hAnsi="Arial" w:cs="Arial"/>
          <w:b/>
          <w:color w:val="222222"/>
          <w:sz w:val="19"/>
          <w:szCs w:val="19"/>
        </w:rPr>
      </w:pPr>
      <w:r w:rsidRPr="009D6672">
        <w:rPr>
          <w:rFonts w:ascii="Arial" w:hAnsi="Arial" w:cs="Arial"/>
          <w:b/>
          <w:color w:val="222222"/>
          <w:sz w:val="19"/>
          <w:szCs w:val="19"/>
        </w:rPr>
        <w:t>Appendix 3</w:t>
      </w:r>
      <w:r>
        <w:rPr>
          <w:rFonts w:ascii="Arial" w:hAnsi="Arial" w:cs="Arial"/>
          <w:b/>
          <w:color w:val="222222"/>
          <w:sz w:val="19"/>
          <w:szCs w:val="19"/>
        </w:rPr>
        <w:t>C</w:t>
      </w:r>
      <w:r w:rsidRPr="009D6672">
        <w:rPr>
          <w:rFonts w:ascii="Arial" w:hAnsi="Arial" w:cs="Arial"/>
          <w:b/>
          <w:color w:val="222222"/>
          <w:sz w:val="19"/>
          <w:szCs w:val="19"/>
        </w:rPr>
        <w:t>: Comparison of sources of systematic variance across analyses</w:t>
      </w:r>
    </w:p>
    <w:p w14:paraId="75B68398" w14:textId="77777777" w:rsidR="00B77A6A" w:rsidRDefault="00B77A6A" w:rsidP="009D6672">
      <w:pPr>
        <w:shd w:val="clear" w:color="auto" w:fill="FFFFFF"/>
        <w:rPr>
          <w:rFonts w:ascii="Arial" w:hAnsi="Arial" w:cs="Arial"/>
          <w:color w:val="222222"/>
          <w:sz w:val="19"/>
          <w:szCs w:val="19"/>
        </w:rPr>
      </w:pPr>
    </w:p>
    <w:p w14:paraId="75E34744" w14:textId="77777777" w:rsidR="00B77A6A" w:rsidRDefault="00B77A6A" w:rsidP="009D6672">
      <w:pPr>
        <w:shd w:val="clear" w:color="auto" w:fill="FFFFFF"/>
        <w:rPr>
          <w:rFonts w:ascii="Arial" w:hAnsi="Arial" w:cs="Arial"/>
          <w:color w:val="222222"/>
          <w:sz w:val="19"/>
          <w:szCs w:val="19"/>
        </w:rPr>
      </w:pPr>
    </w:p>
    <w:p w14:paraId="6DCA9271" w14:textId="48E74E53" w:rsidR="009D6672" w:rsidRPr="009D6672" w:rsidRDefault="009D6672" w:rsidP="009D6672">
      <w:pPr>
        <w:shd w:val="clear" w:color="auto" w:fill="FFFFFF"/>
        <w:rPr>
          <w:rFonts w:ascii="Arial" w:hAnsi="Arial" w:cs="Arial"/>
          <w:color w:val="222222"/>
          <w:sz w:val="19"/>
          <w:szCs w:val="19"/>
        </w:rPr>
      </w:pPr>
      <w:r w:rsidRPr="009D6672">
        <w:rPr>
          <w:rFonts w:ascii="Arial" w:hAnsi="Arial" w:cs="Arial"/>
          <w:color w:val="222222"/>
          <w:sz w:val="19"/>
          <w:szCs w:val="19"/>
        </w:rPr>
        <w:t>T= Task main effect</w:t>
      </w:r>
    </w:p>
    <w:p w14:paraId="0F60FB21" w14:textId="77777777" w:rsidR="009D6672" w:rsidRPr="009D6672" w:rsidRDefault="009D6672" w:rsidP="009D6672">
      <w:pPr>
        <w:shd w:val="clear" w:color="auto" w:fill="FFFFFF"/>
        <w:rPr>
          <w:rFonts w:ascii="Arial" w:hAnsi="Arial" w:cs="Arial"/>
          <w:color w:val="222222"/>
          <w:sz w:val="19"/>
          <w:szCs w:val="19"/>
        </w:rPr>
      </w:pPr>
      <w:r w:rsidRPr="009D6672">
        <w:rPr>
          <w:rFonts w:ascii="Arial" w:hAnsi="Arial" w:cs="Arial"/>
          <w:color w:val="222222"/>
          <w:sz w:val="19"/>
          <w:szCs w:val="19"/>
        </w:rPr>
        <w:t xml:space="preserve">S = Subdimension </w:t>
      </w:r>
      <w:proofErr w:type="spellStart"/>
      <w:r w:rsidRPr="009D6672">
        <w:rPr>
          <w:rFonts w:ascii="Arial" w:hAnsi="Arial" w:cs="Arial"/>
          <w:color w:val="222222"/>
          <w:sz w:val="19"/>
          <w:szCs w:val="19"/>
        </w:rPr>
        <w:t>subdimension</w:t>
      </w:r>
      <w:proofErr w:type="spellEnd"/>
      <w:r w:rsidRPr="009D6672">
        <w:rPr>
          <w:rFonts w:ascii="Arial" w:hAnsi="Arial" w:cs="Arial"/>
          <w:color w:val="222222"/>
          <w:sz w:val="19"/>
          <w:szCs w:val="19"/>
        </w:rPr>
        <w:t xml:space="preserve"> main effect</w:t>
      </w:r>
    </w:p>
    <w:p w14:paraId="168EE10E" w14:textId="77777777" w:rsidR="009D6672" w:rsidRPr="009D6672" w:rsidRDefault="009D6672" w:rsidP="009D6672">
      <w:pPr>
        <w:shd w:val="clear" w:color="auto" w:fill="FFFFFF"/>
        <w:rPr>
          <w:rFonts w:ascii="Arial" w:hAnsi="Arial" w:cs="Arial"/>
          <w:color w:val="222222"/>
          <w:sz w:val="19"/>
          <w:szCs w:val="19"/>
        </w:rPr>
      </w:pPr>
      <w:proofErr w:type="gramStart"/>
      <w:r w:rsidRPr="009D6672">
        <w:rPr>
          <w:rFonts w:ascii="Arial" w:hAnsi="Arial" w:cs="Arial"/>
          <w:color w:val="222222"/>
          <w:sz w:val="19"/>
          <w:szCs w:val="19"/>
        </w:rPr>
        <w:t>I:T</w:t>
      </w:r>
      <w:proofErr w:type="gramEnd"/>
      <w:r w:rsidRPr="009D6672">
        <w:rPr>
          <w:rFonts w:ascii="Arial" w:hAnsi="Arial" w:cs="Arial"/>
          <w:color w:val="222222"/>
          <w:sz w:val="19"/>
          <w:szCs w:val="19"/>
        </w:rPr>
        <w:t xml:space="preserve"> = Instances of teamwork nested within tasks main effect</w:t>
      </w:r>
    </w:p>
    <w:p w14:paraId="025C952E" w14:textId="77777777" w:rsidR="009D6672" w:rsidRPr="009D6672" w:rsidRDefault="009D6672" w:rsidP="009D6672">
      <w:pPr>
        <w:shd w:val="clear" w:color="auto" w:fill="FFFFFF"/>
        <w:rPr>
          <w:rFonts w:ascii="Arial" w:hAnsi="Arial" w:cs="Arial"/>
          <w:color w:val="222222"/>
          <w:sz w:val="19"/>
          <w:szCs w:val="19"/>
        </w:rPr>
      </w:pPr>
      <w:r w:rsidRPr="009D6672">
        <w:rPr>
          <w:rFonts w:ascii="Arial" w:hAnsi="Arial" w:cs="Arial"/>
          <w:color w:val="222222"/>
          <w:sz w:val="19"/>
          <w:szCs w:val="19"/>
        </w:rPr>
        <w:t>L = Leadership main effect</w:t>
      </w:r>
    </w:p>
    <w:p w14:paraId="34D3B6F1" w14:textId="77777777" w:rsidR="009D6672" w:rsidRPr="009D6672" w:rsidRDefault="009D6672" w:rsidP="009D6672">
      <w:pPr>
        <w:shd w:val="clear" w:color="auto" w:fill="FFFFFF"/>
        <w:rPr>
          <w:rFonts w:ascii="Arial" w:hAnsi="Arial" w:cs="Arial"/>
          <w:color w:val="222222"/>
          <w:sz w:val="19"/>
          <w:szCs w:val="19"/>
        </w:rPr>
      </w:pPr>
      <w:r w:rsidRPr="009D6672">
        <w:rPr>
          <w:rFonts w:ascii="Arial" w:hAnsi="Arial" w:cs="Arial"/>
          <w:color w:val="222222"/>
          <w:sz w:val="19"/>
          <w:szCs w:val="19"/>
        </w:rPr>
        <w:t>R = Rater main effect</w:t>
      </w:r>
    </w:p>
    <w:p w14:paraId="391DFBFE" w14:textId="77777777" w:rsidR="009D6672" w:rsidRPr="009D6672" w:rsidRDefault="009D6672" w:rsidP="009D6672">
      <w:pPr>
        <w:shd w:val="clear" w:color="auto" w:fill="FFFFFF"/>
        <w:rPr>
          <w:rFonts w:ascii="Arial" w:hAnsi="Arial" w:cs="Arial"/>
          <w:color w:val="222222"/>
          <w:sz w:val="19"/>
          <w:szCs w:val="19"/>
        </w:rPr>
      </w:pPr>
      <w:r w:rsidRPr="009D6672">
        <w:rPr>
          <w:rFonts w:ascii="Arial" w:hAnsi="Arial" w:cs="Arial"/>
          <w:color w:val="222222"/>
          <w:sz w:val="19"/>
          <w:szCs w:val="19"/>
        </w:rPr>
        <w:t>I = Instances of teamwork main effect</w:t>
      </w:r>
    </w:p>
    <w:p w14:paraId="4E5911D8" w14:textId="77777777" w:rsidR="009D6672" w:rsidRPr="009D6672" w:rsidRDefault="009D6672" w:rsidP="009D6672">
      <w:pPr>
        <w:shd w:val="clear" w:color="auto" w:fill="FFFFFF"/>
        <w:rPr>
          <w:rFonts w:ascii="Arial" w:hAnsi="Arial" w:cs="Arial"/>
          <w:color w:val="222222"/>
          <w:sz w:val="19"/>
          <w:szCs w:val="19"/>
        </w:rPr>
      </w:pPr>
      <w:r w:rsidRPr="009D6672">
        <w:rPr>
          <w:rFonts w:ascii="Arial" w:hAnsi="Arial" w:cs="Arial"/>
          <w:color w:val="222222"/>
          <w:sz w:val="19"/>
          <w:szCs w:val="19"/>
        </w:rPr>
        <w:t>RS = Rater by subdimension interaction</w:t>
      </w:r>
    </w:p>
    <w:p w14:paraId="4A0E6BC0" w14:textId="77777777" w:rsidR="009D6672" w:rsidRPr="009D6672" w:rsidRDefault="009D6672" w:rsidP="009D6672">
      <w:pPr>
        <w:shd w:val="clear" w:color="auto" w:fill="FFFFFF"/>
        <w:rPr>
          <w:rFonts w:ascii="Arial" w:hAnsi="Arial" w:cs="Arial"/>
          <w:color w:val="222222"/>
          <w:sz w:val="19"/>
          <w:szCs w:val="19"/>
        </w:rPr>
      </w:pPr>
      <w:r w:rsidRPr="009D6672">
        <w:rPr>
          <w:rFonts w:ascii="Arial" w:hAnsi="Arial" w:cs="Arial"/>
          <w:color w:val="222222"/>
          <w:sz w:val="19"/>
          <w:szCs w:val="19"/>
        </w:rPr>
        <w:t>(</w:t>
      </w:r>
      <w:proofErr w:type="gramStart"/>
      <w:r w:rsidRPr="009D6672">
        <w:rPr>
          <w:rFonts w:ascii="Arial" w:hAnsi="Arial" w:cs="Arial"/>
          <w:color w:val="222222"/>
          <w:sz w:val="19"/>
          <w:szCs w:val="19"/>
        </w:rPr>
        <w:t>I:T</w:t>
      </w:r>
      <w:proofErr w:type="gramEnd"/>
      <w:r w:rsidRPr="009D6672">
        <w:rPr>
          <w:rFonts w:ascii="Arial" w:hAnsi="Arial" w:cs="Arial"/>
          <w:color w:val="222222"/>
          <w:sz w:val="19"/>
          <w:szCs w:val="19"/>
        </w:rPr>
        <w:t>) R = Instance by rater interaction</w:t>
      </w:r>
    </w:p>
    <w:p w14:paraId="26488E40" w14:textId="77777777" w:rsidR="009D6672" w:rsidRPr="009D6672" w:rsidRDefault="009D6672" w:rsidP="009D6672">
      <w:pPr>
        <w:shd w:val="clear" w:color="auto" w:fill="FFFFFF"/>
        <w:rPr>
          <w:rFonts w:ascii="Arial" w:hAnsi="Arial" w:cs="Arial"/>
          <w:color w:val="222222"/>
          <w:sz w:val="19"/>
          <w:szCs w:val="19"/>
        </w:rPr>
      </w:pPr>
      <w:r w:rsidRPr="009D6672">
        <w:rPr>
          <w:rFonts w:ascii="Arial" w:hAnsi="Arial" w:cs="Arial"/>
          <w:color w:val="222222"/>
          <w:sz w:val="19"/>
          <w:szCs w:val="19"/>
        </w:rPr>
        <w:t>(</w:t>
      </w:r>
      <w:proofErr w:type="gramStart"/>
      <w:r w:rsidRPr="009D6672">
        <w:rPr>
          <w:rFonts w:ascii="Arial" w:hAnsi="Arial" w:cs="Arial"/>
          <w:color w:val="222222"/>
          <w:sz w:val="19"/>
          <w:szCs w:val="19"/>
        </w:rPr>
        <w:t>I:T</w:t>
      </w:r>
      <w:proofErr w:type="gramEnd"/>
      <w:r w:rsidRPr="009D6672">
        <w:rPr>
          <w:rFonts w:ascii="Arial" w:hAnsi="Arial" w:cs="Arial"/>
          <w:color w:val="222222"/>
          <w:sz w:val="19"/>
          <w:szCs w:val="19"/>
        </w:rPr>
        <w:t xml:space="preserve">) S = Instance by </w:t>
      </w:r>
      <w:proofErr w:type="spellStart"/>
      <w:r w:rsidRPr="009D6672">
        <w:rPr>
          <w:rFonts w:ascii="Arial" w:hAnsi="Arial" w:cs="Arial"/>
          <w:color w:val="222222"/>
          <w:sz w:val="19"/>
          <w:szCs w:val="19"/>
        </w:rPr>
        <w:t>subdimenstion</w:t>
      </w:r>
      <w:proofErr w:type="spellEnd"/>
      <w:r w:rsidRPr="009D6672">
        <w:rPr>
          <w:rFonts w:ascii="Arial" w:hAnsi="Arial" w:cs="Arial"/>
          <w:color w:val="222222"/>
          <w:sz w:val="19"/>
          <w:szCs w:val="19"/>
        </w:rPr>
        <w:t xml:space="preserve"> interaction</w:t>
      </w:r>
    </w:p>
    <w:p w14:paraId="4885FD7F" w14:textId="77777777" w:rsidR="009D6672" w:rsidRPr="009D6672" w:rsidRDefault="009D6672" w:rsidP="009D6672">
      <w:pPr>
        <w:shd w:val="clear" w:color="auto" w:fill="FFFFFF"/>
        <w:rPr>
          <w:rFonts w:ascii="Arial" w:hAnsi="Arial" w:cs="Arial"/>
          <w:color w:val="222222"/>
          <w:sz w:val="19"/>
          <w:szCs w:val="19"/>
        </w:rPr>
      </w:pPr>
      <w:r w:rsidRPr="009D6672">
        <w:rPr>
          <w:rFonts w:ascii="Arial" w:hAnsi="Arial" w:cs="Arial"/>
          <w:color w:val="222222"/>
          <w:sz w:val="19"/>
          <w:szCs w:val="19"/>
        </w:rPr>
        <w:t>LS = Leadership by subdimension interaction</w:t>
      </w:r>
    </w:p>
    <w:p w14:paraId="575ADF94" w14:textId="77777777" w:rsidR="009D6672" w:rsidRPr="009D6672" w:rsidRDefault="009D6672" w:rsidP="009D6672">
      <w:pPr>
        <w:shd w:val="clear" w:color="auto" w:fill="FFFFFF"/>
        <w:rPr>
          <w:rFonts w:ascii="Arial" w:hAnsi="Arial" w:cs="Arial"/>
          <w:color w:val="222222"/>
          <w:sz w:val="19"/>
          <w:szCs w:val="19"/>
        </w:rPr>
      </w:pPr>
      <w:r w:rsidRPr="009D6672">
        <w:rPr>
          <w:rFonts w:ascii="Arial" w:hAnsi="Arial" w:cs="Arial"/>
          <w:color w:val="222222"/>
          <w:sz w:val="19"/>
          <w:szCs w:val="19"/>
        </w:rPr>
        <w:t>RL = Rater by leadership interaction</w:t>
      </w:r>
    </w:p>
    <w:p w14:paraId="544026ED" w14:textId="77777777" w:rsidR="009D6672" w:rsidRPr="009D6672" w:rsidRDefault="009D6672" w:rsidP="009D6672">
      <w:pPr>
        <w:shd w:val="clear" w:color="auto" w:fill="FFFFFF"/>
        <w:rPr>
          <w:rFonts w:ascii="Arial" w:hAnsi="Arial" w:cs="Arial"/>
          <w:color w:val="222222"/>
          <w:sz w:val="19"/>
          <w:szCs w:val="19"/>
        </w:rPr>
      </w:pPr>
      <w:r w:rsidRPr="009D6672">
        <w:rPr>
          <w:rFonts w:ascii="Arial" w:hAnsi="Arial" w:cs="Arial"/>
          <w:color w:val="222222"/>
          <w:sz w:val="19"/>
          <w:szCs w:val="19"/>
        </w:rPr>
        <w:t>(IT)RS; IRS; (</w:t>
      </w:r>
      <w:proofErr w:type="gramStart"/>
      <w:r w:rsidRPr="009D6672">
        <w:rPr>
          <w:rFonts w:ascii="Arial" w:hAnsi="Arial" w:cs="Arial"/>
          <w:color w:val="222222"/>
          <w:sz w:val="19"/>
          <w:szCs w:val="19"/>
        </w:rPr>
        <w:t>I:L</w:t>
      </w:r>
      <w:proofErr w:type="gramEnd"/>
      <w:r w:rsidRPr="009D6672">
        <w:rPr>
          <w:rFonts w:ascii="Arial" w:hAnsi="Arial" w:cs="Arial"/>
          <w:color w:val="222222"/>
          <w:sz w:val="19"/>
          <w:szCs w:val="19"/>
        </w:rPr>
        <w:t>)RS = Residual (unexplained) variance</w:t>
      </w:r>
    </w:p>
    <w:p w14:paraId="40E7485E" w14:textId="77777777" w:rsidR="009D6672" w:rsidRDefault="009D6672">
      <w:pPr>
        <w:rPr>
          <w:rFonts w:cs="Times New Roman"/>
          <w:i/>
        </w:rPr>
      </w:pPr>
    </w:p>
    <w:p w14:paraId="03D010B9" w14:textId="77777777" w:rsidR="009D6672" w:rsidRDefault="009D6672">
      <w:pPr>
        <w:rPr>
          <w:rFonts w:cs="Times New Roman"/>
          <w:i/>
        </w:rPr>
      </w:pPr>
    </w:p>
    <w:p w14:paraId="601E4320" w14:textId="77777777" w:rsidR="009D6672" w:rsidRDefault="009D6672">
      <w:pPr>
        <w:rPr>
          <w:rFonts w:cs="Times New Roman"/>
          <w:i/>
        </w:rPr>
      </w:pPr>
    </w:p>
    <w:p w14:paraId="04020C21" w14:textId="77777777" w:rsidR="009D6672" w:rsidRDefault="009D6672">
      <w:pPr>
        <w:rPr>
          <w:rFonts w:cs="Times New Roman"/>
          <w:i/>
        </w:rPr>
      </w:pPr>
    </w:p>
    <w:p w14:paraId="5D97F7DF" w14:textId="77777777" w:rsidR="009D6672" w:rsidRDefault="009D6672">
      <w:pPr>
        <w:rPr>
          <w:rFonts w:cs="Times New Roman"/>
          <w:i/>
        </w:rPr>
      </w:pPr>
    </w:p>
    <w:p w14:paraId="2A0D1475" w14:textId="77777777" w:rsidR="009D6672" w:rsidRDefault="009D6672">
      <w:pPr>
        <w:rPr>
          <w:rFonts w:cs="Times New Roman"/>
          <w:i/>
        </w:rPr>
      </w:pPr>
    </w:p>
    <w:p w14:paraId="52D69C4D" w14:textId="77777777" w:rsidR="009D6672" w:rsidRDefault="009D6672">
      <w:pPr>
        <w:rPr>
          <w:rFonts w:cs="Times New Roman"/>
          <w:i/>
        </w:rPr>
      </w:pPr>
    </w:p>
    <w:p w14:paraId="0E3720F9" w14:textId="77777777" w:rsidR="009D6672" w:rsidRDefault="009D6672">
      <w:pPr>
        <w:rPr>
          <w:rFonts w:cs="Times New Roman"/>
          <w:i/>
        </w:rPr>
      </w:pPr>
    </w:p>
    <w:p w14:paraId="73F8B29E" w14:textId="77777777" w:rsidR="009D6672" w:rsidRDefault="009D6672">
      <w:pPr>
        <w:rPr>
          <w:rFonts w:cs="Times New Roman"/>
          <w:i/>
        </w:rPr>
      </w:pPr>
    </w:p>
    <w:p w14:paraId="26E94026" w14:textId="77777777" w:rsidR="009D6672" w:rsidRDefault="009D6672">
      <w:pPr>
        <w:rPr>
          <w:rFonts w:cs="Times New Roman"/>
          <w:i/>
        </w:rPr>
      </w:pPr>
    </w:p>
    <w:p w14:paraId="5D4EC93F" w14:textId="77777777" w:rsidR="009D6672" w:rsidRDefault="009D6672">
      <w:pPr>
        <w:rPr>
          <w:rFonts w:cs="Times New Roman"/>
          <w:i/>
        </w:rPr>
      </w:pPr>
    </w:p>
    <w:p w14:paraId="328B4EC1" w14:textId="77777777" w:rsidR="009D6672" w:rsidRDefault="009D6672">
      <w:pPr>
        <w:rPr>
          <w:rFonts w:cs="Times New Roman"/>
          <w:i/>
        </w:rPr>
      </w:pPr>
    </w:p>
    <w:p w14:paraId="255905ED" w14:textId="77777777" w:rsidR="009D6672" w:rsidRDefault="009D6672">
      <w:pPr>
        <w:rPr>
          <w:rFonts w:cs="Times New Roman"/>
          <w:i/>
        </w:rPr>
      </w:pPr>
    </w:p>
    <w:p w14:paraId="181FF190" w14:textId="77777777" w:rsidR="009D6672" w:rsidRDefault="009D6672">
      <w:pPr>
        <w:rPr>
          <w:rFonts w:cs="Times New Roman"/>
          <w:i/>
        </w:rPr>
      </w:pPr>
      <w:r>
        <w:rPr>
          <w:rFonts w:cs="Times New Roman"/>
          <w:i/>
        </w:rPr>
        <w:br w:type="page"/>
      </w:r>
    </w:p>
    <w:p w14:paraId="439EF919" w14:textId="77777777" w:rsidR="00A4205F" w:rsidRDefault="00A4205F" w:rsidP="00A4205F">
      <w:pPr>
        <w:rPr>
          <w:rFonts w:cs="Times New Roman"/>
          <w:i/>
        </w:rPr>
      </w:pPr>
      <w:r>
        <w:rPr>
          <w:rFonts w:cs="Times New Roman"/>
          <w:i/>
        </w:rPr>
        <w:lastRenderedPageBreak/>
        <w:t xml:space="preserve">                                                         </w:t>
      </w:r>
      <w:r w:rsidRPr="00484097">
        <w:rPr>
          <w:rFonts w:cs="Times New Roman"/>
          <w:i/>
        </w:rPr>
        <w:t>Transition Team Tasks</w:t>
      </w:r>
    </w:p>
    <w:p w14:paraId="44C710B2" w14:textId="77777777" w:rsidR="00A4205F" w:rsidRDefault="00A4205F" w:rsidP="00A4205F">
      <w:pPr>
        <w:rPr>
          <w:rFonts w:cs="Times New Roman"/>
          <w:i/>
        </w:rPr>
      </w:pPr>
    </w:p>
    <w:p w14:paraId="23D843A0" w14:textId="77777777" w:rsidR="00A4205F" w:rsidRDefault="00A4205F" w:rsidP="00A4205F">
      <w:pPr>
        <w:rPr>
          <w:rFonts w:cs="Times New Roman"/>
          <w:i/>
        </w:rPr>
      </w:pPr>
      <w:r w:rsidRPr="00484097">
        <w:rPr>
          <w:rFonts w:cs="Times New Roman"/>
          <w:noProof/>
        </w:rPr>
        <w:drawing>
          <wp:anchor distT="0" distB="0" distL="114300" distR="114300" simplePos="0" relativeHeight="251660288" behindDoc="0" locked="0" layoutInCell="1" allowOverlap="1" wp14:anchorId="6E0116CC" wp14:editId="3AD47AF5">
            <wp:simplePos x="0" y="0"/>
            <wp:positionH relativeFrom="column">
              <wp:posOffset>2857500</wp:posOffset>
            </wp:positionH>
            <wp:positionV relativeFrom="paragraph">
              <wp:posOffset>-7620</wp:posOffset>
            </wp:positionV>
            <wp:extent cx="2742565" cy="2286000"/>
            <wp:effectExtent l="0" t="0" r="26035" b="25400"/>
            <wp:wrapTight wrapText="bothSides">
              <wp:wrapPolygon edited="0">
                <wp:start x="0" y="0"/>
                <wp:lineTo x="0" y="21600"/>
                <wp:lineTo x="21605" y="21600"/>
                <wp:lineTo x="21605" y="0"/>
                <wp:lineTo x="0" y="0"/>
              </wp:wrapPolygon>
            </wp:wrapTight>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484097">
        <w:rPr>
          <w:rFonts w:cs="Times New Roman"/>
          <w:noProof/>
        </w:rPr>
        <w:drawing>
          <wp:anchor distT="0" distB="0" distL="114300" distR="114300" simplePos="0" relativeHeight="251659264" behindDoc="0" locked="0" layoutInCell="1" allowOverlap="1" wp14:anchorId="047DE3BF" wp14:editId="6C96C896">
            <wp:simplePos x="0" y="0"/>
            <wp:positionH relativeFrom="column">
              <wp:posOffset>0</wp:posOffset>
            </wp:positionH>
            <wp:positionV relativeFrom="paragraph">
              <wp:posOffset>-7620</wp:posOffset>
            </wp:positionV>
            <wp:extent cx="2742565" cy="2286000"/>
            <wp:effectExtent l="0" t="0" r="26035" b="25400"/>
            <wp:wrapTight wrapText="bothSides">
              <wp:wrapPolygon edited="0">
                <wp:start x="0" y="0"/>
                <wp:lineTo x="0" y="21600"/>
                <wp:lineTo x="21605" y="21600"/>
                <wp:lineTo x="21605" y="0"/>
                <wp:lineTo x="0" y="0"/>
              </wp:wrapPolygon>
            </wp:wrapTight>
            <wp:docPr id="93" name="Chart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rFonts w:cs="Times New Roman"/>
          <w:i/>
        </w:rPr>
        <w:t xml:space="preserve">                       </w:t>
      </w:r>
    </w:p>
    <w:p w14:paraId="3AA70520" w14:textId="77777777" w:rsidR="00A4205F" w:rsidRDefault="00A4205F" w:rsidP="00A4205F">
      <w:pPr>
        <w:rPr>
          <w:rFonts w:cs="Times New Roman"/>
          <w:i/>
        </w:rPr>
      </w:pPr>
    </w:p>
    <w:p w14:paraId="347C78B7" w14:textId="77777777" w:rsidR="00A4205F" w:rsidRDefault="00A4205F" w:rsidP="00A4205F">
      <w:pPr>
        <w:rPr>
          <w:rFonts w:cs="Times New Roman"/>
          <w:i/>
        </w:rPr>
      </w:pPr>
    </w:p>
    <w:p w14:paraId="262FC106" w14:textId="77777777" w:rsidR="00A4205F" w:rsidRDefault="00A4205F" w:rsidP="00A4205F">
      <w:pPr>
        <w:rPr>
          <w:rFonts w:cs="Times New Roman"/>
          <w:i/>
        </w:rPr>
      </w:pPr>
    </w:p>
    <w:p w14:paraId="110CD408" w14:textId="77777777" w:rsidR="00A4205F" w:rsidRDefault="00A4205F" w:rsidP="00A4205F">
      <w:pPr>
        <w:rPr>
          <w:rFonts w:cs="Times New Roman"/>
          <w:i/>
        </w:rPr>
      </w:pPr>
    </w:p>
    <w:p w14:paraId="342EEA02" w14:textId="77777777" w:rsidR="00A4205F" w:rsidRDefault="00A4205F" w:rsidP="00A4205F">
      <w:pPr>
        <w:rPr>
          <w:rFonts w:cs="Times New Roman"/>
          <w:i/>
        </w:rPr>
      </w:pPr>
    </w:p>
    <w:p w14:paraId="06D423ED" w14:textId="77777777" w:rsidR="00A4205F" w:rsidRDefault="00A4205F" w:rsidP="00A4205F">
      <w:pPr>
        <w:rPr>
          <w:rFonts w:cs="Times New Roman"/>
          <w:i/>
        </w:rPr>
      </w:pPr>
    </w:p>
    <w:p w14:paraId="1372DC5E" w14:textId="77777777" w:rsidR="00A4205F" w:rsidRDefault="00A4205F" w:rsidP="00A4205F">
      <w:pPr>
        <w:rPr>
          <w:rFonts w:cs="Times New Roman"/>
          <w:i/>
        </w:rPr>
      </w:pPr>
    </w:p>
    <w:p w14:paraId="387CCE80" w14:textId="77777777" w:rsidR="00A4205F" w:rsidRDefault="00A4205F" w:rsidP="00A4205F">
      <w:pPr>
        <w:rPr>
          <w:rFonts w:cs="Times New Roman"/>
          <w:i/>
        </w:rPr>
      </w:pPr>
    </w:p>
    <w:p w14:paraId="270AE1DD" w14:textId="77777777" w:rsidR="00A4205F" w:rsidRDefault="00A4205F" w:rsidP="00A4205F">
      <w:pPr>
        <w:rPr>
          <w:rFonts w:cs="Times New Roman"/>
          <w:i/>
        </w:rPr>
      </w:pPr>
    </w:p>
    <w:p w14:paraId="67879B32" w14:textId="77777777" w:rsidR="00A4205F" w:rsidRDefault="00A4205F" w:rsidP="00A4205F">
      <w:pPr>
        <w:rPr>
          <w:rFonts w:cs="Times New Roman"/>
          <w:i/>
        </w:rPr>
      </w:pPr>
    </w:p>
    <w:p w14:paraId="5859CB0B" w14:textId="77777777" w:rsidR="00A4205F" w:rsidRDefault="00A4205F" w:rsidP="00A4205F">
      <w:pPr>
        <w:rPr>
          <w:rFonts w:cs="Times New Roman"/>
          <w:i/>
        </w:rPr>
      </w:pPr>
    </w:p>
    <w:p w14:paraId="07CF44D5" w14:textId="67A9D6DC" w:rsidR="00A4205F" w:rsidRDefault="00A4205F" w:rsidP="00A4205F">
      <w:pPr>
        <w:rPr>
          <w:rFonts w:cs="Times New Roman"/>
          <w:i/>
        </w:rPr>
      </w:pPr>
    </w:p>
    <w:p w14:paraId="35905F12" w14:textId="79A4AAA8" w:rsidR="00A4205F" w:rsidRDefault="00A4205F" w:rsidP="00A4205F">
      <w:pPr>
        <w:rPr>
          <w:rFonts w:cs="Times New Roman"/>
          <w:i/>
        </w:rPr>
      </w:pPr>
      <w:r>
        <w:rPr>
          <w:noProof/>
        </w:rPr>
        <w:drawing>
          <wp:anchor distT="0" distB="0" distL="114300" distR="114300" simplePos="0" relativeHeight="251661312" behindDoc="0" locked="0" layoutInCell="1" allowOverlap="1" wp14:anchorId="47EC616A" wp14:editId="6DA82414">
            <wp:simplePos x="0" y="0"/>
            <wp:positionH relativeFrom="column">
              <wp:posOffset>-16933</wp:posOffset>
            </wp:positionH>
            <wp:positionV relativeFrom="paragraph">
              <wp:posOffset>93133</wp:posOffset>
            </wp:positionV>
            <wp:extent cx="2747010" cy="2286000"/>
            <wp:effectExtent l="0" t="0" r="21590" b="25400"/>
            <wp:wrapTight wrapText="bothSides">
              <wp:wrapPolygon edited="0">
                <wp:start x="0" y="0"/>
                <wp:lineTo x="0" y="21600"/>
                <wp:lineTo x="21570" y="21600"/>
                <wp:lineTo x="21570" y="0"/>
                <wp:lineTo x="0" y="0"/>
              </wp:wrapPolygon>
            </wp:wrapTight>
            <wp:docPr id="94" name="Chart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F9A1727" wp14:editId="107C9C7D">
            <wp:simplePos x="0" y="0"/>
            <wp:positionH relativeFrom="column">
              <wp:posOffset>2853266</wp:posOffset>
            </wp:positionH>
            <wp:positionV relativeFrom="paragraph">
              <wp:posOffset>76200</wp:posOffset>
            </wp:positionV>
            <wp:extent cx="2744470" cy="2273300"/>
            <wp:effectExtent l="0" t="0" r="24130" b="12700"/>
            <wp:wrapTight wrapText="bothSides">
              <wp:wrapPolygon edited="0">
                <wp:start x="0" y="0"/>
                <wp:lineTo x="0" y="21479"/>
                <wp:lineTo x="21590" y="21479"/>
                <wp:lineTo x="21590" y="0"/>
                <wp:lineTo x="0" y="0"/>
              </wp:wrapPolygon>
            </wp:wrapTight>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7E9BF826" w14:textId="1806BC80" w:rsidR="00A4205F" w:rsidRDefault="00A4205F" w:rsidP="00A4205F">
      <w:pPr>
        <w:rPr>
          <w:rFonts w:cs="Times New Roman"/>
          <w:i/>
        </w:rPr>
      </w:pPr>
    </w:p>
    <w:p w14:paraId="408BB600" w14:textId="015C35BE" w:rsidR="00A4205F" w:rsidRDefault="00A4205F" w:rsidP="00A4205F">
      <w:pPr>
        <w:rPr>
          <w:rFonts w:cs="Times New Roman"/>
          <w:i/>
        </w:rPr>
      </w:pPr>
    </w:p>
    <w:p w14:paraId="4AD202EE" w14:textId="77777777" w:rsidR="00A4205F" w:rsidRDefault="00A4205F" w:rsidP="00A4205F">
      <w:pPr>
        <w:rPr>
          <w:rFonts w:cs="Times New Roman"/>
          <w:i/>
        </w:rPr>
      </w:pPr>
    </w:p>
    <w:p w14:paraId="75C731A2" w14:textId="77777777" w:rsidR="00A4205F" w:rsidRDefault="00A4205F" w:rsidP="00A4205F">
      <w:pPr>
        <w:rPr>
          <w:rFonts w:cs="Times New Roman"/>
          <w:i/>
        </w:rPr>
      </w:pPr>
    </w:p>
    <w:p w14:paraId="75C8177F" w14:textId="77777777" w:rsidR="00A4205F" w:rsidRDefault="00A4205F" w:rsidP="00A4205F">
      <w:pPr>
        <w:rPr>
          <w:rFonts w:cs="Times New Roman"/>
          <w:i/>
        </w:rPr>
      </w:pPr>
    </w:p>
    <w:p w14:paraId="183A68E3" w14:textId="77777777" w:rsidR="00A4205F" w:rsidRDefault="00A4205F" w:rsidP="00A4205F">
      <w:pPr>
        <w:rPr>
          <w:rFonts w:cs="Times New Roman"/>
          <w:i/>
        </w:rPr>
      </w:pPr>
    </w:p>
    <w:p w14:paraId="13D688C9" w14:textId="77777777" w:rsidR="00A4205F" w:rsidRDefault="00A4205F" w:rsidP="00A4205F">
      <w:pPr>
        <w:rPr>
          <w:rFonts w:cs="Times New Roman"/>
          <w:i/>
        </w:rPr>
      </w:pPr>
    </w:p>
    <w:p w14:paraId="284A42F7" w14:textId="77777777" w:rsidR="00A4205F" w:rsidRDefault="00A4205F" w:rsidP="00A4205F">
      <w:pPr>
        <w:rPr>
          <w:rFonts w:cs="Times New Roman"/>
          <w:i/>
        </w:rPr>
      </w:pPr>
    </w:p>
    <w:p w14:paraId="43F7BD32" w14:textId="77777777" w:rsidR="00A4205F" w:rsidRDefault="00A4205F" w:rsidP="00A4205F">
      <w:pPr>
        <w:rPr>
          <w:rFonts w:cs="Times New Roman"/>
          <w:i/>
        </w:rPr>
      </w:pPr>
    </w:p>
    <w:p w14:paraId="1221FB3D" w14:textId="77777777" w:rsidR="00A4205F" w:rsidRDefault="00A4205F" w:rsidP="00A4205F">
      <w:pPr>
        <w:rPr>
          <w:rFonts w:cs="Times New Roman"/>
          <w:i/>
        </w:rPr>
      </w:pPr>
    </w:p>
    <w:p w14:paraId="3CAFFEFE" w14:textId="77777777" w:rsidR="00A4205F" w:rsidRDefault="00A4205F" w:rsidP="00A4205F">
      <w:pPr>
        <w:rPr>
          <w:rFonts w:cs="Times New Roman"/>
          <w:i/>
        </w:rPr>
      </w:pPr>
    </w:p>
    <w:p w14:paraId="46D63A14" w14:textId="77777777" w:rsidR="00A4205F" w:rsidRDefault="00A4205F" w:rsidP="00A4205F">
      <w:pPr>
        <w:rPr>
          <w:rFonts w:cs="Times New Roman"/>
          <w:i/>
        </w:rPr>
      </w:pPr>
    </w:p>
    <w:p w14:paraId="237EE902" w14:textId="77777777" w:rsidR="00A4205F" w:rsidRDefault="00A4205F" w:rsidP="00A4205F">
      <w:pPr>
        <w:rPr>
          <w:rFonts w:cs="Times New Roman"/>
          <w:i/>
        </w:rPr>
      </w:pPr>
    </w:p>
    <w:p w14:paraId="56BDC01A" w14:textId="77777777" w:rsidR="00A4205F" w:rsidRDefault="00A4205F" w:rsidP="00A4205F">
      <w:pPr>
        <w:rPr>
          <w:rFonts w:cs="Times New Roman"/>
          <w:i/>
        </w:rPr>
      </w:pPr>
      <w:r>
        <w:rPr>
          <w:rFonts w:cs="Times New Roman"/>
          <w:i/>
        </w:rPr>
        <w:t xml:space="preserve">                        Action Team Task</w:t>
      </w:r>
      <w:r>
        <w:rPr>
          <w:rFonts w:cs="Times New Roman"/>
          <w:i/>
        </w:rPr>
        <w:tab/>
      </w:r>
      <w:r>
        <w:rPr>
          <w:rFonts w:cs="Times New Roman"/>
          <w:i/>
        </w:rPr>
        <w:tab/>
      </w:r>
      <w:r>
        <w:rPr>
          <w:rFonts w:cs="Times New Roman"/>
          <w:i/>
        </w:rPr>
        <w:tab/>
        <w:t xml:space="preserve">      Global Team Competency</w:t>
      </w:r>
    </w:p>
    <w:p w14:paraId="18B5A185" w14:textId="76BF1350" w:rsidR="00A4205F" w:rsidRPr="00A4205F" w:rsidRDefault="00A4205F" w:rsidP="00A4205F">
      <w:pPr>
        <w:rPr>
          <w:rFonts w:cs="Times New Roman"/>
          <w:i/>
        </w:rPr>
      </w:pPr>
      <w:r>
        <w:rPr>
          <w:noProof/>
        </w:rPr>
        <w:drawing>
          <wp:anchor distT="0" distB="0" distL="114300" distR="114300" simplePos="0" relativeHeight="251664384" behindDoc="0" locked="0" layoutInCell="1" allowOverlap="1" wp14:anchorId="15316B4A" wp14:editId="23EDB3C7">
            <wp:simplePos x="0" y="0"/>
            <wp:positionH relativeFrom="column">
              <wp:posOffset>2908935</wp:posOffset>
            </wp:positionH>
            <wp:positionV relativeFrom="paragraph">
              <wp:posOffset>114935</wp:posOffset>
            </wp:positionV>
            <wp:extent cx="2744470" cy="2286000"/>
            <wp:effectExtent l="0" t="0" r="24130" b="25400"/>
            <wp:wrapTight wrapText="bothSides">
              <wp:wrapPolygon edited="0">
                <wp:start x="0" y="0"/>
                <wp:lineTo x="0" y="21600"/>
                <wp:lineTo x="21590" y="21600"/>
                <wp:lineTo x="21590" y="0"/>
                <wp:lineTo x="0" y="0"/>
              </wp:wrapPolygon>
            </wp:wrapTight>
            <wp:docPr id="95" name="Chart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1168E1D" wp14:editId="0956F0EA">
            <wp:simplePos x="0" y="0"/>
            <wp:positionH relativeFrom="column">
              <wp:posOffset>48260</wp:posOffset>
            </wp:positionH>
            <wp:positionV relativeFrom="paragraph">
              <wp:posOffset>114935</wp:posOffset>
            </wp:positionV>
            <wp:extent cx="2742565" cy="2286000"/>
            <wp:effectExtent l="0" t="0" r="26035" b="25400"/>
            <wp:wrapTight wrapText="bothSides">
              <wp:wrapPolygon edited="0">
                <wp:start x="0" y="0"/>
                <wp:lineTo x="0" y="21600"/>
                <wp:lineTo x="21605" y="21600"/>
                <wp:lineTo x="21605" y="0"/>
                <wp:lineTo x="0" y="0"/>
              </wp:wrapPolygon>
            </wp:wrapTight>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4A46E81B" w14:textId="103056F6" w:rsidR="008315C3" w:rsidRPr="00A4205F" w:rsidRDefault="008315C3">
      <w:pPr>
        <w:rPr>
          <w:rFonts w:cs="Times New Roman"/>
          <w:i/>
        </w:rPr>
      </w:pPr>
    </w:p>
    <w:sectPr w:rsidR="008315C3" w:rsidRPr="00A4205F" w:rsidSect="007C2183">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439FD" w14:textId="77777777" w:rsidR="0008416E" w:rsidRDefault="0008416E" w:rsidP="00654C47">
      <w:r>
        <w:separator/>
      </w:r>
    </w:p>
  </w:endnote>
  <w:endnote w:type="continuationSeparator" w:id="0">
    <w:p w14:paraId="3A865AD2" w14:textId="77777777" w:rsidR="0008416E" w:rsidRDefault="0008416E" w:rsidP="0065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2DF0C" w14:textId="77777777" w:rsidR="0008416E" w:rsidRDefault="0008416E" w:rsidP="00654C47">
      <w:r>
        <w:separator/>
      </w:r>
    </w:p>
  </w:footnote>
  <w:footnote w:type="continuationSeparator" w:id="0">
    <w:p w14:paraId="06C10D09" w14:textId="77777777" w:rsidR="0008416E" w:rsidRDefault="0008416E" w:rsidP="00654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5B3"/>
    <w:multiLevelType w:val="hybridMultilevel"/>
    <w:tmpl w:val="C562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6571"/>
    <w:multiLevelType w:val="hybridMultilevel"/>
    <w:tmpl w:val="B4C0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A07B5"/>
    <w:multiLevelType w:val="hybridMultilevel"/>
    <w:tmpl w:val="C6CE4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53DBD"/>
    <w:multiLevelType w:val="hybridMultilevel"/>
    <w:tmpl w:val="55CE3AB4"/>
    <w:lvl w:ilvl="0" w:tplc="8FD20C06">
      <w:start w:val="1"/>
      <w:numFmt w:val="bullet"/>
      <w:lvlText w:val=""/>
      <w:lvlJc w:val="left"/>
      <w:pPr>
        <w:ind w:left="720" w:hanging="360"/>
      </w:pPr>
      <w:rPr>
        <w:rFonts w:ascii="Symbol" w:hAnsi="Symbol" w:hint="default"/>
      </w:rPr>
    </w:lvl>
    <w:lvl w:ilvl="1" w:tplc="B2948F9C">
      <w:start w:val="1"/>
      <w:numFmt w:val="bullet"/>
      <w:lvlText w:val="o"/>
      <w:lvlJc w:val="left"/>
      <w:pPr>
        <w:ind w:left="1440" w:hanging="360"/>
      </w:pPr>
      <w:rPr>
        <w:rFonts w:ascii="Courier New" w:hAnsi="Courier New" w:cs="Courier New" w:hint="default"/>
      </w:rPr>
    </w:lvl>
    <w:lvl w:ilvl="2" w:tplc="F8661EF2">
      <w:start w:val="1"/>
      <w:numFmt w:val="bullet"/>
      <w:lvlText w:val=""/>
      <w:lvlJc w:val="left"/>
      <w:pPr>
        <w:ind w:left="2160" w:hanging="360"/>
      </w:pPr>
      <w:rPr>
        <w:rFonts w:ascii="Wingdings" w:hAnsi="Wingdings" w:hint="default"/>
      </w:rPr>
    </w:lvl>
    <w:lvl w:ilvl="3" w:tplc="7A101478">
      <w:start w:val="1"/>
      <w:numFmt w:val="bullet"/>
      <w:lvlText w:val=""/>
      <w:lvlJc w:val="left"/>
      <w:pPr>
        <w:ind w:left="2880" w:hanging="360"/>
      </w:pPr>
      <w:rPr>
        <w:rFonts w:ascii="Symbol" w:hAnsi="Symbol" w:hint="default"/>
      </w:rPr>
    </w:lvl>
    <w:lvl w:ilvl="4" w:tplc="B14EAEF2">
      <w:start w:val="1"/>
      <w:numFmt w:val="bullet"/>
      <w:lvlText w:val="o"/>
      <w:lvlJc w:val="left"/>
      <w:pPr>
        <w:ind w:left="3600" w:hanging="360"/>
      </w:pPr>
      <w:rPr>
        <w:rFonts w:ascii="Courier New" w:hAnsi="Courier New" w:cs="Courier New" w:hint="default"/>
      </w:rPr>
    </w:lvl>
    <w:lvl w:ilvl="5" w:tplc="E8CC5922">
      <w:start w:val="1"/>
      <w:numFmt w:val="bullet"/>
      <w:lvlText w:val=""/>
      <w:lvlJc w:val="left"/>
      <w:pPr>
        <w:ind w:left="4320" w:hanging="360"/>
      </w:pPr>
      <w:rPr>
        <w:rFonts w:ascii="Wingdings" w:hAnsi="Wingdings" w:hint="default"/>
      </w:rPr>
    </w:lvl>
    <w:lvl w:ilvl="6" w:tplc="C51662FE">
      <w:start w:val="1"/>
      <w:numFmt w:val="bullet"/>
      <w:lvlText w:val=""/>
      <w:lvlJc w:val="left"/>
      <w:pPr>
        <w:ind w:left="5040" w:hanging="360"/>
      </w:pPr>
      <w:rPr>
        <w:rFonts w:ascii="Symbol" w:hAnsi="Symbol" w:hint="default"/>
      </w:rPr>
    </w:lvl>
    <w:lvl w:ilvl="7" w:tplc="25DA7294">
      <w:start w:val="1"/>
      <w:numFmt w:val="bullet"/>
      <w:lvlText w:val="o"/>
      <w:lvlJc w:val="left"/>
      <w:pPr>
        <w:ind w:left="5760" w:hanging="360"/>
      </w:pPr>
      <w:rPr>
        <w:rFonts w:ascii="Courier New" w:hAnsi="Courier New" w:cs="Courier New" w:hint="default"/>
      </w:rPr>
    </w:lvl>
    <w:lvl w:ilvl="8" w:tplc="0FDEFC5C">
      <w:start w:val="1"/>
      <w:numFmt w:val="bullet"/>
      <w:lvlText w:val=""/>
      <w:lvlJc w:val="left"/>
      <w:pPr>
        <w:ind w:left="6480" w:hanging="360"/>
      </w:pPr>
      <w:rPr>
        <w:rFonts w:ascii="Wingdings" w:hAnsi="Wingdings" w:hint="default"/>
      </w:rPr>
    </w:lvl>
  </w:abstractNum>
  <w:abstractNum w:abstractNumId="4" w15:restartNumberingAfterBreak="0">
    <w:nsid w:val="27940653"/>
    <w:multiLevelType w:val="hybridMultilevel"/>
    <w:tmpl w:val="BDF2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5120D"/>
    <w:multiLevelType w:val="hybridMultilevel"/>
    <w:tmpl w:val="86CA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D0449"/>
    <w:multiLevelType w:val="hybridMultilevel"/>
    <w:tmpl w:val="44A2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F66AE"/>
    <w:multiLevelType w:val="hybridMultilevel"/>
    <w:tmpl w:val="D41A8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D7D02"/>
    <w:multiLevelType w:val="hybridMultilevel"/>
    <w:tmpl w:val="77F8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57441"/>
    <w:multiLevelType w:val="hybridMultilevel"/>
    <w:tmpl w:val="4766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52AF0"/>
    <w:multiLevelType w:val="hybridMultilevel"/>
    <w:tmpl w:val="F95E28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2D5664"/>
    <w:multiLevelType w:val="hybridMultilevel"/>
    <w:tmpl w:val="286AE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F5194"/>
    <w:multiLevelType w:val="hybridMultilevel"/>
    <w:tmpl w:val="C9D6A686"/>
    <w:lvl w:ilvl="0" w:tplc="D5AE1710">
      <w:start w:val="1"/>
      <w:numFmt w:val="bullet"/>
      <w:lvlText w:val=""/>
      <w:lvlJc w:val="left"/>
      <w:pPr>
        <w:ind w:left="720" w:hanging="360"/>
      </w:pPr>
      <w:rPr>
        <w:rFonts w:ascii="Symbol" w:hAnsi="Symbol" w:hint="default"/>
      </w:rPr>
    </w:lvl>
    <w:lvl w:ilvl="1" w:tplc="4628D0BC">
      <w:start w:val="1"/>
      <w:numFmt w:val="bullet"/>
      <w:lvlText w:val="o"/>
      <w:lvlJc w:val="left"/>
      <w:pPr>
        <w:ind w:left="1440" w:hanging="360"/>
      </w:pPr>
      <w:rPr>
        <w:rFonts w:ascii="Courier New" w:hAnsi="Courier New" w:cs="Courier New" w:hint="default"/>
      </w:rPr>
    </w:lvl>
    <w:lvl w:ilvl="2" w:tplc="5688F330">
      <w:start w:val="1"/>
      <w:numFmt w:val="bullet"/>
      <w:lvlText w:val=""/>
      <w:lvlJc w:val="left"/>
      <w:pPr>
        <w:ind w:left="2160" w:hanging="360"/>
      </w:pPr>
      <w:rPr>
        <w:rFonts w:ascii="Wingdings" w:hAnsi="Wingdings" w:hint="default"/>
      </w:rPr>
    </w:lvl>
    <w:lvl w:ilvl="3" w:tplc="03F06B74">
      <w:start w:val="1"/>
      <w:numFmt w:val="bullet"/>
      <w:lvlText w:val=""/>
      <w:lvlJc w:val="left"/>
      <w:pPr>
        <w:ind w:left="2880" w:hanging="360"/>
      </w:pPr>
      <w:rPr>
        <w:rFonts w:ascii="Symbol" w:hAnsi="Symbol" w:hint="default"/>
      </w:rPr>
    </w:lvl>
    <w:lvl w:ilvl="4" w:tplc="BA8AD118">
      <w:start w:val="1"/>
      <w:numFmt w:val="bullet"/>
      <w:lvlText w:val="o"/>
      <w:lvlJc w:val="left"/>
      <w:pPr>
        <w:ind w:left="3600" w:hanging="360"/>
      </w:pPr>
      <w:rPr>
        <w:rFonts w:ascii="Courier New" w:hAnsi="Courier New" w:cs="Courier New" w:hint="default"/>
      </w:rPr>
    </w:lvl>
    <w:lvl w:ilvl="5" w:tplc="0D26BA6E">
      <w:start w:val="1"/>
      <w:numFmt w:val="bullet"/>
      <w:lvlText w:val=""/>
      <w:lvlJc w:val="left"/>
      <w:pPr>
        <w:ind w:left="4320" w:hanging="360"/>
      </w:pPr>
      <w:rPr>
        <w:rFonts w:ascii="Wingdings" w:hAnsi="Wingdings" w:hint="default"/>
      </w:rPr>
    </w:lvl>
    <w:lvl w:ilvl="6" w:tplc="B1906020">
      <w:start w:val="1"/>
      <w:numFmt w:val="bullet"/>
      <w:lvlText w:val=""/>
      <w:lvlJc w:val="left"/>
      <w:pPr>
        <w:ind w:left="5040" w:hanging="360"/>
      </w:pPr>
      <w:rPr>
        <w:rFonts w:ascii="Symbol" w:hAnsi="Symbol" w:hint="default"/>
      </w:rPr>
    </w:lvl>
    <w:lvl w:ilvl="7" w:tplc="3C0057EA">
      <w:start w:val="1"/>
      <w:numFmt w:val="bullet"/>
      <w:lvlText w:val="o"/>
      <w:lvlJc w:val="left"/>
      <w:pPr>
        <w:ind w:left="5760" w:hanging="360"/>
      </w:pPr>
      <w:rPr>
        <w:rFonts w:ascii="Courier New" w:hAnsi="Courier New" w:cs="Courier New" w:hint="default"/>
      </w:rPr>
    </w:lvl>
    <w:lvl w:ilvl="8" w:tplc="4656DF9C">
      <w:start w:val="1"/>
      <w:numFmt w:val="bullet"/>
      <w:lvlText w:val=""/>
      <w:lvlJc w:val="left"/>
      <w:pPr>
        <w:ind w:left="6480" w:hanging="360"/>
      </w:pPr>
      <w:rPr>
        <w:rFonts w:ascii="Wingdings" w:hAnsi="Wingdings" w:hint="default"/>
      </w:rPr>
    </w:lvl>
  </w:abstractNum>
  <w:abstractNum w:abstractNumId="13" w15:restartNumberingAfterBreak="0">
    <w:nsid w:val="5CE223E3"/>
    <w:multiLevelType w:val="hybridMultilevel"/>
    <w:tmpl w:val="C7DCD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F3671"/>
    <w:multiLevelType w:val="hybridMultilevel"/>
    <w:tmpl w:val="91FCF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81D68"/>
    <w:multiLevelType w:val="hybridMultilevel"/>
    <w:tmpl w:val="C0C4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571C5"/>
    <w:multiLevelType w:val="hybridMultilevel"/>
    <w:tmpl w:val="C2748A44"/>
    <w:lvl w:ilvl="0" w:tplc="C72C6552">
      <w:start w:val="1"/>
      <w:numFmt w:val="bullet"/>
      <w:lvlText w:val=""/>
      <w:lvlJc w:val="left"/>
      <w:pPr>
        <w:ind w:left="720" w:hanging="360"/>
      </w:pPr>
      <w:rPr>
        <w:rFonts w:ascii="Symbol" w:hAnsi="Symbol" w:hint="default"/>
      </w:rPr>
    </w:lvl>
    <w:lvl w:ilvl="1" w:tplc="89482DC0">
      <w:start w:val="1"/>
      <w:numFmt w:val="bullet"/>
      <w:lvlText w:val="o"/>
      <w:lvlJc w:val="left"/>
      <w:pPr>
        <w:ind w:left="1440" w:hanging="360"/>
      </w:pPr>
      <w:rPr>
        <w:rFonts w:ascii="Courier New" w:hAnsi="Courier New" w:cs="Courier New" w:hint="default"/>
      </w:rPr>
    </w:lvl>
    <w:lvl w:ilvl="2" w:tplc="9FBC97C6">
      <w:start w:val="1"/>
      <w:numFmt w:val="bullet"/>
      <w:lvlText w:val=""/>
      <w:lvlJc w:val="left"/>
      <w:pPr>
        <w:ind w:left="2160" w:hanging="360"/>
      </w:pPr>
      <w:rPr>
        <w:rFonts w:ascii="Wingdings" w:hAnsi="Wingdings" w:hint="default"/>
      </w:rPr>
    </w:lvl>
    <w:lvl w:ilvl="3" w:tplc="F68CEEA8">
      <w:start w:val="1"/>
      <w:numFmt w:val="bullet"/>
      <w:lvlText w:val=""/>
      <w:lvlJc w:val="left"/>
      <w:pPr>
        <w:ind w:left="2880" w:hanging="360"/>
      </w:pPr>
      <w:rPr>
        <w:rFonts w:ascii="Symbol" w:hAnsi="Symbol" w:hint="default"/>
      </w:rPr>
    </w:lvl>
    <w:lvl w:ilvl="4" w:tplc="63CC0E02">
      <w:start w:val="1"/>
      <w:numFmt w:val="bullet"/>
      <w:lvlText w:val="o"/>
      <w:lvlJc w:val="left"/>
      <w:pPr>
        <w:ind w:left="3600" w:hanging="360"/>
      </w:pPr>
      <w:rPr>
        <w:rFonts w:ascii="Courier New" w:hAnsi="Courier New" w:cs="Courier New" w:hint="default"/>
      </w:rPr>
    </w:lvl>
    <w:lvl w:ilvl="5" w:tplc="DDD82444">
      <w:start w:val="1"/>
      <w:numFmt w:val="bullet"/>
      <w:lvlText w:val=""/>
      <w:lvlJc w:val="left"/>
      <w:pPr>
        <w:ind w:left="4320" w:hanging="360"/>
      </w:pPr>
      <w:rPr>
        <w:rFonts w:ascii="Wingdings" w:hAnsi="Wingdings" w:hint="default"/>
      </w:rPr>
    </w:lvl>
    <w:lvl w:ilvl="6" w:tplc="9DB24F3C">
      <w:start w:val="1"/>
      <w:numFmt w:val="bullet"/>
      <w:lvlText w:val=""/>
      <w:lvlJc w:val="left"/>
      <w:pPr>
        <w:ind w:left="5040" w:hanging="360"/>
      </w:pPr>
      <w:rPr>
        <w:rFonts w:ascii="Symbol" w:hAnsi="Symbol" w:hint="default"/>
      </w:rPr>
    </w:lvl>
    <w:lvl w:ilvl="7" w:tplc="1368CED2">
      <w:start w:val="1"/>
      <w:numFmt w:val="bullet"/>
      <w:lvlText w:val="o"/>
      <w:lvlJc w:val="left"/>
      <w:pPr>
        <w:ind w:left="5760" w:hanging="360"/>
      </w:pPr>
      <w:rPr>
        <w:rFonts w:ascii="Courier New" w:hAnsi="Courier New" w:cs="Courier New" w:hint="default"/>
      </w:rPr>
    </w:lvl>
    <w:lvl w:ilvl="8" w:tplc="E370D11C">
      <w:start w:val="1"/>
      <w:numFmt w:val="bullet"/>
      <w:lvlText w:val=""/>
      <w:lvlJc w:val="left"/>
      <w:pPr>
        <w:ind w:left="6480" w:hanging="360"/>
      </w:pPr>
      <w:rPr>
        <w:rFonts w:ascii="Wingdings" w:hAnsi="Wingdings" w:hint="default"/>
      </w:rPr>
    </w:lvl>
  </w:abstractNum>
  <w:abstractNum w:abstractNumId="17" w15:restartNumberingAfterBreak="0">
    <w:nsid w:val="70F369A9"/>
    <w:multiLevelType w:val="hybridMultilevel"/>
    <w:tmpl w:val="8B327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7"/>
  </w:num>
  <w:num w:numId="4">
    <w:abstractNumId w:val="11"/>
  </w:num>
  <w:num w:numId="5">
    <w:abstractNumId w:val="10"/>
  </w:num>
  <w:num w:numId="6">
    <w:abstractNumId w:val="8"/>
  </w:num>
  <w:num w:numId="7">
    <w:abstractNumId w:val="0"/>
  </w:num>
  <w:num w:numId="8">
    <w:abstractNumId w:val="9"/>
  </w:num>
  <w:num w:numId="9">
    <w:abstractNumId w:val="13"/>
  </w:num>
  <w:num w:numId="10">
    <w:abstractNumId w:val="5"/>
  </w:num>
  <w:num w:numId="11">
    <w:abstractNumId w:val="15"/>
  </w:num>
  <w:num w:numId="12">
    <w:abstractNumId w:val="2"/>
  </w:num>
  <w:num w:numId="13">
    <w:abstractNumId w:val="6"/>
  </w:num>
  <w:num w:numId="14">
    <w:abstractNumId w:val="1"/>
  </w:num>
  <w:num w:numId="15">
    <w:abstractNumId w:val="4"/>
  </w:num>
  <w:num w:numId="16">
    <w:abstractNumId w:val="3"/>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E8"/>
    <w:rsid w:val="00001A8A"/>
    <w:rsid w:val="0000457C"/>
    <w:rsid w:val="00011CF9"/>
    <w:rsid w:val="0001261F"/>
    <w:rsid w:val="00014D35"/>
    <w:rsid w:val="0002565B"/>
    <w:rsid w:val="00031DED"/>
    <w:rsid w:val="0003437F"/>
    <w:rsid w:val="000356A1"/>
    <w:rsid w:val="00043483"/>
    <w:rsid w:val="000456A8"/>
    <w:rsid w:val="000463AE"/>
    <w:rsid w:val="00052E7E"/>
    <w:rsid w:val="000534E0"/>
    <w:rsid w:val="00056E04"/>
    <w:rsid w:val="000707F9"/>
    <w:rsid w:val="0008416E"/>
    <w:rsid w:val="00093F13"/>
    <w:rsid w:val="00093F38"/>
    <w:rsid w:val="000A006A"/>
    <w:rsid w:val="000C3BEC"/>
    <w:rsid w:val="000D63AA"/>
    <w:rsid w:val="000D7324"/>
    <w:rsid w:val="000E4556"/>
    <w:rsid w:val="000E4B20"/>
    <w:rsid w:val="000E5D86"/>
    <w:rsid w:val="000F5173"/>
    <w:rsid w:val="000F5A15"/>
    <w:rsid w:val="00117D16"/>
    <w:rsid w:val="00120AA9"/>
    <w:rsid w:val="00121583"/>
    <w:rsid w:val="0012182B"/>
    <w:rsid w:val="001228C3"/>
    <w:rsid w:val="0012330B"/>
    <w:rsid w:val="00130685"/>
    <w:rsid w:val="0013131C"/>
    <w:rsid w:val="001340A3"/>
    <w:rsid w:val="00134209"/>
    <w:rsid w:val="00137DA7"/>
    <w:rsid w:val="00143C43"/>
    <w:rsid w:val="00145B95"/>
    <w:rsid w:val="0014705E"/>
    <w:rsid w:val="00154BDB"/>
    <w:rsid w:val="0016214C"/>
    <w:rsid w:val="0016254B"/>
    <w:rsid w:val="001761E8"/>
    <w:rsid w:val="00187B3B"/>
    <w:rsid w:val="00196076"/>
    <w:rsid w:val="001A5B54"/>
    <w:rsid w:val="001A671C"/>
    <w:rsid w:val="001B1786"/>
    <w:rsid w:val="001B4995"/>
    <w:rsid w:val="001B6E7D"/>
    <w:rsid w:val="001C08AA"/>
    <w:rsid w:val="001C3C14"/>
    <w:rsid w:val="001F415E"/>
    <w:rsid w:val="001F682A"/>
    <w:rsid w:val="00202A5F"/>
    <w:rsid w:val="00203DD1"/>
    <w:rsid w:val="00204792"/>
    <w:rsid w:val="0022041E"/>
    <w:rsid w:val="002233BD"/>
    <w:rsid w:val="00224634"/>
    <w:rsid w:val="0022765D"/>
    <w:rsid w:val="002341B5"/>
    <w:rsid w:val="00240E49"/>
    <w:rsid w:val="002462C1"/>
    <w:rsid w:val="00274DCE"/>
    <w:rsid w:val="00283F1B"/>
    <w:rsid w:val="00286216"/>
    <w:rsid w:val="00286D13"/>
    <w:rsid w:val="002949D8"/>
    <w:rsid w:val="002A3173"/>
    <w:rsid w:val="002A47BD"/>
    <w:rsid w:val="002A6865"/>
    <w:rsid w:val="002B2EA4"/>
    <w:rsid w:val="002C374D"/>
    <w:rsid w:val="002C4FBF"/>
    <w:rsid w:val="002C75EC"/>
    <w:rsid w:val="002E0041"/>
    <w:rsid w:val="002E3083"/>
    <w:rsid w:val="002E4B45"/>
    <w:rsid w:val="002F683C"/>
    <w:rsid w:val="0030476E"/>
    <w:rsid w:val="00304837"/>
    <w:rsid w:val="00305A32"/>
    <w:rsid w:val="00306503"/>
    <w:rsid w:val="00310834"/>
    <w:rsid w:val="00312E57"/>
    <w:rsid w:val="00313C9B"/>
    <w:rsid w:val="003147BA"/>
    <w:rsid w:val="00317259"/>
    <w:rsid w:val="00320382"/>
    <w:rsid w:val="00324C7B"/>
    <w:rsid w:val="00327BAC"/>
    <w:rsid w:val="003330BD"/>
    <w:rsid w:val="003417DF"/>
    <w:rsid w:val="003472BB"/>
    <w:rsid w:val="003559ED"/>
    <w:rsid w:val="00367B53"/>
    <w:rsid w:val="00372304"/>
    <w:rsid w:val="00383C72"/>
    <w:rsid w:val="00396C11"/>
    <w:rsid w:val="003A23EC"/>
    <w:rsid w:val="003A53E6"/>
    <w:rsid w:val="003A6C6E"/>
    <w:rsid w:val="003B4E2B"/>
    <w:rsid w:val="003C1108"/>
    <w:rsid w:val="003C2009"/>
    <w:rsid w:val="003D556F"/>
    <w:rsid w:val="003D74ED"/>
    <w:rsid w:val="003E3F25"/>
    <w:rsid w:val="003F0FCA"/>
    <w:rsid w:val="003F70B4"/>
    <w:rsid w:val="003F780D"/>
    <w:rsid w:val="00402BD3"/>
    <w:rsid w:val="00414A5C"/>
    <w:rsid w:val="0042014A"/>
    <w:rsid w:val="00426466"/>
    <w:rsid w:val="0044614A"/>
    <w:rsid w:val="00452CCE"/>
    <w:rsid w:val="004565F5"/>
    <w:rsid w:val="0046386C"/>
    <w:rsid w:val="00465721"/>
    <w:rsid w:val="00475830"/>
    <w:rsid w:val="0048430B"/>
    <w:rsid w:val="0048774E"/>
    <w:rsid w:val="0049026B"/>
    <w:rsid w:val="0049430A"/>
    <w:rsid w:val="004A3F8A"/>
    <w:rsid w:val="004A78AB"/>
    <w:rsid w:val="004B3BE2"/>
    <w:rsid w:val="004C2252"/>
    <w:rsid w:val="004C22D7"/>
    <w:rsid w:val="004D2EE8"/>
    <w:rsid w:val="004D4B9D"/>
    <w:rsid w:val="004E42EF"/>
    <w:rsid w:val="00505F3D"/>
    <w:rsid w:val="00511A39"/>
    <w:rsid w:val="00516191"/>
    <w:rsid w:val="005245CD"/>
    <w:rsid w:val="00531000"/>
    <w:rsid w:val="00531855"/>
    <w:rsid w:val="00535886"/>
    <w:rsid w:val="0053603B"/>
    <w:rsid w:val="00543553"/>
    <w:rsid w:val="00545D69"/>
    <w:rsid w:val="0056526A"/>
    <w:rsid w:val="00566B08"/>
    <w:rsid w:val="0059212F"/>
    <w:rsid w:val="00592E03"/>
    <w:rsid w:val="005974D0"/>
    <w:rsid w:val="005B3A4B"/>
    <w:rsid w:val="005B449D"/>
    <w:rsid w:val="005B4846"/>
    <w:rsid w:val="005B5232"/>
    <w:rsid w:val="005B6E4A"/>
    <w:rsid w:val="005B746A"/>
    <w:rsid w:val="005C4E9C"/>
    <w:rsid w:val="005C5205"/>
    <w:rsid w:val="005D40E8"/>
    <w:rsid w:val="005E190D"/>
    <w:rsid w:val="005E3C9C"/>
    <w:rsid w:val="005E4083"/>
    <w:rsid w:val="005E4C80"/>
    <w:rsid w:val="005E6C2D"/>
    <w:rsid w:val="005F25E9"/>
    <w:rsid w:val="005F3A46"/>
    <w:rsid w:val="005F5CAF"/>
    <w:rsid w:val="00602643"/>
    <w:rsid w:val="00603158"/>
    <w:rsid w:val="00613797"/>
    <w:rsid w:val="00615BF8"/>
    <w:rsid w:val="006252B2"/>
    <w:rsid w:val="00625642"/>
    <w:rsid w:val="00642D60"/>
    <w:rsid w:val="0064761E"/>
    <w:rsid w:val="006532F7"/>
    <w:rsid w:val="006540D0"/>
    <w:rsid w:val="00654C47"/>
    <w:rsid w:val="006608F9"/>
    <w:rsid w:val="00661F98"/>
    <w:rsid w:val="006709BB"/>
    <w:rsid w:val="00677E5A"/>
    <w:rsid w:val="006920A2"/>
    <w:rsid w:val="00697E7B"/>
    <w:rsid w:val="006B06FC"/>
    <w:rsid w:val="006B18BA"/>
    <w:rsid w:val="006C0A79"/>
    <w:rsid w:val="006D2990"/>
    <w:rsid w:val="006D4E36"/>
    <w:rsid w:val="00700DFB"/>
    <w:rsid w:val="00705EA7"/>
    <w:rsid w:val="00706333"/>
    <w:rsid w:val="007068C1"/>
    <w:rsid w:val="007078B8"/>
    <w:rsid w:val="00725344"/>
    <w:rsid w:val="00752E4C"/>
    <w:rsid w:val="00757535"/>
    <w:rsid w:val="00761C23"/>
    <w:rsid w:val="007663A7"/>
    <w:rsid w:val="00783AE9"/>
    <w:rsid w:val="00786586"/>
    <w:rsid w:val="007901E8"/>
    <w:rsid w:val="007947BD"/>
    <w:rsid w:val="007947D4"/>
    <w:rsid w:val="007949DF"/>
    <w:rsid w:val="007975EC"/>
    <w:rsid w:val="007A10E9"/>
    <w:rsid w:val="007A3D89"/>
    <w:rsid w:val="007B182C"/>
    <w:rsid w:val="007B53AA"/>
    <w:rsid w:val="007B65DB"/>
    <w:rsid w:val="007B6C47"/>
    <w:rsid w:val="007C2183"/>
    <w:rsid w:val="007D242A"/>
    <w:rsid w:val="007D3E56"/>
    <w:rsid w:val="007D5C46"/>
    <w:rsid w:val="007F10A1"/>
    <w:rsid w:val="007F785D"/>
    <w:rsid w:val="008048B6"/>
    <w:rsid w:val="00810917"/>
    <w:rsid w:val="008174A9"/>
    <w:rsid w:val="00820760"/>
    <w:rsid w:val="008315C3"/>
    <w:rsid w:val="00833427"/>
    <w:rsid w:val="0083406D"/>
    <w:rsid w:val="008375A4"/>
    <w:rsid w:val="00841755"/>
    <w:rsid w:val="0084485A"/>
    <w:rsid w:val="00847356"/>
    <w:rsid w:val="008550A2"/>
    <w:rsid w:val="008609B8"/>
    <w:rsid w:val="008628F1"/>
    <w:rsid w:val="00863ABF"/>
    <w:rsid w:val="00864CB8"/>
    <w:rsid w:val="00872328"/>
    <w:rsid w:val="00880AB2"/>
    <w:rsid w:val="00881FC6"/>
    <w:rsid w:val="0088301E"/>
    <w:rsid w:val="00883AB4"/>
    <w:rsid w:val="00884530"/>
    <w:rsid w:val="00884C65"/>
    <w:rsid w:val="008B0A6C"/>
    <w:rsid w:val="008C0078"/>
    <w:rsid w:val="008D0935"/>
    <w:rsid w:val="008D0BCE"/>
    <w:rsid w:val="008D2CF6"/>
    <w:rsid w:val="008E05D6"/>
    <w:rsid w:val="008E1095"/>
    <w:rsid w:val="008E2159"/>
    <w:rsid w:val="008E3192"/>
    <w:rsid w:val="008F3A71"/>
    <w:rsid w:val="008F64B5"/>
    <w:rsid w:val="008F71E0"/>
    <w:rsid w:val="009006FF"/>
    <w:rsid w:val="00904D1A"/>
    <w:rsid w:val="00913BF4"/>
    <w:rsid w:val="009175F6"/>
    <w:rsid w:val="00925E3D"/>
    <w:rsid w:val="00926369"/>
    <w:rsid w:val="00926E21"/>
    <w:rsid w:val="0093647C"/>
    <w:rsid w:val="0093750F"/>
    <w:rsid w:val="00941166"/>
    <w:rsid w:val="00945E6B"/>
    <w:rsid w:val="009545FD"/>
    <w:rsid w:val="00954910"/>
    <w:rsid w:val="00956C6E"/>
    <w:rsid w:val="0096005B"/>
    <w:rsid w:val="009620F6"/>
    <w:rsid w:val="00964548"/>
    <w:rsid w:val="00971292"/>
    <w:rsid w:val="00971993"/>
    <w:rsid w:val="00971E3D"/>
    <w:rsid w:val="009A4A72"/>
    <w:rsid w:val="009B0C6C"/>
    <w:rsid w:val="009B2707"/>
    <w:rsid w:val="009B3517"/>
    <w:rsid w:val="009C3637"/>
    <w:rsid w:val="009C3FE8"/>
    <w:rsid w:val="009C4ABC"/>
    <w:rsid w:val="009C4D75"/>
    <w:rsid w:val="009C6C91"/>
    <w:rsid w:val="009C7A7A"/>
    <w:rsid w:val="009D6672"/>
    <w:rsid w:val="009E05CA"/>
    <w:rsid w:val="009E373D"/>
    <w:rsid w:val="009F4CAB"/>
    <w:rsid w:val="00A0706C"/>
    <w:rsid w:val="00A2014F"/>
    <w:rsid w:val="00A22632"/>
    <w:rsid w:val="00A245A1"/>
    <w:rsid w:val="00A3440A"/>
    <w:rsid w:val="00A36809"/>
    <w:rsid w:val="00A37E05"/>
    <w:rsid w:val="00A41E14"/>
    <w:rsid w:val="00A4205F"/>
    <w:rsid w:val="00A517D4"/>
    <w:rsid w:val="00A552DE"/>
    <w:rsid w:val="00A602D2"/>
    <w:rsid w:val="00A61E8F"/>
    <w:rsid w:val="00A63135"/>
    <w:rsid w:val="00A66059"/>
    <w:rsid w:val="00A67FF8"/>
    <w:rsid w:val="00A72BE5"/>
    <w:rsid w:val="00A72EE5"/>
    <w:rsid w:val="00A82F5C"/>
    <w:rsid w:val="00A93B4A"/>
    <w:rsid w:val="00A947DB"/>
    <w:rsid w:val="00AB107A"/>
    <w:rsid w:val="00AB3186"/>
    <w:rsid w:val="00AC04DE"/>
    <w:rsid w:val="00AC615F"/>
    <w:rsid w:val="00AD6EB7"/>
    <w:rsid w:val="00AE0C15"/>
    <w:rsid w:val="00AF1168"/>
    <w:rsid w:val="00AF41A4"/>
    <w:rsid w:val="00AF76A7"/>
    <w:rsid w:val="00B00BD8"/>
    <w:rsid w:val="00B067A5"/>
    <w:rsid w:val="00B12654"/>
    <w:rsid w:val="00B168E9"/>
    <w:rsid w:val="00B222D2"/>
    <w:rsid w:val="00B242A5"/>
    <w:rsid w:val="00B243D0"/>
    <w:rsid w:val="00B26519"/>
    <w:rsid w:val="00B30921"/>
    <w:rsid w:val="00B3495B"/>
    <w:rsid w:val="00B50DD7"/>
    <w:rsid w:val="00B526D0"/>
    <w:rsid w:val="00B60967"/>
    <w:rsid w:val="00B70D71"/>
    <w:rsid w:val="00B7746E"/>
    <w:rsid w:val="00B77A6A"/>
    <w:rsid w:val="00B81BA2"/>
    <w:rsid w:val="00B82B7A"/>
    <w:rsid w:val="00B83080"/>
    <w:rsid w:val="00B8712B"/>
    <w:rsid w:val="00B87C42"/>
    <w:rsid w:val="00B94007"/>
    <w:rsid w:val="00BC1133"/>
    <w:rsid w:val="00BC684C"/>
    <w:rsid w:val="00BC7727"/>
    <w:rsid w:val="00BE2C21"/>
    <w:rsid w:val="00BE44CF"/>
    <w:rsid w:val="00BE6A32"/>
    <w:rsid w:val="00BE6CB5"/>
    <w:rsid w:val="00BF2E77"/>
    <w:rsid w:val="00BF390C"/>
    <w:rsid w:val="00BF4458"/>
    <w:rsid w:val="00BF4F0A"/>
    <w:rsid w:val="00C03800"/>
    <w:rsid w:val="00C069A7"/>
    <w:rsid w:val="00C1578F"/>
    <w:rsid w:val="00C20843"/>
    <w:rsid w:val="00C25222"/>
    <w:rsid w:val="00C27C7D"/>
    <w:rsid w:val="00C27E29"/>
    <w:rsid w:val="00C324F3"/>
    <w:rsid w:val="00C45A03"/>
    <w:rsid w:val="00C5613A"/>
    <w:rsid w:val="00C61AEC"/>
    <w:rsid w:val="00C67ABE"/>
    <w:rsid w:val="00C70EE5"/>
    <w:rsid w:val="00C73DB7"/>
    <w:rsid w:val="00C74E6A"/>
    <w:rsid w:val="00C754D9"/>
    <w:rsid w:val="00C8112E"/>
    <w:rsid w:val="00C821E3"/>
    <w:rsid w:val="00C8655E"/>
    <w:rsid w:val="00C9442C"/>
    <w:rsid w:val="00CA05B9"/>
    <w:rsid w:val="00CA393D"/>
    <w:rsid w:val="00CB728D"/>
    <w:rsid w:val="00CC2195"/>
    <w:rsid w:val="00CC6A7D"/>
    <w:rsid w:val="00CD07EC"/>
    <w:rsid w:val="00CD2928"/>
    <w:rsid w:val="00CD3719"/>
    <w:rsid w:val="00CD7B81"/>
    <w:rsid w:val="00CE749D"/>
    <w:rsid w:val="00CF1FF5"/>
    <w:rsid w:val="00CF289E"/>
    <w:rsid w:val="00CF5022"/>
    <w:rsid w:val="00D00B54"/>
    <w:rsid w:val="00D03CBA"/>
    <w:rsid w:val="00D117D4"/>
    <w:rsid w:val="00D17E2B"/>
    <w:rsid w:val="00D217AD"/>
    <w:rsid w:val="00D24249"/>
    <w:rsid w:val="00D24F23"/>
    <w:rsid w:val="00D259A1"/>
    <w:rsid w:val="00D439F7"/>
    <w:rsid w:val="00D4488B"/>
    <w:rsid w:val="00D60264"/>
    <w:rsid w:val="00D60FBF"/>
    <w:rsid w:val="00D72536"/>
    <w:rsid w:val="00D80D14"/>
    <w:rsid w:val="00D819AE"/>
    <w:rsid w:val="00D82CB1"/>
    <w:rsid w:val="00D8382D"/>
    <w:rsid w:val="00D86678"/>
    <w:rsid w:val="00D925E9"/>
    <w:rsid w:val="00D959BB"/>
    <w:rsid w:val="00DA48EE"/>
    <w:rsid w:val="00DA51CF"/>
    <w:rsid w:val="00DA7E5B"/>
    <w:rsid w:val="00DC1348"/>
    <w:rsid w:val="00DC1BEC"/>
    <w:rsid w:val="00DD64DA"/>
    <w:rsid w:val="00DE0DE1"/>
    <w:rsid w:val="00DE13FF"/>
    <w:rsid w:val="00DE1E64"/>
    <w:rsid w:val="00E061C0"/>
    <w:rsid w:val="00E21383"/>
    <w:rsid w:val="00E22E0B"/>
    <w:rsid w:val="00E277E6"/>
    <w:rsid w:val="00E34310"/>
    <w:rsid w:val="00E3475A"/>
    <w:rsid w:val="00E37C36"/>
    <w:rsid w:val="00E46618"/>
    <w:rsid w:val="00E479CE"/>
    <w:rsid w:val="00E55EE2"/>
    <w:rsid w:val="00E66015"/>
    <w:rsid w:val="00E7750F"/>
    <w:rsid w:val="00E808B6"/>
    <w:rsid w:val="00E94CCC"/>
    <w:rsid w:val="00E95D42"/>
    <w:rsid w:val="00E9635E"/>
    <w:rsid w:val="00EA3B01"/>
    <w:rsid w:val="00EB34ED"/>
    <w:rsid w:val="00ED0066"/>
    <w:rsid w:val="00EE28D4"/>
    <w:rsid w:val="00EE4E82"/>
    <w:rsid w:val="00EF62FD"/>
    <w:rsid w:val="00F05F88"/>
    <w:rsid w:val="00F1053D"/>
    <w:rsid w:val="00F11AAD"/>
    <w:rsid w:val="00F1249B"/>
    <w:rsid w:val="00F17EB1"/>
    <w:rsid w:val="00F41246"/>
    <w:rsid w:val="00F42CFF"/>
    <w:rsid w:val="00F53925"/>
    <w:rsid w:val="00F543C6"/>
    <w:rsid w:val="00F560F7"/>
    <w:rsid w:val="00F63691"/>
    <w:rsid w:val="00F720BD"/>
    <w:rsid w:val="00F72EFF"/>
    <w:rsid w:val="00F80551"/>
    <w:rsid w:val="00F90BC4"/>
    <w:rsid w:val="00F92E39"/>
    <w:rsid w:val="00F97F8A"/>
    <w:rsid w:val="00FA209C"/>
    <w:rsid w:val="00FB1D13"/>
    <w:rsid w:val="00FB7CF6"/>
    <w:rsid w:val="00FC261A"/>
    <w:rsid w:val="00FC3FEA"/>
    <w:rsid w:val="00FD015A"/>
    <w:rsid w:val="00FE0A39"/>
    <w:rsid w:val="00FE10D3"/>
    <w:rsid w:val="00FF4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0DD9AB"/>
  <w15:docId w15:val="{A4FB88D7-78A1-4B42-887A-3C2065C6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9BB"/>
    <w:pPr>
      <w:ind w:left="720"/>
      <w:contextualSpacing/>
    </w:pPr>
    <w:rPr>
      <w:rFonts w:eastAsia="Times New Roman" w:cs="Times New Roman"/>
    </w:rPr>
  </w:style>
  <w:style w:type="table" w:styleId="TableGrid">
    <w:name w:val="Table Grid"/>
    <w:basedOn w:val="TableNormal"/>
    <w:uiPriority w:val="39"/>
    <w:rsid w:val="007B53AA"/>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8E2159"/>
    <w:rPr>
      <w:rFonts w:eastAsia="Times New Roman" w:cs="Times New Roman"/>
      <w:bCs/>
      <w:color w:val="000000" w:themeColor="text1"/>
      <w:szCs w:val="18"/>
    </w:rPr>
  </w:style>
  <w:style w:type="paragraph" w:styleId="Footer">
    <w:name w:val="footer"/>
    <w:basedOn w:val="Normal"/>
    <w:link w:val="FooterChar"/>
    <w:uiPriority w:val="99"/>
    <w:unhideWhenUsed/>
    <w:rsid w:val="00654C47"/>
    <w:pPr>
      <w:tabs>
        <w:tab w:val="center" w:pos="4680"/>
        <w:tab w:val="right" w:pos="9360"/>
      </w:tabs>
    </w:pPr>
  </w:style>
  <w:style w:type="character" w:customStyle="1" w:styleId="FooterChar">
    <w:name w:val="Footer Char"/>
    <w:basedOn w:val="DefaultParagraphFont"/>
    <w:link w:val="Footer"/>
    <w:uiPriority w:val="99"/>
    <w:rsid w:val="00654C47"/>
  </w:style>
  <w:style w:type="character" w:styleId="PageNumber">
    <w:name w:val="page number"/>
    <w:basedOn w:val="DefaultParagraphFont"/>
    <w:uiPriority w:val="99"/>
    <w:semiHidden/>
    <w:unhideWhenUsed/>
    <w:rsid w:val="00654C47"/>
  </w:style>
  <w:style w:type="character" w:styleId="CommentReference">
    <w:name w:val="annotation reference"/>
    <w:basedOn w:val="DefaultParagraphFont"/>
    <w:uiPriority w:val="99"/>
    <w:semiHidden/>
    <w:unhideWhenUsed/>
    <w:rsid w:val="00884530"/>
    <w:rPr>
      <w:sz w:val="18"/>
      <w:szCs w:val="18"/>
    </w:rPr>
  </w:style>
  <w:style w:type="paragraph" w:styleId="CommentText">
    <w:name w:val="annotation text"/>
    <w:basedOn w:val="Normal"/>
    <w:link w:val="CommentTextChar"/>
    <w:uiPriority w:val="99"/>
    <w:unhideWhenUsed/>
    <w:rsid w:val="00884530"/>
  </w:style>
  <w:style w:type="character" w:customStyle="1" w:styleId="CommentTextChar">
    <w:name w:val="Comment Text Char"/>
    <w:basedOn w:val="DefaultParagraphFont"/>
    <w:link w:val="CommentText"/>
    <w:uiPriority w:val="99"/>
    <w:rsid w:val="00884530"/>
  </w:style>
  <w:style w:type="paragraph" w:styleId="CommentSubject">
    <w:name w:val="annotation subject"/>
    <w:basedOn w:val="CommentText"/>
    <w:next w:val="CommentText"/>
    <w:link w:val="CommentSubjectChar"/>
    <w:uiPriority w:val="99"/>
    <w:semiHidden/>
    <w:unhideWhenUsed/>
    <w:rsid w:val="00884530"/>
    <w:rPr>
      <w:b/>
      <w:bCs/>
      <w:sz w:val="20"/>
      <w:szCs w:val="20"/>
    </w:rPr>
  </w:style>
  <w:style w:type="character" w:customStyle="1" w:styleId="CommentSubjectChar">
    <w:name w:val="Comment Subject Char"/>
    <w:basedOn w:val="CommentTextChar"/>
    <w:link w:val="CommentSubject"/>
    <w:uiPriority w:val="99"/>
    <w:semiHidden/>
    <w:rsid w:val="00884530"/>
    <w:rPr>
      <w:b/>
      <w:bCs/>
      <w:sz w:val="20"/>
      <w:szCs w:val="20"/>
    </w:rPr>
  </w:style>
  <w:style w:type="paragraph" w:styleId="BalloonText">
    <w:name w:val="Balloon Text"/>
    <w:basedOn w:val="Normal"/>
    <w:link w:val="BalloonTextChar"/>
    <w:uiPriority w:val="99"/>
    <w:semiHidden/>
    <w:unhideWhenUsed/>
    <w:rsid w:val="00884530"/>
    <w:rPr>
      <w:rFonts w:cs="Times New Roman"/>
      <w:sz w:val="18"/>
      <w:szCs w:val="18"/>
    </w:rPr>
  </w:style>
  <w:style w:type="character" w:customStyle="1" w:styleId="BalloonTextChar">
    <w:name w:val="Balloon Text Char"/>
    <w:basedOn w:val="DefaultParagraphFont"/>
    <w:link w:val="BalloonText"/>
    <w:uiPriority w:val="99"/>
    <w:semiHidden/>
    <w:rsid w:val="00884530"/>
    <w:rPr>
      <w:rFonts w:cs="Times New Roman"/>
      <w:sz w:val="18"/>
      <w:szCs w:val="18"/>
    </w:rPr>
  </w:style>
  <w:style w:type="paragraph" w:styleId="Header">
    <w:name w:val="header"/>
    <w:basedOn w:val="Normal"/>
    <w:link w:val="HeaderChar"/>
    <w:uiPriority w:val="99"/>
    <w:unhideWhenUsed/>
    <w:rsid w:val="00592E03"/>
    <w:pPr>
      <w:tabs>
        <w:tab w:val="center" w:pos="4680"/>
        <w:tab w:val="right" w:pos="9360"/>
      </w:tabs>
    </w:pPr>
  </w:style>
  <w:style w:type="character" w:customStyle="1" w:styleId="HeaderChar">
    <w:name w:val="Header Char"/>
    <w:basedOn w:val="DefaultParagraphFont"/>
    <w:link w:val="Header"/>
    <w:uiPriority w:val="99"/>
    <w:rsid w:val="00592E03"/>
  </w:style>
  <w:style w:type="character" w:styleId="Hyperlink">
    <w:name w:val="Hyperlink"/>
    <w:basedOn w:val="DefaultParagraphFont"/>
    <w:uiPriority w:val="99"/>
    <w:unhideWhenUsed/>
    <w:rsid w:val="00F720BD"/>
    <w:rPr>
      <w:color w:val="0563C1" w:themeColor="hyperlink"/>
      <w:u w:val="single"/>
    </w:rPr>
  </w:style>
  <w:style w:type="paragraph" w:styleId="NormalWeb">
    <w:name w:val="Normal (Web)"/>
    <w:basedOn w:val="Normal"/>
    <w:uiPriority w:val="99"/>
    <w:unhideWhenUsed/>
    <w:rsid w:val="00820760"/>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120AA9"/>
  </w:style>
  <w:style w:type="table" w:customStyle="1" w:styleId="TableGrid1">
    <w:name w:val="Table Grid1"/>
    <w:basedOn w:val="TableNormal"/>
    <w:next w:val="TableGrid"/>
    <w:uiPriority w:val="59"/>
    <w:rsid w:val="00121583"/>
    <w:rPr>
      <w:rFonts w:eastAsia="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1583"/>
    <w:rPr>
      <w:rFonts w:eastAsia="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FC261A"/>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00268">
      <w:bodyDiv w:val="1"/>
      <w:marLeft w:val="0"/>
      <w:marRight w:val="0"/>
      <w:marTop w:val="0"/>
      <w:marBottom w:val="0"/>
      <w:divBdr>
        <w:top w:val="none" w:sz="0" w:space="0" w:color="auto"/>
        <w:left w:val="none" w:sz="0" w:space="0" w:color="auto"/>
        <w:bottom w:val="none" w:sz="0" w:space="0" w:color="auto"/>
        <w:right w:val="none" w:sz="0" w:space="0" w:color="auto"/>
      </w:divBdr>
    </w:div>
    <w:div w:id="293994800">
      <w:bodyDiv w:val="1"/>
      <w:marLeft w:val="0"/>
      <w:marRight w:val="0"/>
      <w:marTop w:val="0"/>
      <w:marBottom w:val="0"/>
      <w:divBdr>
        <w:top w:val="none" w:sz="0" w:space="0" w:color="auto"/>
        <w:left w:val="none" w:sz="0" w:space="0" w:color="auto"/>
        <w:bottom w:val="none" w:sz="0" w:space="0" w:color="auto"/>
        <w:right w:val="none" w:sz="0" w:space="0" w:color="auto"/>
      </w:divBdr>
    </w:div>
    <w:div w:id="399795754">
      <w:bodyDiv w:val="1"/>
      <w:marLeft w:val="0"/>
      <w:marRight w:val="0"/>
      <w:marTop w:val="0"/>
      <w:marBottom w:val="0"/>
      <w:divBdr>
        <w:top w:val="none" w:sz="0" w:space="0" w:color="auto"/>
        <w:left w:val="none" w:sz="0" w:space="0" w:color="auto"/>
        <w:bottom w:val="none" w:sz="0" w:space="0" w:color="auto"/>
        <w:right w:val="none" w:sz="0" w:space="0" w:color="auto"/>
      </w:divBdr>
    </w:div>
    <w:div w:id="456727868">
      <w:bodyDiv w:val="1"/>
      <w:marLeft w:val="0"/>
      <w:marRight w:val="0"/>
      <w:marTop w:val="0"/>
      <w:marBottom w:val="0"/>
      <w:divBdr>
        <w:top w:val="none" w:sz="0" w:space="0" w:color="auto"/>
        <w:left w:val="none" w:sz="0" w:space="0" w:color="auto"/>
        <w:bottom w:val="none" w:sz="0" w:space="0" w:color="auto"/>
        <w:right w:val="none" w:sz="0" w:space="0" w:color="auto"/>
      </w:divBdr>
    </w:div>
    <w:div w:id="541403402">
      <w:bodyDiv w:val="1"/>
      <w:marLeft w:val="0"/>
      <w:marRight w:val="0"/>
      <w:marTop w:val="0"/>
      <w:marBottom w:val="0"/>
      <w:divBdr>
        <w:top w:val="none" w:sz="0" w:space="0" w:color="auto"/>
        <w:left w:val="none" w:sz="0" w:space="0" w:color="auto"/>
        <w:bottom w:val="none" w:sz="0" w:space="0" w:color="auto"/>
        <w:right w:val="none" w:sz="0" w:space="0" w:color="auto"/>
      </w:divBdr>
    </w:div>
    <w:div w:id="543105734">
      <w:bodyDiv w:val="1"/>
      <w:marLeft w:val="0"/>
      <w:marRight w:val="0"/>
      <w:marTop w:val="0"/>
      <w:marBottom w:val="0"/>
      <w:divBdr>
        <w:top w:val="none" w:sz="0" w:space="0" w:color="auto"/>
        <w:left w:val="none" w:sz="0" w:space="0" w:color="auto"/>
        <w:bottom w:val="none" w:sz="0" w:space="0" w:color="auto"/>
        <w:right w:val="none" w:sz="0" w:space="0" w:color="auto"/>
      </w:divBdr>
    </w:div>
    <w:div w:id="654532998">
      <w:bodyDiv w:val="1"/>
      <w:marLeft w:val="0"/>
      <w:marRight w:val="0"/>
      <w:marTop w:val="0"/>
      <w:marBottom w:val="0"/>
      <w:divBdr>
        <w:top w:val="none" w:sz="0" w:space="0" w:color="auto"/>
        <w:left w:val="none" w:sz="0" w:space="0" w:color="auto"/>
        <w:bottom w:val="none" w:sz="0" w:space="0" w:color="auto"/>
        <w:right w:val="none" w:sz="0" w:space="0" w:color="auto"/>
      </w:divBdr>
    </w:div>
    <w:div w:id="703480154">
      <w:bodyDiv w:val="1"/>
      <w:marLeft w:val="0"/>
      <w:marRight w:val="0"/>
      <w:marTop w:val="0"/>
      <w:marBottom w:val="0"/>
      <w:divBdr>
        <w:top w:val="none" w:sz="0" w:space="0" w:color="auto"/>
        <w:left w:val="none" w:sz="0" w:space="0" w:color="auto"/>
        <w:bottom w:val="none" w:sz="0" w:space="0" w:color="auto"/>
        <w:right w:val="none" w:sz="0" w:space="0" w:color="auto"/>
      </w:divBdr>
    </w:div>
    <w:div w:id="792479719">
      <w:bodyDiv w:val="1"/>
      <w:marLeft w:val="0"/>
      <w:marRight w:val="0"/>
      <w:marTop w:val="0"/>
      <w:marBottom w:val="0"/>
      <w:divBdr>
        <w:top w:val="none" w:sz="0" w:space="0" w:color="auto"/>
        <w:left w:val="none" w:sz="0" w:space="0" w:color="auto"/>
        <w:bottom w:val="none" w:sz="0" w:space="0" w:color="auto"/>
        <w:right w:val="none" w:sz="0" w:space="0" w:color="auto"/>
      </w:divBdr>
    </w:div>
    <w:div w:id="833490055">
      <w:bodyDiv w:val="1"/>
      <w:marLeft w:val="0"/>
      <w:marRight w:val="0"/>
      <w:marTop w:val="0"/>
      <w:marBottom w:val="0"/>
      <w:divBdr>
        <w:top w:val="none" w:sz="0" w:space="0" w:color="auto"/>
        <w:left w:val="none" w:sz="0" w:space="0" w:color="auto"/>
        <w:bottom w:val="none" w:sz="0" w:space="0" w:color="auto"/>
        <w:right w:val="none" w:sz="0" w:space="0" w:color="auto"/>
      </w:divBdr>
    </w:div>
    <w:div w:id="960115890">
      <w:bodyDiv w:val="1"/>
      <w:marLeft w:val="0"/>
      <w:marRight w:val="0"/>
      <w:marTop w:val="0"/>
      <w:marBottom w:val="0"/>
      <w:divBdr>
        <w:top w:val="none" w:sz="0" w:space="0" w:color="auto"/>
        <w:left w:val="none" w:sz="0" w:space="0" w:color="auto"/>
        <w:bottom w:val="none" w:sz="0" w:space="0" w:color="auto"/>
        <w:right w:val="none" w:sz="0" w:space="0" w:color="auto"/>
      </w:divBdr>
    </w:div>
    <w:div w:id="1055928726">
      <w:bodyDiv w:val="1"/>
      <w:marLeft w:val="0"/>
      <w:marRight w:val="0"/>
      <w:marTop w:val="0"/>
      <w:marBottom w:val="0"/>
      <w:divBdr>
        <w:top w:val="none" w:sz="0" w:space="0" w:color="auto"/>
        <w:left w:val="none" w:sz="0" w:space="0" w:color="auto"/>
        <w:bottom w:val="none" w:sz="0" w:space="0" w:color="auto"/>
        <w:right w:val="none" w:sz="0" w:space="0" w:color="auto"/>
      </w:divBdr>
    </w:div>
    <w:div w:id="1112289477">
      <w:bodyDiv w:val="1"/>
      <w:marLeft w:val="0"/>
      <w:marRight w:val="0"/>
      <w:marTop w:val="0"/>
      <w:marBottom w:val="0"/>
      <w:divBdr>
        <w:top w:val="none" w:sz="0" w:space="0" w:color="auto"/>
        <w:left w:val="none" w:sz="0" w:space="0" w:color="auto"/>
        <w:bottom w:val="none" w:sz="0" w:space="0" w:color="auto"/>
        <w:right w:val="none" w:sz="0" w:space="0" w:color="auto"/>
      </w:divBdr>
    </w:div>
    <w:div w:id="1178546390">
      <w:bodyDiv w:val="1"/>
      <w:marLeft w:val="0"/>
      <w:marRight w:val="0"/>
      <w:marTop w:val="0"/>
      <w:marBottom w:val="0"/>
      <w:divBdr>
        <w:top w:val="none" w:sz="0" w:space="0" w:color="auto"/>
        <w:left w:val="none" w:sz="0" w:space="0" w:color="auto"/>
        <w:bottom w:val="none" w:sz="0" w:space="0" w:color="auto"/>
        <w:right w:val="none" w:sz="0" w:space="0" w:color="auto"/>
      </w:divBdr>
    </w:div>
    <w:div w:id="1272124509">
      <w:bodyDiv w:val="1"/>
      <w:marLeft w:val="0"/>
      <w:marRight w:val="0"/>
      <w:marTop w:val="0"/>
      <w:marBottom w:val="0"/>
      <w:divBdr>
        <w:top w:val="none" w:sz="0" w:space="0" w:color="auto"/>
        <w:left w:val="none" w:sz="0" w:space="0" w:color="auto"/>
        <w:bottom w:val="none" w:sz="0" w:space="0" w:color="auto"/>
        <w:right w:val="none" w:sz="0" w:space="0" w:color="auto"/>
      </w:divBdr>
    </w:div>
    <w:div w:id="1309674267">
      <w:bodyDiv w:val="1"/>
      <w:marLeft w:val="0"/>
      <w:marRight w:val="0"/>
      <w:marTop w:val="0"/>
      <w:marBottom w:val="0"/>
      <w:divBdr>
        <w:top w:val="none" w:sz="0" w:space="0" w:color="auto"/>
        <w:left w:val="none" w:sz="0" w:space="0" w:color="auto"/>
        <w:bottom w:val="none" w:sz="0" w:space="0" w:color="auto"/>
        <w:right w:val="none" w:sz="0" w:space="0" w:color="auto"/>
      </w:divBdr>
    </w:div>
    <w:div w:id="1319387526">
      <w:bodyDiv w:val="1"/>
      <w:marLeft w:val="0"/>
      <w:marRight w:val="0"/>
      <w:marTop w:val="0"/>
      <w:marBottom w:val="0"/>
      <w:divBdr>
        <w:top w:val="none" w:sz="0" w:space="0" w:color="auto"/>
        <w:left w:val="none" w:sz="0" w:space="0" w:color="auto"/>
        <w:bottom w:val="none" w:sz="0" w:space="0" w:color="auto"/>
        <w:right w:val="none" w:sz="0" w:space="0" w:color="auto"/>
      </w:divBdr>
    </w:div>
    <w:div w:id="1389232749">
      <w:bodyDiv w:val="1"/>
      <w:marLeft w:val="0"/>
      <w:marRight w:val="0"/>
      <w:marTop w:val="0"/>
      <w:marBottom w:val="0"/>
      <w:divBdr>
        <w:top w:val="none" w:sz="0" w:space="0" w:color="auto"/>
        <w:left w:val="none" w:sz="0" w:space="0" w:color="auto"/>
        <w:bottom w:val="none" w:sz="0" w:space="0" w:color="auto"/>
        <w:right w:val="none" w:sz="0" w:space="0" w:color="auto"/>
      </w:divBdr>
    </w:div>
    <w:div w:id="1577322552">
      <w:bodyDiv w:val="1"/>
      <w:marLeft w:val="0"/>
      <w:marRight w:val="0"/>
      <w:marTop w:val="0"/>
      <w:marBottom w:val="0"/>
      <w:divBdr>
        <w:top w:val="none" w:sz="0" w:space="0" w:color="auto"/>
        <w:left w:val="none" w:sz="0" w:space="0" w:color="auto"/>
        <w:bottom w:val="none" w:sz="0" w:space="0" w:color="auto"/>
        <w:right w:val="none" w:sz="0" w:space="0" w:color="auto"/>
      </w:divBdr>
    </w:div>
    <w:div w:id="1597518876">
      <w:bodyDiv w:val="1"/>
      <w:marLeft w:val="0"/>
      <w:marRight w:val="0"/>
      <w:marTop w:val="0"/>
      <w:marBottom w:val="0"/>
      <w:divBdr>
        <w:top w:val="none" w:sz="0" w:space="0" w:color="auto"/>
        <w:left w:val="none" w:sz="0" w:space="0" w:color="auto"/>
        <w:bottom w:val="none" w:sz="0" w:space="0" w:color="auto"/>
        <w:right w:val="none" w:sz="0" w:space="0" w:color="auto"/>
      </w:divBdr>
    </w:div>
    <w:div w:id="1618757837">
      <w:bodyDiv w:val="1"/>
      <w:marLeft w:val="0"/>
      <w:marRight w:val="0"/>
      <w:marTop w:val="0"/>
      <w:marBottom w:val="0"/>
      <w:divBdr>
        <w:top w:val="none" w:sz="0" w:space="0" w:color="auto"/>
        <w:left w:val="none" w:sz="0" w:space="0" w:color="auto"/>
        <w:bottom w:val="none" w:sz="0" w:space="0" w:color="auto"/>
        <w:right w:val="none" w:sz="0" w:space="0" w:color="auto"/>
      </w:divBdr>
    </w:div>
    <w:div w:id="1723750460">
      <w:bodyDiv w:val="1"/>
      <w:marLeft w:val="0"/>
      <w:marRight w:val="0"/>
      <w:marTop w:val="0"/>
      <w:marBottom w:val="0"/>
      <w:divBdr>
        <w:top w:val="none" w:sz="0" w:space="0" w:color="auto"/>
        <w:left w:val="none" w:sz="0" w:space="0" w:color="auto"/>
        <w:bottom w:val="none" w:sz="0" w:space="0" w:color="auto"/>
        <w:right w:val="none" w:sz="0" w:space="0" w:color="auto"/>
      </w:divBdr>
    </w:div>
    <w:div w:id="1807969476">
      <w:bodyDiv w:val="1"/>
      <w:marLeft w:val="0"/>
      <w:marRight w:val="0"/>
      <w:marTop w:val="0"/>
      <w:marBottom w:val="0"/>
      <w:divBdr>
        <w:top w:val="none" w:sz="0" w:space="0" w:color="auto"/>
        <w:left w:val="none" w:sz="0" w:space="0" w:color="auto"/>
        <w:bottom w:val="none" w:sz="0" w:space="0" w:color="auto"/>
        <w:right w:val="none" w:sz="0" w:space="0" w:color="auto"/>
      </w:divBdr>
    </w:div>
    <w:div w:id="1840777192">
      <w:bodyDiv w:val="1"/>
      <w:marLeft w:val="0"/>
      <w:marRight w:val="0"/>
      <w:marTop w:val="0"/>
      <w:marBottom w:val="0"/>
      <w:divBdr>
        <w:top w:val="none" w:sz="0" w:space="0" w:color="auto"/>
        <w:left w:val="none" w:sz="0" w:space="0" w:color="auto"/>
        <w:bottom w:val="none" w:sz="0" w:space="0" w:color="auto"/>
        <w:right w:val="none" w:sz="0" w:space="0" w:color="auto"/>
      </w:divBdr>
    </w:div>
    <w:div w:id="1961834753">
      <w:bodyDiv w:val="1"/>
      <w:marLeft w:val="0"/>
      <w:marRight w:val="0"/>
      <w:marTop w:val="0"/>
      <w:marBottom w:val="0"/>
      <w:divBdr>
        <w:top w:val="none" w:sz="0" w:space="0" w:color="auto"/>
        <w:left w:val="none" w:sz="0" w:space="0" w:color="auto"/>
        <w:bottom w:val="none" w:sz="0" w:space="0" w:color="auto"/>
        <w:right w:val="none" w:sz="0" w:space="0" w:color="auto"/>
      </w:divBdr>
    </w:div>
    <w:div w:id="1976720261">
      <w:bodyDiv w:val="1"/>
      <w:marLeft w:val="0"/>
      <w:marRight w:val="0"/>
      <w:marTop w:val="0"/>
      <w:marBottom w:val="0"/>
      <w:divBdr>
        <w:top w:val="none" w:sz="0" w:space="0" w:color="auto"/>
        <w:left w:val="none" w:sz="0" w:space="0" w:color="auto"/>
        <w:bottom w:val="none" w:sz="0" w:space="0" w:color="auto"/>
        <w:right w:val="none" w:sz="0" w:space="0" w:color="auto"/>
      </w:divBdr>
    </w:div>
    <w:div w:id="2056999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hart" Target="charts/chart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Analysis 2</c:v>
                </c:pt>
              </c:strCache>
            </c:strRef>
          </c:tx>
          <c:dPt>
            <c:idx val="0"/>
            <c:bubble3D val="0"/>
            <c:spPr>
              <a:solidFill>
                <a:schemeClr val="accent3">
                  <a:shade val="47000"/>
                </a:schemeClr>
              </a:solidFill>
              <a:ln w="19050">
                <a:solidFill>
                  <a:schemeClr val="lt1"/>
                </a:solidFill>
              </a:ln>
              <a:effectLst/>
            </c:spPr>
            <c:extLst>
              <c:ext xmlns:c16="http://schemas.microsoft.com/office/drawing/2014/chart" uri="{C3380CC4-5D6E-409C-BE32-E72D297353CC}">
                <c16:uniqueId val="{00000001-73E0-524C-AB0B-D4C4538AF589}"/>
              </c:ext>
            </c:extLst>
          </c:dPt>
          <c:dPt>
            <c:idx val="1"/>
            <c:bubble3D val="0"/>
            <c:spPr>
              <a:solidFill>
                <a:schemeClr val="accent3">
                  <a:shade val="65000"/>
                </a:schemeClr>
              </a:solidFill>
              <a:ln w="19050">
                <a:solidFill>
                  <a:schemeClr val="lt1"/>
                </a:solidFill>
              </a:ln>
              <a:effectLst/>
            </c:spPr>
            <c:extLst>
              <c:ext xmlns:c16="http://schemas.microsoft.com/office/drawing/2014/chart" uri="{C3380CC4-5D6E-409C-BE32-E72D297353CC}">
                <c16:uniqueId val="{00000003-73E0-524C-AB0B-D4C4538AF589}"/>
              </c:ext>
            </c:extLst>
          </c:dPt>
          <c:dPt>
            <c:idx val="2"/>
            <c:bubble3D val="0"/>
            <c:spPr>
              <a:solidFill>
                <a:schemeClr val="accent3">
                  <a:shade val="82000"/>
                </a:schemeClr>
              </a:solidFill>
              <a:ln w="19050">
                <a:solidFill>
                  <a:schemeClr val="lt1"/>
                </a:solidFill>
              </a:ln>
              <a:effectLst/>
            </c:spPr>
            <c:extLst>
              <c:ext xmlns:c16="http://schemas.microsoft.com/office/drawing/2014/chart" uri="{C3380CC4-5D6E-409C-BE32-E72D297353CC}">
                <c16:uniqueId val="{00000005-73E0-524C-AB0B-D4C4538AF589}"/>
              </c:ext>
            </c:extLst>
          </c:dPt>
          <c:dPt>
            <c:idx val="3"/>
            <c:bubble3D val="0"/>
            <c:spPr>
              <a:solidFill>
                <a:schemeClr val="accent3"/>
              </a:solidFill>
              <a:ln w="19050">
                <a:solidFill>
                  <a:schemeClr val="lt1"/>
                </a:solidFill>
              </a:ln>
              <a:effectLst/>
            </c:spPr>
            <c:extLst>
              <c:ext xmlns:c16="http://schemas.microsoft.com/office/drawing/2014/chart" uri="{C3380CC4-5D6E-409C-BE32-E72D297353CC}">
                <c16:uniqueId val="{00000007-73E0-524C-AB0B-D4C4538AF589}"/>
              </c:ext>
            </c:extLst>
          </c:dPt>
          <c:dPt>
            <c:idx val="4"/>
            <c:bubble3D val="0"/>
            <c:spPr>
              <a:solidFill>
                <a:schemeClr val="accent3">
                  <a:tint val="83000"/>
                </a:schemeClr>
              </a:solidFill>
              <a:ln w="19050">
                <a:solidFill>
                  <a:schemeClr val="lt1"/>
                </a:solidFill>
              </a:ln>
              <a:effectLst/>
            </c:spPr>
            <c:extLst>
              <c:ext xmlns:c16="http://schemas.microsoft.com/office/drawing/2014/chart" uri="{C3380CC4-5D6E-409C-BE32-E72D297353CC}">
                <c16:uniqueId val="{00000009-73E0-524C-AB0B-D4C4538AF589}"/>
              </c:ext>
            </c:extLst>
          </c:dPt>
          <c:dPt>
            <c:idx val="5"/>
            <c:bubble3D val="0"/>
            <c:spPr>
              <a:solidFill>
                <a:schemeClr val="accent3">
                  <a:tint val="65000"/>
                </a:schemeClr>
              </a:solidFill>
              <a:ln w="19050">
                <a:solidFill>
                  <a:schemeClr val="lt1"/>
                </a:solidFill>
              </a:ln>
              <a:effectLst/>
            </c:spPr>
            <c:extLst>
              <c:ext xmlns:c16="http://schemas.microsoft.com/office/drawing/2014/chart" uri="{C3380CC4-5D6E-409C-BE32-E72D297353CC}">
                <c16:uniqueId val="{0000000B-73E0-524C-AB0B-D4C4538AF589}"/>
              </c:ext>
            </c:extLst>
          </c:dPt>
          <c:dPt>
            <c:idx val="6"/>
            <c:bubble3D val="0"/>
            <c:spPr>
              <a:solidFill>
                <a:schemeClr val="accent3">
                  <a:tint val="48000"/>
                </a:schemeClr>
              </a:solidFill>
              <a:ln w="19050">
                <a:solidFill>
                  <a:schemeClr val="lt1"/>
                </a:solidFill>
              </a:ln>
              <a:effectLst/>
            </c:spPr>
            <c:extLst>
              <c:ext xmlns:c16="http://schemas.microsoft.com/office/drawing/2014/chart" uri="{C3380CC4-5D6E-409C-BE32-E72D297353CC}">
                <c16:uniqueId val="{0000000D-73E0-524C-AB0B-D4C4538AF589}"/>
              </c:ext>
            </c:extLst>
          </c:dPt>
          <c:dLbls>
            <c:dLbl>
              <c:idx val="0"/>
              <c:tx>
                <c:rich>
                  <a:bodyPr/>
                  <a:lstStyle/>
                  <a:p>
                    <a:r>
                      <a:rPr lang="en-US"/>
                      <a:t>I
20.6%</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73E0-524C-AB0B-D4C4538AF589}"/>
                </c:ext>
              </c:extLst>
            </c:dLbl>
            <c:dLbl>
              <c:idx val="1"/>
              <c:tx>
                <c:rich>
                  <a:bodyPr/>
                  <a:lstStyle/>
                  <a:p>
                    <a:r>
                      <a:rPr lang="en-US"/>
                      <a:t>R
0.5%</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73E0-524C-AB0B-D4C4538AF589}"/>
                </c:ext>
              </c:extLst>
            </c:dLbl>
            <c:dLbl>
              <c:idx val="2"/>
              <c:tx>
                <c:rich>
                  <a:bodyPr/>
                  <a:lstStyle/>
                  <a:p>
                    <a:r>
                      <a:rPr lang="en-US"/>
                      <a:t>S
15.8%</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73E0-524C-AB0B-D4C4538AF589}"/>
                </c:ext>
              </c:extLst>
            </c:dLbl>
            <c:dLbl>
              <c:idx val="3"/>
              <c:tx>
                <c:rich>
                  <a:bodyPr/>
                  <a:lstStyle/>
                  <a:p>
                    <a:r>
                      <a:rPr lang="en-US"/>
                      <a:t>IR
3.5%</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73E0-524C-AB0B-D4C4538AF589}"/>
                </c:ext>
              </c:extLst>
            </c:dLbl>
            <c:dLbl>
              <c:idx val="4"/>
              <c:tx>
                <c:rich>
                  <a:bodyPr/>
                  <a:lstStyle/>
                  <a:p>
                    <a:r>
                      <a:rPr lang="en-US"/>
                      <a:t>IS
28.7%</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73E0-524C-AB0B-D4C4538AF589}"/>
                </c:ext>
              </c:extLst>
            </c:dLbl>
            <c:dLbl>
              <c:idx val="5"/>
              <c:tx>
                <c:rich>
                  <a:bodyPr/>
                  <a:lstStyle/>
                  <a:p>
                    <a:r>
                      <a:rPr lang="en-US"/>
                      <a:t>RS
0%</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73E0-524C-AB0B-D4C4538AF589}"/>
                </c:ext>
              </c:extLst>
            </c:dLbl>
            <c:dLbl>
              <c:idx val="6"/>
              <c:tx>
                <c:rich>
                  <a:bodyPr/>
                  <a:lstStyle/>
                  <a:p>
                    <a:r>
                      <a:rPr lang="en-US"/>
                      <a:t>IRS
31%</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73E0-524C-AB0B-D4C4538AF5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I</c:v>
                </c:pt>
                <c:pt idx="1">
                  <c:v>R</c:v>
                </c:pt>
                <c:pt idx="2">
                  <c:v>S</c:v>
                </c:pt>
                <c:pt idx="3">
                  <c:v>IR</c:v>
                </c:pt>
                <c:pt idx="4">
                  <c:v>IS</c:v>
                </c:pt>
                <c:pt idx="5">
                  <c:v>RS</c:v>
                </c:pt>
                <c:pt idx="6">
                  <c:v>IRS</c:v>
                </c:pt>
              </c:strCache>
            </c:strRef>
          </c:cat>
          <c:val>
            <c:numRef>
              <c:f>Sheet1!$B$2:$B$8</c:f>
              <c:numCache>
                <c:formatCode>General</c:formatCode>
                <c:ptCount val="7"/>
                <c:pt idx="0">
                  <c:v>20.6</c:v>
                </c:pt>
                <c:pt idx="1">
                  <c:v>0.5</c:v>
                </c:pt>
                <c:pt idx="2">
                  <c:v>15.8</c:v>
                </c:pt>
                <c:pt idx="3">
                  <c:v>3.5</c:v>
                </c:pt>
                <c:pt idx="4">
                  <c:v>28.7</c:v>
                </c:pt>
                <c:pt idx="5">
                  <c:v>0</c:v>
                </c:pt>
                <c:pt idx="6">
                  <c:v>31</c:v>
                </c:pt>
              </c:numCache>
            </c:numRef>
          </c:val>
          <c:extLst>
            <c:ext xmlns:c16="http://schemas.microsoft.com/office/drawing/2014/chart" uri="{C3380CC4-5D6E-409C-BE32-E72D297353CC}">
              <c16:uniqueId val="{0000000E-73E0-524C-AB0B-D4C4538AF58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Analysis 1</a:t>
            </a:r>
          </a:p>
        </c:rich>
      </c:tx>
      <c:overlay val="0"/>
      <c:spPr>
        <a:noFill/>
        <a:ln>
          <a:noFill/>
        </a:ln>
        <a:effectLst/>
      </c:spPr>
    </c:title>
    <c:autoTitleDeleted val="0"/>
    <c:plotArea>
      <c:layout/>
      <c:pieChart>
        <c:varyColors val="1"/>
        <c:ser>
          <c:idx val="0"/>
          <c:order val="0"/>
          <c:tx>
            <c:strRef>
              <c:f>Sheet1!$B$1</c:f>
              <c:strCache>
                <c:ptCount val="1"/>
                <c:pt idx="0">
                  <c:v>Source of Variation</c:v>
                </c:pt>
              </c:strCache>
            </c:strRef>
          </c:tx>
          <c:dPt>
            <c:idx val="0"/>
            <c:bubble3D val="0"/>
            <c:spPr>
              <a:solidFill>
                <a:schemeClr val="accent3">
                  <a:shade val="42000"/>
                </a:schemeClr>
              </a:solidFill>
              <a:ln w="19050">
                <a:solidFill>
                  <a:schemeClr val="lt1"/>
                </a:solidFill>
              </a:ln>
              <a:effectLst/>
            </c:spPr>
            <c:extLst>
              <c:ext xmlns:c16="http://schemas.microsoft.com/office/drawing/2014/chart" uri="{C3380CC4-5D6E-409C-BE32-E72D297353CC}">
                <c16:uniqueId val="{00000001-974A-9A4B-83DF-898B88DF7C79}"/>
              </c:ext>
            </c:extLst>
          </c:dPt>
          <c:dPt>
            <c:idx val="1"/>
            <c:bubble3D val="0"/>
            <c:spPr>
              <a:solidFill>
                <a:schemeClr val="accent3">
                  <a:shade val="55000"/>
                </a:schemeClr>
              </a:solidFill>
              <a:ln w="19050">
                <a:solidFill>
                  <a:schemeClr val="lt1"/>
                </a:solidFill>
              </a:ln>
              <a:effectLst/>
            </c:spPr>
            <c:extLst>
              <c:ext xmlns:c16="http://schemas.microsoft.com/office/drawing/2014/chart" uri="{C3380CC4-5D6E-409C-BE32-E72D297353CC}">
                <c16:uniqueId val="{00000003-974A-9A4B-83DF-898B88DF7C79}"/>
              </c:ext>
            </c:extLst>
          </c:dPt>
          <c:dPt>
            <c:idx val="2"/>
            <c:bubble3D val="0"/>
            <c:spPr>
              <a:solidFill>
                <a:schemeClr val="accent3">
                  <a:shade val="68000"/>
                </a:schemeClr>
              </a:solidFill>
              <a:ln w="19050">
                <a:solidFill>
                  <a:schemeClr val="lt1"/>
                </a:solidFill>
              </a:ln>
              <a:effectLst/>
            </c:spPr>
            <c:extLst>
              <c:ext xmlns:c16="http://schemas.microsoft.com/office/drawing/2014/chart" uri="{C3380CC4-5D6E-409C-BE32-E72D297353CC}">
                <c16:uniqueId val="{00000005-974A-9A4B-83DF-898B88DF7C79}"/>
              </c:ext>
            </c:extLst>
          </c:dPt>
          <c:dPt>
            <c:idx val="3"/>
            <c:bubble3D val="0"/>
            <c:spPr>
              <a:solidFill>
                <a:schemeClr val="accent3">
                  <a:shade val="80000"/>
                </a:schemeClr>
              </a:solidFill>
              <a:ln w="19050">
                <a:solidFill>
                  <a:schemeClr val="lt1"/>
                </a:solidFill>
              </a:ln>
              <a:effectLst/>
            </c:spPr>
            <c:extLst>
              <c:ext xmlns:c16="http://schemas.microsoft.com/office/drawing/2014/chart" uri="{C3380CC4-5D6E-409C-BE32-E72D297353CC}">
                <c16:uniqueId val="{00000007-974A-9A4B-83DF-898B88DF7C79}"/>
              </c:ext>
            </c:extLst>
          </c:dPt>
          <c:dPt>
            <c:idx val="4"/>
            <c:bubble3D val="0"/>
            <c:spPr>
              <a:solidFill>
                <a:schemeClr val="accent3">
                  <a:shade val="93000"/>
                </a:schemeClr>
              </a:solidFill>
              <a:ln w="19050">
                <a:solidFill>
                  <a:schemeClr val="lt1"/>
                </a:solidFill>
              </a:ln>
              <a:effectLst/>
            </c:spPr>
            <c:extLst>
              <c:ext xmlns:c16="http://schemas.microsoft.com/office/drawing/2014/chart" uri="{C3380CC4-5D6E-409C-BE32-E72D297353CC}">
                <c16:uniqueId val="{00000009-974A-9A4B-83DF-898B88DF7C79}"/>
              </c:ext>
            </c:extLst>
          </c:dPt>
          <c:dPt>
            <c:idx val="5"/>
            <c:bubble3D val="0"/>
            <c:spPr>
              <a:solidFill>
                <a:schemeClr val="accent3">
                  <a:tint val="94000"/>
                </a:schemeClr>
              </a:solidFill>
              <a:ln w="19050">
                <a:solidFill>
                  <a:schemeClr val="lt1"/>
                </a:solidFill>
              </a:ln>
              <a:effectLst/>
            </c:spPr>
            <c:extLst>
              <c:ext xmlns:c16="http://schemas.microsoft.com/office/drawing/2014/chart" uri="{C3380CC4-5D6E-409C-BE32-E72D297353CC}">
                <c16:uniqueId val="{0000000B-974A-9A4B-83DF-898B88DF7C79}"/>
              </c:ext>
            </c:extLst>
          </c:dPt>
          <c:dPt>
            <c:idx val="6"/>
            <c:bubble3D val="0"/>
            <c:spPr>
              <a:solidFill>
                <a:schemeClr val="accent3">
                  <a:tint val="81000"/>
                </a:schemeClr>
              </a:solidFill>
              <a:ln w="19050">
                <a:solidFill>
                  <a:schemeClr val="lt1"/>
                </a:solidFill>
              </a:ln>
              <a:effectLst/>
            </c:spPr>
            <c:extLst>
              <c:ext xmlns:c16="http://schemas.microsoft.com/office/drawing/2014/chart" uri="{C3380CC4-5D6E-409C-BE32-E72D297353CC}">
                <c16:uniqueId val="{0000000D-974A-9A4B-83DF-898B88DF7C79}"/>
              </c:ext>
            </c:extLst>
          </c:dPt>
          <c:dPt>
            <c:idx val="7"/>
            <c:bubble3D val="0"/>
            <c:spPr>
              <a:solidFill>
                <a:schemeClr val="accent3">
                  <a:tint val="69000"/>
                </a:schemeClr>
              </a:solidFill>
              <a:ln w="19050">
                <a:solidFill>
                  <a:schemeClr val="lt1"/>
                </a:solidFill>
              </a:ln>
              <a:effectLst/>
            </c:spPr>
            <c:extLst>
              <c:ext xmlns:c16="http://schemas.microsoft.com/office/drawing/2014/chart" uri="{C3380CC4-5D6E-409C-BE32-E72D297353CC}">
                <c16:uniqueId val="{0000000F-974A-9A4B-83DF-898B88DF7C79}"/>
              </c:ext>
            </c:extLst>
          </c:dPt>
          <c:dPt>
            <c:idx val="8"/>
            <c:bubble3D val="0"/>
            <c:spPr>
              <a:solidFill>
                <a:schemeClr val="accent3">
                  <a:tint val="56000"/>
                </a:schemeClr>
              </a:solidFill>
              <a:ln w="19050">
                <a:solidFill>
                  <a:schemeClr val="lt1"/>
                </a:solidFill>
              </a:ln>
              <a:effectLst/>
            </c:spPr>
            <c:extLst>
              <c:ext xmlns:c16="http://schemas.microsoft.com/office/drawing/2014/chart" uri="{C3380CC4-5D6E-409C-BE32-E72D297353CC}">
                <c16:uniqueId val="{00000011-974A-9A4B-83DF-898B88DF7C79}"/>
              </c:ext>
            </c:extLst>
          </c:dPt>
          <c:dPt>
            <c:idx val="9"/>
            <c:bubble3D val="0"/>
            <c:spPr>
              <a:solidFill>
                <a:schemeClr val="accent3">
                  <a:tint val="43000"/>
                </a:schemeClr>
              </a:solidFill>
              <a:ln w="19050">
                <a:solidFill>
                  <a:schemeClr val="lt1"/>
                </a:solidFill>
              </a:ln>
              <a:effectLst/>
            </c:spPr>
            <c:extLst>
              <c:ext xmlns:c16="http://schemas.microsoft.com/office/drawing/2014/chart" uri="{C3380CC4-5D6E-409C-BE32-E72D297353CC}">
                <c16:uniqueId val="{00000013-974A-9A4B-83DF-898B88DF7C79}"/>
              </c:ext>
            </c:extLst>
          </c:dPt>
          <c:dLbls>
            <c:dLbl>
              <c:idx val="0"/>
              <c:tx>
                <c:rich>
                  <a:bodyPr/>
                  <a:lstStyle/>
                  <a:p>
                    <a:r>
                      <a:rPr lang="en-US"/>
                      <a:t>I:T
19.8%</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974A-9A4B-83DF-898B88DF7C79}"/>
                </c:ext>
              </c:extLst>
            </c:dLbl>
            <c:dLbl>
              <c:idx val="1"/>
              <c:tx>
                <c:rich>
                  <a:bodyPr/>
                  <a:lstStyle/>
                  <a:p>
                    <a:r>
                      <a:rPr lang="en-US"/>
                      <a:t>T
0%</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974A-9A4B-83DF-898B88DF7C79}"/>
                </c:ext>
              </c:extLst>
            </c:dLbl>
            <c:dLbl>
              <c:idx val="2"/>
              <c:layout>
                <c:manualLayout>
                  <c:x val="1.6205632318650801E-2"/>
                  <c:y val="-0.13650787401574799"/>
                </c:manualLayout>
              </c:layout>
              <c:tx>
                <c:rich>
                  <a:bodyPr/>
                  <a:lstStyle/>
                  <a:p>
                    <a:r>
                      <a:rPr lang="en-US"/>
                      <a:t>R
0.7%</a:t>
                    </a:r>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974A-9A4B-83DF-898B88DF7C79}"/>
                </c:ext>
              </c:extLst>
            </c:dLbl>
            <c:dLbl>
              <c:idx val="3"/>
              <c:tx>
                <c:rich>
                  <a:bodyPr/>
                  <a:lstStyle/>
                  <a:p>
                    <a:r>
                      <a:rPr lang="en-US"/>
                      <a:t>S
12.4%</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974A-9A4B-83DF-898B88DF7C79}"/>
                </c:ext>
              </c:extLst>
            </c:dLbl>
            <c:dLbl>
              <c:idx val="4"/>
              <c:tx>
                <c:rich>
                  <a:bodyPr/>
                  <a:lstStyle/>
                  <a:p>
                    <a:r>
                      <a:rPr lang="en-US"/>
                      <a:t>(I:T)R
1.8%</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974A-9A4B-83DF-898B88DF7C79}"/>
                </c:ext>
              </c:extLst>
            </c:dLbl>
            <c:dLbl>
              <c:idx val="5"/>
              <c:tx>
                <c:rich>
                  <a:bodyPr/>
                  <a:lstStyle/>
                  <a:p>
                    <a:r>
                      <a:rPr lang="en-US"/>
                      <a:t>(I:T)S
31.1%</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974A-9A4B-83DF-898B88DF7C79}"/>
                </c:ext>
              </c:extLst>
            </c:dLbl>
            <c:dLbl>
              <c:idx val="6"/>
              <c:layout>
                <c:manualLayout>
                  <c:x val="-5.5568783237589597E-2"/>
                  <c:y val="-1.6666666666666701E-2"/>
                </c:manualLayout>
              </c:layout>
              <c:tx>
                <c:rich>
                  <a:bodyPr/>
                  <a:lstStyle/>
                  <a:p>
                    <a:r>
                      <a:rPr lang="en-US"/>
                      <a:t>TR
0%</a:t>
                    </a:r>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974A-9A4B-83DF-898B88DF7C79}"/>
                </c:ext>
              </c:extLst>
            </c:dLbl>
            <c:dLbl>
              <c:idx val="7"/>
              <c:layout>
                <c:manualLayout>
                  <c:x val="2.5462962962963E-2"/>
                  <c:y val="6.3492063492063502E-2"/>
                </c:manualLayout>
              </c:layout>
              <c:tx>
                <c:rich>
                  <a:bodyPr/>
                  <a:lstStyle/>
                  <a:p>
                    <a:r>
                      <a:rPr lang="en-US"/>
                      <a:t>RS
0%</a:t>
                    </a:r>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974A-9A4B-83DF-898B88DF7C79}"/>
                </c:ext>
              </c:extLst>
            </c:dLbl>
            <c:dLbl>
              <c:idx val="8"/>
              <c:layout>
                <c:manualLayout>
                  <c:x val="-8.1027067726744798E-2"/>
                  <c:y val="-0.15952362204724399"/>
                </c:manualLayout>
              </c:layout>
              <c:tx>
                <c:rich>
                  <a:bodyPr/>
                  <a:lstStyle/>
                  <a:p>
                    <a:r>
                      <a:rPr lang="en-US"/>
                      <a:t>TS
5%</a:t>
                    </a:r>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974A-9A4B-83DF-898B88DF7C79}"/>
                </c:ext>
              </c:extLst>
            </c:dLbl>
            <c:dLbl>
              <c:idx val="9"/>
              <c:tx>
                <c:rich>
                  <a:bodyPr/>
                  <a:lstStyle/>
                  <a:p>
                    <a:r>
                      <a:rPr lang="en-US"/>
                      <a:t>(I:T)RS
29.2%</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974A-9A4B-83DF-898B88DF7C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Sheet1!$A$2:$A$11</c:f>
              <c:strCache>
                <c:ptCount val="10"/>
                <c:pt idx="0">
                  <c:v>I:T</c:v>
                </c:pt>
                <c:pt idx="1">
                  <c:v>T</c:v>
                </c:pt>
                <c:pt idx="2">
                  <c:v>R</c:v>
                </c:pt>
                <c:pt idx="3">
                  <c:v>S</c:v>
                </c:pt>
                <c:pt idx="4">
                  <c:v>(I:T)R</c:v>
                </c:pt>
                <c:pt idx="5">
                  <c:v>(I:T)S</c:v>
                </c:pt>
                <c:pt idx="6">
                  <c:v>TR</c:v>
                </c:pt>
                <c:pt idx="7">
                  <c:v>RS</c:v>
                </c:pt>
                <c:pt idx="8">
                  <c:v>TS</c:v>
                </c:pt>
                <c:pt idx="9">
                  <c:v>(I:T)RS</c:v>
                </c:pt>
              </c:strCache>
            </c:strRef>
          </c:cat>
          <c:val>
            <c:numRef>
              <c:f>Sheet1!$B$2:$B$11</c:f>
              <c:numCache>
                <c:formatCode>General</c:formatCode>
                <c:ptCount val="10"/>
                <c:pt idx="0">
                  <c:v>19.8</c:v>
                </c:pt>
                <c:pt idx="1">
                  <c:v>0</c:v>
                </c:pt>
                <c:pt idx="2">
                  <c:v>0.7</c:v>
                </c:pt>
                <c:pt idx="3">
                  <c:v>12.4</c:v>
                </c:pt>
                <c:pt idx="4">
                  <c:v>1.8</c:v>
                </c:pt>
                <c:pt idx="5">
                  <c:v>31.1</c:v>
                </c:pt>
                <c:pt idx="6">
                  <c:v>0</c:v>
                </c:pt>
                <c:pt idx="7">
                  <c:v>0</c:v>
                </c:pt>
                <c:pt idx="8">
                  <c:v>5</c:v>
                </c:pt>
                <c:pt idx="9">
                  <c:v>29.2</c:v>
                </c:pt>
              </c:numCache>
            </c:numRef>
          </c:val>
          <c:extLst>
            <c:ext xmlns:c16="http://schemas.microsoft.com/office/drawing/2014/chart" uri="{C3380CC4-5D6E-409C-BE32-E72D297353CC}">
              <c16:uniqueId val="{00000014-974A-9A4B-83DF-898B88DF7C79}"/>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n-lt"/>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Analysis 3</c:v>
                </c:pt>
              </c:strCache>
            </c:strRef>
          </c:tx>
          <c:dPt>
            <c:idx val="0"/>
            <c:bubble3D val="0"/>
            <c:spPr>
              <a:solidFill>
                <a:schemeClr val="accent3">
                  <a:shade val="47000"/>
                </a:schemeClr>
              </a:solidFill>
              <a:ln w="19050">
                <a:solidFill>
                  <a:schemeClr val="lt1"/>
                </a:solidFill>
              </a:ln>
              <a:effectLst/>
            </c:spPr>
            <c:extLst>
              <c:ext xmlns:c16="http://schemas.microsoft.com/office/drawing/2014/chart" uri="{C3380CC4-5D6E-409C-BE32-E72D297353CC}">
                <c16:uniqueId val="{00000001-72BC-5945-867B-6D9A0D7E958F}"/>
              </c:ext>
            </c:extLst>
          </c:dPt>
          <c:dPt>
            <c:idx val="1"/>
            <c:bubble3D val="0"/>
            <c:spPr>
              <a:solidFill>
                <a:schemeClr val="accent3">
                  <a:shade val="65000"/>
                </a:schemeClr>
              </a:solidFill>
              <a:ln w="19050">
                <a:solidFill>
                  <a:schemeClr val="lt1"/>
                </a:solidFill>
              </a:ln>
              <a:effectLst/>
            </c:spPr>
            <c:extLst>
              <c:ext xmlns:c16="http://schemas.microsoft.com/office/drawing/2014/chart" uri="{C3380CC4-5D6E-409C-BE32-E72D297353CC}">
                <c16:uniqueId val="{00000003-72BC-5945-867B-6D9A0D7E958F}"/>
              </c:ext>
            </c:extLst>
          </c:dPt>
          <c:dPt>
            <c:idx val="2"/>
            <c:bubble3D val="0"/>
            <c:spPr>
              <a:solidFill>
                <a:schemeClr val="accent3">
                  <a:shade val="82000"/>
                </a:schemeClr>
              </a:solidFill>
              <a:ln w="19050">
                <a:solidFill>
                  <a:schemeClr val="lt1"/>
                </a:solidFill>
              </a:ln>
              <a:effectLst/>
            </c:spPr>
            <c:extLst>
              <c:ext xmlns:c16="http://schemas.microsoft.com/office/drawing/2014/chart" uri="{C3380CC4-5D6E-409C-BE32-E72D297353CC}">
                <c16:uniqueId val="{00000005-72BC-5945-867B-6D9A0D7E958F}"/>
              </c:ext>
            </c:extLst>
          </c:dPt>
          <c:dPt>
            <c:idx val="3"/>
            <c:bubble3D val="0"/>
            <c:spPr>
              <a:solidFill>
                <a:schemeClr val="accent3"/>
              </a:solidFill>
              <a:ln w="19050">
                <a:solidFill>
                  <a:schemeClr val="lt1"/>
                </a:solidFill>
              </a:ln>
              <a:effectLst/>
            </c:spPr>
            <c:extLst>
              <c:ext xmlns:c16="http://schemas.microsoft.com/office/drawing/2014/chart" uri="{C3380CC4-5D6E-409C-BE32-E72D297353CC}">
                <c16:uniqueId val="{00000007-72BC-5945-867B-6D9A0D7E958F}"/>
              </c:ext>
            </c:extLst>
          </c:dPt>
          <c:dPt>
            <c:idx val="4"/>
            <c:bubble3D val="0"/>
            <c:spPr>
              <a:solidFill>
                <a:schemeClr val="accent3">
                  <a:tint val="83000"/>
                </a:schemeClr>
              </a:solidFill>
              <a:ln w="19050">
                <a:solidFill>
                  <a:schemeClr val="lt1"/>
                </a:solidFill>
              </a:ln>
              <a:effectLst/>
            </c:spPr>
            <c:extLst>
              <c:ext xmlns:c16="http://schemas.microsoft.com/office/drawing/2014/chart" uri="{C3380CC4-5D6E-409C-BE32-E72D297353CC}">
                <c16:uniqueId val="{00000009-72BC-5945-867B-6D9A0D7E958F}"/>
              </c:ext>
            </c:extLst>
          </c:dPt>
          <c:dPt>
            <c:idx val="5"/>
            <c:bubble3D val="0"/>
            <c:spPr>
              <a:solidFill>
                <a:schemeClr val="accent3">
                  <a:tint val="65000"/>
                </a:schemeClr>
              </a:solidFill>
              <a:ln w="19050">
                <a:solidFill>
                  <a:schemeClr val="lt1"/>
                </a:solidFill>
              </a:ln>
              <a:effectLst/>
            </c:spPr>
            <c:extLst>
              <c:ext xmlns:c16="http://schemas.microsoft.com/office/drawing/2014/chart" uri="{C3380CC4-5D6E-409C-BE32-E72D297353CC}">
                <c16:uniqueId val="{0000000B-72BC-5945-867B-6D9A0D7E958F}"/>
              </c:ext>
            </c:extLst>
          </c:dPt>
          <c:dPt>
            <c:idx val="6"/>
            <c:bubble3D val="0"/>
            <c:spPr>
              <a:solidFill>
                <a:schemeClr val="accent3">
                  <a:tint val="48000"/>
                </a:schemeClr>
              </a:solidFill>
              <a:ln w="19050">
                <a:solidFill>
                  <a:schemeClr val="lt1"/>
                </a:solidFill>
              </a:ln>
              <a:effectLst/>
            </c:spPr>
            <c:extLst>
              <c:ext xmlns:c16="http://schemas.microsoft.com/office/drawing/2014/chart" uri="{C3380CC4-5D6E-409C-BE32-E72D297353CC}">
                <c16:uniqueId val="{0000000D-72BC-5945-867B-6D9A0D7E958F}"/>
              </c:ext>
            </c:extLst>
          </c:dPt>
          <c:dLbls>
            <c:dLbl>
              <c:idx val="0"/>
              <c:tx>
                <c:rich>
                  <a:bodyPr/>
                  <a:lstStyle/>
                  <a:p>
                    <a:r>
                      <a:rPr lang="en-US"/>
                      <a:t>I
19%</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72BC-5945-867B-6D9A0D7E958F}"/>
                </c:ext>
              </c:extLst>
            </c:dLbl>
            <c:dLbl>
              <c:idx val="1"/>
              <c:tx>
                <c:rich>
                  <a:bodyPr/>
                  <a:lstStyle/>
                  <a:p>
                    <a:r>
                      <a:rPr lang="en-US"/>
                      <a:t>R
0.4%</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72BC-5945-867B-6D9A0D7E958F}"/>
                </c:ext>
              </c:extLst>
            </c:dLbl>
            <c:dLbl>
              <c:idx val="2"/>
              <c:tx>
                <c:rich>
                  <a:bodyPr/>
                  <a:lstStyle/>
                  <a:p>
                    <a:r>
                      <a:rPr lang="en-US"/>
                      <a:t>S
19.4%</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72BC-5945-867B-6D9A0D7E958F}"/>
                </c:ext>
              </c:extLst>
            </c:dLbl>
            <c:dLbl>
              <c:idx val="3"/>
              <c:tx>
                <c:rich>
                  <a:bodyPr/>
                  <a:lstStyle/>
                  <a:p>
                    <a:r>
                      <a:rPr lang="en-US"/>
                      <a:t>IR
0%</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72BC-5945-867B-6D9A0D7E958F}"/>
                </c:ext>
              </c:extLst>
            </c:dLbl>
            <c:dLbl>
              <c:idx val="4"/>
              <c:tx>
                <c:rich>
                  <a:bodyPr/>
                  <a:lstStyle/>
                  <a:p>
                    <a:r>
                      <a:rPr lang="en-US"/>
                      <a:t>IS
34%</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72BC-5945-867B-6D9A0D7E958F}"/>
                </c:ext>
              </c:extLst>
            </c:dLbl>
            <c:dLbl>
              <c:idx val="5"/>
              <c:tx>
                <c:rich>
                  <a:bodyPr/>
                  <a:lstStyle/>
                  <a:p>
                    <a:r>
                      <a:rPr lang="en-US"/>
                      <a:t>RS
0%</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72BC-5945-867B-6D9A0D7E958F}"/>
                </c:ext>
              </c:extLst>
            </c:dLbl>
            <c:dLbl>
              <c:idx val="6"/>
              <c:tx>
                <c:rich>
                  <a:bodyPr/>
                  <a:lstStyle/>
                  <a:p>
                    <a:r>
                      <a:rPr lang="en-US"/>
                      <a:t>IRS
27.2%</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72BC-5945-867B-6D9A0D7E95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I</c:v>
                </c:pt>
                <c:pt idx="1">
                  <c:v>R</c:v>
                </c:pt>
                <c:pt idx="2">
                  <c:v>S</c:v>
                </c:pt>
                <c:pt idx="3">
                  <c:v>IR</c:v>
                </c:pt>
                <c:pt idx="4">
                  <c:v>IS</c:v>
                </c:pt>
                <c:pt idx="5">
                  <c:v>RS</c:v>
                </c:pt>
                <c:pt idx="6">
                  <c:v>IRS</c:v>
                </c:pt>
              </c:strCache>
            </c:strRef>
          </c:cat>
          <c:val>
            <c:numRef>
              <c:f>Sheet1!$B$2:$B$8</c:f>
              <c:numCache>
                <c:formatCode>General</c:formatCode>
                <c:ptCount val="7"/>
                <c:pt idx="0">
                  <c:v>19</c:v>
                </c:pt>
                <c:pt idx="1">
                  <c:v>0.4</c:v>
                </c:pt>
                <c:pt idx="2">
                  <c:v>19.399999999999999</c:v>
                </c:pt>
                <c:pt idx="3">
                  <c:v>0</c:v>
                </c:pt>
                <c:pt idx="4">
                  <c:v>34</c:v>
                </c:pt>
                <c:pt idx="5">
                  <c:v>0</c:v>
                </c:pt>
                <c:pt idx="6">
                  <c:v>27.2</c:v>
                </c:pt>
              </c:numCache>
            </c:numRef>
          </c:val>
          <c:extLst>
            <c:ext xmlns:c16="http://schemas.microsoft.com/office/drawing/2014/chart" uri="{C3380CC4-5D6E-409C-BE32-E72D297353CC}">
              <c16:uniqueId val="{0000000E-72BC-5945-867B-6D9A0D7E958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Analysis 4</c:v>
                </c:pt>
              </c:strCache>
            </c:strRef>
          </c:tx>
          <c:dPt>
            <c:idx val="0"/>
            <c:bubble3D val="0"/>
            <c:spPr>
              <a:solidFill>
                <a:schemeClr val="accent3">
                  <a:shade val="42000"/>
                </a:schemeClr>
              </a:solidFill>
              <a:ln w="19050">
                <a:solidFill>
                  <a:schemeClr val="lt1"/>
                </a:solidFill>
              </a:ln>
              <a:effectLst/>
            </c:spPr>
            <c:extLst>
              <c:ext xmlns:c16="http://schemas.microsoft.com/office/drawing/2014/chart" uri="{C3380CC4-5D6E-409C-BE32-E72D297353CC}">
                <c16:uniqueId val="{00000001-FBE0-D648-BFE9-1C5E8443DF23}"/>
              </c:ext>
            </c:extLst>
          </c:dPt>
          <c:dPt>
            <c:idx val="1"/>
            <c:bubble3D val="0"/>
            <c:spPr>
              <a:solidFill>
                <a:schemeClr val="accent3">
                  <a:shade val="55000"/>
                </a:schemeClr>
              </a:solidFill>
              <a:ln w="19050">
                <a:solidFill>
                  <a:schemeClr val="lt1"/>
                </a:solidFill>
              </a:ln>
              <a:effectLst/>
            </c:spPr>
            <c:extLst>
              <c:ext xmlns:c16="http://schemas.microsoft.com/office/drawing/2014/chart" uri="{C3380CC4-5D6E-409C-BE32-E72D297353CC}">
                <c16:uniqueId val="{00000003-FBE0-D648-BFE9-1C5E8443DF23}"/>
              </c:ext>
            </c:extLst>
          </c:dPt>
          <c:dPt>
            <c:idx val="2"/>
            <c:bubble3D val="0"/>
            <c:spPr>
              <a:solidFill>
                <a:schemeClr val="accent3">
                  <a:shade val="68000"/>
                </a:schemeClr>
              </a:solidFill>
              <a:ln w="19050">
                <a:solidFill>
                  <a:schemeClr val="lt1"/>
                </a:solidFill>
              </a:ln>
              <a:effectLst/>
            </c:spPr>
            <c:extLst>
              <c:ext xmlns:c16="http://schemas.microsoft.com/office/drawing/2014/chart" uri="{C3380CC4-5D6E-409C-BE32-E72D297353CC}">
                <c16:uniqueId val="{00000005-FBE0-D648-BFE9-1C5E8443DF23}"/>
              </c:ext>
            </c:extLst>
          </c:dPt>
          <c:dPt>
            <c:idx val="3"/>
            <c:bubble3D val="0"/>
            <c:spPr>
              <a:solidFill>
                <a:schemeClr val="accent3">
                  <a:shade val="80000"/>
                </a:schemeClr>
              </a:solidFill>
              <a:ln w="19050">
                <a:solidFill>
                  <a:schemeClr val="lt1"/>
                </a:solidFill>
              </a:ln>
              <a:effectLst/>
            </c:spPr>
            <c:extLst>
              <c:ext xmlns:c16="http://schemas.microsoft.com/office/drawing/2014/chart" uri="{C3380CC4-5D6E-409C-BE32-E72D297353CC}">
                <c16:uniqueId val="{00000007-FBE0-D648-BFE9-1C5E8443DF23}"/>
              </c:ext>
            </c:extLst>
          </c:dPt>
          <c:dPt>
            <c:idx val="4"/>
            <c:bubble3D val="0"/>
            <c:spPr>
              <a:solidFill>
                <a:schemeClr val="accent3">
                  <a:shade val="93000"/>
                </a:schemeClr>
              </a:solidFill>
              <a:ln w="19050">
                <a:solidFill>
                  <a:schemeClr val="lt1"/>
                </a:solidFill>
              </a:ln>
              <a:effectLst/>
            </c:spPr>
            <c:extLst>
              <c:ext xmlns:c16="http://schemas.microsoft.com/office/drawing/2014/chart" uri="{C3380CC4-5D6E-409C-BE32-E72D297353CC}">
                <c16:uniqueId val="{00000009-FBE0-D648-BFE9-1C5E8443DF23}"/>
              </c:ext>
            </c:extLst>
          </c:dPt>
          <c:dPt>
            <c:idx val="5"/>
            <c:bubble3D val="0"/>
            <c:spPr>
              <a:solidFill>
                <a:schemeClr val="accent3">
                  <a:tint val="94000"/>
                </a:schemeClr>
              </a:solidFill>
              <a:ln w="19050">
                <a:solidFill>
                  <a:schemeClr val="lt1"/>
                </a:solidFill>
              </a:ln>
              <a:effectLst/>
            </c:spPr>
            <c:extLst>
              <c:ext xmlns:c16="http://schemas.microsoft.com/office/drawing/2014/chart" uri="{C3380CC4-5D6E-409C-BE32-E72D297353CC}">
                <c16:uniqueId val="{0000000B-FBE0-D648-BFE9-1C5E8443DF23}"/>
              </c:ext>
            </c:extLst>
          </c:dPt>
          <c:dPt>
            <c:idx val="6"/>
            <c:bubble3D val="0"/>
            <c:spPr>
              <a:solidFill>
                <a:schemeClr val="accent3">
                  <a:tint val="81000"/>
                </a:schemeClr>
              </a:solidFill>
              <a:ln w="19050">
                <a:solidFill>
                  <a:schemeClr val="lt1"/>
                </a:solidFill>
              </a:ln>
              <a:effectLst/>
            </c:spPr>
            <c:extLst>
              <c:ext xmlns:c16="http://schemas.microsoft.com/office/drawing/2014/chart" uri="{C3380CC4-5D6E-409C-BE32-E72D297353CC}">
                <c16:uniqueId val="{0000000D-FBE0-D648-BFE9-1C5E8443DF23}"/>
              </c:ext>
            </c:extLst>
          </c:dPt>
          <c:dPt>
            <c:idx val="7"/>
            <c:bubble3D val="0"/>
            <c:spPr>
              <a:solidFill>
                <a:schemeClr val="accent3">
                  <a:tint val="69000"/>
                </a:schemeClr>
              </a:solidFill>
              <a:ln w="19050">
                <a:solidFill>
                  <a:schemeClr val="lt1"/>
                </a:solidFill>
              </a:ln>
              <a:effectLst/>
            </c:spPr>
            <c:extLst>
              <c:ext xmlns:c16="http://schemas.microsoft.com/office/drawing/2014/chart" uri="{C3380CC4-5D6E-409C-BE32-E72D297353CC}">
                <c16:uniqueId val="{0000000F-FBE0-D648-BFE9-1C5E8443DF23}"/>
              </c:ext>
            </c:extLst>
          </c:dPt>
          <c:dPt>
            <c:idx val="8"/>
            <c:bubble3D val="0"/>
            <c:spPr>
              <a:solidFill>
                <a:schemeClr val="accent3">
                  <a:tint val="56000"/>
                </a:schemeClr>
              </a:solidFill>
              <a:ln w="19050">
                <a:solidFill>
                  <a:schemeClr val="lt1"/>
                </a:solidFill>
              </a:ln>
              <a:effectLst/>
            </c:spPr>
            <c:extLst>
              <c:ext xmlns:c16="http://schemas.microsoft.com/office/drawing/2014/chart" uri="{C3380CC4-5D6E-409C-BE32-E72D297353CC}">
                <c16:uniqueId val="{00000011-FBE0-D648-BFE9-1C5E8443DF23}"/>
              </c:ext>
            </c:extLst>
          </c:dPt>
          <c:dPt>
            <c:idx val="9"/>
            <c:bubble3D val="0"/>
            <c:spPr>
              <a:solidFill>
                <a:schemeClr val="accent3">
                  <a:tint val="43000"/>
                </a:schemeClr>
              </a:solidFill>
              <a:ln w="19050">
                <a:solidFill>
                  <a:schemeClr val="lt1"/>
                </a:solidFill>
              </a:ln>
              <a:effectLst/>
            </c:spPr>
            <c:extLst>
              <c:ext xmlns:c16="http://schemas.microsoft.com/office/drawing/2014/chart" uri="{C3380CC4-5D6E-409C-BE32-E72D297353CC}">
                <c16:uniqueId val="{00000013-FBE0-D648-BFE9-1C5E8443DF23}"/>
              </c:ext>
            </c:extLst>
          </c:dPt>
          <c:dLbls>
            <c:dLbl>
              <c:idx val="0"/>
              <c:tx>
                <c:rich>
                  <a:bodyPr/>
                  <a:lstStyle/>
                  <a:p>
                    <a:r>
                      <a:rPr lang="en-US"/>
                      <a:t>I:L
25.2%</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FBE0-D648-BFE9-1C5E8443DF23}"/>
                </c:ext>
              </c:extLst>
            </c:dLbl>
            <c:dLbl>
              <c:idx val="1"/>
              <c:tx>
                <c:rich>
                  <a:bodyPr/>
                  <a:lstStyle/>
                  <a:p>
                    <a:r>
                      <a:rPr lang="en-US"/>
                      <a:t>R
0.1%</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FBE0-D648-BFE9-1C5E8443DF23}"/>
                </c:ext>
              </c:extLst>
            </c:dLbl>
            <c:dLbl>
              <c:idx val="2"/>
              <c:tx>
                <c:rich>
                  <a:bodyPr/>
                  <a:lstStyle/>
                  <a:p>
                    <a:r>
                      <a:rPr lang="en-US"/>
                      <a:t>S
12.8%</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FBE0-D648-BFE9-1C5E8443DF23}"/>
                </c:ext>
              </c:extLst>
            </c:dLbl>
            <c:dLbl>
              <c:idx val="3"/>
              <c:tx>
                <c:rich>
                  <a:bodyPr/>
                  <a:lstStyle/>
                  <a:p>
                    <a:r>
                      <a:rPr lang="en-US"/>
                      <a:t>L
0%</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FBE0-D648-BFE9-1C5E8443DF23}"/>
                </c:ext>
              </c:extLst>
            </c:dLbl>
            <c:dLbl>
              <c:idx val="4"/>
              <c:layout>
                <c:manualLayout>
                  <c:x val="0.14809015948434501"/>
                  <c:y val="-1.9531078168301699E-2"/>
                </c:manualLayout>
              </c:layout>
              <c:tx>
                <c:rich>
                  <a:bodyPr/>
                  <a:lstStyle/>
                  <a:p>
                    <a:r>
                      <a:rPr lang="en-US"/>
                      <a:t>(I:L)R
2.2%</a:t>
                    </a:r>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FBE0-D648-BFE9-1C5E8443DF23}"/>
                </c:ext>
              </c:extLst>
            </c:dLbl>
            <c:dLbl>
              <c:idx val="5"/>
              <c:tx>
                <c:rich>
                  <a:bodyPr/>
                  <a:lstStyle/>
                  <a:p>
                    <a:r>
                      <a:rPr lang="en-US"/>
                      <a:t>(I:L)S
24.9%</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FBE0-D648-BFE9-1C5E8443DF23}"/>
                </c:ext>
              </c:extLst>
            </c:dLbl>
            <c:dLbl>
              <c:idx val="6"/>
              <c:tx>
                <c:rich>
                  <a:bodyPr/>
                  <a:lstStyle/>
                  <a:p>
                    <a:r>
                      <a:rPr lang="en-US"/>
                      <a:t>RL
0%</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FBE0-D648-BFE9-1C5E8443DF23}"/>
                </c:ext>
              </c:extLst>
            </c:dLbl>
            <c:dLbl>
              <c:idx val="7"/>
              <c:layout>
                <c:manualLayout>
                  <c:x val="-1.1554872161109399E-2"/>
                  <c:y val="0.118471385210927"/>
                </c:manualLayout>
              </c:layout>
              <c:tx>
                <c:rich>
                  <a:bodyPr/>
                  <a:lstStyle/>
                  <a:p>
                    <a:r>
                      <a:rPr lang="en-US"/>
                      <a:t>RS
0.1%</a:t>
                    </a:r>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FBE0-D648-BFE9-1C5E8443DF23}"/>
                </c:ext>
              </c:extLst>
            </c:dLbl>
            <c:dLbl>
              <c:idx val="8"/>
              <c:layout>
                <c:manualLayout>
                  <c:x val="-3.4722222222222203E-2"/>
                  <c:y val="-7.5396825396825407E-2"/>
                </c:manualLayout>
              </c:layout>
              <c:tx>
                <c:rich>
                  <a:bodyPr/>
                  <a:lstStyle/>
                  <a:p>
                    <a:r>
                      <a:rPr lang="en-US"/>
                      <a:t>LS
4.8%</a:t>
                    </a:r>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FBE0-D648-BFE9-1C5E8443DF23}"/>
                </c:ext>
              </c:extLst>
            </c:dLbl>
            <c:dLbl>
              <c:idx val="9"/>
              <c:tx>
                <c:rich>
                  <a:bodyPr/>
                  <a:lstStyle/>
                  <a:p>
                    <a:r>
                      <a:rPr lang="en-US"/>
                      <a:t>(I:L)RS
29.8%</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FBE0-D648-BFE9-1C5E8443DF2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Sheet1!$A$2:$A$11</c:f>
              <c:strCache>
                <c:ptCount val="10"/>
                <c:pt idx="0">
                  <c:v>I:L</c:v>
                </c:pt>
                <c:pt idx="1">
                  <c:v>R</c:v>
                </c:pt>
                <c:pt idx="2">
                  <c:v>S</c:v>
                </c:pt>
                <c:pt idx="3">
                  <c:v>L</c:v>
                </c:pt>
                <c:pt idx="4">
                  <c:v>(I:L)R</c:v>
                </c:pt>
                <c:pt idx="5">
                  <c:v>(I:L)S</c:v>
                </c:pt>
                <c:pt idx="6">
                  <c:v>RL</c:v>
                </c:pt>
                <c:pt idx="7">
                  <c:v>RS</c:v>
                </c:pt>
                <c:pt idx="8">
                  <c:v>LS</c:v>
                </c:pt>
                <c:pt idx="9">
                  <c:v>(I:L)RS</c:v>
                </c:pt>
              </c:strCache>
            </c:strRef>
          </c:cat>
          <c:val>
            <c:numRef>
              <c:f>Sheet1!$B$2:$B$11</c:f>
              <c:numCache>
                <c:formatCode>General</c:formatCode>
                <c:ptCount val="10"/>
                <c:pt idx="0">
                  <c:v>25.2</c:v>
                </c:pt>
                <c:pt idx="1">
                  <c:v>0.1</c:v>
                </c:pt>
                <c:pt idx="2">
                  <c:v>12.8</c:v>
                </c:pt>
                <c:pt idx="3">
                  <c:v>0</c:v>
                </c:pt>
                <c:pt idx="4">
                  <c:v>2.2000000000000002</c:v>
                </c:pt>
                <c:pt idx="5">
                  <c:v>24.9</c:v>
                </c:pt>
                <c:pt idx="6">
                  <c:v>0</c:v>
                </c:pt>
                <c:pt idx="7">
                  <c:v>0.1</c:v>
                </c:pt>
                <c:pt idx="8">
                  <c:v>4.8</c:v>
                </c:pt>
                <c:pt idx="9">
                  <c:v>29.8</c:v>
                </c:pt>
              </c:numCache>
            </c:numRef>
          </c:val>
          <c:extLst>
            <c:ext xmlns:c16="http://schemas.microsoft.com/office/drawing/2014/chart" uri="{C3380CC4-5D6E-409C-BE32-E72D297353CC}">
              <c16:uniqueId val="{00000014-FBE0-D648-BFE9-1C5E8443DF2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Analysis 6</c:v>
                </c:pt>
              </c:strCache>
            </c:strRef>
          </c:tx>
          <c:dPt>
            <c:idx val="0"/>
            <c:bubble3D val="0"/>
            <c:spPr>
              <a:solidFill>
                <a:schemeClr val="accent3">
                  <a:shade val="42000"/>
                </a:schemeClr>
              </a:solidFill>
              <a:ln w="19050">
                <a:solidFill>
                  <a:schemeClr val="lt1"/>
                </a:solidFill>
              </a:ln>
              <a:effectLst/>
            </c:spPr>
            <c:extLst>
              <c:ext xmlns:c16="http://schemas.microsoft.com/office/drawing/2014/chart" uri="{C3380CC4-5D6E-409C-BE32-E72D297353CC}">
                <c16:uniqueId val="{00000001-F4C8-8447-B319-DEA3E6B68EFB}"/>
              </c:ext>
            </c:extLst>
          </c:dPt>
          <c:dPt>
            <c:idx val="1"/>
            <c:bubble3D val="0"/>
            <c:spPr>
              <a:solidFill>
                <a:schemeClr val="accent3">
                  <a:shade val="55000"/>
                </a:schemeClr>
              </a:solidFill>
              <a:ln w="19050">
                <a:solidFill>
                  <a:schemeClr val="lt1"/>
                </a:solidFill>
              </a:ln>
              <a:effectLst/>
            </c:spPr>
            <c:extLst>
              <c:ext xmlns:c16="http://schemas.microsoft.com/office/drawing/2014/chart" uri="{C3380CC4-5D6E-409C-BE32-E72D297353CC}">
                <c16:uniqueId val="{00000003-F4C8-8447-B319-DEA3E6B68EFB}"/>
              </c:ext>
            </c:extLst>
          </c:dPt>
          <c:dPt>
            <c:idx val="2"/>
            <c:bubble3D val="0"/>
            <c:spPr>
              <a:solidFill>
                <a:schemeClr val="accent3">
                  <a:shade val="68000"/>
                </a:schemeClr>
              </a:solidFill>
              <a:ln w="19050">
                <a:solidFill>
                  <a:schemeClr val="lt1"/>
                </a:solidFill>
              </a:ln>
              <a:effectLst/>
            </c:spPr>
            <c:extLst>
              <c:ext xmlns:c16="http://schemas.microsoft.com/office/drawing/2014/chart" uri="{C3380CC4-5D6E-409C-BE32-E72D297353CC}">
                <c16:uniqueId val="{00000005-F4C8-8447-B319-DEA3E6B68EFB}"/>
              </c:ext>
            </c:extLst>
          </c:dPt>
          <c:dPt>
            <c:idx val="3"/>
            <c:bubble3D val="0"/>
            <c:spPr>
              <a:solidFill>
                <a:schemeClr val="accent3">
                  <a:shade val="80000"/>
                </a:schemeClr>
              </a:solidFill>
              <a:ln w="19050">
                <a:solidFill>
                  <a:schemeClr val="lt1"/>
                </a:solidFill>
              </a:ln>
              <a:effectLst/>
            </c:spPr>
            <c:extLst>
              <c:ext xmlns:c16="http://schemas.microsoft.com/office/drawing/2014/chart" uri="{C3380CC4-5D6E-409C-BE32-E72D297353CC}">
                <c16:uniqueId val="{00000007-F4C8-8447-B319-DEA3E6B68EFB}"/>
              </c:ext>
            </c:extLst>
          </c:dPt>
          <c:dPt>
            <c:idx val="4"/>
            <c:bubble3D val="0"/>
            <c:spPr>
              <a:solidFill>
                <a:schemeClr val="accent3">
                  <a:shade val="93000"/>
                </a:schemeClr>
              </a:solidFill>
              <a:ln w="19050">
                <a:solidFill>
                  <a:schemeClr val="lt1"/>
                </a:solidFill>
              </a:ln>
              <a:effectLst/>
            </c:spPr>
            <c:extLst>
              <c:ext xmlns:c16="http://schemas.microsoft.com/office/drawing/2014/chart" uri="{C3380CC4-5D6E-409C-BE32-E72D297353CC}">
                <c16:uniqueId val="{00000009-F4C8-8447-B319-DEA3E6B68EFB}"/>
              </c:ext>
            </c:extLst>
          </c:dPt>
          <c:dPt>
            <c:idx val="5"/>
            <c:bubble3D val="0"/>
            <c:spPr>
              <a:solidFill>
                <a:schemeClr val="accent3">
                  <a:tint val="94000"/>
                </a:schemeClr>
              </a:solidFill>
              <a:ln w="19050">
                <a:solidFill>
                  <a:schemeClr val="lt1"/>
                </a:solidFill>
              </a:ln>
              <a:effectLst/>
            </c:spPr>
            <c:extLst>
              <c:ext xmlns:c16="http://schemas.microsoft.com/office/drawing/2014/chart" uri="{C3380CC4-5D6E-409C-BE32-E72D297353CC}">
                <c16:uniqueId val="{0000000B-F4C8-8447-B319-DEA3E6B68EFB}"/>
              </c:ext>
            </c:extLst>
          </c:dPt>
          <c:dPt>
            <c:idx val="6"/>
            <c:bubble3D val="0"/>
            <c:spPr>
              <a:solidFill>
                <a:schemeClr val="accent3">
                  <a:tint val="81000"/>
                </a:schemeClr>
              </a:solidFill>
              <a:ln w="19050">
                <a:solidFill>
                  <a:schemeClr val="lt1"/>
                </a:solidFill>
              </a:ln>
              <a:effectLst/>
            </c:spPr>
            <c:extLst>
              <c:ext xmlns:c16="http://schemas.microsoft.com/office/drawing/2014/chart" uri="{C3380CC4-5D6E-409C-BE32-E72D297353CC}">
                <c16:uniqueId val="{0000000D-F4C8-8447-B319-DEA3E6B68EFB}"/>
              </c:ext>
            </c:extLst>
          </c:dPt>
          <c:dPt>
            <c:idx val="7"/>
            <c:bubble3D val="0"/>
            <c:spPr>
              <a:solidFill>
                <a:schemeClr val="accent3">
                  <a:tint val="69000"/>
                </a:schemeClr>
              </a:solidFill>
              <a:ln w="19050">
                <a:solidFill>
                  <a:schemeClr val="lt1"/>
                </a:solidFill>
              </a:ln>
              <a:effectLst/>
            </c:spPr>
            <c:extLst>
              <c:ext xmlns:c16="http://schemas.microsoft.com/office/drawing/2014/chart" uri="{C3380CC4-5D6E-409C-BE32-E72D297353CC}">
                <c16:uniqueId val="{0000000F-F4C8-8447-B319-DEA3E6B68EFB}"/>
              </c:ext>
            </c:extLst>
          </c:dPt>
          <c:dPt>
            <c:idx val="8"/>
            <c:bubble3D val="0"/>
            <c:spPr>
              <a:solidFill>
                <a:schemeClr val="accent3">
                  <a:tint val="56000"/>
                </a:schemeClr>
              </a:solidFill>
              <a:ln w="19050">
                <a:solidFill>
                  <a:schemeClr val="lt1"/>
                </a:solidFill>
              </a:ln>
              <a:effectLst/>
            </c:spPr>
            <c:extLst>
              <c:ext xmlns:c16="http://schemas.microsoft.com/office/drawing/2014/chart" uri="{C3380CC4-5D6E-409C-BE32-E72D297353CC}">
                <c16:uniqueId val="{00000011-F4C8-8447-B319-DEA3E6B68EFB}"/>
              </c:ext>
            </c:extLst>
          </c:dPt>
          <c:dPt>
            <c:idx val="9"/>
            <c:bubble3D val="0"/>
            <c:spPr>
              <a:solidFill>
                <a:schemeClr val="accent3">
                  <a:tint val="43000"/>
                </a:schemeClr>
              </a:solidFill>
              <a:ln w="19050">
                <a:solidFill>
                  <a:schemeClr val="lt1"/>
                </a:solidFill>
              </a:ln>
              <a:effectLst/>
            </c:spPr>
            <c:extLst>
              <c:ext xmlns:c16="http://schemas.microsoft.com/office/drawing/2014/chart" uri="{C3380CC4-5D6E-409C-BE32-E72D297353CC}">
                <c16:uniqueId val="{00000013-F4C8-8447-B319-DEA3E6B68EFB}"/>
              </c:ext>
            </c:extLst>
          </c:dPt>
          <c:dLbls>
            <c:dLbl>
              <c:idx val="0"/>
              <c:tx>
                <c:rich>
                  <a:bodyPr/>
                  <a:lstStyle/>
                  <a:p>
                    <a:r>
                      <a:rPr lang="en-US"/>
                      <a:t>I:T
13.9%</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F4C8-8447-B319-DEA3E6B68EFB}"/>
                </c:ext>
              </c:extLst>
            </c:dLbl>
            <c:dLbl>
              <c:idx val="1"/>
              <c:tx>
                <c:rich>
                  <a:bodyPr/>
                  <a:lstStyle/>
                  <a:p>
                    <a:r>
                      <a:rPr lang="en-US"/>
                      <a:t>T
9.9%</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F4C8-8447-B319-DEA3E6B68EFB}"/>
                </c:ext>
              </c:extLst>
            </c:dLbl>
            <c:dLbl>
              <c:idx val="2"/>
              <c:tx>
                <c:rich>
                  <a:bodyPr/>
                  <a:lstStyle/>
                  <a:p>
                    <a:r>
                      <a:rPr lang="en-US"/>
                      <a:t>R
0.1%</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F4C8-8447-B319-DEA3E6B68EFB}"/>
                </c:ext>
              </c:extLst>
            </c:dLbl>
            <c:dLbl>
              <c:idx val="3"/>
              <c:layout>
                <c:manualLayout>
                  <c:x val="5.0902360018509903E-2"/>
                  <c:y val="6.6666666666666693E-2"/>
                </c:manualLayout>
              </c:layout>
              <c:tx>
                <c:rich>
                  <a:bodyPr/>
                  <a:lstStyle/>
                  <a:p>
                    <a:r>
                      <a:rPr lang="en-US"/>
                      <a:t>S
7.9%</a:t>
                    </a:r>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F4C8-8447-B319-DEA3E6B68EFB}"/>
                </c:ext>
              </c:extLst>
            </c:dLbl>
            <c:dLbl>
              <c:idx val="4"/>
              <c:tx>
                <c:rich>
                  <a:bodyPr/>
                  <a:lstStyle/>
                  <a:p>
                    <a:r>
                      <a:rPr lang="en-US"/>
                      <a:t>(I:T)R
5.5%</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F4C8-8447-B319-DEA3E6B68EFB}"/>
                </c:ext>
              </c:extLst>
            </c:dLbl>
            <c:dLbl>
              <c:idx val="5"/>
              <c:tx>
                <c:rich>
                  <a:bodyPr/>
                  <a:lstStyle/>
                  <a:p>
                    <a:r>
                      <a:rPr lang="en-US"/>
                      <a:t>(I:T)S
34%</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F4C8-8447-B319-DEA3E6B68EFB}"/>
                </c:ext>
              </c:extLst>
            </c:dLbl>
            <c:dLbl>
              <c:idx val="6"/>
              <c:layout>
                <c:manualLayout>
                  <c:x val="-4.2437781360066697E-17"/>
                  <c:y val="5.95238095238095E-2"/>
                </c:manualLayout>
              </c:layout>
              <c:tx>
                <c:rich>
                  <a:bodyPr/>
                  <a:lstStyle/>
                  <a:p>
                    <a:r>
                      <a:rPr lang="en-US"/>
                      <a:t>TR
0.2%</a:t>
                    </a:r>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F4C8-8447-B319-DEA3E6B68EFB}"/>
                </c:ext>
              </c:extLst>
            </c:dLbl>
            <c:dLbl>
              <c:idx val="8"/>
              <c:tx>
                <c:rich>
                  <a:bodyPr/>
                  <a:lstStyle/>
                  <a:p>
                    <a:r>
                      <a:rPr lang="en-US"/>
                      <a:t>TS
5%</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F4C8-8447-B319-DEA3E6B68EFB}"/>
                </c:ext>
              </c:extLst>
            </c:dLbl>
            <c:dLbl>
              <c:idx val="9"/>
              <c:tx>
                <c:rich>
                  <a:bodyPr/>
                  <a:lstStyle/>
                  <a:p>
                    <a:r>
                      <a:rPr lang="en-US"/>
                      <a:t>(I:T)RS
23.6%</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F4C8-8447-B319-DEA3E6B68E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Sheet1!$A$2:$A$11</c:f>
              <c:strCache>
                <c:ptCount val="10"/>
                <c:pt idx="0">
                  <c:v>I:T</c:v>
                </c:pt>
                <c:pt idx="1">
                  <c:v>T</c:v>
                </c:pt>
                <c:pt idx="2">
                  <c:v>R</c:v>
                </c:pt>
                <c:pt idx="3">
                  <c:v>S</c:v>
                </c:pt>
                <c:pt idx="4">
                  <c:v>(I:T)R</c:v>
                </c:pt>
                <c:pt idx="5">
                  <c:v>(I:T)S</c:v>
                </c:pt>
                <c:pt idx="6">
                  <c:v>TR</c:v>
                </c:pt>
                <c:pt idx="7">
                  <c:v>RS</c:v>
                </c:pt>
                <c:pt idx="8">
                  <c:v>TS</c:v>
                </c:pt>
                <c:pt idx="9">
                  <c:v>(I:T)RS</c:v>
                </c:pt>
              </c:strCache>
            </c:strRef>
          </c:cat>
          <c:val>
            <c:numRef>
              <c:f>Sheet1!$B$2:$B$11</c:f>
              <c:numCache>
                <c:formatCode>General</c:formatCode>
                <c:ptCount val="10"/>
                <c:pt idx="0">
                  <c:v>13.9</c:v>
                </c:pt>
                <c:pt idx="1">
                  <c:v>9.9</c:v>
                </c:pt>
                <c:pt idx="2">
                  <c:v>0.1</c:v>
                </c:pt>
                <c:pt idx="3">
                  <c:v>7.9</c:v>
                </c:pt>
                <c:pt idx="4">
                  <c:v>5.5</c:v>
                </c:pt>
                <c:pt idx="5">
                  <c:v>34</c:v>
                </c:pt>
                <c:pt idx="6">
                  <c:v>0.2</c:v>
                </c:pt>
                <c:pt idx="8">
                  <c:v>5</c:v>
                </c:pt>
                <c:pt idx="9">
                  <c:v>23.6</c:v>
                </c:pt>
              </c:numCache>
            </c:numRef>
          </c:val>
          <c:extLst>
            <c:ext xmlns:c16="http://schemas.microsoft.com/office/drawing/2014/chart" uri="{C3380CC4-5D6E-409C-BE32-E72D297353CC}">
              <c16:uniqueId val="{00000014-F4C8-8447-B319-DEA3E6B68EF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Analysis 5</c:v>
                </c:pt>
              </c:strCache>
            </c:strRef>
          </c:tx>
          <c:dPt>
            <c:idx val="0"/>
            <c:bubble3D val="0"/>
            <c:spPr>
              <a:solidFill>
                <a:schemeClr val="accent3">
                  <a:shade val="47000"/>
                </a:schemeClr>
              </a:solidFill>
              <a:ln w="19050">
                <a:solidFill>
                  <a:schemeClr val="lt1"/>
                </a:solidFill>
              </a:ln>
              <a:effectLst/>
            </c:spPr>
            <c:extLst>
              <c:ext xmlns:c16="http://schemas.microsoft.com/office/drawing/2014/chart" uri="{C3380CC4-5D6E-409C-BE32-E72D297353CC}">
                <c16:uniqueId val="{00000001-BF4E-4C45-BEE4-EE6A9CA00907}"/>
              </c:ext>
            </c:extLst>
          </c:dPt>
          <c:dPt>
            <c:idx val="1"/>
            <c:bubble3D val="0"/>
            <c:spPr>
              <a:solidFill>
                <a:schemeClr val="accent3">
                  <a:shade val="65000"/>
                </a:schemeClr>
              </a:solidFill>
              <a:ln w="19050">
                <a:solidFill>
                  <a:schemeClr val="lt1"/>
                </a:solidFill>
              </a:ln>
              <a:effectLst/>
            </c:spPr>
            <c:extLst>
              <c:ext xmlns:c16="http://schemas.microsoft.com/office/drawing/2014/chart" uri="{C3380CC4-5D6E-409C-BE32-E72D297353CC}">
                <c16:uniqueId val="{00000003-BF4E-4C45-BEE4-EE6A9CA00907}"/>
              </c:ext>
            </c:extLst>
          </c:dPt>
          <c:dPt>
            <c:idx val="2"/>
            <c:bubble3D val="0"/>
            <c:spPr>
              <a:solidFill>
                <a:schemeClr val="accent3">
                  <a:shade val="82000"/>
                </a:schemeClr>
              </a:solidFill>
              <a:ln w="19050">
                <a:solidFill>
                  <a:schemeClr val="lt1"/>
                </a:solidFill>
              </a:ln>
              <a:effectLst/>
            </c:spPr>
            <c:extLst>
              <c:ext xmlns:c16="http://schemas.microsoft.com/office/drawing/2014/chart" uri="{C3380CC4-5D6E-409C-BE32-E72D297353CC}">
                <c16:uniqueId val="{00000005-BF4E-4C45-BEE4-EE6A9CA00907}"/>
              </c:ext>
            </c:extLst>
          </c:dPt>
          <c:dPt>
            <c:idx val="3"/>
            <c:bubble3D val="0"/>
            <c:spPr>
              <a:solidFill>
                <a:schemeClr val="accent3"/>
              </a:solidFill>
              <a:ln w="19050">
                <a:solidFill>
                  <a:schemeClr val="lt1"/>
                </a:solidFill>
              </a:ln>
              <a:effectLst/>
            </c:spPr>
            <c:extLst>
              <c:ext xmlns:c16="http://schemas.microsoft.com/office/drawing/2014/chart" uri="{C3380CC4-5D6E-409C-BE32-E72D297353CC}">
                <c16:uniqueId val="{00000007-BF4E-4C45-BEE4-EE6A9CA00907}"/>
              </c:ext>
            </c:extLst>
          </c:dPt>
          <c:dPt>
            <c:idx val="4"/>
            <c:bubble3D val="0"/>
            <c:spPr>
              <a:solidFill>
                <a:schemeClr val="accent3">
                  <a:tint val="83000"/>
                </a:schemeClr>
              </a:solidFill>
              <a:ln w="19050">
                <a:solidFill>
                  <a:schemeClr val="lt1"/>
                </a:solidFill>
              </a:ln>
              <a:effectLst/>
            </c:spPr>
            <c:extLst>
              <c:ext xmlns:c16="http://schemas.microsoft.com/office/drawing/2014/chart" uri="{C3380CC4-5D6E-409C-BE32-E72D297353CC}">
                <c16:uniqueId val="{00000009-BF4E-4C45-BEE4-EE6A9CA00907}"/>
              </c:ext>
            </c:extLst>
          </c:dPt>
          <c:dPt>
            <c:idx val="5"/>
            <c:bubble3D val="0"/>
            <c:spPr>
              <a:solidFill>
                <a:schemeClr val="accent3">
                  <a:tint val="65000"/>
                </a:schemeClr>
              </a:solidFill>
              <a:ln w="19050">
                <a:solidFill>
                  <a:schemeClr val="lt1"/>
                </a:solidFill>
              </a:ln>
              <a:effectLst/>
            </c:spPr>
            <c:extLst>
              <c:ext xmlns:c16="http://schemas.microsoft.com/office/drawing/2014/chart" uri="{C3380CC4-5D6E-409C-BE32-E72D297353CC}">
                <c16:uniqueId val="{0000000B-BF4E-4C45-BEE4-EE6A9CA00907}"/>
              </c:ext>
            </c:extLst>
          </c:dPt>
          <c:dPt>
            <c:idx val="6"/>
            <c:bubble3D val="0"/>
            <c:spPr>
              <a:solidFill>
                <a:schemeClr val="accent3">
                  <a:tint val="48000"/>
                </a:schemeClr>
              </a:solidFill>
              <a:ln w="19050">
                <a:solidFill>
                  <a:schemeClr val="lt1"/>
                </a:solidFill>
              </a:ln>
              <a:effectLst/>
            </c:spPr>
            <c:extLst>
              <c:ext xmlns:c16="http://schemas.microsoft.com/office/drawing/2014/chart" uri="{C3380CC4-5D6E-409C-BE32-E72D297353CC}">
                <c16:uniqueId val="{0000000D-BF4E-4C45-BEE4-EE6A9CA00907}"/>
              </c:ext>
            </c:extLst>
          </c:dPt>
          <c:dLbls>
            <c:dLbl>
              <c:idx val="0"/>
              <c:tx>
                <c:rich>
                  <a:bodyPr/>
                  <a:lstStyle/>
                  <a:p>
                    <a:r>
                      <a:rPr lang="en-US"/>
                      <a:t>I
22%</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BF4E-4C45-BEE4-EE6A9CA00907}"/>
                </c:ext>
              </c:extLst>
            </c:dLbl>
            <c:dLbl>
              <c:idx val="1"/>
              <c:tx>
                <c:rich>
                  <a:bodyPr/>
                  <a:lstStyle/>
                  <a:p>
                    <a:r>
                      <a:rPr lang="en-US"/>
                      <a:t>R
0%</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BF4E-4C45-BEE4-EE6A9CA00907}"/>
                </c:ext>
              </c:extLst>
            </c:dLbl>
            <c:dLbl>
              <c:idx val="2"/>
              <c:layout>
                <c:manualLayout>
                  <c:x val="4.6307015512850203E-3"/>
                  <c:y val="3.3333333333333298E-2"/>
                </c:manualLayout>
              </c:layout>
              <c:tx>
                <c:rich>
                  <a:bodyPr/>
                  <a:lstStyle/>
                  <a:p>
                    <a:r>
                      <a:rPr lang="en-US"/>
                      <a:t>S
5.8%</a:t>
                    </a:r>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BF4E-4C45-BEE4-EE6A9CA00907}"/>
                </c:ext>
              </c:extLst>
            </c:dLbl>
            <c:dLbl>
              <c:idx val="3"/>
              <c:tx>
                <c:rich>
                  <a:bodyPr/>
                  <a:lstStyle/>
                  <a:p>
                    <a:r>
                      <a:rPr lang="en-US"/>
                      <a:t>IR
14%</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BF4E-4C45-BEE4-EE6A9CA00907}"/>
                </c:ext>
              </c:extLst>
            </c:dLbl>
            <c:dLbl>
              <c:idx val="4"/>
              <c:tx>
                <c:rich>
                  <a:bodyPr/>
                  <a:lstStyle/>
                  <a:p>
                    <a:r>
                      <a:rPr lang="en-US"/>
                      <a:t>IS
33.9%</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BF4E-4C45-BEE4-EE6A9CA00907}"/>
                </c:ext>
              </c:extLst>
            </c:dLbl>
            <c:dLbl>
              <c:idx val="5"/>
              <c:tx>
                <c:rich>
                  <a:bodyPr/>
                  <a:lstStyle/>
                  <a:p>
                    <a:r>
                      <a:rPr lang="en-US"/>
                      <a:t>RS
0%</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BF4E-4C45-BEE4-EE6A9CA00907}"/>
                </c:ext>
              </c:extLst>
            </c:dLbl>
            <c:dLbl>
              <c:idx val="6"/>
              <c:tx>
                <c:rich>
                  <a:bodyPr/>
                  <a:lstStyle/>
                  <a:p>
                    <a:r>
                      <a:rPr lang="en-US"/>
                      <a:t>IRS
24.4%</a:t>
                    </a:r>
                  </a:p>
                </c:rich>
              </c:tx>
              <c:dLblPos val="out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BF4E-4C45-BEE4-EE6A9CA009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I</c:v>
                </c:pt>
                <c:pt idx="1">
                  <c:v>R</c:v>
                </c:pt>
                <c:pt idx="2">
                  <c:v>S</c:v>
                </c:pt>
                <c:pt idx="3">
                  <c:v>IR</c:v>
                </c:pt>
                <c:pt idx="4">
                  <c:v>IS</c:v>
                </c:pt>
                <c:pt idx="5">
                  <c:v>RS</c:v>
                </c:pt>
                <c:pt idx="6">
                  <c:v>IRS</c:v>
                </c:pt>
              </c:strCache>
            </c:strRef>
          </c:cat>
          <c:val>
            <c:numRef>
              <c:f>Sheet1!$B$2:$B$8</c:f>
              <c:numCache>
                <c:formatCode>General</c:formatCode>
                <c:ptCount val="7"/>
                <c:pt idx="0">
                  <c:v>22</c:v>
                </c:pt>
                <c:pt idx="1">
                  <c:v>0</c:v>
                </c:pt>
                <c:pt idx="2">
                  <c:v>5.8</c:v>
                </c:pt>
                <c:pt idx="3">
                  <c:v>14</c:v>
                </c:pt>
                <c:pt idx="4">
                  <c:v>33.9</c:v>
                </c:pt>
                <c:pt idx="5">
                  <c:v>0</c:v>
                </c:pt>
                <c:pt idx="6">
                  <c:v>24.4</c:v>
                </c:pt>
              </c:numCache>
            </c:numRef>
          </c:val>
          <c:extLst>
            <c:ext xmlns:c16="http://schemas.microsoft.com/office/drawing/2014/chart" uri="{C3380CC4-5D6E-409C-BE32-E72D297353CC}">
              <c16:uniqueId val="{0000000E-BF4E-4C45-BEE4-EE6A9CA0090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9359F-5141-0D47-8F3B-2E4CAF22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_</vt:lpstr>
    </vt:vector>
  </TitlesOfParts>
  <Company>ARMSTRONG</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Microsoft Office User</dc:creator>
  <cp:keywords/>
  <dc:description/>
  <cp:lastModifiedBy>Microsoft Office User</cp:lastModifiedBy>
  <cp:revision>4</cp:revision>
  <cp:lastPrinted>2016-08-23T12:22:00Z</cp:lastPrinted>
  <dcterms:created xsi:type="dcterms:W3CDTF">2018-07-19T02:03:00Z</dcterms:created>
  <dcterms:modified xsi:type="dcterms:W3CDTF">2018-07-19T02:13:00Z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37511</vt:lpwstr>
  </property>
  <property fmtid="{D5CDD505-2E9C-101B-9397-08002B2CF9AE}" pid="3" name="WnCSubscriberId">
    <vt:lpwstr>2426</vt:lpwstr>
  </property>
  <property fmtid="{D5CDD505-2E9C-101B-9397-08002B2CF9AE}" pid="4" name="WnCOutputStyleId">
    <vt:lpwstr>1004</vt:lpwstr>
  </property>
  <property fmtid="{D5CDD505-2E9C-101B-9397-08002B2CF9AE}" pid="5" name="RWProductId">
    <vt:lpwstr>WnC</vt:lpwstr>
  </property>
  <property fmtid="{D5CDD505-2E9C-101B-9397-08002B2CF9AE}" pid="6" name="WnCUser">
    <vt:lpwstr>JH_68F14C_2426</vt:lpwstr>
  </property>
  <property fmtid="{D5CDD505-2E9C-101B-9397-08002B2CF9AE}" pid="7" name="WnC4Folder">
    <vt:lpwstr>Documents///Marker system validation study_Rev2_Final Draft</vt:lpwstr>
  </property>
</Properties>
</file>