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ECE7" w14:textId="267E7C74" w:rsidR="00764B98" w:rsidRPr="00B25E43" w:rsidRDefault="00DB6905" w:rsidP="005671F4">
      <w:pPr>
        <w:widowControl w:val="0"/>
        <w:autoSpaceDE w:val="0"/>
        <w:autoSpaceDN w:val="0"/>
        <w:adjustRightInd w:val="0"/>
        <w:spacing w:after="240" w:line="480" w:lineRule="auto"/>
        <w:ind w:left="-851" w:right="515"/>
        <w:jc w:val="both"/>
        <w:rPr>
          <w:rFonts w:ascii="Calibri" w:eastAsia="Times New Roman" w:hAnsi="Calibri" w:cs="Times New Roman"/>
          <w:b/>
          <w:lang w:val="en-US"/>
        </w:rPr>
      </w:pPr>
      <w:bookmarkStart w:id="0" w:name="_GoBack"/>
      <w:r>
        <w:rPr>
          <w:rFonts w:ascii="Calibri" w:eastAsia="Times New Roman" w:hAnsi="Calibri" w:cs="Times New Roman"/>
          <w:b/>
          <w:lang w:val="en-US"/>
        </w:rPr>
        <w:t>Supplemental</w:t>
      </w:r>
      <w:bookmarkEnd w:id="0"/>
      <w:r>
        <w:rPr>
          <w:rFonts w:ascii="Calibri" w:eastAsia="Times New Roman" w:hAnsi="Calibri" w:cs="Times New Roman"/>
          <w:b/>
          <w:lang w:val="en-US"/>
        </w:rPr>
        <w:t xml:space="preserve"> </w:t>
      </w:r>
      <w:r w:rsidR="00764B98" w:rsidRPr="00B25E43">
        <w:rPr>
          <w:rFonts w:ascii="Calibri" w:eastAsia="Times New Roman" w:hAnsi="Calibri" w:cs="Times New Roman"/>
          <w:b/>
          <w:lang w:val="en-US"/>
        </w:rPr>
        <w:t xml:space="preserve">Table 2 </w:t>
      </w:r>
      <w:r w:rsidR="005A49C4" w:rsidRPr="00B25E43">
        <w:rPr>
          <w:rFonts w:ascii="Calibri" w:eastAsia="Times New Roman" w:hAnsi="Calibri" w:cs="Times New Roman"/>
          <w:b/>
          <w:lang w:val="en-US"/>
        </w:rPr>
        <w:t xml:space="preserve">  Volatile Organic Compounds in </w:t>
      </w:r>
      <w:r w:rsidR="00E95882" w:rsidRPr="00B25E43">
        <w:rPr>
          <w:rFonts w:ascii="Calibri" w:eastAsia="Times New Roman" w:hAnsi="Calibri" w:cs="Times New Roman"/>
          <w:b/>
          <w:lang w:val="en-US"/>
        </w:rPr>
        <w:t>Acute Kidney Injury</w:t>
      </w:r>
      <w:r w:rsidR="00764B98" w:rsidRPr="00B25E43">
        <w:rPr>
          <w:rFonts w:ascii="Calibri" w:eastAsia="Times New Roman" w:hAnsi="Calibri" w:cs="Times New Roman"/>
          <w:b/>
          <w:lang w:val="en-US"/>
        </w:rPr>
        <w:t xml:space="preserve">  </w:t>
      </w:r>
    </w:p>
    <w:tbl>
      <w:tblPr>
        <w:tblStyle w:val="TableGrid"/>
        <w:tblW w:w="1573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8"/>
        <w:gridCol w:w="1276"/>
        <w:gridCol w:w="1275"/>
        <w:gridCol w:w="1560"/>
        <w:gridCol w:w="1701"/>
        <w:gridCol w:w="1984"/>
        <w:gridCol w:w="1559"/>
        <w:gridCol w:w="1843"/>
      </w:tblGrid>
      <w:tr w:rsidR="005671F4" w:rsidRPr="00B25E43" w14:paraId="6713978A" w14:textId="77777777" w:rsidTr="000774AD">
        <w:trPr>
          <w:trHeight w:hRule="exact" w:val="227"/>
        </w:trPr>
        <w:tc>
          <w:tcPr>
            <w:tcW w:w="567" w:type="dxa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14:paraId="622630C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15275"/>
              <w:jc w:val="both"/>
              <w:rPr>
                <w:rFonts w:ascii="Calibri" w:hAnsi="Calibri"/>
                <w:b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 xml:space="preserve">Signal </w:t>
            </w:r>
          </w:p>
        </w:tc>
        <w:tc>
          <w:tcPr>
            <w:tcW w:w="2552" w:type="dxa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14:paraId="6E29705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12866"/>
              <w:jc w:val="both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Volatile Organic Compound</w:t>
            </w: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14:paraId="46C6DE9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12866"/>
              <w:jc w:val="both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CAS-Number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14:paraId="5655465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12866"/>
              <w:jc w:val="both"/>
              <w:rPr>
                <w:rFonts w:ascii="Calibri" w:hAnsi="Calibri"/>
                <w:b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/>
              </w:rPr>
              <w:t>Drift-Time [V s cm</w:t>
            </w:r>
            <w:r w:rsidRPr="00B25E43">
              <w:rPr>
                <w:rFonts w:ascii="Calibri" w:hAnsi="Calibri"/>
                <w:b/>
                <w:bCs/>
                <w:color w:val="000000"/>
                <w:sz w:val="14"/>
                <w:szCs w:val="14"/>
                <w:vertAlign w:val="superscript"/>
                <w:lang w:val="en-US"/>
              </w:rPr>
              <w:t>-2</w:t>
            </w:r>
            <w:r w:rsidRPr="00B25E43">
              <w:rPr>
                <w:rFonts w:ascii="Calibri" w:hAnsi="Calibri"/>
                <w:b/>
                <w:bCs/>
                <w:color w:val="000000"/>
                <w:sz w:val="14"/>
                <w:szCs w:val="14"/>
                <w:lang w:val="en-US"/>
              </w:rPr>
              <w:t>]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14:paraId="2078D73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11731"/>
              <w:jc w:val="both"/>
              <w:rPr>
                <w:rFonts w:ascii="Calibri" w:hAnsi="Calibri"/>
                <w:b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Retention-Time [s]</w:t>
            </w:r>
          </w:p>
        </w:tc>
        <w:tc>
          <w:tcPr>
            <w:tcW w:w="1560" w:type="dxa"/>
            <w:tcBorders>
              <w:top w:val="nil"/>
              <w:bottom w:val="single" w:sz="8" w:space="0" w:color="auto"/>
            </w:tcBorders>
            <w:shd w:val="clear" w:color="auto" w:fill="D9D9D9"/>
          </w:tcPr>
          <w:p w14:paraId="66EA9610" w14:textId="4305FA6A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5280"/>
              <w:jc w:val="both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Peak Area Overlapping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14:paraId="56E44D3D" w14:textId="6C89360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5280"/>
              <w:jc w:val="both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Occurrance in n Patients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14:paraId="0F74003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5280"/>
              <w:jc w:val="both"/>
              <w:rPr>
                <w:rFonts w:ascii="Calibri" w:hAnsi="Calibri"/>
                <w:b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Tending Course during Dialysis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14:paraId="70391CC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1950"/>
              <w:jc w:val="both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>VOC Intensity AKI [mV]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shd w:val="clear" w:color="auto" w:fill="D9D9D9"/>
            <w:vAlign w:val="center"/>
          </w:tcPr>
          <w:p w14:paraId="5A115C6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1950"/>
              <w:jc w:val="both"/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  <w:vertAlign w:val="superscript"/>
              </w:rPr>
            </w:pPr>
            <w:r w:rsidRPr="00B25E4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</w:rPr>
              <w:t xml:space="preserve">VOC Intensity Control [mV] </w:t>
            </w:r>
            <w:r w:rsidRPr="00B25E43">
              <w:rPr>
                <w:rFonts w:asciiTheme="majorHAnsi" w:hAnsiTheme="majorHAnsi"/>
                <w:b/>
                <w:bCs/>
                <w:color w:val="000000"/>
                <w:sz w:val="14"/>
                <w:szCs w:val="14"/>
                <w:vertAlign w:val="superscript"/>
              </w:rPr>
              <w:t>§</w:t>
            </w:r>
          </w:p>
        </w:tc>
      </w:tr>
      <w:tr w:rsidR="005671F4" w:rsidRPr="00B25E43" w14:paraId="778044A9" w14:textId="77777777" w:rsidTr="000774AD">
        <w:trPr>
          <w:trHeight w:hRule="exact" w:val="227"/>
        </w:trPr>
        <w:tc>
          <w:tcPr>
            <w:tcW w:w="567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75A9701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3DC58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Acetone (Monomer)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CE7A5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67-64-1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783765D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0.495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0049FCD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3F3F3"/>
          </w:tcPr>
          <w:p w14:paraId="1FBD55E3" w14:textId="53F74A00" w:rsidR="000178C7" w:rsidRPr="00B25E43" w:rsidRDefault="009F790A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3175659A" w14:textId="508BD6D4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7FC77FD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23803A7E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802"/>
              <w:jc w:val="both"/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101 (46-165) 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0950B01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802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151 (126-221)</w:t>
            </w:r>
          </w:p>
        </w:tc>
      </w:tr>
      <w:tr w:rsidR="005671F4" w:rsidRPr="00B25E43" w14:paraId="7CCE6D1F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0ED6ED3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65777D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Acetone (Dimer)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9DBF5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67-64-1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72C30C1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0.544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3FB43FE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560" w:type="dxa"/>
            <w:shd w:val="clear" w:color="auto" w:fill="F3F3F3"/>
          </w:tcPr>
          <w:p w14:paraId="0DE0ABFF" w14:textId="253F8E15" w:rsidR="000178C7" w:rsidRPr="00B25E43" w:rsidRDefault="00AE6D9B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10531F5" w14:textId="3D94BB42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3F5A22B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7FF2FF2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76 (41-205)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2834633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35 (27-69)</w:t>
            </w:r>
          </w:p>
        </w:tc>
      </w:tr>
      <w:tr w:rsidR="005671F4" w:rsidRPr="00B25E43" w14:paraId="107969B8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163D370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7599B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Acetophenone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96802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98-86-2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67BE67D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0EA2E55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39.3</w:t>
            </w:r>
          </w:p>
        </w:tc>
        <w:tc>
          <w:tcPr>
            <w:tcW w:w="1560" w:type="dxa"/>
            <w:shd w:val="clear" w:color="auto" w:fill="F3F3F3"/>
          </w:tcPr>
          <w:p w14:paraId="62BAFD2C" w14:textId="4304B070" w:rsidR="000178C7" w:rsidRPr="00B25E43" w:rsidRDefault="004A17CF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1A444D70" w14:textId="7F330104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495B829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56AD26C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9 (7-10)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4BB5974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5 (4-6)</w:t>
            </w:r>
          </w:p>
        </w:tc>
      </w:tr>
      <w:tr w:rsidR="005671F4" w:rsidRPr="00B25E43" w14:paraId="2575B0AF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1CD9730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1F0D24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alpha-Pinene (Dimer)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47F50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80-56-8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628EA91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0.646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15F991A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1560" w:type="dxa"/>
            <w:shd w:val="clear" w:color="auto" w:fill="F3F3F3"/>
          </w:tcPr>
          <w:p w14:paraId="2C05FB03" w14:textId="13974FB6" w:rsidR="000178C7" w:rsidRPr="00B25E43" w:rsidRDefault="0068300D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2557349" w14:textId="3A8F719A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4334732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4E32DC3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7 (0-15)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1036E82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7 (0-11)</w:t>
            </w:r>
          </w:p>
        </w:tc>
      </w:tr>
      <w:tr w:rsidR="005671F4" w:rsidRPr="00B25E43" w14:paraId="7891D8ED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2F07F51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52C3E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Benzaldehyde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5317BF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100-52-7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566E45F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0.562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5F7E0EC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20.5</w:t>
            </w:r>
          </w:p>
        </w:tc>
        <w:tc>
          <w:tcPr>
            <w:tcW w:w="1560" w:type="dxa"/>
            <w:shd w:val="clear" w:color="auto" w:fill="F3F3F3"/>
          </w:tcPr>
          <w:p w14:paraId="2477175D" w14:textId="2ED9A447" w:rsidR="000178C7" w:rsidRPr="00B25E43" w:rsidRDefault="0068300D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2090B03" w14:textId="7C7B624D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2FF8201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5CF426C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12 (9-15)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1D80FDB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14 (11-19)</w:t>
            </w:r>
          </w:p>
        </w:tc>
      </w:tr>
      <w:tr w:rsidR="005671F4" w:rsidRPr="00B25E43" w14:paraId="544C8F2F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0E3BE394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A96526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Butanal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3E3DE4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123-72-8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37D3581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0.579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1E6F4F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1560" w:type="dxa"/>
            <w:shd w:val="clear" w:color="auto" w:fill="F3F3F3"/>
          </w:tcPr>
          <w:p w14:paraId="229F71E8" w14:textId="548EEECF" w:rsidR="000178C7" w:rsidRPr="00B25E43" w:rsidRDefault="000543BC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451AC88" w14:textId="07C81A23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5C54CBB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3C177A4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39 (22-72)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BB9DC7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14 (9-19)</w:t>
            </w:r>
          </w:p>
        </w:tc>
      </w:tr>
      <w:tr w:rsidR="005671F4" w:rsidRPr="00B25E43" w14:paraId="1A24EF99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181DEDF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3E17A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Butanal (Dimer)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1E717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123-72-8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56F35EC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0.627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5188113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1560" w:type="dxa"/>
            <w:shd w:val="clear" w:color="auto" w:fill="F3F3F3"/>
          </w:tcPr>
          <w:p w14:paraId="3BD71657" w14:textId="14E5A43E" w:rsidR="000178C7" w:rsidRPr="00B25E43" w:rsidRDefault="0004112F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6C098721" w14:textId="59E185CE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4491EB8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2D04B11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36 (16-53)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2809C70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9 (7-21)</w:t>
            </w:r>
          </w:p>
        </w:tc>
      </w:tr>
      <w:tr w:rsidR="005671F4" w:rsidRPr="00B25E43" w14:paraId="51DC2E82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16087FD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1C80D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2,3-Butandiol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386B07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513-85-9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412D67B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0.571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05F12CE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1560" w:type="dxa"/>
            <w:shd w:val="clear" w:color="auto" w:fill="F3F3F3"/>
          </w:tcPr>
          <w:p w14:paraId="795EC63A" w14:textId="6E80033E" w:rsidR="000178C7" w:rsidRPr="00B25E43" w:rsidRDefault="0068300D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81%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10537335" w14:textId="4580CDAA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C7765F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3B8F609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13 (9-18)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0678583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8 (6-11)</w:t>
            </w:r>
          </w:p>
        </w:tc>
      </w:tr>
      <w:tr w:rsidR="005671F4" w:rsidRPr="00B25E43" w14:paraId="4FF564A8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06F121D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AC358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1-Butanol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8E88F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71-36-3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1F29F8A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0.577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2834CEA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560" w:type="dxa"/>
            <w:shd w:val="clear" w:color="auto" w:fill="F3F3F3"/>
          </w:tcPr>
          <w:p w14:paraId="2415FD60" w14:textId="01261BD4" w:rsidR="000178C7" w:rsidRPr="00B25E43" w:rsidRDefault="008129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CE78D32" w14:textId="43E7863F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2A206C1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38DE84CB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39 (27-45)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4B99379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9 (7-14)</w:t>
            </w:r>
          </w:p>
        </w:tc>
      </w:tr>
      <w:tr w:rsidR="005671F4" w:rsidRPr="00B25E43" w14:paraId="487C4334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1423569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ABE160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1-Butanol (Dimer)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60F53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71-36-3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77AB5E6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0.684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045143B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560" w:type="dxa"/>
            <w:shd w:val="clear" w:color="auto" w:fill="F3F3F3"/>
          </w:tcPr>
          <w:p w14:paraId="4D89CE22" w14:textId="40095E5B" w:rsidR="000178C7" w:rsidRPr="00B25E43" w:rsidRDefault="0068300D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3C9FF3F0" w14:textId="7AA60138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5F5E0EF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3670C5D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7 (4-11)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1F63889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n.d.</w:t>
            </w:r>
          </w:p>
        </w:tc>
      </w:tr>
      <w:tr w:rsidR="005671F4" w:rsidRPr="00B25E43" w14:paraId="44F65C08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622AF1C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89B7C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Butanone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25D3E3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78-93-3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5E29934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0.521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7C042B4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4.9</w:t>
            </w:r>
          </w:p>
        </w:tc>
        <w:tc>
          <w:tcPr>
            <w:tcW w:w="1560" w:type="dxa"/>
            <w:shd w:val="clear" w:color="auto" w:fill="F3F3F3"/>
          </w:tcPr>
          <w:p w14:paraId="6C8E3D4C" w14:textId="19B37B92" w:rsidR="000178C7" w:rsidRPr="00B25E43" w:rsidRDefault="00965EE1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46FD9292" w14:textId="3AB5D3E1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08ECB90B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7C8391D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24 (17-48)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E7EE3C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11 (8-16)</w:t>
            </w:r>
          </w:p>
        </w:tc>
      </w:tr>
      <w:tr w:rsidR="005671F4" w:rsidRPr="00B25E43" w14:paraId="7553E36D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3A3584F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3A93FB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Butanone (Dimer)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4BCA0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78-93-3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5291E06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0.608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159DCC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4.9</w:t>
            </w:r>
          </w:p>
        </w:tc>
        <w:tc>
          <w:tcPr>
            <w:tcW w:w="1560" w:type="dxa"/>
            <w:shd w:val="clear" w:color="auto" w:fill="F3F3F3"/>
          </w:tcPr>
          <w:p w14:paraId="4F044C43" w14:textId="0383F227" w:rsidR="000178C7" w:rsidRPr="00B25E43" w:rsidRDefault="00250EE1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F779B94" w14:textId="27D26F4B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A985C14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6211208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21 (13-36)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 xml:space="preserve"># 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461A2D9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10 (8-13)</w:t>
            </w:r>
          </w:p>
        </w:tc>
      </w:tr>
      <w:tr w:rsidR="005671F4" w:rsidRPr="00B25E43" w14:paraId="25C61823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2E48CA2E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810AA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(+)Camphene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8338A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79-92-5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13216C8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0.593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044C8B2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17.7</w:t>
            </w:r>
          </w:p>
        </w:tc>
        <w:tc>
          <w:tcPr>
            <w:tcW w:w="1560" w:type="dxa"/>
            <w:shd w:val="clear" w:color="auto" w:fill="F3F3F3"/>
          </w:tcPr>
          <w:p w14:paraId="458F75AA" w14:textId="77ED7245" w:rsidR="000178C7" w:rsidRPr="00B25E43" w:rsidRDefault="00250EE1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782F511" w14:textId="72EE9322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460052D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157798EB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10 (7-13)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28321E6E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8 (7-13)</w:t>
            </w:r>
          </w:p>
        </w:tc>
      </w:tr>
      <w:tr w:rsidR="005671F4" w:rsidRPr="00B25E43" w14:paraId="2DC852D4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3B98B6B4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A5F5D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 xml:space="preserve">Camphor (Monomer)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5D66E1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 xml:space="preserve">76-22-2 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7E4A286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0.659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7DFD765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66.5</w:t>
            </w:r>
          </w:p>
        </w:tc>
        <w:tc>
          <w:tcPr>
            <w:tcW w:w="1560" w:type="dxa"/>
            <w:shd w:val="clear" w:color="auto" w:fill="F3F3F3"/>
          </w:tcPr>
          <w:p w14:paraId="7951CFAA" w14:textId="7B81D77A" w:rsidR="000178C7" w:rsidRPr="00B25E43" w:rsidRDefault="0091731D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7FB125E4" w14:textId="2BA1CD68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4A0790A4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1F44C45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10 (5-18)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2C2BF7A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12 (2-15)</w:t>
            </w:r>
          </w:p>
        </w:tc>
      </w:tr>
      <w:tr w:rsidR="005671F4" w:rsidRPr="00B25E43" w14:paraId="1BD8BD7E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791E595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56660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(+)3-Carene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93F08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498-15-7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7B7F65C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0.594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61704AF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1560" w:type="dxa"/>
            <w:shd w:val="clear" w:color="auto" w:fill="F3F3F3"/>
          </w:tcPr>
          <w:p w14:paraId="47EAD733" w14:textId="13482256" w:rsidR="000178C7" w:rsidRPr="00B25E43" w:rsidRDefault="00CA6561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77%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BFA1266" w14:textId="5298B880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33A08CE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314A361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5 (0-8)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 xml:space="preserve"># 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0709BE5E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 n.d.</w:t>
            </w:r>
          </w:p>
        </w:tc>
      </w:tr>
      <w:tr w:rsidR="005671F4" w:rsidRPr="00B25E43" w14:paraId="2E1B2FFA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64EA5E1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2897F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Cyclohexanol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5A78A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108-93-0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17D3990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0.611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2BA26CC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560" w:type="dxa"/>
            <w:shd w:val="clear" w:color="auto" w:fill="F3F3F3"/>
          </w:tcPr>
          <w:p w14:paraId="3B397586" w14:textId="41E05FDF" w:rsidR="000178C7" w:rsidRPr="00B25E43" w:rsidRDefault="005056A9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  <w:vertAlign w:val="superscript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 xml:space="preserve">100% </w:t>
            </w:r>
            <w:r w:rsidRPr="00B25E43">
              <w:rPr>
                <w:rFonts w:ascii="Calibri" w:hAnsi="Calibri"/>
                <w:color w:val="000000"/>
                <w:sz w:val="14"/>
                <w:szCs w:val="14"/>
                <w:vertAlign w:val="superscript"/>
              </w:rPr>
              <w:t>$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1133A97F" w14:textId="174E8B0F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05FA1E2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67631CF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23 (19-38)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05B6AC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12 (10-16)</w:t>
            </w:r>
          </w:p>
        </w:tc>
      </w:tr>
      <w:tr w:rsidR="005671F4" w:rsidRPr="00B25E43" w14:paraId="531D7827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640C56B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66D27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Cyclohexanone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A4027B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108-94-1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4E0002D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0.563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71791FD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560" w:type="dxa"/>
            <w:shd w:val="clear" w:color="auto" w:fill="F3F3F3"/>
          </w:tcPr>
          <w:p w14:paraId="0D11D3B6" w14:textId="15985BA5" w:rsidR="000178C7" w:rsidRPr="00B25E43" w:rsidRDefault="00965EE1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4EC71DA6" w14:textId="265E5C90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47C9391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0DA0857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155 (133-201)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22C289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168 (39-128)</w:t>
            </w:r>
          </w:p>
        </w:tc>
      </w:tr>
      <w:tr w:rsidR="005671F4" w:rsidRPr="00B25E43" w14:paraId="1499E962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2C97477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9D44C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Cyclohexanone (Dimer)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65122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108-94-1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0E7696C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7681EDC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560" w:type="dxa"/>
            <w:shd w:val="clear" w:color="auto" w:fill="F3F3F3"/>
          </w:tcPr>
          <w:p w14:paraId="41590DE6" w14:textId="57CAC3E1" w:rsidR="000178C7" w:rsidRPr="00B25E43" w:rsidRDefault="005056A9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718C0E09" w14:textId="7FF3A6F5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25035D3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0D1AE64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103 (50-147)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C005A6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53 (25-89)</w:t>
            </w:r>
          </w:p>
        </w:tc>
      </w:tr>
      <w:tr w:rsidR="005671F4" w:rsidRPr="00B25E43" w14:paraId="0B4B7A90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6F9B09A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9CE163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Dimethyldisulfide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37585B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624-92-0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0045782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0.493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041E07AB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6.6</w:t>
            </w:r>
          </w:p>
        </w:tc>
        <w:tc>
          <w:tcPr>
            <w:tcW w:w="1560" w:type="dxa"/>
            <w:shd w:val="clear" w:color="auto" w:fill="F3F3F3"/>
          </w:tcPr>
          <w:p w14:paraId="41079FAD" w14:textId="0C34901A" w:rsidR="000178C7" w:rsidRPr="00B25E43" w:rsidRDefault="00EA57A1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F18ECC3" w14:textId="10770501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4A3FBB2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09FCD28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251 (186-277)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43255C1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158 (123-230)</w:t>
            </w:r>
          </w:p>
        </w:tc>
      </w:tr>
      <w:tr w:rsidR="005671F4" w:rsidRPr="00B25E43" w14:paraId="2FFE758F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69A9985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A470E8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2-Ethyl-1-Hexanol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04928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104-76-7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617718B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0.694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30FB269B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1560" w:type="dxa"/>
            <w:shd w:val="clear" w:color="auto" w:fill="F3F3F3"/>
          </w:tcPr>
          <w:p w14:paraId="0867C8FA" w14:textId="18C96EB9" w:rsidR="000178C7" w:rsidRPr="00B25E43" w:rsidRDefault="005056A9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E04CCCB" w14:textId="5C857F0C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0931625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469647D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18 (14-24)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0E500C8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12 (8-15)</w:t>
            </w:r>
          </w:p>
        </w:tc>
      </w:tr>
      <w:tr w:rsidR="005671F4" w:rsidRPr="00B25E43" w14:paraId="6CBBB1E5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4FF0BDD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B011E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4-Ethyltoluol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ACF17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622-96-8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17B739F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0.596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6B36ADB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18.9</w:t>
            </w:r>
          </w:p>
        </w:tc>
        <w:tc>
          <w:tcPr>
            <w:tcW w:w="1560" w:type="dxa"/>
            <w:shd w:val="clear" w:color="auto" w:fill="F3F3F3"/>
          </w:tcPr>
          <w:p w14:paraId="6015EF3E" w14:textId="5159F5F6" w:rsidR="000178C7" w:rsidRPr="00B25E43" w:rsidRDefault="00CA6561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BB407AC" w14:textId="1095DB9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34972D6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26B65D34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11 (7-16)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</w:tcPr>
          <w:p w14:paraId="3D226CFB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n.d.</w:t>
            </w:r>
          </w:p>
        </w:tc>
      </w:tr>
      <w:tr w:rsidR="005671F4" w:rsidRPr="00B25E43" w14:paraId="7CB7D622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77A4A0C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1B9564E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Heptanal (Dimer)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30979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111-71-7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69358BD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0.823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641FF0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1560" w:type="dxa"/>
            <w:shd w:val="clear" w:color="auto" w:fill="F3F3F3"/>
          </w:tcPr>
          <w:p w14:paraId="3300903B" w14:textId="02A97CD6" w:rsidR="000178C7" w:rsidRPr="00B25E43" w:rsidRDefault="005056A9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6CE2C162" w14:textId="448810FD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5221ABC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70C725B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11 (7-16)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</w:tcPr>
          <w:p w14:paraId="22FDC694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n.d.</w:t>
            </w:r>
          </w:p>
        </w:tc>
      </w:tr>
      <w:tr w:rsidR="005671F4" w:rsidRPr="00B25E43" w14:paraId="2A7A2C6B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339EC34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B718A4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3-Heptanone (Dimer)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394A3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106-35-4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7BE0AC3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0.775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753AC4F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1560" w:type="dxa"/>
            <w:shd w:val="clear" w:color="auto" w:fill="F3F3F3"/>
          </w:tcPr>
          <w:p w14:paraId="0BAFDDC4" w14:textId="795F9141" w:rsidR="000178C7" w:rsidRPr="00B25E43" w:rsidRDefault="003230EC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6AA2362D" w14:textId="37A9E480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C055A7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246BE28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6 (0-8)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 xml:space="preserve"># </w:t>
            </w:r>
          </w:p>
        </w:tc>
        <w:tc>
          <w:tcPr>
            <w:tcW w:w="1843" w:type="dxa"/>
            <w:shd w:val="clear" w:color="auto" w:fill="F3F3F3"/>
          </w:tcPr>
          <w:p w14:paraId="59DDBBC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n.d.</w:t>
            </w:r>
          </w:p>
        </w:tc>
      </w:tr>
      <w:tr w:rsidR="005671F4" w:rsidRPr="00B25E43" w14:paraId="0AE058B2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2C06DE4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897E9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4-Heptanone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C94C6E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123-19-3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1485E3F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0.605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6F864F1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1560" w:type="dxa"/>
            <w:shd w:val="clear" w:color="auto" w:fill="F3F3F3"/>
          </w:tcPr>
          <w:p w14:paraId="1FB7A41B" w14:textId="3B26D81D" w:rsidR="000178C7" w:rsidRPr="00B25E43" w:rsidRDefault="005056A9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E943A10" w14:textId="74DB64D1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784271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53DC8EC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26 (18-43)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4F5F021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19 (10-28)</w:t>
            </w:r>
          </w:p>
        </w:tc>
      </w:tr>
      <w:tr w:rsidR="005671F4" w:rsidRPr="00B25E43" w14:paraId="7BED171A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5BB74F7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6FBDC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1-Hexanol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3CF59D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111-27-3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34B5BCC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0.648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3B18294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560" w:type="dxa"/>
            <w:shd w:val="clear" w:color="auto" w:fill="F3F3F3"/>
          </w:tcPr>
          <w:p w14:paraId="48DE2EBC" w14:textId="40BE4682" w:rsidR="000178C7" w:rsidRPr="00B25E43" w:rsidRDefault="0091731D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8F4AD30" w14:textId="631F7526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4DA4D1D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4713294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13 (9-0.20)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 xml:space="preserve"># 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45237284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8 (6-11)</w:t>
            </w:r>
          </w:p>
        </w:tc>
      </w:tr>
      <w:tr w:rsidR="005671F4" w:rsidRPr="00B25E43" w14:paraId="0B898808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519C48E4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A523D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2-Hexanol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5C3D0E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 xml:space="preserve">626-93-7 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6A9F0F0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7310BB0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560" w:type="dxa"/>
            <w:shd w:val="clear" w:color="auto" w:fill="F3F3F3"/>
          </w:tcPr>
          <w:p w14:paraId="22C37FAE" w14:textId="06C63D28" w:rsidR="000178C7" w:rsidRPr="00B25E43" w:rsidRDefault="0004112F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63E34DC3" w14:textId="0EB3CCC6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222B0C6E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6888A29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101 (52-172)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CD2516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30 (18-70)</w:t>
            </w:r>
          </w:p>
        </w:tc>
      </w:tr>
      <w:tr w:rsidR="005671F4" w:rsidRPr="00B25E43" w14:paraId="3A8E2D1E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3634437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0C2A2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3-Hydroxy-2-Butanone (Dimer)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BA0DC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513-86-0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13AF95E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0.647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5216E6D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1560" w:type="dxa"/>
            <w:shd w:val="clear" w:color="auto" w:fill="F3F3F3"/>
          </w:tcPr>
          <w:p w14:paraId="1BB1CD4D" w14:textId="41DB4EC9" w:rsidR="000178C7" w:rsidRPr="00B25E43" w:rsidRDefault="005056A9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  <w:vertAlign w:val="superscript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 xml:space="preserve">100% </w:t>
            </w:r>
            <w:r w:rsidRPr="00B25E43">
              <w:rPr>
                <w:rFonts w:ascii="Calibri" w:hAnsi="Calibri"/>
                <w:color w:val="000000"/>
                <w:sz w:val="14"/>
                <w:szCs w:val="14"/>
                <w:vertAlign w:val="superscript"/>
              </w:rPr>
              <w:t>$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3A25564" w14:textId="4105EF15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5B2B94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047A3AA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16 (9-26)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 xml:space="preserve"># 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029B19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8 (7-14)</w:t>
            </w:r>
          </w:p>
        </w:tc>
      </w:tr>
      <w:tr w:rsidR="005671F4" w:rsidRPr="00B25E43" w14:paraId="6E671663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7B65B42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BC6D3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Isoprene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B5DFEB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78-79-5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765C228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0.518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7A5349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4.6</w:t>
            </w:r>
          </w:p>
        </w:tc>
        <w:tc>
          <w:tcPr>
            <w:tcW w:w="1560" w:type="dxa"/>
            <w:shd w:val="clear" w:color="auto" w:fill="F3F3F3"/>
          </w:tcPr>
          <w:p w14:paraId="0362DAA4" w14:textId="48DAA3AF" w:rsidR="000178C7" w:rsidRPr="00B25E43" w:rsidRDefault="0004112F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7DF4A77" w14:textId="0F1DC031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3C38874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5FA9A22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11 (8-14)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09BE8E5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4 (3-8)</w:t>
            </w:r>
          </w:p>
        </w:tc>
      </w:tr>
      <w:tr w:rsidR="005671F4" w:rsidRPr="00B25E43" w14:paraId="07E1AE7B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03D2C70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2B3DE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Isoprene (Dimer)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DF37EC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78-79-5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415324F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0.595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2DBD993B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4.6</w:t>
            </w:r>
          </w:p>
        </w:tc>
        <w:tc>
          <w:tcPr>
            <w:tcW w:w="1560" w:type="dxa"/>
            <w:shd w:val="clear" w:color="auto" w:fill="F3F3F3"/>
          </w:tcPr>
          <w:p w14:paraId="49D55E35" w14:textId="793582BE" w:rsidR="000178C7" w:rsidRPr="00B25E43" w:rsidRDefault="0004112F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 xml:space="preserve">100% </w:t>
            </w:r>
            <w:r w:rsidRPr="00B25E43">
              <w:rPr>
                <w:rFonts w:ascii="Calibri" w:hAnsi="Calibri"/>
                <w:color w:val="000000"/>
                <w:sz w:val="14"/>
                <w:szCs w:val="14"/>
                <w:vertAlign w:val="superscript"/>
              </w:rPr>
              <w:t>$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DAC382F" w14:textId="026A79F5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32F4556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627DA46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26 (18-32)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091864D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4 (0-6)</w:t>
            </w:r>
          </w:p>
        </w:tc>
      </w:tr>
      <w:tr w:rsidR="005671F4" w:rsidRPr="00B25E43" w14:paraId="16C30BF7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77EF496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DFA80B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Isopropylamine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3E8DA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75-31-0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36CE2454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0.506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1D54755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1560" w:type="dxa"/>
            <w:shd w:val="clear" w:color="auto" w:fill="F3F3F3"/>
          </w:tcPr>
          <w:p w14:paraId="26F26250" w14:textId="7E24CD11" w:rsidR="000178C7" w:rsidRPr="00B25E43" w:rsidRDefault="0004112F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4C278298" w14:textId="198BE58F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22C9ED3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379D40D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6 (1-8)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26CCB83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6 (3-12)</w:t>
            </w:r>
          </w:p>
        </w:tc>
      </w:tr>
      <w:tr w:rsidR="005671F4" w:rsidRPr="00B25E43" w14:paraId="0475729A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53AEC63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F8053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S(-)-Limonene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EE421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5989-54-8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626A3E1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0.594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20DD4BCE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27.4</w:t>
            </w:r>
          </w:p>
        </w:tc>
        <w:tc>
          <w:tcPr>
            <w:tcW w:w="1560" w:type="dxa"/>
            <w:shd w:val="clear" w:color="auto" w:fill="F3F3F3"/>
          </w:tcPr>
          <w:p w14:paraId="43946E47" w14:textId="62807805" w:rsidR="000178C7" w:rsidRPr="00B25E43" w:rsidRDefault="00F341B8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77%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64B1E7F0" w14:textId="3BB255DA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81BD4AE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7EBADFA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5 (2-9)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2236F6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n.d.</w:t>
            </w:r>
          </w:p>
        </w:tc>
      </w:tr>
      <w:tr w:rsidR="005671F4" w:rsidRPr="00B25E43" w14:paraId="25DDB87E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28BA298E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8D8FB7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S(-)-Limonene (Dimer)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34A82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5989-54-8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0A23AD6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0.642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15C0C62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27.4</w:t>
            </w:r>
          </w:p>
        </w:tc>
        <w:tc>
          <w:tcPr>
            <w:tcW w:w="1560" w:type="dxa"/>
            <w:shd w:val="clear" w:color="auto" w:fill="F3F3F3"/>
          </w:tcPr>
          <w:p w14:paraId="24A5CEEA" w14:textId="62546EB6" w:rsidR="000178C7" w:rsidRPr="00B25E43" w:rsidRDefault="003230EC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1F7D94D1" w14:textId="30576AB8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2FC2CB9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5F08A25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38 (22-96)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948B89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35 (27-46)</w:t>
            </w:r>
          </w:p>
        </w:tc>
      </w:tr>
      <w:tr w:rsidR="005671F4" w:rsidRPr="00B25E43" w14:paraId="223B8514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45FB927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2FA1A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Methanol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15927C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67-56-1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145812A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0.478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11CF5E5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1560" w:type="dxa"/>
            <w:shd w:val="clear" w:color="auto" w:fill="F3F3F3"/>
          </w:tcPr>
          <w:p w14:paraId="7845C5A2" w14:textId="33C90D01" w:rsidR="000178C7" w:rsidRPr="00B25E43" w:rsidRDefault="004A17CF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B62FDC1" w14:textId="07FFB815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7FADC04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47B59A7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94 (88-101) 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1CF29B4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104 (96-111)</w:t>
            </w:r>
          </w:p>
        </w:tc>
      </w:tr>
      <w:tr w:rsidR="005671F4" w:rsidRPr="00B25E43" w14:paraId="42ABCDC9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606D100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30CCC7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3-Methyl-1-Butanol (Dimer)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0D992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123-51-3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7DB81F9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0.742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1B9FC75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1560" w:type="dxa"/>
            <w:shd w:val="clear" w:color="auto" w:fill="F3F3F3"/>
          </w:tcPr>
          <w:p w14:paraId="69CFE01D" w14:textId="422E0F64" w:rsidR="000178C7" w:rsidRPr="00B25E43" w:rsidRDefault="004F1CE5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BAED0A2" w14:textId="27BBC70C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5C86BF0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385A4F4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18 (11-28)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7B9FF5F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7 (3-11)</w:t>
            </w:r>
          </w:p>
        </w:tc>
      </w:tr>
      <w:tr w:rsidR="005671F4" w:rsidRPr="00B25E43" w14:paraId="3018D5FA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540275C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14:paraId="7D6C4FDE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3-Methylbutanal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14:paraId="3F40E0E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590-86-3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019F84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0.593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5451665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3.6</w:t>
            </w:r>
          </w:p>
        </w:tc>
        <w:tc>
          <w:tcPr>
            <w:tcW w:w="1560" w:type="dxa"/>
            <w:shd w:val="clear" w:color="auto" w:fill="F3F3F3"/>
          </w:tcPr>
          <w:p w14:paraId="2C8245D9" w14:textId="2CFD77CA" w:rsidR="000178C7" w:rsidRPr="00B25E43" w:rsidRDefault="00F341B8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  <w:vertAlign w:val="superscript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 xml:space="preserve">100% </w:t>
            </w:r>
            <w:r w:rsidRPr="00B25E43">
              <w:rPr>
                <w:rFonts w:ascii="Calibri" w:hAnsi="Calibri"/>
                <w:color w:val="000000"/>
                <w:sz w:val="14"/>
                <w:szCs w:val="14"/>
                <w:vertAlign w:val="superscript"/>
              </w:rPr>
              <w:t>$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1D0EEB4" w14:textId="66D5A0AF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57623EF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6F165FD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20 (14-26)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4866F02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n.d.</w:t>
            </w:r>
          </w:p>
        </w:tc>
      </w:tr>
      <w:tr w:rsidR="005671F4" w:rsidRPr="00B25E43" w14:paraId="763AEFA7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43D5935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14:paraId="7381467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2-Methylfuran (Dimer)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14:paraId="417849D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534-22-5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B5D9C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0.644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6170A03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1560" w:type="dxa"/>
            <w:shd w:val="clear" w:color="auto" w:fill="F3F3F3"/>
          </w:tcPr>
          <w:p w14:paraId="4DC3EE34" w14:textId="5F590617" w:rsidR="000178C7" w:rsidRPr="00B25E43" w:rsidRDefault="00EF56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38BFB15B" w14:textId="1CBE5B5E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2D03B33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01FE556B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25 (19-30)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 xml:space="preserve"># 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151F8B9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19 (15-23)</w:t>
            </w:r>
          </w:p>
        </w:tc>
      </w:tr>
      <w:tr w:rsidR="005671F4" w:rsidRPr="00B25E43" w14:paraId="699A2FC5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4E08DBAB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E00EA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2-Methylpentane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9F0D3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107-83-5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ACAA3B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0.511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1AF767D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5.9</w:t>
            </w:r>
          </w:p>
        </w:tc>
        <w:tc>
          <w:tcPr>
            <w:tcW w:w="1560" w:type="dxa"/>
            <w:shd w:val="clear" w:color="auto" w:fill="F3F3F3"/>
          </w:tcPr>
          <w:p w14:paraId="4A1EE302" w14:textId="3F345596" w:rsidR="000178C7" w:rsidRPr="00B25E43" w:rsidRDefault="0091731D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0568994" w14:textId="70961E8C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32E8C5A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26F2D40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19 (11-31)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4CBC29BE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6 (4-19)</w:t>
            </w:r>
          </w:p>
        </w:tc>
      </w:tr>
      <w:tr w:rsidR="005671F4" w:rsidRPr="00B25E43" w14:paraId="1E0C28EA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5B2778E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 xml:space="preserve">38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56E634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1-Octanol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4CA2504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111-87-5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FAF94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0.718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6C39BEB4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48.0</w:t>
            </w:r>
          </w:p>
        </w:tc>
        <w:tc>
          <w:tcPr>
            <w:tcW w:w="1560" w:type="dxa"/>
            <w:shd w:val="clear" w:color="auto" w:fill="F3F3F3"/>
          </w:tcPr>
          <w:p w14:paraId="4255B377" w14:textId="754B8C40" w:rsidR="000178C7" w:rsidRPr="00B25E43" w:rsidRDefault="00EF56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7E55FC25" w14:textId="1DF7B133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43B701E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5ED14C3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5 (4-7)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1E64DA01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4 (2-7)</w:t>
            </w:r>
          </w:p>
        </w:tc>
      </w:tr>
      <w:tr w:rsidR="005671F4" w:rsidRPr="00B25E43" w14:paraId="414C2167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538A569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29114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Pentanal (Dimer)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87FD79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110-62-3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13E56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0.694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655436B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1560" w:type="dxa"/>
            <w:shd w:val="clear" w:color="auto" w:fill="F3F3F3"/>
          </w:tcPr>
          <w:p w14:paraId="69B9AC8E" w14:textId="20E2B1BB" w:rsidR="000178C7" w:rsidRPr="00B25E43" w:rsidRDefault="004A17CF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6AC51C2B" w14:textId="6CD2B013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26D6953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1126E833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5 (0-9)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 xml:space="preserve"># 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1CA6AD1E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n.d.</w:t>
            </w:r>
          </w:p>
        </w:tc>
      </w:tr>
      <w:tr w:rsidR="005671F4" w:rsidRPr="00B25E43" w14:paraId="399B2CE3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20AA4D8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06CF71B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3-Pentanone (Monomer)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50901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96-22-0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0B48E8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0.546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69CDD35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7.4</w:t>
            </w:r>
          </w:p>
        </w:tc>
        <w:tc>
          <w:tcPr>
            <w:tcW w:w="1560" w:type="dxa"/>
            <w:shd w:val="clear" w:color="auto" w:fill="F3F3F3"/>
          </w:tcPr>
          <w:p w14:paraId="758B8978" w14:textId="352CFB5A" w:rsidR="000178C7" w:rsidRPr="00B25E43" w:rsidRDefault="00965EE1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1832D209" w14:textId="131DB3E8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70B053A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3786D45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384 (181-640)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4A8DB66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73 (49-163)</w:t>
            </w:r>
          </w:p>
        </w:tc>
      </w:tr>
      <w:tr w:rsidR="005671F4" w:rsidRPr="00B25E43" w14:paraId="3AED1387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1115E56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0E20D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3-Pentanone (Dimer)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90FC1F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96-22-0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8FCD2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0.663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73BD6CFC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7.4</w:t>
            </w:r>
          </w:p>
        </w:tc>
        <w:tc>
          <w:tcPr>
            <w:tcW w:w="1560" w:type="dxa"/>
            <w:shd w:val="clear" w:color="auto" w:fill="F3F3F3"/>
          </w:tcPr>
          <w:p w14:paraId="130373A3" w14:textId="715ABAD4" w:rsidR="000178C7" w:rsidRPr="00B25E43" w:rsidRDefault="0091731D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450B055E" w14:textId="0525B7A9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52D9D0D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092EE02B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21 (12-30)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65A8D5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9 (7-12) </w:t>
            </w:r>
          </w:p>
        </w:tc>
      </w:tr>
      <w:tr w:rsidR="005671F4" w:rsidRPr="00B25E43" w14:paraId="30FF15B3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3413027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52D364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1-Propanol (Dimer)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8491B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71-23-8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4D648D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0.617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2BB5E8AE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560" w:type="dxa"/>
            <w:shd w:val="clear" w:color="auto" w:fill="F3F3F3"/>
          </w:tcPr>
          <w:p w14:paraId="429590BD" w14:textId="033DCB78" w:rsidR="000178C7" w:rsidRPr="00B25E43" w:rsidRDefault="00CA6561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7CAC1CFF" w14:textId="0677F242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71E14EE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6B9D064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14 (11-21)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0205BBB7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8 (7-10)</w:t>
            </w:r>
          </w:p>
        </w:tc>
      </w:tr>
      <w:tr w:rsidR="005671F4" w:rsidRPr="00B25E43" w14:paraId="145FF1D1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44F0530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2AE7D6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Propofol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0D98E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2078-54-8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B0CB5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0.672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50766DA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452.4</w:t>
            </w:r>
          </w:p>
        </w:tc>
        <w:tc>
          <w:tcPr>
            <w:tcW w:w="1560" w:type="dxa"/>
            <w:shd w:val="clear" w:color="auto" w:fill="F3F3F3"/>
          </w:tcPr>
          <w:p w14:paraId="377236A6" w14:textId="74EC6802" w:rsidR="000178C7" w:rsidRPr="00B25E43" w:rsidRDefault="0091731D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6A59625A" w14:textId="7EDE766D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021F09D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7BCA1DBA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31 (24-54)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13E35C7D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16 (0-35) </w:t>
            </w:r>
          </w:p>
        </w:tc>
      </w:tr>
      <w:tr w:rsidR="005671F4" w:rsidRPr="00B25E43" w14:paraId="4BE1EED2" w14:textId="77777777" w:rsidTr="000774A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3FCCA09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3892A6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o-Xylol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5EB815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95-47-6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C8C5E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0.521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125E4688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560" w:type="dxa"/>
            <w:shd w:val="clear" w:color="auto" w:fill="F3F3F3"/>
          </w:tcPr>
          <w:p w14:paraId="3427298C" w14:textId="5554F970" w:rsidR="000178C7" w:rsidRPr="00B25E43" w:rsidRDefault="00116389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45C487AD" w14:textId="33A74C4E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F95E180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53F8A352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6 (4-10)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049E66FF" w14:textId="77777777" w:rsidR="000178C7" w:rsidRPr="00B25E43" w:rsidRDefault="000178C7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5 (2-9)</w:t>
            </w:r>
          </w:p>
        </w:tc>
      </w:tr>
      <w:tr w:rsidR="001D13B0" w:rsidRPr="00B25E43" w14:paraId="5CD0B53F" w14:textId="77777777" w:rsidTr="00C0023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3593D23F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F57A35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unknown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E5DE307" w14:textId="65FA0738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DB37A0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0.533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7EF1A274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1560" w:type="dxa"/>
            <w:shd w:val="clear" w:color="auto" w:fill="F3F3F3"/>
          </w:tcPr>
          <w:p w14:paraId="6EB45C48" w14:textId="05FC121A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16F2383A" w14:textId="5D71B833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563B4C0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3D1A25FB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41 (29-53)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2F2FEE2B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19 (14-59)</w:t>
            </w:r>
          </w:p>
        </w:tc>
      </w:tr>
      <w:tr w:rsidR="001D13B0" w:rsidRPr="00B25E43" w14:paraId="5EDC9AB6" w14:textId="77777777" w:rsidTr="00C0023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4DC6129E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C52458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unknown 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01021DB" w14:textId="7ECDA3EA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EF98E4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0.547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73C91D7F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48.4</w:t>
            </w:r>
          </w:p>
        </w:tc>
        <w:tc>
          <w:tcPr>
            <w:tcW w:w="1560" w:type="dxa"/>
            <w:shd w:val="clear" w:color="auto" w:fill="F3F3F3"/>
          </w:tcPr>
          <w:p w14:paraId="330C701E" w14:textId="324F11B0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057D7399" w14:textId="18453B9B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38C85BC5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79756E54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7 (5-11)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29167D96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0 (0-8)</w:t>
            </w:r>
          </w:p>
        </w:tc>
      </w:tr>
      <w:tr w:rsidR="001D13B0" w:rsidRPr="00B25E43" w14:paraId="3BB200DD" w14:textId="77777777" w:rsidTr="00C0023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5028334C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44DC21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unknown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9BD9895" w14:textId="19A3EAF9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93679E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0.516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66FAE9EB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22.5</w:t>
            </w:r>
          </w:p>
        </w:tc>
        <w:tc>
          <w:tcPr>
            <w:tcW w:w="1560" w:type="dxa"/>
            <w:shd w:val="clear" w:color="auto" w:fill="F3F3F3"/>
          </w:tcPr>
          <w:p w14:paraId="54F7837B" w14:textId="1E66672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42ECCE30" w14:textId="7F35FB52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1AEDDE8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7C83D848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6 (4-8)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90D3B8A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5 (3-7)</w:t>
            </w:r>
          </w:p>
        </w:tc>
      </w:tr>
      <w:tr w:rsidR="001D13B0" w:rsidRPr="00B25E43" w14:paraId="67C819AE" w14:textId="77777777" w:rsidTr="00C0023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36D7EF0F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FAE4F3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unknown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82DF13A" w14:textId="26C93666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58C2BB1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0.577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3D74F540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23.5</w:t>
            </w:r>
          </w:p>
        </w:tc>
        <w:tc>
          <w:tcPr>
            <w:tcW w:w="1560" w:type="dxa"/>
            <w:shd w:val="clear" w:color="auto" w:fill="F3F3F3"/>
          </w:tcPr>
          <w:p w14:paraId="4A7CDADE" w14:textId="59901151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4AF16AD2" w14:textId="367BE7EA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2A9BDA93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381CFC8A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7 (6-11)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4B110A61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4 (0-7)</w:t>
            </w:r>
          </w:p>
        </w:tc>
      </w:tr>
      <w:tr w:rsidR="001D13B0" w:rsidRPr="00B25E43" w14:paraId="506D4804" w14:textId="77777777" w:rsidTr="00C0023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028E1E60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300D83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unknown 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B831CC1" w14:textId="6B418EE3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F2F180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0.529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2627B017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560" w:type="dxa"/>
            <w:shd w:val="clear" w:color="auto" w:fill="F3F3F3"/>
          </w:tcPr>
          <w:p w14:paraId="220E5FEE" w14:textId="06F53B94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B9B2E1B" w14:textId="32E54ED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B44B426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45BFF6B0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22 (14-35)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70679287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19 (8-32)</w:t>
            </w:r>
          </w:p>
        </w:tc>
      </w:tr>
      <w:tr w:rsidR="001D13B0" w:rsidRPr="00B25E43" w14:paraId="5E181C0E" w14:textId="77777777" w:rsidTr="00C0023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0B70AEC7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EDBC4A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unknown 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75D6555" w14:textId="0401C538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0550DB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0.669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17FBDFBE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23.8</w:t>
            </w:r>
          </w:p>
        </w:tc>
        <w:tc>
          <w:tcPr>
            <w:tcW w:w="1560" w:type="dxa"/>
            <w:shd w:val="clear" w:color="auto" w:fill="F3F3F3"/>
          </w:tcPr>
          <w:p w14:paraId="66019194" w14:textId="08FB4681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34C32B01" w14:textId="1C82EE6D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3E559AEF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752586EE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0 (0-8) 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3BB65CEF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5 (0-9)</w:t>
            </w:r>
          </w:p>
        </w:tc>
      </w:tr>
      <w:tr w:rsidR="001D13B0" w:rsidRPr="00B25E43" w14:paraId="5368FD01" w14:textId="77777777" w:rsidTr="00C0023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5DF9401E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1DA27B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unknown 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1EF0B86" w14:textId="030E66B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99C80F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0.605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189C99A7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1560" w:type="dxa"/>
            <w:shd w:val="clear" w:color="auto" w:fill="F3F3F3"/>
          </w:tcPr>
          <w:p w14:paraId="1BEF84CA" w14:textId="2ACC7D02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4ABF69F8" w14:textId="653ACDA1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2C5121D1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3F8B16C8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20 (14-33)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 xml:space="preserve"># 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5F5D7EA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12 (8-14)</w:t>
            </w:r>
          </w:p>
        </w:tc>
      </w:tr>
      <w:tr w:rsidR="001D13B0" w:rsidRPr="00B25E43" w14:paraId="2BEDAF39" w14:textId="77777777" w:rsidTr="00C0023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7DBEF6C3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0D8A28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unknown 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C79E8FC" w14:textId="0CECD959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EBFE2F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0.447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57834DFB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560" w:type="dxa"/>
            <w:shd w:val="clear" w:color="auto" w:fill="F3F3F3"/>
          </w:tcPr>
          <w:p w14:paraId="1ABD7E5B" w14:textId="01E48DC5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6353683A" w14:textId="4EC5F10E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1D2754E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51EAEAF4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26 (23-31)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3C4486A1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30 (25-34)</w:t>
            </w:r>
          </w:p>
        </w:tc>
      </w:tr>
      <w:tr w:rsidR="001D13B0" w:rsidRPr="00B25E43" w14:paraId="0C390DDC" w14:textId="77777777" w:rsidTr="00C0023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5867E44A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ADC8C5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unknown 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9FBF7E5" w14:textId="3B8CAC94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61ED3A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0.492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51D68629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1560" w:type="dxa"/>
            <w:shd w:val="clear" w:color="auto" w:fill="F3F3F3"/>
          </w:tcPr>
          <w:p w14:paraId="431C4741" w14:textId="381F8274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DE5C6A9" w14:textId="72A51B7C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3030D38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071F16A8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51 (27-94)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4EB4E16E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37 (16-130)</w:t>
            </w:r>
          </w:p>
        </w:tc>
      </w:tr>
      <w:tr w:rsidR="001D13B0" w:rsidRPr="00B25E43" w14:paraId="6EC5E86B" w14:textId="77777777" w:rsidTr="00C0023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03D55CAF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515C0C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unknown 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B451438" w14:textId="1731C732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259CB5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0.444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1F9A90A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1560" w:type="dxa"/>
            <w:shd w:val="clear" w:color="auto" w:fill="F3F3F3"/>
          </w:tcPr>
          <w:p w14:paraId="54706F70" w14:textId="2BDC6559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1D6C3F2" w14:textId="2EE64EF9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4727D030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5D6AA0E5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29 (27-35)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EAB5AC4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34 (13-39)</w:t>
            </w:r>
          </w:p>
        </w:tc>
      </w:tr>
      <w:tr w:rsidR="001D13B0" w:rsidRPr="00B25E43" w14:paraId="4B41AE71" w14:textId="77777777" w:rsidTr="00C0023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39723B32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E55BD69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unknown 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A505396" w14:textId="60232CDA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A397CE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0.638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6D038C68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1560" w:type="dxa"/>
            <w:shd w:val="clear" w:color="auto" w:fill="F3F3F3"/>
          </w:tcPr>
          <w:p w14:paraId="79B25325" w14:textId="4128E392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3C2E5211" w14:textId="786FF260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580F1963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564DC22E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19 (9-30)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001F490A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8 (7-10)</w:t>
            </w:r>
          </w:p>
        </w:tc>
      </w:tr>
      <w:tr w:rsidR="001D13B0" w:rsidRPr="00B25E43" w14:paraId="75C6E1B5" w14:textId="77777777" w:rsidTr="00C0023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31CE0C88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C37959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unknown 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E13312A" w14:textId="055D71B4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51C5F8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0.482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092466EE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1560" w:type="dxa"/>
            <w:shd w:val="clear" w:color="auto" w:fill="F3F3F3"/>
          </w:tcPr>
          <w:p w14:paraId="4FEE56CC" w14:textId="58AF2284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48D75E7" w14:textId="492C9F76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51F0F6A9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constant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24337FC6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6 (0-13)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6B98241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7 (0-29)</w:t>
            </w:r>
          </w:p>
        </w:tc>
      </w:tr>
      <w:tr w:rsidR="001D13B0" w:rsidRPr="00B25E43" w14:paraId="7FC3A78B" w14:textId="77777777" w:rsidTr="00C0023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69CDE4BF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CD674E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unknown 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500CEBC" w14:textId="5B1BABA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07F35E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0.680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1B10144C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1560" w:type="dxa"/>
            <w:shd w:val="clear" w:color="auto" w:fill="F3F3F3"/>
          </w:tcPr>
          <w:p w14:paraId="4B92D6CE" w14:textId="51CC10EC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52E77576" w14:textId="05849D4A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491FF25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3FF5E8A9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9 (6-15)  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7EB7A67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14 (12-17)  </w:t>
            </w:r>
          </w:p>
        </w:tc>
      </w:tr>
      <w:tr w:rsidR="001D13B0" w:rsidRPr="00B25E43" w14:paraId="1E58BFB7" w14:textId="77777777" w:rsidTr="00C0023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0FFF6F71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6303E9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unknown 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299F4E2" w14:textId="2134FA3F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5469E0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0.697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7C6EA62A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1560" w:type="dxa"/>
            <w:shd w:val="clear" w:color="auto" w:fill="F3F3F3"/>
          </w:tcPr>
          <w:p w14:paraId="60727314" w14:textId="1CB207F3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3BE999C3" w14:textId="5B477C25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0BBC951A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5CB0AFF4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8 (6-13)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015B159C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5 (4-9)</w:t>
            </w:r>
          </w:p>
        </w:tc>
      </w:tr>
      <w:tr w:rsidR="001D13B0" w:rsidRPr="00B25E43" w14:paraId="08FCA2CC" w14:textId="77777777" w:rsidTr="00C0023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4DBF923E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5A33CB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unknown 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481DE0C" w14:textId="7400B8EA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302A08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0.712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3C94D2C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7.4</w:t>
            </w:r>
          </w:p>
        </w:tc>
        <w:tc>
          <w:tcPr>
            <w:tcW w:w="1560" w:type="dxa"/>
            <w:shd w:val="clear" w:color="auto" w:fill="F3F3F3"/>
          </w:tcPr>
          <w:p w14:paraId="50A393C8" w14:textId="74E7C36D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1CA269C7" w14:textId="21B5A5BA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DC0B423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04CB6914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 xml:space="preserve">10 (5-15) </w:t>
            </w:r>
            <w:r w:rsidRPr="00B25E43">
              <w:rPr>
                <w:rFonts w:asciiTheme="majorHAnsi" w:hAnsiTheme="majorHAnsi"/>
                <w:color w:val="00000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0A8AC6E3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0 (0-6)</w:t>
            </w:r>
          </w:p>
        </w:tc>
      </w:tr>
      <w:tr w:rsidR="001D13B0" w:rsidRPr="00B25E43" w14:paraId="05D8C656" w14:textId="77777777" w:rsidTr="00C0023D">
        <w:trPr>
          <w:trHeight w:hRule="exact" w:val="227"/>
        </w:trPr>
        <w:tc>
          <w:tcPr>
            <w:tcW w:w="567" w:type="dxa"/>
            <w:shd w:val="clear" w:color="auto" w:fill="F3F3F3"/>
            <w:vAlign w:val="center"/>
          </w:tcPr>
          <w:p w14:paraId="5EFE25A7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-2234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14:paraId="56F764B0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unknown 16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3F3F3"/>
          </w:tcPr>
          <w:p w14:paraId="6BDE98CA" w14:textId="02570FEC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14:paraId="559869F4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0.511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5325971F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15.4</w:t>
            </w:r>
          </w:p>
        </w:tc>
        <w:tc>
          <w:tcPr>
            <w:tcW w:w="1560" w:type="dxa"/>
            <w:shd w:val="clear" w:color="auto" w:fill="F3F3F3"/>
          </w:tcPr>
          <w:p w14:paraId="156AF356" w14:textId="7A4117BE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6423662A" w14:textId="2E6936E0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color w:val="000000"/>
                <w:sz w:val="14"/>
                <w:szCs w:val="14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3D13344C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="Calibri" w:hAnsi="Calibri"/>
                <w:sz w:val="14"/>
                <w:szCs w:val="14"/>
                <w:lang w:val="en-US"/>
              </w:rPr>
            </w:pPr>
            <w:r w:rsidRPr="00B25E43">
              <w:rPr>
                <w:rFonts w:ascii="Calibri" w:hAnsi="Calibri"/>
                <w:color w:val="000000"/>
                <w:sz w:val="14"/>
                <w:szCs w:val="14"/>
              </w:rPr>
              <w:t>decreasing *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24CA15B0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5 (0-11)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77AEBEC0" w14:textId="77777777" w:rsidR="001D13B0" w:rsidRPr="00B25E43" w:rsidRDefault="001D13B0" w:rsidP="005671F4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ind w:right="515"/>
              <w:jc w:val="both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B25E43">
              <w:rPr>
                <w:rFonts w:asciiTheme="majorHAnsi" w:hAnsiTheme="majorHAnsi"/>
                <w:color w:val="000000"/>
                <w:sz w:val="14"/>
                <w:szCs w:val="14"/>
              </w:rPr>
              <w:t>4 (0-12)</w:t>
            </w:r>
          </w:p>
        </w:tc>
      </w:tr>
    </w:tbl>
    <w:p w14:paraId="683D8B03" w14:textId="77777777" w:rsidR="00764B98" w:rsidRPr="00B25E43" w:rsidRDefault="00764B98" w:rsidP="00764B98">
      <w:pPr>
        <w:widowControl w:val="0"/>
        <w:autoSpaceDE w:val="0"/>
        <w:autoSpaceDN w:val="0"/>
        <w:adjustRightInd w:val="0"/>
        <w:spacing w:after="240" w:line="480" w:lineRule="auto"/>
        <w:ind w:left="-709" w:right="515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p w14:paraId="1C0ACDA8" w14:textId="62253243" w:rsidR="005C7E92" w:rsidRPr="00254BE3" w:rsidRDefault="00764B98" w:rsidP="00254BE3">
      <w:pPr>
        <w:spacing w:line="480" w:lineRule="auto"/>
        <w:ind w:left="-851" w:right="-619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B25E43">
        <w:rPr>
          <w:rFonts w:ascii="Calibri" w:eastAsia="Times New Roman" w:hAnsi="Calibri" w:cs="Times New Roman"/>
          <w:sz w:val="20"/>
          <w:szCs w:val="20"/>
          <w:lang w:val="en-US"/>
        </w:rPr>
        <w:t xml:space="preserve">Volatile organic compounds in expired air of ventilated patients with acute </w:t>
      </w:r>
      <w:r w:rsidR="00826BC5">
        <w:rPr>
          <w:rFonts w:ascii="Calibri" w:eastAsia="Times New Roman" w:hAnsi="Calibri" w:cs="Times New Roman"/>
          <w:sz w:val="20"/>
          <w:szCs w:val="20"/>
          <w:lang w:val="en-US"/>
        </w:rPr>
        <w:t>kidney injury</w:t>
      </w:r>
      <w:r w:rsidRPr="00B25E43">
        <w:rPr>
          <w:rFonts w:ascii="Calibri" w:eastAsia="Times New Roman" w:hAnsi="Calibri" w:cs="Times New Roman"/>
          <w:sz w:val="20"/>
          <w:szCs w:val="20"/>
          <w:lang w:val="en-US"/>
        </w:rPr>
        <w:t xml:space="preserve"> before initiation of hemodialysis. Retention and drift times are given for the IMS chromatogram. </w:t>
      </w:r>
      <w:r w:rsidR="00254BE3" w:rsidRPr="00B25E43">
        <w:rPr>
          <w:rFonts w:ascii="Calibri" w:eastAsia="Times New Roman" w:hAnsi="Calibri" w:cs="Times New Roman"/>
          <w:sz w:val="20"/>
          <w:szCs w:val="20"/>
          <w:lang w:val="en-US"/>
        </w:rPr>
        <w:t>Peak area overlapping describes the relative agreement of the chromatogram with the reference chromatogram of the database. Unknown volatiles were designated only by unique peak numbers.</w:t>
      </w:r>
      <w:r w:rsidRPr="00B25E43">
        <w:rPr>
          <w:rFonts w:ascii="Calibri" w:eastAsia="Times New Roman" w:hAnsi="Calibri" w:cs="Times New Roman"/>
          <w:sz w:val="20"/>
          <w:szCs w:val="20"/>
          <w:lang w:val="en-US"/>
        </w:rPr>
        <w:t xml:space="preserve">* p&lt;0.05, significant decreasing intensities during hemodialysis treatment compared to baseline values (ANOVA); </w:t>
      </w:r>
      <w:r w:rsidRPr="00B25E43">
        <w:rPr>
          <w:rFonts w:ascii="Calibri" w:eastAsia="Times New Roman" w:hAnsi="Calibri" w:cs="Times New Roman"/>
          <w:sz w:val="20"/>
          <w:szCs w:val="20"/>
          <w:vertAlign w:val="superscript"/>
          <w:lang w:val="en-US"/>
        </w:rPr>
        <w:t>#</w:t>
      </w:r>
      <w:r w:rsidRPr="00B25E43">
        <w:rPr>
          <w:rFonts w:ascii="Calibri" w:eastAsia="Times New Roman" w:hAnsi="Calibri" w:cs="Times New Roman"/>
          <w:sz w:val="20"/>
          <w:szCs w:val="20"/>
          <w:lang w:val="en-US"/>
        </w:rPr>
        <w:t xml:space="preserve"> p&lt;0.05, significant higher intensities in expired air of patients with acute renal failure compared to control group with normal renal function (Mann-Whitney Rank Sum Test), all data shown as median (25%-75% percentiles); </w:t>
      </w:r>
      <w:r w:rsidRPr="00B25E43">
        <w:rPr>
          <w:rFonts w:ascii="Calibri" w:eastAsia="Times New Roman" w:hAnsi="Calibri" w:cs="Times New Roman"/>
          <w:sz w:val="20"/>
          <w:szCs w:val="20"/>
          <w:vertAlign w:val="superscript"/>
          <w:lang w:val="en-US"/>
        </w:rPr>
        <w:t>§</w:t>
      </w:r>
      <w:r w:rsidRPr="00B25E43">
        <w:rPr>
          <w:rFonts w:ascii="Calibri" w:eastAsia="Times New Roman" w:hAnsi="Calibri" w:cs="Times New Roman"/>
          <w:sz w:val="20"/>
          <w:szCs w:val="20"/>
          <w:lang w:val="en-US"/>
        </w:rPr>
        <w:t xml:space="preserve"> data obtained from </w:t>
      </w:r>
      <w:r w:rsidRPr="00B25E43">
        <w:rPr>
          <w:rFonts w:ascii="Calibri" w:eastAsia="Times New Roman" w:hAnsi="Calibri" w:cs="Times New Roman"/>
          <w:sz w:val="20"/>
          <w:szCs w:val="20"/>
          <w:lang w:val="en-US"/>
        </w:rPr>
        <w:fldChar w:fldCharType="begin" w:fldLock="1"/>
      </w:r>
      <w:r w:rsidRPr="00B25E43">
        <w:rPr>
          <w:rFonts w:ascii="Calibri" w:eastAsia="Times New Roman" w:hAnsi="Calibri" w:cs="Times New Roman"/>
          <w:sz w:val="20"/>
          <w:szCs w:val="20"/>
          <w:lang w:val="en-US"/>
        </w:rPr>
        <w:instrText>ADDIN CSL_CITATION { "citationItems" : [ { "id" : "ITEM-1", "itemData" : { "DOI" : "10.1186/s12890-017-0460-0", "ISSN" : "1471-2466", "author" : [ { "dropping-particle" : "", "family" : "H\u00fcppe", "given" : "Tobias", "non-dropping-particle" : "", "parse-names" : false, "suffix" : "" }, { "dropping-particle" : "", "family" : "Lorenz", "given" : "Dominik", "non-dropping-particle" : "", "parse-names" : false, "suffix" : "" }, { "dropping-particle" : "", "family" : "Wachowiak", "given" : "Mario", "non-dropping-particle" : "", "parse-names" : false, "suffix" : "" }, { "dropping-particle" : "", "family" : "Maurer", "given" : "Felix", "non-dropping-particle" : "", "parse-names" : false, "suffix" : "" }, { "dropping-particle" : "", "family" : "Meiser", "given" : "Andreas", "non-dropping-particle" : "", "parse-names" : false, "suffix" : "" }, { "dropping-particle" : "", "family" : "Groesdonk", "given" : "Heinrich", "non-dropping-particle" : "", "parse-names" : false, "suffix" : "" }, { "dropping-particle" : "", "family" : "Fink", "given" : "Tobias", "non-dropping-particle" : "", "parse-names" : false, "suffix" : "" }, { "dropping-particle" : "", "family" : "Sessler", "given" : "Daniel I.", "non-dropping-particle" : "", "parse-names" : false, "suffix" : "" }, { "dropping-particle" : "", "family" : "Kreuer", "given" : "Sascha", "non-dropping-particle" : "", "parse-names" : false, "suffix" : "" } ], "container-title" : "BMC Pulmonary Medicine", "id" : "ITEM-1", "issue" : "1", "issued" : { "date-parts" : [ [ "2017" ] ] }, "page" : "116", "publisher" : "BMC Pulmonary Medicine", "title" : "Volatile organic compounds in ventilated critical care patients: a systematic evaluation of cofactors", "type" : "article-journal", "volume" : "17" }, "uris" : [ "http://www.mendeley.com/documents/?uuid=735f9078-e0f1-46be-9a63-3a38539b1412" ] } ], "mendeley" : { "formattedCitation" : "(14)", "plainTextFormattedCitation" : "(14)", "previouslyFormattedCitation" : "(14)" }, "properties" : {  }, "schema" : "https://github.com/citation-style-language/schema/raw/master/csl-citation.json" }</w:instrText>
      </w:r>
      <w:r w:rsidRPr="00B25E43">
        <w:rPr>
          <w:rFonts w:ascii="Calibri" w:eastAsia="Times New Roman" w:hAnsi="Calibri" w:cs="Times New Roman"/>
          <w:sz w:val="20"/>
          <w:szCs w:val="20"/>
          <w:lang w:val="en-US"/>
        </w:rPr>
        <w:fldChar w:fldCharType="separate"/>
      </w:r>
      <w:r w:rsidRPr="00B25E43">
        <w:rPr>
          <w:rFonts w:ascii="Calibri" w:eastAsia="Times New Roman" w:hAnsi="Calibri" w:cs="Times New Roman"/>
          <w:noProof/>
          <w:sz w:val="20"/>
          <w:szCs w:val="20"/>
          <w:lang w:val="en-US"/>
        </w:rPr>
        <w:t>(14)</w:t>
      </w:r>
      <w:r w:rsidRPr="00B25E43">
        <w:rPr>
          <w:rFonts w:ascii="Calibri" w:eastAsia="Times New Roman" w:hAnsi="Calibri" w:cs="Times New Roman"/>
          <w:sz w:val="20"/>
          <w:szCs w:val="20"/>
          <w:lang w:val="en-US"/>
        </w:rPr>
        <w:fldChar w:fldCharType="end"/>
      </w:r>
      <w:r w:rsidRPr="00B25E43">
        <w:rPr>
          <w:rFonts w:ascii="Calibri" w:eastAsia="Times New Roman" w:hAnsi="Calibri" w:cs="Times New Roman"/>
          <w:sz w:val="20"/>
          <w:szCs w:val="20"/>
          <w:lang w:val="en-US"/>
        </w:rPr>
        <w:t xml:space="preserve">. </w:t>
      </w:r>
      <w:r w:rsidR="0004112F" w:rsidRPr="00B25E43">
        <w:rPr>
          <w:rFonts w:ascii="Calibri" w:eastAsia="Times New Roman" w:hAnsi="Calibri" w:cs="Times New Roman"/>
          <w:sz w:val="20"/>
          <w:szCs w:val="20"/>
          <w:vertAlign w:val="superscript"/>
          <w:lang w:val="en-US"/>
        </w:rPr>
        <w:t>$</w:t>
      </w:r>
      <w:r w:rsidR="00254BE3" w:rsidRPr="00B25E43">
        <w:rPr>
          <w:rFonts w:ascii="Calibri" w:eastAsia="Times New Roman" w:hAnsi="Calibri" w:cs="Times New Roman"/>
          <w:sz w:val="20"/>
          <w:szCs w:val="20"/>
          <w:lang w:val="en-US"/>
        </w:rPr>
        <w:t xml:space="preserve"> Volatile compound was verified by pure substance measurement</w:t>
      </w:r>
      <w:r w:rsidR="0004112F" w:rsidRPr="00B25E43">
        <w:rPr>
          <w:rFonts w:ascii="Calibri" w:eastAsia="Times New Roman" w:hAnsi="Calibri" w:cs="Times New Roman"/>
          <w:sz w:val="20"/>
          <w:szCs w:val="20"/>
          <w:lang w:val="en-US"/>
        </w:rPr>
        <w:t xml:space="preserve">. </w:t>
      </w:r>
      <w:r w:rsidRPr="00B25E43">
        <w:rPr>
          <w:rFonts w:ascii="Calibri" w:eastAsia="Times New Roman" w:hAnsi="Calibri" w:cs="Times New Roman"/>
          <w:sz w:val="20"/>
          <w:szCs w:val="20"/>
          <w:lang w:val="en-US"/>
        </w:rPr>
        <w:t>CAS-Number = Chemical Abstracts Service Number; VOC = Volatile Organic Compound; n.d. = not detectable.</w:t>
      </w:r>
    </w:p>
    <w:sectPr w:rsidR="005C7E92" w:rsidRPr="00254BE3" w:rsidSect="00764B98">
      <w:pgSz w:w="16817" w:h="11901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98"/>
    <w:rsid w:val="000178C7"/>
    <w:rsid w:val="0004112F"/>
    <w:rsid w:val="000543BC"/>
    <w:rsid w:val="000774AD"/>
    <w:rsid w:val="00116389"/>
    <w:rsid w:val="001D13B0"/>
    <w:rsid w:val="00250EE1"/>
    <w:rsid w:val="00254BE3"/>
    <w:rsid w:val="002E45EF"/>
    <w:rsid w:val="003230EC"/>
    <w:rsid w:val="00447D09"/>
    <w:rsid w:val="004A17CF"/>
    <w:rsid w:val="004F1CE5"/>
    <w:rsid w:val="005056A9"/>
    <w:rsid w:val="005671F4"/>
    <w:rsid w:val="005A49C4"/>
    <w:rsid w:val="005C7E92"/>
    <w:rsid w:val="0068300D"/>
    <w:rsid w:val="006C6A51"/>
    <w:rsid w:val="006F2349"/>
    <w:rsid w:val="00764B98"/>
    <w:rsid w:val="008129B0"/>
    <w:rsid w:val="00826BC5"/>
    <w:rsid w:val="0091731D"/>
    <w:rsid w:val="00965EE1"/>
    <w:rsid w:val="009F790A"/>
    <w:rsid w:val="00AA702D"/>
    <w:rsid w:val="00AB0E31"/>
    <w:rsid w:val="00AE6D9B"/>
    <w:rsid w:val="00B25E43"/>
    <w:rsid w:val="00B50DB5"/>
    <w:rsid w:val="00CA6561"/>
    <w:rsid w:val="00DB6905"/>
    <w:rsid w:val="00E95882"/>
    <w:rsid w:val="00EA57A1"/>
    <w:rsid w:val="00EF56B0"/>
    <w:rsid w:val="00F341B8"/>
    <w:rsid w:val="00F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2E43B"/>
  <w14:defaultImageDpi w14:val="300"/>
  <w15:docId w15:val="{C1663686-FC18-4A13-B4C7-1D724720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9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Hüppe</dc:creator>
  <cp:keywords/>
  <dc:description/>
  <cp:lastModifiedBy>Baeuerlein, Christopher</cp:lastModifiedBy>
  <cp:revision>36</cp:revision>
  <dcterms:created xsi:type="dcterms:W3CDTF">2018-03-29T08:56:00Z</dcterms:created>
  <dcterms:modified xsi:type="dcterms:W3CDTF">2018-10-09T11:55:00Z</dcterms:modified>
</cp:coreProperties>
</file>