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09" w:rsidRPr="009F6674" w:rsidRDefault="00BE2909" w:rsidP="00BE2909">
      <w:pPr>
        <w:spacing w:after="0" w:line="240" w:lineRule="auto"/>
        <w:jc w:val="center"/>
        <w:rPr>
          <w:rFonts w:asciiTheme="majorHAnsi" w:hAnsiTheme="majorHAnsi"/>
          <w:b/>
          <w:sz w:val="28"/>
          <w:szCs w:val="28"/>
          <w:u w:val="single"/>
        </w:rPr>
      </w:pPr>
      <w:r>
        <w:rPr>
          <w:rFonts w:asciiTheme="majorHAnsi" w:hAnsiTheme="majorHAnsi"/>
          <w:b/>
          <w:sz w:val="28"/>
          <w:szCs w:val="28"/>
          <w:u w:val="single"/>
        </w:rPr>
        <w:t>O</w:t>
      </w:r>
      <w:r w:rsidRPr="009F6674">
        <w:rPr>
          <w:rFonts w:asciiTheme="majorHAnsi" w:hAnsiTheme="majorHAnsi"/>
          <w:b/>
          <w:sz w:val="28"/>
          <w:szCs w:val="28"/>
          <w:u w:val="single"/>
        </w:rPr>
        <w:t>nline Supplement</w:t>
      </w:r>
    </w:p>
    <w:p w:rsidR="00E9597A" w:rsidRPr="00F20B2B" w:rsidRDefault="00E9597A" w:rsidP="00E9597A">
      <w:pPr>
        <w:spacing w:after="0" w:line="240" w:lineRule="auto"/>
        <w:contextualSpacing/>
        <w:jc w:val="center"/>
        <w:rPr>
          <w:rFonts w:asciiTheme="majorHAnsi" w:hAnsiTheme="majorHAnsi"/>
          <w:b/>
          <w:sz w:val="27"/>
          <w:szCs w:val="27"/>
        </w:rPr>
      </w:pPr>
      <w:r w:rsidRPr="00F20B2B">
        <w:rPr>
          <w:rFonts w:asciiTheme="majorHAnsi" w:hAnsiTheme="majorHAnsi"/>
          <w:b/>
          <w:sz w:val="27"/>
          <w:szCs w:val="27"/>
        </w:rPr>
        <w:t xml:space="preserve">Sepsis Surveillance Using Adult Sepsis Events Simplified eSOFA Criteria versus Sepsis-3 SOFA Criteria </w:t>
      </w:r>
    </w:p>
    <w:p w:rsidR="00BE2909" w:rsidRDefault="00BE2909" w:rsidP="00BE2909">
      <w:pPr>
        <w:spacing w:after="0" w:line="240" w:lineRule="auto"/>
        <w:rPr>
          <w:rFonts w:asciiTheme="majorHAnsi" w:hAnsiTheme="majorHAnsi"/>
          <w:b/>
          <w:sz w:val="24"/>
          <w:szCs w:val="24"/>
        </w:rPr>
      </w:pPr>
    </w:p>
    <w:p w:rsidR="00413E58" w:rsidRDefault="00413E58" w:rsidP="00BE2909">
      <w:pPr>
        <w:spacing w:after="0" w:line="240" w:lineRule="auto"/>
        <w:rPr>
          <w:rFonts w:asciiTheme="majorHAnsi" w:hAnsiTheme="majorHAnsi"/>
          <w:b/>
          <w:sz w:val="24"/>
          <w:szCs w:val="24"/>
        </w:rPr>
      </w:pPr>
    </w:p>
    <w:p w:rsidR="00C454FD" w:rsidRPr="00413E58" w:rsidRDefault="00C454FD" w:rsidP="008D7875">
      <w:pPr>
        <w:spacing w:after="0" w:line="240" w:lineRule="auto"/>
        <w:jc w:val="center"/>
        <w:rPr>
          <w:rFonts w:asciiTheme="majorHAnsi" w:hAnsiTheme="majorHAnsi"/>
          <w:b/>
          <w:sz w:val="28"/>
          <w:szCs w:val="24"/>
        </w:rPr>
      </w:pPr>
      <w:r w:rsidRPr="00413E58">
        <w:rPr>
          <w:rFonts w:asciiTheme="majorHAnsi" w:hAnsiTheme="majorHAnsi"/>
          <w:b/>
          <w:sz w:val="28"/>
          <w:szCs w:val="24"/>
        </w:rPr>
        <w:t>Table of Contents</w:t>
      </w:r>
    </w:p>
    <w:p w:rsidR="00C454FD" w:rsidRDefault="00C454FD" w:rsidP="00BE2909">
      <w:pPr>
        <w:spacing w:after="0" w:line="240" w:lineRule="auto"/>
        <w:rPr>
          <w:rFonts w:asciiTheme="majorHAnsi" w:hAnsiTheme="majorHAnsi"/>
          <w:b/>
          <w:sz w:val="24"/>
          <w:szCs w:val="24"/>
        </w:rPr>
      </w:pPr>
    </w:p>
    <w:p w:rsidR="008D7875" w:rsidRPr="00413E58" w:rsidRDefault="008D7875" w:rsidP="008D7875">
      <w:pPr>
        <w:spacing w:after="0" w:line="240" w:lineRule="auto"/>
        <w:rPr>
          <w:rFonts w:asciiTheme="majorHAnsi" w:hAnsiTheme="majorHAnsi"/>
          <w:sz w:val="24"/>
          <w:szCs w:val="24"/>
        </w:rPr>
      </w:pPr>
      <w:proofErr w:type="spellStart"/>
      <w:proofErr w:type="gramStart"/>
      <w:r w:rsidRPr="00413E58">
        <w:rPr>
          <w:rFonts w:asciiTheme="majorHAnsi" w:hAnsiTheme="majorHAnsi"/>
          <w:b/>
          <w:sz w:val="24"/>
          <w:szCs w:val="24"/>
        </w:rPr>
        <w:t>eMethods</w:t>
      </w:r>
      <w:proofErr w:type="spellEnd"/>
      <w:proofErr w:type="gramEnd"/>
      <w:r w:rsidRPr="00413E58">
        <w:rPr>
          <w:rFonts w:asciiTheme="majorHAnsi" w:hAnsiTheme="majorHAnsi"/>
          <w:sz w:val="24"/>
          <w:szCs w:val="24"/>
        </w:rPr>
        <w:t xml:space="preserve"> – Detailed Description of SOFA Score Implementation</w:t>
      </w:r>
      <w:r w:rsidR="008968F2" w:rsidRPr="00413E58">
        <w:rPr>
          <w:rFonts w:asciiTheme="majorHAnsi" w:hAnsiTheme="majorHAnsi"/>
          <w:sz w:val="24"/>
          <w:szCs w:val="24"/>
        </w:rPr>
        <w:t xml:space="preserve"> (page 2)</w:t>
      </w:r>
    </w:p>
    <w:p w:rsidR="008D7875" w:rsidRPr="00413E58" w:rsidRDefault="008D7875" w:rsidP="00BE2909">
      <w:pPr>
        <w:spacing w:after="0" w:line="240" w:lineRule="auto"/>
        <w:rPr>
          <w:rFonts w:asciiTheme="majorHAnsi" w:hAnsiTheme="majorHAnsi"/>
          <w:sz w:val="24"/>
          <w:szCs w:val="24"/>
        </w:rPr>
      </w:pPr>
    </w:p>
    <w:p w:rsidR="008D7875" w:rsidRPr="00413E58" w:rsidRDefault="008D7875" w:rsidP="008D7875">
      <w:pPr>
        <w:spacing w:after="0" w:line="240" w:lineRule="auto"/>
        <w:rPr>
          <w:rFonts w:asciiTheme="majorHAnsi" w:hAnsiTheme="majorHAnsi"/>
          <w:sz w:val="24"/>
          <w:szCs w:val="24"/>
        </w:rPr>
      </w:pPr>
      <w:proofErr w:type="spellStart"/>
      <w:proofErr w:type="gramStart"/>
      <w:r w:rsidRPr="00413E58">
        <w:rPr>
          <w:rFonts w:asciiTheme="majorHAnsi" w:hAnsiTheme="majorHAnsi"/>
          <w:b/>
          <w:sz w:val="24"/>
          <w:szCs w:val="24"/>
        </w:rPr>
        <w:t>eTable</w:t>
      </w:r>
      <w:proofErr w:type="spellEnd"/>
      <w:proofErr w:type="gramEnd"/>
      <w:r w:rsidRPr="00413E58">
        <w:rPr>
          <w:rFonts w:asciiTheme="majorHAnsi" w:hAnsiTheme="majorHAnsi"/>
          <w:b/>
          <w:sz w:val="24"/>
          <w:szCs w:val="24"/>
        </w:rPr>
        <w:t xml:space="preserve"> 1</w:t>
      </w:r>
      <w:r w:rsidRPr="00413E58">
        <w:rPr>
          <w:rFonts w:asciiTheme="majorHAnsi" w:hAnsiTheme="majorHAnsi"/>
          <w:sz w:val="24"/>
          <w:szCs w:val="24"/>
        </w:rPr>
        <w:t xml:space="preserve">.  </w:t>
      </w:r>
      <w:r w:rsidRPr="00413E58">
        <w:rPr>
          <w:rFonts w:asciiTheme="majorHAnsi" w:hAnsiTheme="majorHAnsi" w:cs="Times New Roman"/>
          <w:i/>
          <w:color w:val="000000"/>
          <w:sz w:val="24"/>
          <w:szCs w:val="24"/>
          <w:shd w:val="clear" w:color="auto" w:fill="FFFFFF"/>
        </w:rPr>
        <w:t>International Classification of Diseases, Ninth Revision, Clinical Modification</w:t>
      </w:r>
      <w:r w:rsidRPr="00413E58">
        <w:rPr>
          <w:rFonts w:asciiTheme="majorHAnsi" w:hAnsiTheme="majorHAnsi" w:cs="Times New Roman"/>
          <w:color w:val="000000"/>
          <w:sz w:val="24"/>
          <w:szCs w:val="24"/>
          <w:shd w:val="clear" w:color="auto" w:fill="FFFFFF"/>
        </w:rPr>
        <w:t xml:space="preserve"> </w:t>
      </w:r>
      <w:r w:rsidRPr="00413E58">
        <w:rPr>
          <w:rFonts w:asciiTheme="majorHAnsi" w:hAnsiTheme="majorHAnsi"/>
          <w:sz w:val="24"/>
          <w:szCs w:val="24"/>
        </w:rPr>
        <w:t>Codes Used to Identify Infectious Syndromes</w:t>
      </w:r>
      <w:r w:rsidR="00100600" w:rsidRPr="00413E58">
        <w:rPr>
          <w:rFonts w:asciiTheme="majorHAnsi" w:hAnsiTheme="majorHAnsi"/>
          <w:sz w:val="24"/>
          <w:szCs w:val="24"/>
        </w:rPr>
        <w:t xml:space="preserve"> (page 5</w:t>
      </w:r>
      <w:r w:rsidR="00B51E94" w:rsidRPr="00413E58">
        <w:rPr>
          <w:rFonts w:asciiTheme="majorHAnsi" w:hAnsiTheme="majorHAnsi"/>
          <w:sz w:val="24"/>
          <w:szCs w:val="24"/>
        </w:rPr>
        <w:t>)</w:t>
      </w:r>
    </w:p>
    <w:p w:rsidR="008D7875" w:rsidRPr="00413E58" w:rsidRDefault="008D7875" w:rsidP="00BE2909">
      <w:pPr>
        <w:spacing w:after="0" w:line="240" w:lineRule="auto"/>
        <w:rPr>
          <w:rFonts w:asciiTheme="majorHAnsi" w:hAnsiTheme="majorHAnsi"/>
          <w:sz w:val="24"/>
          <w:szCs w:val="24"/>
        </w:rPr>
      </w:pPr>
    </w:p>
    <w:p w:rsidR="008D7875" w:rsidRPr="00413E58" w:rsidRDefault="008D7875" w:rsidP="008D7875">
      <w:pPr>
        <w:spacing w:after="0" w:line="240" w:lineRule="auto"/>
        <w:rPr>
          <w:rFonts w:asciiTheme="majorHAnsi" w:hAnsiTheme="majorHAnsi"/>
          <w:sz w:val="24"/>
          <w:szCs w:val="24"/>
        </w:rPr>
      </w:pPr>
      <w:proofErr w:type="spellStart"/>
      <w:proofErr w:type="gramStart"/>
      <w:r w:rsidRPr="00413E58">
        <w:rPr>
          <w:rFonts w:asciiTheme="majorHAnsi" w:hAnsiTheme="majorHAnsi"/>
          <w:b/>
          <w:sz w:val="24"/>
          <w:szCs w:val="24"/>
        </w:rPr>
        <w:t>eTable</w:t>
      </w:r>
      <w:proofErr w:type="spellEnd"/>
      <w:proofErr w:type="gramEnd"/>
      <w:r w:rsidRPr="00413E58">
        <w:rPr>
          <w:rFonts w:asciiTheme="majorHAnsi" w:hAnsiTheme="majorHAnsi"/>
          <w:b/>
          <w:sz w:val="24"/>
          <w:szCs w:val="24"/>
        </w:rPr>
        <w:t xml:space="preserve"> 2</w:t>
      </w:r>
      <w:r w:rsidRPr="00413E58">
        <w:rPr>
          <w:rFonts w:asciiTheme="majorHAnsi" w:hAnsiTheme="majorHAnsi"/>
          <w:sz w:val="24"/>
          <w:szCs w:val="24"/>
        </w:rPr>
        <w:t>.  Frequency of Missing Variables for SOFA and eSOFA</w:t>
      </w:r>
      <w:r w:rsidR="00100600" w:rsidRPr="00413E58">
        <w:rPr>
          <w:rFonts w:asciiTheme="majorHAnsi" w:hAnsiTheme="majorHAnsi"/>
          <w:sz w:val="24"/>
          <w:szCs w:val="24"/>
        </w:rPr>
        <w:t xml:space="preserve"> (page 5</w:t>
      </w:r>
      <w:r w:rsidR="00B51E94" w:rsidRPr="00413E58">
        <w:rPr>
          <w:rFonts w:asciiTheme="majorHAnsi" w:hAnsiTheme="majorHAnsi"/>
          <w:sz w:val="24"/>
          <w:szCs w:val="24"/>
        </w:rPr>
        <w:t>)</w:t>
      </w:r>
    </w:p>
    <w:p w:rsidR="008D7875" w:rsidRPr="00413E58" w:rsidRDefault="008D7875" w:rsidP="00BE2909">
      <w:pPr>
        <w:spacing w:after="0" w:line="240" w:lineRule="auto"/>
        <w:rPr>
          <w:rFonts w:asciiTheme="majorHAnsi" w:hAnsiTheme="majorHAnsi"/>
          <w:sz w:val="24"/>
          <w:szCs w:val="24"/>
        </w:rPr>
      </w:pPr>
    </w:p>
    <w:p w:rsidR="008968F2" w:rsidRPr="00413E58" w:rsidRDefault="008968F2" w:rsidP="008968F2">
      <w:pPr>
        <w:spacing w:after="0" w:line="240" w:lineRule="auto"/>
        <w:rPr>
          <w:rFonts w:asciiTheme="majorHAnsi" w:hAnsiTheme="majorHAnsi"/>
          <w:sz w:val="24"/>
          <w:szCs w:val="24"/>
        </w:rPr>
      </w:pPr>
      <w:proofErr w:type="spellStart"/>
      <w:proofErr w:type="gramStart"/>
      <w:r w:rsidRPr="00413E58">
        <w:rPr>
          <w:rFonts w:asciiTheme="majorHAnsi" w:hAnsiTheme="majorHAnsi"/>
          <w:b/>
          <w:sz w:val="24"/>
          <w:szCs w:val="24"/>
        </w:rPr>
        <w:t>eTable</w:t>
      </w:r>
      <w:proofErr w:type="spellEnd"/>
      <w:proofErr w:type="gramEnd"/>
      <w:r w:rsidRPr="00413E58">
        <w:rPr>
          <w:rFonts w:asciiTheme="majorHAnsi" w:hAnsiTheme="majorHAnsi"/>
          <w:b/>
          <w:sz w:val="24"/>
          <w:szCs w:val="24"/>
        </w:rPr>
        <w:t xml:space="preserve"> 3</w:t>
      </w:r>
      <w:r w:rsidRPr="00413E58">
        <w:rPr>
          <w:rFonts w:asciiTheme="majorHAnsi" w:hAnsiTheme="majorHAnsi"/>
          <w:sz w:val="24"/>
          <w:szCs w:val="24"/>
        </w:rPr>
        <w:t>. Comparison of Findings in Primary and Independent Datasets</w:t>
      </w:r>
      <w:r w:rsidR="00100600" w:rsidRPr="00413E58">
        <w:rPr>
          <w:rFonts w:asciiTheme="majorHAnsi" w:hAnsiTheme="majorHAnsi"/>
          <w:sz w:val="24"/>
          <w:szCs w:val="24"/>
        </w:rPr>
        <w:t xml:space="preserve"> (page 6</w:t>
      </w:r>
      <w:r w:rsidR="005C28F8" w:rsidRPr="00413E58">
        <w:rPr>
          <w:rFonts w:asciiTheme="majorHAnsi" w:hAnsiTheme="majorHAnsi"/>
          <w:sz w:val="24"/>
          <w:szCs w:val="24"/>
        </w:rPr>
        <w:t>)</w:t>
      </w:r>
    </w:p>
    <w:p w:rsidR="008968F2" w:rsidRPr="00413E58" w:rsidRDefault="008968F2" w:rsidP="008968F2">
      <w:pPr>
        <w:spacing w:after="0" w:line="240" w:lineRule="auto"/>
        <w:rPr>
          <w:rFonts w:asciiTheme="majorHAnsi" w:hAnsiTheme="majorHAnsi"/>
          <w:sz w:val="24"/>
          <w:szCs w:val="24"/>
        </w:rPr>
      </w:pPr>
    </w:p>
    <w:p w:rsidR="008968F2" w:rsidRPr="00413E58" w:rsidRDefault="008968F2" w:rsidP="008968F2">
      <w:pPr>
        <w:spacing w:after="0" w:line="240" w:lineRule="auto"/>
        <w:rPr>
          <w:rFonts w:asciiTheme="majorHAnsi" w:hAnsiTheme="majorHAnsi"/>
          <w:sz w:val="24"/>
          <w:szCs w:val="24"/>
        </w:rPr>
      </w:pPr>
      <w:proofErr w:type="spellStart"/>
      <w:proofErr w:type="gramStart"/>
      <w:r w:rsidRPr="00413E58">
        <w:rPr>
          <w:rFonts w:asciiTheme="majorHAnsi" w:hAnsiTheme="majorHAnsi"/>
          <w:b/>
          <w:sz w:val="24"/>
          <w:szCs w:val="24"/>
        </w:rPr>
        <w:t>eFigure</w:t>
      </w:r>
      <w:proofErr w:type="spellEnd"/>
      <w:proofErr w:type="gramEnd"/>
      <w:r w:rsidRPr="00413E58">
        <w:rPr>
          <w:rFonts w:asciiTheme="majorHAnsi" w:hAnsiTheme="majorHAnsi"/>
          <w:b/>
          <w:sz w:val="24"/>
          <w:szCs w:val="24"/>
        </w:rPr>
        <w:t xml:space="preserve"> 1.</w:t>
      </w:r>
      <w:r w:rsidRPr="00413E58">
        <w:rPr>
          <w:rFonts w:asciiTheme="majorHAnsi" w:hAnsiTheme="majorHAnsi"/>
          <w:sz w:val="24"/>
          <w:szCs w:val="24"/>
        </w:rPr>
        <w:t xml:space="preserve"> Overlap of presumed infection, sepsis defined by the SOFA score (Sepsis-3), and sepsis defined by eSOFA (CDC Adult Sepsis Event)</w:t>
      </w:r>
      <w:r w:rsidR="005C28F8" w:rsidRPr="00413E58">
        <w:rPr>
          <w:rFonts w:asciiTheme="majorHAnsi" w:hAnsiTheme="majorHAnsi"/>
          <w:sz w:val="24"/>
          <w:szCs w:val="24"/>
        </w:rPr>
        <w:t xml:space="preserve"> (</w:t>
      </w:r>
      <w:r w:rsidR="00100600" w:rsidRPr="00413E58">
        <w:rPr>
          <w:rFonts w:asciiTheme="majorHAnsi" w:hAnsiTheme="majorHAnsi"/>
          <w:sz w:val="24"/>
          <w:szCs w:val="24"/>
        </w:rPr>
        <w:t>page 7</w:t>
      </w:r>
      <w:r w:rsidR="005C28F8" w:rsidRPr="00413E58">
        <w:rPr>
          <w:rFonts w:asciiTheme="majorHAnsi" w:hAnsiTheme="majorHAnsi"/>
          <w:sz w:val="24"/>
          <w:szCs w:val="24"/>
        </w:rPr>
        <w:t>)</w:t>
      </w:r>
    </w:p>
    <w:p w:rsidR="008968F2" w:rsidRPr="00413E58" w:rsidRDefault="008968F2" w:rsidP="008968F2">
      <w:pPr>
        <w:spacing w:after="0" w:line="240" w:lineRule="auto"/>
        <w:rPr>
          <w:rFonts w:asciiTheme="majorHAnsi" w:hAnsiTheme="majorHAnsi"/>
          <w:sz w:val="24"/>
          <w:szCs w:val="24"/>
        </w:rPr>
      </w:pPr>
    </w:p>
    <w:p w:rsidR="008968F2" w:rsidRPr="00413E58" w:rsidRDefault="008968F2" w:rsidP="008968F2">
      <w:pPr>
        <w:spacing w:after="0" w:line="240" w:lineRule="auto"/>
        <w:rPr>
          <w:rFonts w:asciiTheme="majorHAnsi" w:hAnsiTheme="majorHAnsi"/>
          <w:sz w:val="24"/>
          <w:szCs w:val="24"/>
        </w:rPr>
      </w:pPr>
      <w:proofErr w:type="spellStart"/>
      <w:proofErr w:type="gramStart"/>
      <w:r w:rsidRPr="00413E58">
        <w:rPr>
          <w:rFonts w:asciiTheme="majorHAnsi" w:hAnsiTheme="majorHAnsi"/>
          <w:b/>
          <w:sz w:val="24"/>
          <w:szCs w:val="24"/>
        </w:rPr>
        <w:t>eFigure</w:t>
      </w:r>
      <w:proofErr w:type="spellEnd"/>
      <w:proofErr w:type="gramEnd"/>
      <w:r w:rsidRPr="00413E58">
        <w:rPr>
          <w:rFonts w:asciiTheme="majorHAnsi" w:hAnsiTheme="majorHAnsi"/>
          <w:b/>
          <w:sz w:val="24"/>
          <w:szCs w:val="24"/>
        </w:rPr>
        <w:t xml:space="preserve"> 2.</w:t>
      </w:r>
      <w:r w:rsidRPr="00413E58">
        <w:rPr>
          <w:rFonts w:asciiTheme="majorHAnsi" w:hAnsiTheme="majorHAnsi"/>
          <w:sz w:val="24"/>
          <w:szCs w:val="24"/>
        </w:rPr>
        <w:t xml:space="preserve"> Frequency of SOFA organ dysfunctions in sepsis patients defined by increase in SOFA by ≥2 points (Sepsis-3)</w:t>
      </w:r>
      <w:r w:rsidR="00100600" w:rsidRPr="00413E58">
        <w:rPr>
          <w:rFonts w:asciiTheme="majorHAnsi" w:hAnsiTheme="majorHAnsi"/>
          <w:sz w:val="24"/>
          <w:szCs w:val="24"/>
        </w:rPr>
        <w:t xml:space="preserve"> (page 8</w:t>
      </w:r>
      <w:r w:rsidR="005C28F8" w:rsidRPr="00413E58">
        <w:rPr>
          <w:rFonts w:asciiTheme="majorHAnsi" w:hAnsiTheme="majorHAnsi"/>
          <w:sz w:val="24"/>
          <w:szCs w:val="24"/>
        </w:rPr>
        <w:t>)</w:t>
      </w:r>
    </w:p>
    <w:p w:rsidR="008968F2" w:rsidRPr="00413E58" w:rsidRDefault="008968F2" w:rsidP="008968F2">
      <w:pPr>
        <w:spacing w:after="0" w:line="240" w:lineRule="auto"/>
        <w:rPr>
          <w:rFonts w:asciiTheme="majorHAnsi" w:hAnsiTheme="majorHAnsi"/>
          <w:sz w:val="24"/>
          <w:szCs w:val="24"/>
        </w:rPr>
      </w:pPr>
    </w:p>
    <w:p w:rsidR="008968F2" w:rsidRPr="00413E58" w:rsidRDefault="008968F2" w:rsidP="008968F2">
      <w:pPr>
        <w:spacing w:after="0" w:line="240" w:lineRule="auto"/>
        <w:rPr>
          <w:rFonts w:asciiTheme="majorHAnsi" w:hAnsiTheme="majorHAnsi"/>
          <w:sz w:val="24"/>
          <w:szCs w:val="24"/>
        </w:rPr>
      </w:pPr>
      <w:proofErr w:type="spellStart"/>
      <w:proofErr w:type="gramStart"/>
      <w:r w:rsidRPr="00413E58">
        <w:rPr>
          <w:rFonts w:asciiTheme="majorHAnsi" w:hAnsiTheme="majorHAnsi"/>
          <w:b/>
          <w:sz w:val="24"/>
          <w:szCs w:val="24"/>
        </w:rPr>
        <w:t>eFigure</w:t>
      </w:r>
      <w:proofErr w:type="spellEnd"/>
      <w:proofErr w:type="gramEnd"/>
      <w:r w:rsidRPr="00413E58">
        <w:rPr>
          <w:rFonts w:asciiTheme="majorHAnsi" w:hAnsiTheme="majorHAnsi"/>
          <w:b/>
          <w:sz w:val="24"/>
          <w:szCs w:val="24"/>
        </w:rPr>
        <w:t xml:space="preserve"> 3.</w:t>
      </w:r>
      <w:r w:rsidRPr="00413E58">
        <w:rPr>
          <w:rFonts w:asciiTheme="majorHAnsi" w:hAnsiTheme="majorHAnsi"/>
          <w:sz w:val="24"/>
          <w:szCs w:val="24"/>
        </w:rPr>
        <w:t xml:space="preserve"> Frequency of eSOFA organ dysfunctions in sepsis patients defined by ≥1 eSOFA criteria (CDC Adult Sepsis Event)</w:t>
      </w:r>
      <w:r w:rsidR="00100600" w:rsidRPr="00413E58">
        <w:rPr>
          <w:rFonts w:asciiTheme="majorHAnsi" w:hAnsiTheme="majorHAnsi"/>
          <w:sz w:val="24"/>
          <w:szCs w:val="24"/>
        </w:rPr>
        <w:t xml:space="preserve"> (page 8</w:t>
      </w:r>
      <w:r w:rsidR="005C28F8" w:rsidRPr="00413E58">
        <w:rPr>
          <w:rFonts w:asciiTheme="majorHAnsi" w:hAnsiTheme="majorHAnsi"/>
          <w:sz w:val="24"/>
          <w:szCs w:val="24"/>
        </w:rPr>
        <w:t>)</w:t>
      </w:r>
    </w:p>
    <w:p w:rsidR="008968F2" w:rsidRPr="00413E58" w:rsidRDefault="008968F2" w:rsidP="008968F2">
      <w:pPr>
        <w:spacing w:after="0" w:line="240" w:lineRule="auto"/>
        <w:rPr>
          <w:rFonts w:asciiTheme="majorHAnsi" w:hAnsiTheme="majorHAnsi"/>
          <w:sz w:val="24"/>
          <w:szCs w:val="24"/>
        </w:rPr>
      </w:pPr>
    </w:p>
    <w:p w:rsidR="008968F2" w:rsidRPr="00413E58" w:rsidRDefault="008968F2" w:rsidP="008968F2">
      <w:pPr>
        <w:spacing w:after="0" w:line="240" w:lineRule="auto"/>
        <w:rPr>
          <w:rFonts w:asciiTheme="majorHAnsi" w:hAnsiTheme="majorHAnsi"/>
          <w:sz w:val="24"/>
          <w:szCs w:val="24"/>
        </w:rPr>
      </w:pPr>
      <w:proofErr w:type="spellStart"/>
      <w:proofErr w:type="gramStart"/>
      <w:r w:rsidRPr="00413E58">
        <w:rPr>
          <w:rFonts w:asciiTheme="majorHAnsi" w:hAnsiTheme="majorHAnsi"/>
          <w:b/>
          <w:sz w:val="24"/>
          <w:szCs w:val="24"/>
        </w:rPr>
        <w:t>eFigure</w:t>
      </w:r>
      <w:proofErr w:type="spellEnd"/>
      <w:proofErr w:type="gramEnd"/>
      <w:r w:rsidRPr="00413E58">
        <w:rPr>
          <w:rFonts w:asciiTheme="majorHAnsi" w:hAnsiTheme="majorHAnsi"/>
          <w:b/>
          <w:sz w:val="24"/>
          <w:szCs w:val="24"/>
        </w:rPr>
        <w:t xml:space="preserve"> 4.</w:t>
      </w:r>
      <w:r w:rsidRPr="00413E58">
        <w:rPr>
          <w:rFonts w:asciiTheme="majorHAnsi" w:hAnsiTheme="majorHAnsi"/>
          <w:sz w:val="24"/>
          <w:szCs w:val="24"/>
        </w:rPr>
        <w:t xml:space="preserve"> Frequency of eSOFA organ dysfunction criteria in eSOFA+/SOFA- sepsis patients</w:t>
      </w:r>
      <w:r w:rsidR="00100600" w:rsidRPr="00413E58">
        <w:rPr>
          <w:rFonts w:asciiTheme="majorHAnsi" w:hAnsiTheme="majorHAnsi"/>
          <w:sz w:val="24"/>
          <w:szCs w:val="24"/>
        </w:rPr>
        <w:t xml:space="preserve"> (page 9)</w:t>
      </w:r>
    </w:p>
    <w:p w:rsidR="008968F2" w:rsidRPr="00413E58" w:rsidRDefault="008968F2" w:rsidP="008968F2">
      <w:pPr>
        <w:spacing w:after="0" w:line="240" w:lineRule="auto"/>
        <w:rPr>
          <w:rFonts w:asciiTheme="majorHAnsi" w:hAnsiTheme="majorHAnsi"/>
          <w:sz w:val="24"/>
          <w:szCs w:val="24"/>
        </w:rPr>
      </w:pPr>
    </w:p>
    <w:p w:rsidR="008968F2" w:rsidRPr="00413E58" w:rsidRDefault="008968F2" w:rsidP="008968F2">
      <w:pPr>
        <w:spacing w:after="0" w:line="240" w:lineRule="auto"/>
        <w:rPr>
          <w:rFonts w:asciiTheme="majorHAnsi" w:hAnsiTheme="majorHAnsi"/>
          <w:sz w:val="24"/>
          <w:szCs w:val="24"/>
        </w:rPr>
      </w:pPr>
      <w:proofErr w:type="spellStart"/>
      <w:proofErr w:type="gramStart"/>
      <w:r w:rsidRPr="00413E58">
        <w:rPr>
          <w:rFonts w:asciiTheme="majorHAnsi" w:hAnsiTheme="majorHAnsi"/>
          <w:b/>
          <w:sz w:val="24"/>
          <w:szCs w:val="24"/>
        </w:rPr>
        <w:t>eFigure</w:t>
      </w:r>
      <w:proofErr w:type="spellEnd"/>
      <w:proofErr w:type="gramEnd"/>
      <w:r w:rsidRPr="00413E58">
        <w:rPr>
          <w:rFonts w:asciiTheme="majorHAnsi" w:hAnsiTheme="majorHAnsi"/>
          <w:b/>
          <w:sz w:val="24"/>
          <w:szCs w:val="24"/>
        </w:rPr>
        <w:t xml:space="preserve"> 5.</w:t>
      </w:r>
      <w:r w:rsidRPr="00413E58">
        <w:rPr>
          <w:rFonts w:asciiTheme="majorHAnsi" w:hAnsiTheme="majorHAnsi"/>
          <w:sz w:val="24"/>
          <w:szCs w:val="24"/>
        </w:rPr>
        <w:t xml:space="preserve"> Frequency of SOFA organ dysfunctions contributing ≥2 points in SOFA+/eSOFA- sepsis patients</w:t>
      </w:r>
      <w:r w:rsidR="00100600" w:rsidRPr="00413E58">
        <w:rPr>
          <w:rFonts w:asciiTheme="majorHAnsi" w:hAnsiTheme="majorHAnsi"/>
          <w:sz w:val="24"/>
          <w:szCs w:val="24"/>
        </w:rPr>
        <w:t xml:space="preserve"> (page 9)</w:t>
      </w:r>
    </w:p>
    <w:p w:rsidR="008968F2" w:rsidRPr="00413E58" w:rsidRDefault="008968F2" w:rsidP="008968F2">
      <w:pPr>
        <w:spacing w:after="0" w:line="240" w:lineRule="auto"/>
        <w:rPr>
          <w:rFonts w:asciiTheme="majorHAnsi" w:hAnsiTheme="majorHAnsi"/>
          <w:sz w:val="24"/>
          <w:szCs w:val="24"/>
        </w:rPr>
      </w:pPr>
    </w:p>
    <w:p w:rsidR="008968F2" w:rsidRPr="00413E58" w:rsidRDefault="008968F2" w:rsidP="008968F2">
      <w:pPr>
        <w:spacing w:after="0" w:line="240" w:lineRule="auto"/>
        <w:rPr>
          <w:rFonts w:asciiTheme="majorHAnsi" w:hAnsiTheme="majorHAnsi"/>
          <w:sz w:val="24"/>
          <w:szCs w:val="24"/>
        </w:rPr>
      </w:pPr>
      <w:proofErr w:type="spellStart"/>
      <w:proofErr w:type="gramStart"/>
      <w:r w:rsidRPr="00413E58">
        <w:rPr>
          <w:rFonts w:asciiTheme="majorHAnsi" w:hAnsiTheme="majorHAnsi"/>
          <w:b/>
          <w:sz w:val="24"/>
          <w:szCs w:val="24"/>
        </w:rPr>
        <w:t>eFigure</w:t>
      </w:r>
      <w:proofErr w:type="spellEnd"/>
      <w:proofErr w:type="gramEnd"/>
      <w:r w:rsidRPr="00413E58">
        <w:rPr>
          <w:rFonts w:asciiTheme="majorHAnsi" w:hAnsiTheme="majorHAnsi"/>
          <w:b/>
          <w:sz w:val="24"/>
          <w:szCs w:val="24"/>
        </w:rPr>
        <w:t xml:space="preserve"> 6.</w:t>
      </w:r>
      <w:r w:rsidRPr="00413E58">
        <w:rPr>
          <w:rFonts w:asciiTheme="majorHAnsi" w:hAnsiTheme="majorHAnsi"/>
          <w:sz w:val="24"/>
          <w:szCs w:val="24"/>
        </w:rPr>
        <w:t xml:space="preserve"> Frequency of organ dysfunctions contributing ≥2 SOFA points and ≥1 </w:t>
      </w:r>
    </w:p>
    <w:p w:rsidR="008968F2" w:rsidRPr="00413E58" w:rsidRDefault="008968F2" w:rsidP="008968F2">
      <w:pPr>
        <w:spacing w:after="0" w:line="240" w:lineRule="auto"/>
        <w:rPr>
          <w:rFonts w:asciiTheme="majorHAnsi" w:hAnsiTheme="majorHAnsi"/>
          <w:sz w:val="24"/>
          <w:szCs w:val="24"/>
        </w:rPr>
      </w:pPr>
      <w:proofErr w:type="gramStart"/>
      <w:r w:rsidRPr="00413E58">
        <w:rPr>
          <w:rFonts w:asciiTheme="majorHAnsi" w:hAnsiTheme="majorHAnsi"/>
          <w:sz w:val="24"/>
          <w:szCs w:val="24"/>
        </w:rPr>
        <w:t>eSOFA</w:t>
      </w:r>
      <w:proofErr w:type="gramEnd"/>
      <w:r w:rsidRPr="00413E58">
        <w:rPr>
          <w:rFonts w:asciiTheme="majorHAnsi" w:hAnsiTheme="majorHAnsi"/>
          <w:sz w:val="24"/>
          <w:szCs w:val="24"/>
        </w:rPr>
        <w:t xml:space="preserve"> criteria in SOFA+/eSOFA+ sepsis patients</w:t>
      </w:r>
      <w:r w:rsidR="00100600" w:rsidRPr="00413E58">
        <w:rPr>
          <w:rFonts w:asciiTheme="majorHAnsi" w:hAnsiTheme="majorHAnsi"/>
          <w:sz w:val="24"/>
          <w:szCs w:val="24"/>
        </w:rPr>
        <w:t xml:space="preserve"> (page 10)</w:t>
      </w:r>
    </w:p>
    <w:p w:rsidR="008968F2" w:rsidRPr="00815005" w:rsidRDefault="008968F2" w:rsidP="008968F2">
      <w:pPr>
        <w:spacing w:after="0" w:line="240" w:lineRule="auto"/>
        <w:rPr>
          <w:rFonts w:asciiTheme="majorHAnsi" w:hAnsiTheme="majorHAnsi"/>
          <w:b/>
          <w:sz w:val="24"/>
          <w:szCs w:val="24"/>
        </w:rPr>
      </w:pPr>
    </w:p>
    <w:p w:rsidR="008D7875" w:rsidRDefault="008D7875" w:rsidP="00BE2909">
      <w:pPr>
        <w:spacing w:after="0" w:line="240" w:lineRule="auto"/>
        <w:rPr>
          <w:rFonts w:asciiTheme="majorHAnsi" w:hAnsiTheme="majorHAnsi"/>
          <w:b/>
          <w:sz w:val="24"/>
          <w:szCs w:val="24"/>
        </w:rPr>
      </w:pPr>
    </w:p>
    <w:p w:rsidR="008968F2" w:rsidRDefault="008968F2" w:rsidP="00BE2909">
      <w:pPr>
        <w:spacing w:after="0" w:line="240" w:lineRule="auto"/>
        <w:rPr>
          <w:rFonts w:asciiTheme="majorHAnsi" w:hAnsiTheme="majorHAnsi"/>
          <w:b/>
          <w:sz w:val="24"/>
          <w:szCs w:val="24"/>
        </w:rPr>
      </w:pPr>
    </w:p>
    <w:p w:rsidR="008968F2" w:rsidRDefault="008968F2" w:rsidP="00BE2909">
      <w:pPr>
        <w:spacing w:after="0" w:line="240" w:lineRule="auto"/>
        <w:rPr>
          <w:rFonts w:asciiTheme="majorHAnsi" w:hAnsiTheme="majorHAnsi"/>
          <w:b/>
          <w:sz w:val="24"/>
          <w:szCs w:val="24"/>
        </w:rPr>
      </w:pPr>
    </w:p>
    <w:p w:rsidR="008968F2" w:rsidRDefault="008968F2" w:rsidP="00BE2909">
      <w:pPr>
        <w:spacing w:after="0" w:line="240" w:lineRule="auto"/>
        <w:rPr>
          <w:rFonts w:asciiTheme="majorHAnsi" w:hAnsiTheme="majorHAnsi"/>
          <w:b/>
          <w:sz w:val="24"/>
          <w:szCs w:val="24"/>
        </w:rPr>
      </w:pPr>
    </w:p>
    <w:p w:rsidR="008968F2" w:rsidRDefault="008968F2" w:rsidP="00BE2909">
      <w:pPr>
        <w:spacing w:after="0" w:line="240" w:lineRule="auto"/>
        <w:rPr>
          <w:rFonts w:asciiTheme="majorHAnsi" w:hAnsiTheme="majorHAnsi"/>
          <w:b/>
          <w:sz w:val="24"/>
          <w:szCs w:val="24"/>
        </w:rPr>
      </w:pPr>
    </w:p>
    <w:p w:rsidR="008968F2" w:rsidRDefault="008968F2" w:rsidP="00BE2909">
      <w:pPr>
        <w:spacing w:after="0" w:line="240" w:lineRule="auto"/>
        <w:rPr>
          <w:rFonts w:asciiTheme="majorHAnsi" w:hAnsiTheme="majorHAnsi"/>
          <w:b/>
          <w:sz w:val="24"/>
          <w:szCs w:val="24"/>
        </w:rPr>
      </w:pPr>
    </w:p>
    <w:p w:rsidR="008968F2" w:rsidRDefault="008968F2" w:rsidP="00BE2909">
      <w:pPr>
        <w:spacing w:after="0" w:line="240" w:lineRule="auto"/>
        <w:rPr>
          <w:rFonts w:asciiTheme="majorHAnsi" w:hAnsiTheme="majorHAnsi"/>
          <w:b/>
          <w:sz w:val="24"/>
          <w:szCs w:val="24"/>
        </w:rPr>
      </w:pPr>
    </w:p>
    <w:p w:rsidR="008968F2" w:rsidRDefault="008968F2" w:rsidP="00BE2909">
      <w:pPr>
        <w:spacing w:after="0" w:line="240" w:lineRule="auto"/>
        <w:rPr>
          <w:rFonts w:asciiTheme="majorHAnsi" w:hAnsiTheme="majorHAnsi"/>
          <w:b/>
          <w:sz w:val="24"/>
          <w:szCs w:val="24"/>
        </w:rPr>
      </w:pPr>
    </w:p>
    <w:p w:rsidR="008968F2" w:rsidRDefault="008968F2" w:rsidP="00BE2909">
      <w:pPr>
        <w:spacing w:after="0" w:line="240" w:lineRule="auto"/>
        <w:rPr>
          <w:rFonts w:asciiTheme="majorHAnsi" w:hAnsiTheme="majorHAnsi"/>
          <w:b/>
          <w:sz w:val="24"/>
          <w:szCs w:val="24"/>
        </w:rPr>
      </w:pPr>
    </w:p>
    <w:p w:rsidR="008968F2" w:rsidRDefault="008968F2" w:rsidP="00BE2909">
      <w:pPr>
        <w:spacing w:after="0" w:line="240" w:lineRule="auto"/>
        <w:rPr>
          <w:rFonts w:asciiTheme="majorHAnsi" w:hAnsiTheme="majorHAnsi"/>
          <w:b/>
          <w:sz w:val="24"/>
          <w:szCs w:val="24"/>
        </w:rPr>
      </w:pPr>
    </w:p>
    <w:p w:rsidR="00100600" w:rsidRDefault="00100600" w:rsidP="00BE2909">
      <w:pPr>
        <w:spacing w:after="0" w:line="240" w:lineRule="auto"/>
        <w:rPr>
          <w:rFonts w:asciiTheme="majorHAnsi" w:hAnsiTheme="majorHAnsi"/>
          <w:b/>
          <w:sz w:val="24"/>
          <w:szCs w:val="24"/>
        </w:rPr>
      </w:pPr>
    </w:p>
    <w:p w:rsidR="00BE2909" w:rsidRPr="00C02128" w:rsidRDefault="00BE2909" w:rsidP="00C02128">
      <w:pPr>
        <w:spacing w:after="0" w:line="240" w:lineRule="auto"/>
        <w:jc w:val="center"/>
        <w:rPr>
          <w:rFonts w:asciiTheme="majorHAnsi" w:hAnsiTheme="majorHAnsi"/>
          <w:b/>
          <w:sz w:val="24"/>
          <w:szCs w:val="24"/>
          <w:u w:val="single"/>
        </w:rPr>
      </w:pPr>
      <w:proofErr w:type="spellStart"/>
      <w:proofErr w:type="gramStart"/>
      <w:r w:rsidRPr="00C02128">
        <w:rPr>
          <w:rFonts w:asciiTheme="majorHAnsi" w:hAnsiTheme="majorHAnsi"/>
          <w:b/>
          <w:sz w:val="24"/>
          <w:szCs w:val="24"/>
          <w:u w:val="single"/>
        </w:rPr>
        <w:lastRenderedPageBreak/>
        <w:t>eMethods</w:t>
      </w:r>
      <w:proofErr w:type="spellEnd"/>
      <w:proofErr w:type="gramEnd"/>
      <w:r w:rsidRPr="00C02128">
        <w:rPr>
          <w:rFonts w:asciiTheme="majorHAnsi" w:hAnsiTheme="majorHAnsi"/>
          <w:b/>
          <w:sz w:val="24"/>
          <w:szCs w:val="24"/>
          <w:u w:val="single"/>
        </w:rPr>
        <w:t xml:space="preserve"> – Detailed Description of SOFA Score Implementation</w:t>
      </w: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sz w:val="24"/>
          <w:szCs w:val="24"/>
        </w:rPr>
      </w:pPr>
      <w:r w:rsidRPr="00D61549">
        <w:rPr>
          <w:rFonts w:asciiTheme="majorHAnsi" w:hAnsiTheme="majorHAnsi"/>
          <w:b/>
          <w:i/>
          <w:sz w:val="24"/>
          <w:szCs w:val="24"/>
        </w:rPr>
        <w:t>Overview:</w:t>
      </w:r>
      <w:r>
        <w:rPr>
          <w:rFonts w:asciiTheme="majorHAnsi" w:hAnsiTheme="majorHAnsi"/>
          <w:sz w:val="24"/>
          <w:szCs w:val="24"/>
        </w:rPr>
        <w:t xml:space="preserve"> For sepsis defined by the SOFA score (i.e., Sepsis-3), we required that at least one day within the +/-2 day window surrounding the blood culture day had a SOFA score ≥2 points higher than the baseline SOFA score.  The baseline SOFA score for patients with infection present-on-admission was assumed to be the lowest SOFA score during hospitalization (unless they died within 3 days, in which case it was assumed to be zero), or the lowest score within the prior 7 days for hospital-onset sepsis. </w:t>
      </w:r>
      <w:r w:rsidR="001B6479">
        <w:rPr>
          <w:rFonts w:asciiTheme="majorHAnsi" w:hAnsiTheme="majorHAnsi"/>
          <w:sz w:val="24"/>
          <w:szCs w:val="24"/>
        </w:rPr>
        <w:t xml:space="preserve"> </w:t>
      </w:r>
      <w:r>
        <w:rPr>
          <w:rFonts w:asciiTheme="majorHAnsi" w:hAnsiTheme="majorHAnsi"/>
          <w:sz w:val="24"/>
          <w:szCs w:val="24"/>
        </w:rPr>
        <w:t xml:space="preserve">This approach differed slightly from that used in the Sepsis-3 analyses (which assumed a baseline score of zero) but we felt it gave a better approximation of a patient’s true baseline organ function. If SOFA components were missing on a given day, we carried over data from adjacent days (see below).  For sepsis defined by eSOFA (i.e., CDC Adult Sepsis Event), we required any of the organ dysfunction criteria to be met within the +/-2 day window period around the blood culture day.  Missing data for eSOFA were assumed to be normal. </w:t>
      </w:r>
    </w:p>
    <w:p w:rsidR="00BE2909" w:rsidRDefault="00BE2909" w:rsidP="00BE2909">
      <w:pPr>
        <w:spacing w:after="0" w:line="240" w:lineRule="auto"/>
        <w:rPr>
          <w:rFonts w:asciiTheme="majorHAnsi" w:hAnsiTheme="majorHAnsi"/>
          <w:b/>
          <w:sz w:val="24"/>
          <w:szCs w:val="24"/>
        </w:rPr>
      </w:pPr>
    </w:p>
    <w:p w:rsidR="00BE2909" w:rsidRPr="005B1061" w:rsidRDefault="00BE2909" w:rsidP="00BE2909">
      <w:pPr>
        <w:pStyle w:val="ListParagraph"/>
        <w:numPr>
          <w:ilvl w:val="0"/>
          <w:numId w:val="4"/>
        </w:numPr>
        <w:spacing w:after="0" w:line="240" w:lineRule="auto"/>
        <w:rPr>
          <w:rFonts w:asciiTheme="majorHAnsi" w:hAnsiTheme="majorHAnsi"/>
          <w:b/>
          <w:sz w:val="24"/>
          <w:szCs w:val="24"/>
        </w:rPr>
      </w:pPr>
      <w:r w:rsidRPr="005B1061">
        <w:rPr>
          <w:rFonts w:asciiTheme="majorHAnsi" w:hAnsiTheme="majorHAnsi"/>
          <w:b/>
          <w:sz w:val="24"/>
          <w:szCs w:val="24"/>
        </w:rPr>
        <w:t>SOFA Organ Dysfunction Specific Notes</w:t>
      </w: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r w:rsidRPr="00FF5955">
        <w:rPr>
          <w:rFonts w:asciiTheme="majorHAnsi" w:hAnsiTheme="majorHAnsi"/>
          <w:sz w:val="24"/>
          <w:szCs w:val="24"/>
        </w:rPr>
        <w:t xml:space="preserve">SOFA scores </w:t>
      </w:r>
      <w:r>
        <w:rPr>
          <w:rFonts w:asciiTheme="majorHAnsi" w:hAnsiTheme="majorHAnsi"/>
          <w:sz w:val="24"/>
          <w:szCs w:val="24"/>
        </w:rPr>
        <w:t>were</w:t>
      </w:r>
      <w:r w:rsidRPr="00FF5955">
        <w:rPr>
          <w:rFonts w:asciiTheme="majorHAnsi" w:hAnsiTheme="majorHAnsi"/>
          <w:sz w:val="24"/>
          <w:szCs w:val="24"/>
        </w:rPr>
        <w:t xml:space="preserve"> calculated on a daily </w:t>
      </w:r>
      <w:r>
        <w:rPr>
          <w:rFonts w:asciiTheme="majorHAnsi" w:hAnsiTheme="majorHAnsi"/>
          <w:sz w:val="24"/>
          <w:szCs w:val="24"/>
        </w:rPr>
        <w:t xml:space="preserve">basis, using the worst value each day for each individual system.  Notes specific to implementing </w:t>
      </w:r>
      <w:r w:rsidRPr="00BD4440">
        <w:rPr>
          <w:rFonts w:asciiTheme="majorHAnsi" w:hAnsiTheme="majorHAnsi"/>
          <w:sz w:val="24"/>
          <w:szCs w:val="24"/>
        </w:rPr>
        <w:t xml:space="preserve">each SOFA organ dysfunction system are detailed </w:t>
      </w:r>
      <w:r>
        <w:rPr>
          <w:rFonts w:asciiTheme="majorHAnsi" w:hAnsiTheme="majorHAnsi"/>
          <w:sz w:val="24"/>
          <w:szCs w:val="24"/>
        </w:rPr>
        <w:t xml:space="preserve">below, including the handling of missing data. </w:t>
      </w:r>
    </w:p>
    <w:p w:rsidR="00BE2909" w:rsidRDefault="00BE2909" w:rsidP="00BE2909">
      <w:pPr>
        <w:spacing w:after="0" w:line="240" w:lineRule="auto"/>
        <w:rPr>
          <w:rFonts w:asciiTheme="majorHAnsi" w:hAnsiTheme="majorHAnsi"/>
          <w:sz w:val="24"/>
          <w:szCs w:val="24"/>
        </w:rPr>
      </w:pPr>
    </w:p>
    <w:p w:rsidR="00BE2909" w:rsidRDefault="00BE2909" w:rsidP="00BE2909">
      <w:pPr>
        <w:pStyle w:val="ListParagraph"/>
        <w:numPr>
          <w:ilvl w:val="0"/>
          <w:numId w:val="2"/>
        </w:numPr>
        <w:spacing w:after="0" w:line="240" w:lineRule="auto"/>
        <w:rPr>
          <w:rFonts w:asciiTheme="majorHAnsi" w:hAnsiTheme="majorHAnsi"/>
          <w:sz w:val="24"/>
          <w:szCs w:val="24"/>
        </w:rPr>
      </w:pPr>
      <w:r w:rsidRPr="0020280D">
        <w:rPr>
          <w:rFonts w:asciiTheme="majorHAnsi" w:hAnsiTheme="majorHAnsi"/>
          <w:b/>
          <w:i/>
          <w:sz w:val="24"/>
          <w:szCs w:val="24"/>
        </w:rPr>
        <w:t>Neurologic SOFA</w:t>
      </w:r>
      <w:r>
        <w:rPr>
          <w:rFonts w:asciiTheme="majorHAnsi" w:hAnsiTheme="majorHAnsi"/>
          <w:b/>
          <w:sz w:val="24"/>
          <w:szCs w:val="24"/>
        </w:rPr>
        <w:t xml:space="preserve"> </w:t>
      </w:r>
      <w:r w:rsidRPr="005052C7">
        <w:rPr>
          <w:rFonts w:asciiTheme="majorHAnsi" w:hAnsiTheme="majorHAnsi"/>
          <w:sz w:val="24"/>
          <w:szCs w:val="24"/>
        </w:rPr>
        <w:t>- the lowest Glasgow Coma Scale (GCS) value in a given day was used to calculate the Neurologic SOFA score.  That GCS value was carried forward until a new value was present on another day.  If there were no other values during the hospitalization, that value was carried forward until the end of the encounter.  If the first GCS score occurred several days into a hospitalization, a missing value was assigned to the GCS score (which functions as a score of 0) for each day leading up to that day.  For encounters with no GCS scores, a missing value was assigned for each day.</w:t>
      </w:r>
    </w:p>
    <w:p w:rsidR="00BE2909" w:rsidRPr="005052C7" w:rsidRDefault="00BE2909" w:rsidP="00BE2909">
      <w:pPr>
        <w:pStyle w:val="ListParagraph"/>
        <w:spacing w:after="0" w:line="240" w:lineRule="auto"/>
        <w:ind w:left="360"/>
        <w:rPr>
          <w:rFonts w:asciiTheme="majorHAnsi" w:hAnsiTheme="majorHAnsi"/>
          <w:sz w:val="24"/>
          <w:szCs w:val="24"/>
        </w:rPr>
      </w:pPr>
    </w:p>
    <w:p w:rsidR="00BE2909" w:rsidRDefault="00BE2909" w:rsidP="00BE2909">
      <w:pPr>
        <w:pStyle w:val="ListParagraph"/>
        <w:numPr>
          <w:ilvl w:val="0"/>
          <w:numId w:val="2"/>
        </w:numPr>
        <w:spacing w:after="0" w:line="240" w:lineRule="auto"/>
        <w:rPr>
          <w:rFonts w:asciiTheme="majorHAnsi" w:hAnsiTheme="majorHAnsi"/>
          <w:sz w:val="24"/>
          <w:szCs w:val="24"/>
        </w:rPr>
      </w:pPr>
      <w:r w:rsidRPr="0020280D">
        <w:rPr>
          <w:rFonts w:asciiTheme="majorHAnsi" w:hAnsiTheme="majorHAnsi"/>
          <w:b/>
          <w:i/>
          <w:sz w:val="24"/>
          <w:szCs w:val="24"/>
        </w:rPr>
        <w:t>Cardiovascular SOFA</w:t>
      </w:r>
      <w:r w:rsidRPr="005052C7">
        <w:rPr>
          <w:rFonts w:asciiTheme="majorHAnsi" w:hAnsiTheme="majorHAnsi"/>
          <w:b/>
          <w:sz w:val="24"/>
          <w:szCs w:val="24"/>
        </w:rPr>
        <w:t xml:space="preserve"> </w:t>
      </w:r>
      <w:r w:rsidRPr="005052C7">
        <w:rPr>
          <w:rFonts w:asciiTheme="majorHAnsi" w:hAnsiTheme="majorHAnsi"/>
          <w:sz w:val="24"/>
          <w:szCs w:val="24"/>
        </w:rPr>
        <w:t>- mean arterial pressures (MAPs) were used if directly recorde</w:t>
      </w:r>
      <w:r>
        <w:rPr>
          <w:rFonts w:asciiTheme="majorHAnsi" w:hAnsiTheme="majorHAnsi"/>
          <w:sz w:val="24"/>
          <w:szCs w:val="24"/>
        </w:rPr>
        <w:t>d in the data.  Otherwise, MAPSs</w:t>
      </w:r>
      <w:r w:rsidR="00D32E10">
        <w:rPr>
          <w:rFonts w:asciiTheme="majorHAnsi" w:hAnsiTheme="majorHAnsi"/>
          <w:sz w:val="24"/>
          <w:szCs w:val="24"/>
        </w:rPr>
        <w:t xml:space="preserve"> </w:t>
      </w:r>
      <w:r w:rsidRPr="005052C7">
        <w:rPr>
          <w:rFonts w:asciiTheme="majorHAnsi" w:hAnsiTheme="majorHAnsi"/>
          <w:sz w:val="24"/>
          <w:szCs w:val="24"/>
        </w:rPr>
        <w:t>were calculated from simultaneous systolic blood pressure (SBP) and diastolic blood pressure (DBP) readings using the formula: MAP = (SBP + 2xDBP)/3</w:t>
      </w:r>
    </w:p>
    <w:p w:rsidR="00BE2909" w:rsidRPr="005052C7" w:rsidRDefault="00BE2909" w:rsidP="00BE2909">
      <w:pPr>
        <w:spacing w:after="0" w:line="240" w:lineRule="auto"/>
        <w:rPr>
          <w:rFonts w:asciiTheme="majorHAnsi" w:hAnsiTheme="majorHAnsi"/>
          <w:sz w:val="24"/>
          <w:szCs w:val="24"/>
        </w:rPr>
      </w:pPr>
    </w:p>
    <w:p w:rsidR="00BE2909" w:rsidRPr="005052C7" w:rsidRDefault="00BE2909" w:rsidP="00BE2909">
      <w:pPr>
        <w:pStyle w:val="ListParagraph"/>
        <w:numPr>
          <w:ilvl w:val="0"/>
          <w:numId w:val="2"/>
        </w:numPr>
        <w:spacing w:after="0" w:line="240" w:lineRule="auto"/>
        <w:rPr>
          <w:rFonts w:asciiTheme="majorHAnsi" w:hAnsiTheme="majorHAnsi"/>
          <w:sz w:val="24"/>
          <w:szCs w:val="24"/>
        </w:rPr>
      </w:pPr>
      <w:r w:rsidRPr="0020280D">
        <w:rPr>
          <w:rFonts w:asciiTheme="majorHAnsi" w:hAnsiTheme="majorHAnsi"/>
          <w:b/>
          <w:i/>
          <w:sz w:val="24"/>
          <w:szCs w:val="24"/>
        </w:rPr>
        <w:t>Respiratory</w:t>
      </w:r>
      <w:r w:rsidRPr="0020280D">
        <w:rPr>
          <w:rFonts w:asciiTheme="majorHAnsi" w:hAnsiTheme="majorHAnsi"/>
          <w:i/>
          <w:sz w:val="24"/>
          <w:szCs w:val="24"/>
        </w:rPr>
        <w:t xml:space="preserve"> </w:t>
      </w:r>
      <w:r w:rsidRPr="0020280D">
        <w:rPr>
          <w:rFonts w:asciiTheme="majorHAnsi" w:hAnsiTheme="majorHAnsi"/>
          <w:b/>
          <w:i/>
          <w:sz w:val="24"/>
          <w:szCs w:val="24"/>
        </w:rPr>
        <w:t>SOFA</w:t>
      </w:r>
      <w:r w:rsidRPr="005052C7">
        <w:rPr>
          <w:rFonts w:asciiTheme="majorHAnsi" w:hAnsiTheme="majorHAnsi"/>
          <w:sz w:val="24"/>
          <w:szCs w:val="24"/>
        </w:rPr>
        <w:t xml:space="preserve"> - ICD-9 or CPT codes for mechanical ventilation were used to identify mechanical ventilation (ICD-9 codes: 96.7, 96.70, 96.71, 96.72; CPT codes 94002, 94003, 94004, 94656, 94657).  Calculating PaO2/FiO2 ratios can be challenging since patients may not have both values available simultaneously.  The following algorithm was used:</w:t>
      </w:r>
    </w:p>
    <w:p w:rsidR="00BE2909" w:rsidRPr="00FF5955" w:rsidRDefault="00BE2909" w:rsidP="00BE2909">
      <w:pPr>
        <w:pStyle w:val="ListParagraph"/>
        <w:numPr>
          <w:ilvl w:val="0"/>
          <w:numId w:val="1"/>
        </w:numPr>
        <w:spacing w:after="0" w:line="240" w:lineRule="auto"/>
        <w:rPr>
          <w:rFonts w:asciiTheme="majorHAnsi" w:hAnsiTheme="majorHAnsi"/>
          <w:sz w:val="24"/>
          <w:szCs w:val="24"/>
        </w:rPr>
      </w:pPr>
      <w:r w:rsidRPr="00FF5955">
        <w:rPr>
          <w:rFonts w:asciiTheme="majorHAnsi" w:hAnsiTheme="majorHAnsi"/>
          <w:sz w:val="24"/>
          <w:szCs w:val="24"/>
        </w:rPr>
        <w:t>PaO2 and FiO2 values drawn from a simultaneous blood gas (i.e. same timestamp)</w:t>
      </w:r>
      <w:r>
        <w:rPr>
          <w:rFonts w:asciiTheme="majorHAnsi" w:hAnsiTheme="majorHAnsi"/>
          <w:sz w:val="24"/>
          <w:szCs w:val="24"/>
        </w:rPr>
        <w:t xml:space="preserve"> were used preferentially</w:t>
      </w:r>
      <w:r w:rsidRPr="00FF5955">
        <w:rPr>
          <w:rFonts w:asciiTheme="majorHAnsi" w:hAnsiTheme="majorHAnsi"/>
          <w:sz w:val="24"/>
          <w:szCs w:val="24"/>
        </w:rPr>
        <w:t xml:space="preserve">, if available.   </w:t>
      </w:r>
      <w:r>
        <w:rPr>
          <w:rFonts w:asciiTheme="majorHAnsi" w:hAnsiTheme="majorHAnsi"/>
          <w:sz w:val="24"/>
          <w:szCs w:val="24"/>
        </w:rPr>
        <w:t>T</w:t>
      </w:r>
      <w:r w:rsidRPr="00FF5955">
        <w:rPr>
          <w:rFonts w:asciiTheme="majorHAnsi" w:hAnsiTheme="majorHAnsi"/>
          <w:sz w:val="24"/>
          <w:szCs w:val="24"/>
        </w:rPr>
        <w:t>he lowest P</w:t>
      </w:r>
      <w:r>
        <w:rPr>
          <w:rFonts w:asciiTheme="majorHAnsi" w:hAnsiTheme="majorHAnsi"/>
          <w:sz w:val="24"/>
          <w:szCs w:val="24"/>
        </w:rPr>
        <w:t>aO2/FiO2 value for a given day was used to calculate the SOFA score.</w:t>
      </w:r>
    </w:p>
    <w:p w:rsidR="00BE2909" w:rsidRPr="00FF5955" w:rsidRDefault="00BE2909" w:rsidP="00BE2909">
      <w:pPr>
        <w:pStyle w:val="ListParagraph"/>
        <w:numPr>
          <w:ilvl w:val="0"/>
          <w:numId w:val="1"/>
        </w:numPr>
        <w:spacing w:after="0" w:line="240" w:lineRule="auto"/>
        <w:rPr>
          <w:rFonts w:asciiTheme="majorHAnsi" w:hAnsiTheme="majorHAnsi"/>
          <w:sz w:val="24"/>
          <w:szCs w:val="24"/>
        </w:rPr>
      </w:pPr>
      <w:r w:rsidRPr="00FF5955">
        <w:rPr>
          <w:rFonts w:asciiTheme="majorHAnsi" w:hAnsiTheme="majorHAnsi"/>
          <w:sz w:val="24"/>
          <w:szCs w:val="24"/>
        </w:rPr>
        <w:t>If no simultaneous PaO2/FiO2 ratios</w:t>
      </w:r>
      <w:r>
        <w:rPr>
          <w:rFonts w:asciiTheme="majorHAnsi" w:hAnsiTheme="majorHAnsi"/>
          <w:sz w:val="24"/>
          <w:szCs w:val="24"/>
        </w:rPr>
        <w:t xml:space="preserve"> were available, but there were</w:t>
      </w:r>
      <w:r w:rsidRPr="00FF5955">
        <w:rPr>
          <w:rFonts w:asciiTheme="majorHAnsi" w:hAnsiTheme="majorHAnsi"/>
          <w:sz w:val="24"/>
          <w:szCs w:val="24"/>
        </w:rPr>
        <w:t xml:space="preserve"> separate PaO2 a</w:t>
      </w:r>
      <w:r>
        <w:rPr>
          <w:rFonts w:asciiTheme="majorHAnsi" w:hAnsiTheme="majorHAnsi"/>
          <w:sz w:val="24"/>
          <w:szCs w:val="24"/>
        </w:rPr>
        <w:t xml:space="preserve">nd FiO2 values on a given day, </w:t>
      </w:r>
      <w:r w:rsidRPr="00FF5955">
        <w:rPr>
          <w:rFonts w:asciiTheme="majorHAnsi" w:hAnsiTheme="majorHAnsi"/>
          <w:sz w:val="24"/>
          <w:szCs w:val="24"/>
        </w:rPr>
        <w:t>the lowest PaO2 value and the lowest FiO2 value</w:t>
      </w:r>
      <w:r>
        <w:rPr>
          <w:rFonts w:asciiTheme="majorHAnsi" w:hAnsiTheme="majorHAnsi"/>
          <w:sz w:val="24"/>
          <w:szCs w:val="24"/>
        </w:rPr>
        <w:t xml:space="preserve"> on that day were used</w:t>
      </w:r>
      <w:r w:rsidRPr="00FF5955">
        <w:rPr>
          <w:rFonts w:asciiTheme="majorHAnsi" w:hAnsiTheme="majorHAnsi"/>
          <w:sz w:val="24"/>
          <w:szCs w:val="24"/>
        </w:rPr>
        <w:t xml:space="preserve">.    </w:t>
      </w:r>
    </w:p>
    <w:p w:rsidR="00BE2909" w:rsidRPr="00FF5955" w:rsidRDefault="00BE2909" w:rsidP="00BE2909">
      <w:pPr>
        <w:pStyle w:val="ListParagraph"/>
        <w:numPr>
          <w:ilvl w:val="0"/>
          <w:numId w:val="1"/>
        </w:numPr>
        <w:spacing w:after="0" w:line="240" w:lineRule="auto"/>
        <w:rPr>
          <w:rFonts w:asciiTheme="majorHAnsi" w:hAnsiTheme="majorHAnsi"/>
          <w:sz w:val="24"/>
          <w:szCs w:val="24"/>
        </w:rPr>
      </w:pPr>
      <w:r w:rsidRPr="00FF5955">
        <w:rPr>
          <w:rFonts w:asciiTheme="majorHAnsi" w:hAnsiTheme="majorHAnsi"/>
          <w:sz w:val="24"/>
          <w:szCs w:val="24"/>
        </w:rPr>
        <w:lastRenderedPageBreak/>
        <w:t>If</w:t>
      </w:r>
      <w:r w:rsidR="00A968BC">
        <w:rPr>
          <w:rFonts w:asciiTheme="majorHAnsi" w:hAnsiTheme="majorHAnsi"/>
          <w:sz w:val="24"/>
          <w:szCs w:val="24"/>
        </w:rPr>
        <w:t xml:space="preserve"> the above was </w:t>
      </w:r>
      <w:r>
        <w:rPr>
          <w:rFonts w:asciiTheme="majorHAnsi" w:hAnsiTheme="majorHAnsi"/>
          <w:sz w:val="24"/>
          <w:szCs w:val="24"/>
        </w:rPr>
        <w:t xml:space="preserve">not available, </w:t>
      </w:r>
      <w:r w:rsidRPr="00FF5955">
        <w:rPr>
          <w:rFonts w:asciiTheme="majorHAnsi" w:hAnsiTheme="majorHAnsi"/>
          <w:sz w:val="24"/>
          <w:szCs w:val="24"/>
        </w:rPr>
        <w:t>simultaneous SaO2/FiO2 ratios</w:t>
      </w:r>
      <w:r>
        <w:rPr>
          <w:rFonts w:asciiTheme="majorHAnsi" w:hAnsiTheme="majorHAnsi"/>
          <w:sz w:val="24"/>
          <w:szCs w:val="24"/>
        </w:rPr>
        <w:t xml:space="preserve"> were used, if available, and the </w:t>
      </w:r>
      <w:r w:rsidRPr="00FF5955">
        <w:rPr>
          <w:rFonts w:asciiTheme="majorHAnsi" w:hAnsiTheme="majorHAnsi"/>
          <w:sz w:val="24"/>
          <w:szCs w:val="24"/>
        </w:rPr>
        <w:t>lowest value for a given day</w:t>
      </w:r>
      <w:r>
        <w:rPr>
          <w:rFonts w:asciiTheme="majorHAnsi" w:hAnsiTheme="majorHAnsi"/>
          <w:sz w:val="24"/>
          <w:szCs w:val="24"/>
        </w:rPr>
        <w:t xml:space="preserve"> was used to calculate the SOFA score</w:t>
      </w:r>
      <w:r w:rsidRPr="00FF5955">
        <w:rPr>
          <w:rFonts w:asciiTheme="majorHAnsi" w:hAnsiTheme="majorHAnsi"/>
          <w:sz w:val="24"/>
          <w:szCs w:val="24"/>
        </w:rPr>
        <w:t>.  If no simultaneous SaO2/FiO2 ratios</w:t>
      </w:r>
      <w:r>
        <w:rPr>
          <w:rFonts w:asciiTheme="majorHAnsi" w:hAnsiTheme="majorHAnsi"/>
          <w:sz w:val="24"/>
          <w:szCs w:val="24"/>
        </w:rPr>
        <w:t xml:space="preserve"> were available, but there were</w:t>
      </w:r>
      <w:r w:rsidRPr="00FF5955">
        <w:rPr>
          <w:rFonts w:asciiTheme="majorHAnsi" w:hAnsiTheme="majorHAnsi"/>
          <w:sz w:val="24"/>
          <w:szCs w:val="24"/>
        </w:rPr>
        <w:t xml:space="preserve"> separate SaO2 and</w:t>
      </w:r>
      <w:r>
        <w:rPr>
          <w:rFonts w:asciiTheme="majorHAnsi" w:hAnsiTheme="majorHAnsi"/>
          <w:sz w:val="24"/>
          <w:szCs w:val="24"/>
        </w:rPr>
        <w:t xml:space="preserve"> FiO2 values on a given day, </w:t>
      </w:r>
      <w:r w:rsidRPr="00FF5955">
        <w:rPr>
          <w:rFonts w:asciiTheme="majorHAnsi" w:hAnsiTheme="majorHAnsi"/>
          <w:sz w:val="24"/>
          <w:szCs w:val="24"/>
        </w:rPr>
        <w:t>the lowest SaO2 value and the lo</w:t>
      </w:r>
      <w:r>
        <w:rPr>
          <w:rFonts w:asciiTheme="majorHAnsi" w:hAnsiTheme="majorHAnsi"/>
          <w:sz w:val="24"/>
          <w:szCs w:val="24"/>
        </w:rPr>
        <w:t>west FiO2 value on a given day were used.</w:t>
      </w:r>
      <w:r w:rsidRPr="00FF5955">
        <w:rPr>
          <w:rFonts w:asciiTheme="majorHAnsi" w:hAnsiTheme="majorHAnsi"/>
          <w:sz w:val="24"/>
          <w:szCs w:val="24"/>
        </w:rPr>
        <w:t xml:space="preserve"> </w:t>
      </w:r>
    </w:p>
    <w:p w:rsidR="00BE2909" w:rsidRDefault="00BE2909" w:rsidP="00BE2909">
      <w:pPr>
        <w:pStyle w:val="ListParagraph"/>
        <w:numPr>
          <w:ilvl w:val="0"/>
          <w:numId w:val="1"/>
        </w:numPr>
        <w:spacing w:after="0" w:line="240" w:lineRule="auto"/>
        <w:rPr>
          <w:rFonts w:asciiTheme="majorHAnsi" w:hAnsiTheme="majorHAnsi"/>
          <w:sz w:val="24"/>
          <w:szCs w:val="24"/>
        </w:rPr>
      </w:pPr>
      <w:r w:rsidRPr="00FF5955">
        <w:rPr>
          <w:rFonts w:asciiTheme="majorHAnsi" w:hAnsiTheme="majorHAnsi"/>
          <w:sz w:val="24"/>
          <w:szCs w:val="24"/>
        </w:rPr>
        <w:t>I</w:t>
      </w:r>
      <w:r>
        <w:rPr>
          <w:rFonts w:asciiTheme="majorHAnsi" w:hAnsiTheme="majorHAnsi"/>
          <w:sz w:val="24"/>
          <w:szCs w:val="24"/>
        </w:rPr>
        <w:t xml:space="preserve">f none of the above criteria were met, </w:t>
      </w:r>
      <w:r w:rsidRPr="00FF5955">
        <w:rPr>
          <w:rFonts w:asciiTheme="majorHAnsi" w:hAnsiTheme="majorHAnsi"/>
          <w:sz w:val="24"/>
          <w:szCs w:val="24"/>
        </w:rPr>
        <w:t xml:space="preserve">the last PaO2/FiO2 ratio (or if simultaneous values unavailable, lowest PaO2 / lowest FIO2 ratio on the same day) obtained during the period of continuous mechanical ventilation </w:t>
      </w:r>
      <w:r>
        <w:rPr>
          <w:rFonts w:asciiTheme="majorHAnsi" w:hAnsiTheme="majorHAnsi"/>
          <w:sz w:val="24"/>
          <w:szCs w:val="24"/>
        </w:rPr>
        <w:t>was used if the patient was</w:t>
      </w:r>
      <w:r w:rsidRPr="00FF5955">
        <w:rPr>
          <w:rFonts w:asciiTheme="majorHAnsi" w:hAnsiTheme="majorHAnsi"/>
          <w:sz w:val="24"/>
          <w:szCs w:val="24"/>
        </w:rPr>
        <w:t xml:space="preserve"> still mechanically ventilated</w:t>
      </w:r>
      <w:r>
        <w:rPr>
          <w:rFonts w:asciiTheme="majorHAnsi" w:hAnsiTheme="majorHAnsi"/>
          <w:sz w:val="24"/>
          <w:szCs w:val="24"/>
        </w:rPr>
        <w:t xml:space="preserve"> on the day of interest</w:t>
      </w:r>
      <w:r w:rsidRPr="00FF5955">
        <w:rPr>
          <w:rFonts w:asciiTheme="majorHAnsi" w:hAnsiTheme="majorHAnsi"/>
          <w:sz w:val="24"/>
          <w:szCs w:val="24"/>
        </w:rPr>
        <w:t xml:space="preserve"> (i.e., “vent episode”, which is the </w:t>
      </w:r>
      <w:r>
        <w:rPr>
          <w:rFonts w:asciiTheme="majorHAnsi" w:hAnsiTheme="majorHAnsi"/>
          <w:sz w:val="24"/>
          <w:szCs w:val="24"/>
        </w:rPr>
        <w:t xml:space="preserve">continuous </w:t>
      </w:r>
      <w:r w:rsidRPr="00FF5955">
        <w:rPr>
          <w:rFonts w:asciiTheme="majorHAnsi" w:hAnsiTheme="majorHAnsi"/>
          <w:sz w:val="24"/>
          <w:szCs w:val="24"/>
        </w:rPr>
        <w:t>period wher</w:t>
      </w:r>
      <w:r>
        <w:rPr>
          <w:rFonts w:asciiTheme="majorHAnsi" w:hAnsiTheme="majorHAnsi"/>
          <w:sz w:val="24"/>
          <w:szCs w:val="24"/>
        </w:rPr>
        <w:t xml:space="preserve">e a patient is vented each day), using a </w:t>
      </w:r>
      <w:r w:rsidRPr="007946C2">
        <w:rPr>
          <w:rFonts w:asciiTheme="majorHAnsi" w:hAnsiTheme="majorHAnsi"/>
          <w:sz w:val="24"/>
          <w:szCs w:val="24"/>
        </w:rPr>
        <w:t xml:space="preserve">“look-back period” of up to </w:t>
      </w:r>
      <w:r>
        <w:rPr>
          <w:rFonts w:asciiTheme="majorHAnsi" w:hAnsiTheme="majorHAnsi"/>
          <w:sz w:val="24"/>
          <w:szCs w:val="24"/>
        </w:rPr>
        <w:t>5</w:t>
      </w:r>
      <w:r w:rsidRPr="007946C2">
        <w:rPr>
          <w:rFonts w:asciiTheme="majorHAnsi" w:hAnsiTheme="majorHAnsi"/>
          <w:sz w:val="24"/>
          <w:szCs w:val="24"/>
        </w:rPr>
        <w:t xml:space="preserve"> days</w:t>
      </w:r>
      <w:r w:rsidR="00A968BC">
        <w:rPr>
          <w:rFonts w:asciiTheme="majorHAnsi" w:hAnsiTheme="majorHAnsi"/>
          <w:sz w:val="24"/>
          <w:szCs w:val="24"/>
        </w:rPr>
        <w:t xml:space="preserve">.  </w:t>
      </w:r>
      <w:r w:rsidRPr="00FF5955">
        <w:rPr>
          <w:rFonts w:asciiTheme="majorHAnsi" w:hAnsiTheme="majorHAnsi"/>
          <w:sz w:val="24"/>
          <w:szCs w:val="24"/>
        </w:rPr>
        <w:t>If no PaO2/FiO2 ratio</w:t>
      </w:r>
      <w:r>
        <w:rPr>
          <w:rFonts w:asciiTheme="majorHAnsi" w:hAnsiTheme="majorHAnsi"/>
          <w:sz w:val="24"/>
          <w:szCs w:val="24"/>
        </w:rPr>
        <w:t xml:space="preserve"> was available</w:t>
      </w:r>
      <w:r w:rsidRPr="00FF5955">
        <w:rPr>
          <w:rFonts w:asciiTheme="majorHAnsi" w:hAnsiTheme="majorHAnsi"/>
          <w:sz w:val="24"/>
          <w:szCs w:val="24"/>
        </w:rPr>
        <w:t xml:space="preserve">, </w:t>
      </w:r>
      <w:r>
        <w:rPr>
          <w:rFonts w:asciiTheme="majorHAnsi" w:hAnsiTheme="majorHAnsi"/>
          <w:sz w:val="24"/>
          <w:szCs w:val="24"/>
        </w:rPr>
        <w:t>the</w:t>
      </w:r>
      <w:r w:rsidRPr="00FF5955">
        <w:rPr>
          <w:rFonts w:asciiTheme="majorHAnsi" w:hAnsiTheme="majorHAnsi"/>
          <w:sz w:val="24"/>
          <w:szCs w:val="24"/>
        </w:rPr>
        <w:t xml:space="preserve"> SaO2/FiO2 ratio</w:t>
      </w:r>
      <w:r>
        <w:rPr>
          <w:rFonts w:asciiTheme="majorHAnsi" w:hAnsiTheme="majorHAnsi"/>
          <w:sz w:val="24"/>
          <w:szCs w:val="24"/>
        </w:rPr>
        <w:t xml:space="preserve"> was used using the same logic (i.e., </w:t>
      </w:r>
      <w:r w:rsidRPr="00FF5955">
        <w:rPr>
          <w:rFonts w:asciiTheme="majorHAnsi" w:hAnsiTheme="majorHAnsi"/>
          <w:sz w:val="24"/>
          <w:szCs w:val="24"/>
        </w:rPr>
        <w:t>first look</w:t>
      </w:r>
      <w:r>
        <w:rPr>
          <w:rFonts w:asciiTheme="majorHAnsi" w:hAnsiTheme="majorHAnsi"/>
          <w:sz w:val="24"/>
          <w:szCs w:val="24"/>
        </w:rPr>
        <w:t>ing</w:t>
      </w:r>
      <w:r w:rsidRPr="00FF5955">
        <w:rPr>
          <w:rFonts w:asciiTheme="majorHAnsi" w:hAnsiTheme="majorHAnsi"/>
          <w:sz w:val="24"/>
          <w:szCs w:val="24"/>
        </w:rPr>
        <w:t xml:space="preserve"> for simultaneous values, then if not available, </w:t>
      </w:r>
      <w:r>
        <w:rPr>
          <w:rFonts w:asciiTheme="majorHAnsi" w:hAnsiTheme="majorHAnsi"/>
          <w:sz w:val="24"/>
          <w:szCs w:val="24"/>
        </w:rPr>
        <w:t xml:space="preserve">using the </w:t>
      </w:r>
      <w:r w:rsidRPr="00FF5955">
        <w:rPr>
          <w:rFonts w:asciiTheme="majorHAnsi" w:hAnsiTheme="majorHAnsi"/>
          <w:sz w:val="24"/>
          <w:szCs w:val="24"/>
        </w:rPr>
        <w:t>lowest SaO2 / lowest Fi</w:t>
      </w:r>
      <w:r>
        <w:rPr>
          <w:rFonts w:asciiTheme="majorHAnsi" w:hAnsiTheme="majorHAnsi"/>
          <w:sz w:val="24"/>
          <w:szCs w:val="24"/>
        </w:rPr>
        <w:t>O2 on a given day).  If there was</w:t>
      </w:r>
      <w:r w:rsidRPr="00FF5955">
        <w:rPr>
          <w:rFonts w:asciiTheme="majorHAnsi" w:hAnsiTheme="majorHAnsi"/>
          <w:sz w:val="24"/>
          <w:szCs w:val="24"/>
        </w:rPr>
        <w:t xml:space="preserve"> no prior PaO2/FiO2 ratio or SaO2/FiO2</w:t>
      </w:r>
      <w:r>
        <w:rPr>
          <w:rFonts w:asciiTheme="majorHAnsi" w:hAnsiTheme="majorHAnsi"/>
          <w:sz w:val="24"/>
          <w:szCs w:val="24"/>
        </w:rPr>
        <w:t xml:space="preserve"> ratio during the vent episode, </w:t>
      </w:r>
      <w:r w:rsidRPr="00FF5955">
        <w:rPr>
          <w:rFonts w:asciiTheme="majorHAnsi" w:hAnsiTheme="majorHAnsi"/>
          <w:sz w:val="24"/>
          <w:szCs w:val="24"/>
        </w:rPr>
        <w:t>the cl</w:t>
      </w:r>
      <w:r>
        <w:rPr>
          <w:rFonts w:asciiTheme="majorHAnsi" w:hAnsiTheme="majorHAnsi"/>
          <w:sz w:val="24"/>
          <w:szCs w:val="24"/>
        </w:rPr>
        <w:t xml:space="preserve">osest PaO2/FiO2 ratio (looking </w:t>
      </w:r>
      <w:r w:rsidRPr="007946C2">
        <w:rPr>
          <w:rFonts w:asciiTheme="majorHAnsi" w:hAnsiTheme="majorHAnsi"/>
          <w:sz w:val="24"/>
          <w:szCs w:val="24"/>
        </w:rPr>
        <w:t>forward, up to 5 days)</w:t>
      </w:r>
      <w:r w:rsidRPr="00FF5955">
        <w:rPr>
          <w:rFonts w:asciiTheme="majorHAnsi" w:hAnsiTheme="majorHAnsi"/>
          <w:sz w:val="24"/>
          <w:szCs w:val="24"/>
        </w:rPr>
        <w:t xml:space="preserve"> during the same vent episode </w:t>
      </w:r>
      <w:r>
        <w:rPr>
          <w:rFonts w:asciiTheme="majorHAnsi" w:hAnsiTheme="majorHAnsi"/>
          <w:sz w:val="24"/>
          <w:szCs w:val="24"/>
        </w:rPr>
        <w:t xml:space="preserve">was used </w:t>
      </w:r>
      <w:r w:rsidRPr="00FF5955">
        <w:rPr>
          <w:rFonts w:asciiTheme="majorHAnsi" w:hAnsiTheme="majorHAnsi"/>
          <w:sz w:val="24"/>
          <w:szCs w:val="24"/>
        </w:rPr>
        <w:t xml:space="preserve">(or SaO2/FiO2 ratio if </w:t>
      </w:r>
      <w:r>
        <w:rPr>
          <w:rFonts w:asciiTheme="majorHAnsi" w:hAnsiTheme="majorHAnsi"/>
          <w:sz w:val="24"/>
          <w:szCs w:val="24"/>
        </w:rPr>
        <w:t xml:space="preserve">PaO2/FiO2 </w:t>
      </w:r>
      <w:r w:rsidRPr="00FF5955">
        <w:rPr>
          <w:rFonts w:asciiTheme="majorHAnsi" w:hAnsiTheme="majorHAnsi"/>
          <w:sz w:val="24"/>
          <w:szCs w:val="24"/>
        </w:rPr>
        <w:t xml:space="preserve">unavailable).  If no PaO2/FiO2 or SaO2/FiO2 data </w:t>
      </w:r>
      <w:r w:rsidR="00A968BC">
        <w:rPr>
          <w:rFonts w:asciiTheme="majorHAnsi" w:hAnsiTheme="majorHAnsi"/>
          <w:sz w:val="24"/>
          <w:szCs w:val="24"/>
        </w:rPr>
        <w:t xml:space="preserve">were </w:t>
      </w:r>
      <w:r w:rsidRPr="00FF5955">
        <w:rPr>
          <w:rFonts w:asciiTheme="majorHAnsi" w:hAnsiTheme="majorHAnsi"/>
          <w:sz w:val="24"/>
          <w:szCs w:val="24"/>
        </w:rPr>
        <w:t xml:space="preserve">available during </w:t>
      </w:r>
      <w:r>
        <w:rPr>
          <w:rFonts w:asciiTheme="majorHAnsi" w:hAnsiTheme="majorHAnsi"/>
          <w:sz w:val="24"/>
          <w:szCs w:val="24"/>
        </w:rPr>
        <w:t xml:space="preserve">a vent episode, a missing value was assigned for </w:t>
      </w:r>
      <w:r w:rsidR="004F3A49">
        <w:rPr>
          <w:rFonts w:asciiTheme="majorHAnsi" w:hAnsiTheme="majorHAnsi"/>
          <w:sz w:val="24"/>
          <w:szCs w:val="24"/>
        </w:rPr>
        <w:t>respiratory</w:t>
      </w:r>
      <w:r>
        <w:rPr>
          <w:rFonts w:asciiTheme="majorHAnsi" w:hAnsiTheme="majorHAnsi"/>
          <w:sz w:val="24"/>
          <w:szCs w:val="24"/>
        </w:rPr>
        <w:t xml:space="preserve"> SOFA points</w:t>
      </w:r>
      <w:r w:rsidRPr="00FF5955">
        <w:rPr>
          <w:rFonts w:asciiTheme="majorHAnsi" w:hAnsiTheme="majorHAnsi"/>
          <w:sz w:val="24"/>
          <w:szCs w:val="24"/>
        </w:rPr>
        <w:t xml:space="preserve">. </w:t>
      </w: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ind w:left="360"/>
        <w:rPr>
          <w:rFonts w:asciiTheme="majorHAnsi" w:hAnsiTheme="majorHAnsi"/>
          <w:sz w:val="24"/>
          <w:szCs w:val="24"/>
        </w:rPr>
      </w:pPr>
      <w:r>
        <w:rPr>
          <w:rFonts w:asciiTheme="majorHAnsi" w:hAnsiTheme="majorHAnsi"/>
          <w:sz w:val="24"/>
          <w:szCs w:val="24"/>
        </w:rPr>
        <w:t xml:space="preserve">For days where the patient was mechanically ventilated, </w:t>
      </w:r>
      <w:r w:rsidRPr="007946C2">
        <w:rPr>
          <w:rFonts w:asciiTheme="majorHAnsi" w:hAnsiTheme="majorHAnsi"/>
          <w:sz w:val="24"/>
          <w:szCs w:val="24"/>
        </w:rPr>
        <w:t xml:space="preserve">a FiO2 of 35% </w:t>
      </w:r>
      <w:r>
        <w:rPr>
          <w:rFonts w:asciiTheme="majorHAnsi" w:hAnsiTheme="majorHAnsi"/>
          <w:sz w:val="24"/>
          <w:szCs w:val="24"/>
        </w:rPr>
        <w:t>was imputed if no FiO2 data was</w:t>
      </w:r>
      <w:r w:rsidRPr="007946C2">
        <w:rPr>
          <w:rFonts w:asciiTheme="majorHAnsi" w:hAnsiTheme="majorHAnsi"/>
          <w:sz w:val="24"/>
          <w:szCs w:val="24"/>
        </w:rPr>
        <w:t xml:space="preserve"> available.  For non-vent</w:t>
      </w:r>
      <w:r>
        <w:rPr>
          <w:rFonts w:asciiTheme="majorHAnsi" w:hAnsiTheme="majorHAnsi"/>
          <w:sz w:val="24"/>
          <w:szCs w:val="24"/>
        </w:rPr>
        <w:t>ilated</w:t>
      </w:r>
      <w:r w:rsidR="004F3A49">
        <w:rPr>
          <w:rFonts w:asciiTheme="majorHAnsi" w:hAnsiTheme="majorHAnsi"/>
          <w:sz w:val="24"/>
          <w:szCs w:val="24"/>
        </w:rPr>
        <w:t xml:space="preserve"> days, a</w:t>
      </w:r>
      <w:r w:rsidRPr="007946C2">
        <w:rPr>
          <w:rFonts w:asciiTheme="majorHAnsi" w:hAnsiTheme="majorHAnsi"/>
          <w:sz w:val="24"/>
          <w:szCs w:val="24"/>
        </w:rPr>
        <w:t xml:space="preserve"> FiO2 of 21% </w:t>
      </w:r>
      <w:r>
        <w:rPr>
          <w:rFonts w:asciiTheme="majorHAnsi" w:hAnsiTheme="majorHAnsi"/>
          <w:sz w:val="24"/>
          <w:szCs w:val="24"/>
        </w:rPr>
        <w:t xml:space="preserve">was imputed if no FiO2 data was </w:t>
      </w:r>
      <w:r w:rsidRPr="007946C2">
        <w:rPr>
          <w:rFonts w:asciiTheme="majorHAnsi" w:hAnsiTheme="majorHAnsi"/>
          <w:sz w:val="24"/>
          <w:szCs w:val="24"/>
        </w:rPr>
        <w:t xml:space="preserve">available. </w:t>
      </w:r>
      <w:r>
        <w:rPr>
          <w:rFonts w:asciiTheme="majorHAnsi" w:hAnsiTheme="majorHAnsi"/>
          <w:sz w:val="24"/>
          <w:szCs w:val="24"/>
        </w:rPr>
        <w:t xml:space="preserve">  If the patient wa</w:t>
      </w:r>
      <w:r w:rsidRPr="007946C2">
        <w:rPr>
          <w:rFonts w:asciiTheme="majorHAnsi" w:hAnsiTheme="majorHAnsi"/>
          <w:sz w:val="24"/>
          <w:szCs w:val="24"/>
        </w:rPr>
        <w:t>s not mecha</w:t>
      </w:r>
      <w:r>
        <w:rPr>
          <w:rFonts w:asciiTheme="majorHAnsi" w:hAnsiTheme="majorHAnsi"/>
          <w:sz w:val="24"/>
          <w:szCs w:val="24"/>
        </w:rPr>
        <w:t>nically ventilated and there were</w:t>
      </w:r>
      <w:r w:rsidRPr="007946C2">
        <w:rPr>
          <w:rFonts w:asciiTheme="majorHAnsi" w:hAnsiTheme="majorHAnsi"/>
          <w:sz w:val="24"/>
          <w:szCs w:val="24"/>
        </w:rPr>
        <w:t xml:space="preserve"> no PaO2 (or SaO2) </w:t>
      </w:r>
      <w:r>
        <w:rPr>
          <w:rFonts w:asciiTheme="majorHAnsi" w:hAnsiTheme="majorHAnsi"/>
          <w:sz w:val="24"/>
          <w:szCs w:val="24"/>
        </w:rPr>
        <w:t xml:space="preserve">values </w:t>
      </w:r>
      <w:r w:rsidRPr="007946C2">
        <w:rPr>
          <w:rFonts w:asciiTheme="majorHAnsi" w:hAnsiTheme="majorHAnsi"/>
          <w:sz w:val="24"/>
          <w:szCs w:val="24"/>
        </w:rPr>
        <w:t xml:space="preserve">that day, </w:t>
      </w:r>
      <w:r>
        <w:rPr>
          <w:rFonts w:asciiTheme="majorHAnsi" w:hAnsiTheme="majorHAnsi"/>
          <w:sz w:val="24"/>
          <w:szCs w:val="24"/>
        </w:rPr>
        <w:t>a missing value was assigned</w:t>
      </w:r>
      <w:r w:rsidRPr="007946C2">
        <w:rPr>
          <w:rFonts w:asciiTheme="majorHAnsi" w:hAnsiTheme="majorHAnsi"/>
          <w:sz w:val="24"/>
          <w:szCs w:val="24"/>
        </w:rPr>
        <w:t xml:space="preserve"> for </w:t>
      </w:r>
      <w:r w:rsidR="004F3A49">
        <w:rPr>
          <w:rFonts w:asciiTheme="majorHAnsi" w:hAnsiTheme="majorHAnsi"/>
          <w:sz w:val="24"/>
          <w:szCs w:val="24"/>
        </w:rPr>
        <w:t>respiratory</w:t>
      </w:r>
      <w:r w:rsidRPr="007946C2">
        <w:rPr>
          <w:rFonts w:asciiTheme="majorHAnsi" w:hAnsiTheme="majorHAnsi"/>
          <w:sz w:val="24"/>
          <w:szCs w:val="24"/>
        </w:rPr>
        <w:t xml:space="preserve"> SOFA points.  </w:t>
      </w:r>
    </w:p>
    <w:p w:rsidR="000D372C" w:rsidRDefault="000D372C" w:rsidP="00BE2909">
      <w:pPr>
        <w:spacing w:after="0" w:line="240" w:lineRule="auto"/>
        <w:ind w:left="360"/>
        <w:rPr>
          <w:rFonts w:asciiTheme="majorHAnsi" w:hAnsiTheme="majorHAnsi"/>
          <w:sz w:val="24"/>
          <w:szCs w:val="24"/>
        </w:rPr>
      </w:pPr>
    </w:p>
    <w:p w:rsidR="000D372C" w:rsidRPr="007946C2" w:rsidRDefault="005D771E" w:rsidP="00BE2909">
      <w:pPr>
        <w:spacing w:after="0" w:line="240" w:lineRule="auto"/>
        <w:ind w:left="360"/>
        <w:rPr>
          <w:rFonts w:asciiTheme="majorHAnsi" w:hAnsiTheme="majorHAnsi"/>
          <w:sz w:val="24"/>
          <w:szCs w:val="24"/>
        </w:rPr>
      </w:pPr>
      <w:r>
        <w:rPr>
          <w:rFonts w:asciiTheme="majorHAnsi" w:hAnsiTheme="majorHAnsi"/>
          <w:sz w:val="24"/>
          <w:szCs w:val="24"/>
        </w:rPr>
        <w:t xml:space="preserve">FiO2 values for </w:t>
      </w:r>
      <w:proofErr w:type="spellStart"/>
      <w:r>
        <w:rPr>
          <w:rFonts w:asciiTheme="majorHAnsi" w:hAnsiTheme="majorHAnsi"/>
          <w:sz w:val="24"/>
          <w:szCs w:val="24"/>
        </w:rPr>
        <w:t>nonintubated</w:t>
      </w:r>
      <w:proofErr w:type="spellEnd"/>
      <w:r>
        <w:rPr>
          <w:rFonts w:asciiTheme="majorHAnsi" w:hAnsiTheme="majorHAnsi"/>
          <w:sz w:val="24"/>
          <w:szCs w:val="24"/>
        </w:rPr>
        <w:t xml:space="preserve"> patients receiving supplemental oxygen were estimated assuming each 1 liter/minute of oxygen flow rate increased FiO2 by 4% over room air (1 L = 24% FiO2, 2</w:t>
      </w:r>
      <w:r w:rsidR="002F7ED7">
        <w:rPr>
          <w:rFonts w:asciiTheme="majorHAnsi" w:hAnsiTheme="majorHAnsi"/>
          <w:sz w:val="24"/>
          <w:szCs w:val="24"/>
        </w:rPr>
        <w:t xml:space="preserve"> </w:t>
      </w:r>
      <w:r>
        <w:rPr>
          <w:rFonts w:asciiTheme="majorHAnsi" w:hAnsiTheme="majorHAnsi"/>
          <w:sz w:val="24"/>
          <w:szCs w:val="24"/>
        </w:rPr>
        <w:t>L = 28%, 3 L = 32%, etc.)</w:t>
      </w:r>
    </w:p>
    <w:p w:rsidR="00BE2909" w:rsidRDefault="00BE2909" w:rsidP="00BE2909">
      <w:pPr>
        <w:spacing w:after="0" w:line="240" w:lineRule="auto"/>
        <w:rPr>
          <w:rFonts w:asciiTheme="majorHAnsi" w:hAnsiTheme="majorHAnsi"/>
          <w:b/>
          <w:sz w:val="24"/>
          <w:szCs w:val="24"/>
        </w:rPr>
      </w:pPr>
    </w:p>
    <w:p w:rsidR="00BE2909" w:rsidRPr="005052C7" w:rsidRDefault="00BE2909" w:rsidP="00BE2909">
      <w:pPr>
        <w:pStyle w:val="ListParagraph"/>
        <w:numPr>
          <w:ilvl w:val="0"/>
          <w:numId w:val="3"/>
        </w:numPr>
        <w:spacing w:after="0" w:line="240" w:lineRule="auto"/>
        <w:rPr>
          <w:rFonts w:asciiTheme="majorHAnsi" w:hAnsiTheme="majorHAnsi"/>
          <w:sz w:val="24"/>
          <w:szCs w:val="24"/>
        </w:rPr>
      </w:pPr>
      <w:r w:rsidRPr="0020280D">
        <w:rPr>
          <w:rFonts w:asciiTheme="majorHAnsi" w:hAnsiTheme="majorHAnsi"/>
          <w:b/>
          <w:i/>
          <w:sz w:val="24"/>
          <w:szCs w:val="24"/>
        </w:rPr>
        <w:t>Renal / Hepatic / Coagulation</w:t>
      </w:r>
      <w:r w:rsidRPr="0020280D">
        <w:rPr>
          <w:rFonts w:asciiTheme="majorHAnsi" w:hAnsiTheme="majorHAnsi"/>
          <w:i/>
          <w:sz w:val="24"/>
          <w:szCs w:val="24"/>
        </w:rPr>
        <w:t xml:space="preserve"> </w:t>
      </w:r>
      <w:r w:rsidRPr="0020280D">
        <w:rPr>
          <w:rFonts w:asciiTheme="majorHAnsi" w:hAnsiTheme="majorHAnsi"/>
          <w:b/>
          <w:i/>
          <w:sz w:val="24"/>
          <w:szCs w:val="24"/>
        </w:rPr>
        <w:t>SOFA</w:t>
      </w:r>
      <w:r w:rsidRPr="005052C7">
        <w:rPr>
          <w:rFonts w:asciiTheme="majorHAnsi" w:hAnsiTheme="majorHAnsi"/>
          <w:sz w:val="24"/>
          <w:szCs w:val="24"/>
        </w:rPr>
        <w:t xml:space="preserve"> - for creatinine, total bilirubin, and platelets, the worst value per day (highest creatinine, highest bilirubin, lowest platelets) was used to calculate the SOFA score.  If there was a missing value on a given day, the closest value within +/-5 days was imputed.  If there is tie for which is the close</w:t>
      </w:r>
      <w:r w:rsidR="00B30707">
        <w:rPr>
          <w:rFonts w:asciiTheme="majorHAnsi" w:hAnsiTheme="majorHAnsi"/>
          <w:sz w:val="24"/>
          <w:szCs w:val="24"/>
        </w:rPr>
        <w:t>st day (i.e., for day 3, there wa</w:t>
      </w:r>
      <w:r w:rsidRPr="005052C7">
        <w:rPr>
          <w:rFonts w:asciiTheme="majorHAnsi" w:hAnsiTheme="majorHAnsi"/>
          <w:sz w:val="24"/>
          <w:szCs w:val="24"/>
        </w:rPr>
        <w:t>s a bilirubin on day 1 and a bilirubin on day 5), the wor</w:t>
      </w:r>
      <w:r w:rsidR="00B30707">
        <w:rPr>
          <w:rFonts w:asciiTheme="majorHAnsi" w:hAnsiTheme="majorHAnsi"/>
          <w:sz w:val="24"/>
          <w:szCs w:val="24"/>
        </w:rPr>
        <w:t xml:space="preserve">st value was used.   If there was </w:t>
      </w:r>
      <w:r w:rsidRPr="005052C7">
        <w:rPr>
          <w:rFonts w:asciiTheme="majorHAnsi" w:hAnsiTheme="majorHAnsi"/>
          <w:sz w:val="24"/>
          <w:szCs w:val="24"/>
        </w:rPr>
        <w:t xml:space="preserve">no value within +/- 5 days, then a missing value was assigned. </w:t>
      </w:r>
    </w:p>
    <w:p w:rsidR="00BE2909" w:rsidRDefault="00BE2909" w:rsidP="00BE2909">
      <w:pPr>
        <w:spacing w:after="0" w:line="240" w:lineRule="auto"/>
        <w:rPr>
          <w:rFonts w:asciiTheme="majorHAnsi" w:hAnsiTheme="majorHAnsi"/>
          <w:b/>
          <w:sz w:val="24"/>
          <w:szCs w:val="24"/>
          <w:u w:val="single"/>
        </w:rPr>
      </w:pPr>
    </w:p>
    <w:p w:rsidR="00BE2909" w:rsidRPr="005B1061" w:rsidRDefault="00BE2909" w:rsidP="00BE2909">
      <w:pPr>
        <w:pStyle w:val="ListParagraph"/>
        <w:numPr>
          <w:ilvl w:val="0"/>
          <w:numId w:val="4"/>
        </w:numPr>
        <w:spacing w:after="0" w:line="240" w:lineRule="auto"/>
        <w:rPr>
          <w:rFonts w:asciiTheme="majorHAnsi" w:hAnsiTheme="majorHAnsi"/>
          <w:sz w:val="24"/>
          <w:szCs w:val="24"/>
        </w:rPr>
      </w:pPr>
      <w:r w:rsidRPr="005B1061">
        <w:rPr>
          <w:rFonts w:asciiTheme="majorHAnsi" w:hAnsiTheme="majorHAnsi"/>
          <w:b/>
          <w:sz w:val="24"/>
          <w:szCs w:val="24"/>
        </w:rPr>
        <w:t xml:space="preserve">Handling Missing Scores - </w:t>
      </w:r>
      <w:r w:rsidRPr="005B1061">
        <w:rPr>
          <w:rFonts w:asciiTheme="majorHAnsi" w:hAnsiTheme="majorHAnsi"/>
          <w:sz w:val="24"/>
          <w:szCs w:val="24"/>
        </w:rPr>
        <w:t xml:space="preserve">for purposes of calculating a daily score, missing scores were counted as zero points for that organ system.  </w:t>
      </w:r>
    </w:p>
    <w:p w:rsidR="00BE2909" w:rsidRDefault="00BE2909" w:rsidP="00BE2909">
      <w:pPr>
        <w:spacing w:after="0" w:line="240" w:lineRule="auto"/>
        <w:rPr>
          <w:rFonts w:asciiTheme="majorHAnsi" w:hAnsiTheme="majorHAnsi"/>
          <w:i/>
          <w:sz w:val="24"/>
          <w:szCs w:val="24"/>
        </w:rPr>
      </w:pPr>
    </w:p>
    <w:p w:rsidR="00E03E43" w:rsidRDefault="00E03E43" w:rsidP="00BE2909">
      <w:pPr>
        <w:spacing w:after="0" w:line="240" w:lineRule="auto"/>
        <w:rPr>
          <w:rFonts w:asciiTheme="majorHAnsi" w:hAnsiTheme="majorHAnsi"/>
          <w:i/>
          <w:sz w:val="24"/>
          <w:szCs w:val="24"/>
        </w:rPr>
      </w:pPr>
    </w:p>
    <w:p w:rsidR="00BE2909" w:rsidRPr="005B1061" w:rsidRDefault="00BE2909" w:rsidP="00BE2909">
      <w:pPr>
        <w:pStyle w:val="ListParagraph"/>
        <w:numPr>
          <w:ilvl w:val="0"/>
          <w:numId w:val="4"/>
        </w:numPr>
        <w:spacing w:after="0" w:line="240" w:lineRule="auto"/>
        <w:rPr>
          <w:rFonts w:asciiTheme="majorHAnsi" w:hAnsiTheme="majorHAnsi"/>
          <w:b/>
          <w:sz w:val="24"/>
          <w:szCs w:val="24"/>
        </w:rPr>
      </w:pPr>
      <w:r w:rsidRPr="005B1061">
        <w:rPr>
          <w:rFonts w:asciiTheme="majorHAnsi" w:hAnsiTheme="majorHAnsi"/>
          <w:b/>
          <w:sz w:val="24"/>
          <w:szCs w:val="24"/>
        </w:rPr>
        <w:t xml:space="preserve">Calculating “Baseline” SOFA Scores </w:t>
      </w:r>
    </w:p>
    <w:p w:rsidR="00BE2909" w:rsidRDefault="00BE2909" w:rsidP="00BE2909">
      <w:pPr>
        <w:spacing w:after="0" w:line="240" w:lineRule="auto"/>
        <w:rPr>
          <w:rFonts w:asciiTheme="majorHAnsi" w:hAnsiTheme="majorHAnsi"/>
          <w:sz w:val="24"/>
          <w:szCs w:val="24"/>
        </w:rPr>
      </w:pPr>
    </w:p>
    <w:p w:rsidR="00BE2909" w:rsidRDefault="00BE2909" w:rsidP="00BE2909">
      <w:pPr>
        <w:pStyle w:val="ListParagraph"/>
        <w:numPr>
          <w:ilvl w:val="0"/>
          <w:numId w:val="3"/>
        </w:numPr>
        <w:spacing w:after="0" w:line="240" w:lineRule="auto"/>
        <w:rPr>
          <w:rFonts w:asciiTheme="majorHAnsi" w:hAnsiTheme="majorHAnsi"/>
          <w:sz w:val="24"/>
          <w:szCs w:val="24"/>
        </w:rPr>
      </w:pPr>
      <w:r w:rsidRPr="0020280D">
        <w:rPr>
          <w:rFonts w:asciiTheme="majorHAnsi" w:hAnsiTheme="majorHAnsi"/>
          <w:b/>
          <w:i/>
          <w:sz w:val="24"/>
          <w:szCs w:val="24"/>
        </w:rPr>
        <w:t>Infection Present-On-Admission</w:t>
      </w:r>
      <w:r>
        <w:rPr>
          <w:rFonts w:asciiTheme="majorHAnsi" w:hAnsiTheme="majorHAnsi"/>
          <w:sz w:val="24"/>
          <w:szCs w:val="24"/>
        </w:rPr>
        <w:t xml:space="preserve"> </w:t>
      </w:r>
      <w:r w:rsidRPr="00933E9B">
        <w:rPr>
          <w:rFonts w:asciiTheme="majorHAnsi" w:hAnsiTheme="majorHAnsi"/>
          <w:sz w:val="24"/>
          <w:szCs w:val="24"/>
        </w:rPr>
        <w:t>(blood culture or first antibiotic on hospital day 1 or 2)</w:t>
      </w:r>
      <w:r>
        <w:rPr>
          <w:rFonts w:asciiTheme="majorHAnsi" w:hAnsiTheme="majorHAnsi"/>
          <w:sz w:val="24"/>
          <w:szCs w:val="24"/>
        </w:rPr>
        <w:t xml:space="preserve"> - </w:t>
      </w:r>
      <w:r w:rsidRPr="00933E9B">
        <w:rPr>
          <w:rFonts w:asciiTheme="majorHAnsi" w:hAnsiTheme="majorHAnsi"/>
          <w:sz w:val="24"/>
          <w:szCs w:val="24"/>
        </w:rPr>
        <w:t>the baseline SOFA score was defined as the lowest SOFA score during hospitalization for patients with infection present-on-admission</w:t>
      </w:r>
      <w:r w:rsidR="006100DA">
        <w:rPr>
          <w:rFonts w:asciiTheme="majorHAnsi" w:hAnsiTheme="majorHAnsi"/>
          <w:sz w:val="24"/>
          <w:szCs w:val="24"/>
        </w:rPr>
        <w:t>, as we reasoned</w:t>
      </w:r>
      <w:r w:rsidRPr="00933E9B">
        <w:rPr>
          <w:rFonts w:asciiTheme="majorHAnsi" w:hAnsiTheme="majorHAnsi"/>
          <w:sz w:val="24"/>
          <w:szCs w:val="24"/>
        </w:rPr>
        <w:t xml:space="preserve"> that </w:t>
      </w:r>
      <w:r w:rsidRPr="00933E9B">
        <w:rPr>
          <w:rFonts w:asciiTheme="majorHAnsi" w:hAnsiTheme="majorHAnsi"/>
          <w:sz w:val="24"/>
          <w:szCs w:val="24"/>
        </w:rPr>
        <w:lastRenderedPageBreak/>
        <w:t>most patients that survive a hospitalization have a return in their organ function to close to their healthy state prior to discharge.  However, the baseline SOFA score only incorporated the neurologic, renal, hepatic, and coagulation components of the SOFA score; thus, any cardiovascular or respiratory SOFA points were always counted as “new”</w:t>
      </w:r>
      <w:r>
        <w:rPr>
          <w:rFonts w:asciiTheme="majorHAnsi" w:hAnsiTheme="majorHAnsi"/>
          <w:sz w:val="24"/>
          <w:szCs w:val="24"/>
        </w:rPr>
        <w:t xml:space="preserve"> (since hypotension and hypoxemia typically indicate an acute process, whereas dementia, kidney or hepatic disease, or thrombocytopenia are often chronic)</w:t>
      </w:r>
      <w:r w:rsidRPr="00933E9B">
        <w:rPr>
          <w:rFonts w:asciiTheme="majorHAnsi" w:hAnsiTheme="majorHAnsi"/>
          <w:sz w:val="24"/>
          <w:szCs w:val="24"/>
        </w:rPr>
        <w:t>.  For patients that died or were discharged to hospice within 3 days of hospital admission, however, the baseline SOFA score was considered to be zero (since these patients would not return to their normal “healthy” state of organ function)</w:t>
      </w:r>
      <w:r w:rsidR="006100DA">
        <w:rPr>
          <w:rFonts w:asciiTheme="majorHAnsi" w:hAnsiTheme="majorHAnsi"/>
          <w:sz w:val="24"/>
          <w:szCs w:val="24"/>
        </w:rPr>
        <w:t>.</w:t>
      </w:r>
    </w:p>
    <w:p w:rsidR="00C02128" w:rsidRDefault="00C02128" w:rsidP="00C02128">
      <w:pPr>
        <w:pStyle w:val="ListParagraph"/>
        <w:spacing w:after="0" w:line="240" w:lineRule="auto"/>
        <w:ind w:left="360"/>
        <w:rPr>
          <w:rFonts w:asciiTheme="majorHAnsi" w:hAnsiTheme="majorHAnsi"/>
          <w:sz w:val="24"/>
          <w:szCs w:val="24"/>
        </w:rPr>
      </w:pPr>
    </w:p>
    <w:p w:rsidR="00BE2909" w:rsidRPr="00933E9B" w:rsidRDefault="00BE2909" w:rsidP="00BE2909">
      <w:pPr>
        <w:pStyle w:val="ListParagraph"/>
        <w:numPr>
          <w:ilvl w:val="0"/>
          <w:numId w:val="3"/>
        </w:numPr>
        <w:spacing w:after="0" w:line="240" w:lineRule="auto"/>
        <w:rPr>
          <w:rFonts w:asciiTheme="majorHAnsi" w:hAnsiTheme="majorHAnsi"/>
          <w:sz w:val="24"/>
          <w:szCs w:val="24"/>
        </w:rPr>
      </w:pPr>
      <w:r w:rsidRPr="0020280D">
        <w:rPr>
          <w:rFonts w:asciiTheme="majorHAnsi" w:hAnsiTheme="majorHAnsi"/>
          <w:b/>
          <w:i/>
          <w:sz w:val="24"/>
          <w:szCs w:val="24"/>
        </w:rPr>
        <w:t>H</w:t>
      </w:r>
      <w:r>
        <w:rPr>
          <w:rFonts w:asciiTheme="majorHAnsi" w:hAnsiTheme="majorHAnsi"/>
          <w:b/>
          <w:i/>
          <w:sz w:val="24"/>
          <w:szCs w:val="24"/>
        </w:rPr>
        <w:t>ospital-Onset I</w:t>
      </w:r>
      <w:r w:rsidRPr="0020280D">
        <w:rPr>
          <w:rFonts w:asciiTheme="majorHAnsi" w:hAnsiTheme="majorHAnsi"/>
          <w:b/>
          <w:i/>
          <w:sz w:val="24"/>
          <w:szCs w:val="24"/>
        </w:rPr>
        <w:t>nfection</w:t>
      </w:r>
      <w:r w:rsidRPr="00933E9B">
        <w:rPr>
          <w:rFonts w:asciiTheme="majorHAnsi" w:hAnsiTheme="majorHAnsi"/>
          <w:sz w:val="24"/>
          <w:szCs w:val="24"/>
        </w:rPr>
        <w:t xml:space="preserve"> (blood culture day and first antibiot</w:t>
      </w:r>
      <w:r>
        <w:rPr>
          <w:rFonts w:asciiTheme="majorHAnsi" w:hAnsiTheme="majorHAnsi"/>
          <w:sz w:val="24"/>
          <w:szCs w:val="24"/>
        </w:rPr>
        <w:t>ic on or after calendar day 3) - t</w:t>
      </w:r>
      <w:r w:rsidRPr="00933E9B">
        <w:rPr>
          <w:rFonts w:asciiTheme="majorHAnsi" w:hAnsiTheme="majorHAnsi"/>
          <w:sz w:val="24"/>
          <w:szCs w:val="24"/>
        </w:rPr>
        <w:t>he baseline SOFA score</w:t>
      </w:r>
      <w:r>
        <w:rPr>
          <w:rFonts w:asciiTheme="majorHAnsi" w:hAnsiTheme="majorHAnsi"/>
          <w:sz w:val="24"/>
          <w:szCs w:val="24"/>
        </w:rPr>
        <w:t xml:space="preserve"> was defined </w:t>
      </w:r>
      <w:r w:rsidRPr="00933E9B">
        <w:rPr>
          <w:rFonts w:asciiTheme="majorHAnsi" w:hAnsiTheme="majorHAnsi"/>
          <w:sz w:val="24"/>
          <w:szCs w:val="24"/>
        </w:rPr>
        <w:t xml:space="preserve">as the lowest SOFA score in the 7 days prior to the blood culture day.  </w:t>
      </w:r>
    </w:p>
    <w:p w:rsidR="00BE2909" w:rsidRDefault="00BE2909" w:rsidP="00BE2909">
      <w:pPr>
        <w:spacing w:after="0" w:line="240" w:lineRule="auto"/>
        <w:rPr>
          <w:rFonts w:asciiTheme="majorHAnsi" w:hAnsiTheme="majorHAnsi"/>
          <w:i/>
          <w:sz w:val="24"/>
          <w:szCs w:val="24"/>
        </w:rPr>
      </w:pPr>
    </w:p>
    <w:p w:rsidR="00BE2909" w:rsidRDefault="00BE2909" w:rsidP="00BE2909">
      <w:pPr>
        <w:spacing w:after="0" w:line="240" w:lineRule="auto"/>
        <w:rPr>
          <w:rFonts w:asciiTheme="majorHAnsi" w:hAnsiTheme="majorHAnsi"/>
          <w:i/>
          <w:sz w:val="24"/>
          <w:szCs w:val="24"/>
        </w:rPr>
      </w:pPr>
    </w:p>
    <w:p w:rsidR="00BE2909" w:rsidRDefault="00BE2909" w:rsidP="00BE2909">
      <w:pPr>
        <w:spacing w:after="0" w:line="240" w:lineRule="auto"/>
        <w:rPr>
          <w:rFonts w:asciiTheme="majorHAnsi" w:hAnsiTheme="majorHAnsi"/>
          <w:i/>
          <w:sz w:val="24"/>
          <w:szCs w:val="24"/>
        </w:rPr>
      </w:pPr>
    </w:p>
    <w:p w:rsidR="00BE2909" w:rsidRDefault="00BE2909" w:rsidP="00BE2909">
      <w:pPr>
        <w:spacing w:after="0" w:line="240" w:lineRule="auto"/>
        <w:rPr>
          <w:rFonts w:asciiTheme="majorHAnsi" w:hAnsiTheme="majorHAnsi"/>
          <w: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8968F2" w:rsidRDefault="008968F2" w:rsidP="00BE2909">
      <w:pPr>
        <w:spacing w:after="0" w:line="240" w:lineRule="auto"/>
        <w:rPr>
          <w:rFonts w:asciiTheme="majorHAnsi" w:hAnsiTheme="majorHAnsi"/>
          <w:sz w:val="24"/>
          <w:szCs w:val="24"/>
        </w:rPr>
      </w:pPr>
    </w:p>
    <w:p w:rsidR="008968F2" w:rsidRDefault="008968F2" w:rsidP="00BE2909">
      <w:pPr>
        <w:spacing w:after="0" w:line="240" w:lineRule="auto"/>
        <w:rPr>
          <w:rFonts w:asciiTheme="majorHAnsi" w:hAnsiTheme="majorHAnsi"/>
          <w:sz w:val="24"/>
          <w:szCs w:val="24"/>
        </w:rPr>
      </w:pPr>
    </w:p>
    <w:p w:rsidR="008968F2" w:rsidRDefault="008968F2" w:rsidP="00BE2909">
      <w:pPr>
        <w:spacing w:after="0" w:line="240" w:lineRule="auto"/>
        <w:rPr>
          <w:rFonts w:asciiTheme="majorHAnsi" w:hAnsiTheme="majorHAnsi"/>
          <w:sz w:val="24"/>
          <w:szCs w:val="24"/>
        </w:rPr>
      </w:pPr>
    </w:p>
    <w:p w:rsidR="008968F2" w:rsidRDefault="008968F2" w:rsidP="00BE2909">
      <w:pPr>
        <w:spacing w:after="0" w:line="240" w:lineRule="auto"/>
        <w:rPr>
          <w:rFonts w:asciiTheme="majorHAnsi" w:hAnsiTheme="majorHAnsi"/>
          <w:sz w:val="24"/>
          <w:szCs w:val="24"/>
        </w:rPr>
      </w:pPr>
    </w:p>
    <w:p w:rsidR="008968F2" w:rsidRDefault="008968F2"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b/>
          <w:sz w:val="24"/>
          <w:szCs w:val="24"/>
        </w:rPr>
      </w:pPr>
      <w:proofErr w:type="spellStart"/>
      <w:proofErr w:type="gramStart"/>
      <w:r>
        <w:rPr>
          <w:rFonts w:asciiTheme="majorHAnsi" w:hAnsiTheme="majorHAnsi"/>
          <w:b/>
          <w:sz w:val="24"/>
          <w:szCs w:val="24"/>
        </w:rPr>
        <w:lastRenderedPageBreak/>
        <w:t>eTable</w:t>
      </w:r>
      <w:proofErr w:type="spellEnd"/>
      <w:proofErr w:type="gramEnd"/>
      <w:r>
        <w:rPr>
          <w:rFonts w:asciiTheme="majorHAnsi" w:hAnsiTheme="majorHAnsi"/>
          <w:b/>
          <w:sz w:val="24"/>
          <w:szCs w:val="24"/>
        </w:rPr>
        <w:t xml:space="preserve"> 1.  </w:t>
      </w:r>
      <w:r w:rsidRPr="00C32A35">
        <w:rPr>
          <w:rFonts w:asciiTheme="majorHAnsi" w:hAnsiTheme="majorHAnsi" w:cs="Times New Roman"/>
          <w:b/>
          <w:i/>
          <w:color w:val="000000"/>
          <w:sz w:val="24"/>
          <w:szCs w:val="24"/>
          <w:shd w:val="clear" w:color="auto" w:fill="FFFFFF"/>
        </w:rPr>
        <w:t>International Classification of Diseases, Ninth Revision, Clinical Modification</w:t>
      </w:r>
      <w:r w:rsidRPr="00EA1EEB">
        <w:rPr>
          <w:rFonts w:asciiTheme="majorHAnsi" w:hAnsiTheme="majorHAnsi" w:cs="Times New Roman"/>
          <w:color w:val="000000"/>
          <w:sz w:val="24"/>
          <w:szCs w:val="24"/>
          <w:shd w:val="clear" w:color="auto" w:fill="FFFFFF"/>
        </w:rPr>
        <w:t xml:space="preserve"> </w:t>
      </w:r>
      <w:r>
        <w:rPr>
          <w:rFonts w:asciiTheme="majorHAnsi" w:hAnsiTheme="majorHAnsi"/>
          <w:b/>
          <w:sz w:val="24"/>
          <w:szCs w:val="24"/>
        </w:rPr>
        <w:t>Codes Used to Identify Infectious Syndromes</w:t>
      </w:r>
    </w:p>
    <w:p w:rsidR="00BE2909" w:rsidRDefault="00BE2909" w:rsidP="00BE2909">
      <w:pPr>
        <w:spacing w:after="0" w:line="240" w:lineRule="auto"/>
        <w:rPr>
          <w:rFonts w:asciiTheme="majorHAnsi" w:hAnsiTheme="majorHAnsi"/>
          <w:b/>
          <w:sz w:val="24"/>
          <w:szCs w:val="24"/>
        </w:rPr>
      </w:pPr>
    </w:p>
    <w:tbl>
      <w:tblPr>
        <w:tblStyle w:val="LightList"/>
        <w:tblW w:w="0" w:type="auto"/>
        <w:tblLook w:val="04A0" w:firstRow="1" w:lastRow="0" w:firstColumn="1" w:lastColumn="0" w:noHBand="0" w:noVBand="1"/>
      </w:tblPr>
      <w:tblGrid>
        <w:gridCol w:w="4788"/>
        <w:gridCol w:w="4788"/>
      </w:tblGrid>
      <w:tr w:rsidR="00BE2909" w:rsidTr="00370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E2909" w:rsidRPr="00A507A3" w:rsidRDefault="00BE2909" w:rsidP="00370973">
            <w:pPr>
              <w:rPr>
                <w:rFonts w:asciiTheme="majorHAnsi" w:hAnsiTheme="majorHAnsi"/>
              </w:rPr>
            </w:pPr>
            <w:r w:rsidRPr="00A507A3">
              <w:rPr>
                <w:rFonts w:asciiTheme="majorHAnsi" w:hAnsiTheme="majorHAnsi"/>
              </w:rPr>
              <w:t>Infectious Syndrome</w:t>
            </w:r>
          </w:p>
        </w:tc>
        <w:tc>
          <w:tcPr>
            <w:tcW w:w="4788" w:type="dxa"/>
          </w:tcPr>
          <w:p w:rsidR="00BE2909" w:rsidRPr="00A507A3" w:rsidRDefault="00BE2909" w:rsidP="0037097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A507A3">
              <w:rPr>
                <w:rFonts w:asciiTheme="majorHAnsi" w:hAnsiTheme="majorHAnsi"/>
              </w:rPr>
              <w:t>ICD-9-CM Codes</w:t>
            </w:r>
          </w:p>
        </w:tc>
      </w:tr>
      <w:tr w:rsidR="00BE2909" w:rsidTr="00370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E2909" w:rsidRPr="00A507A3" w:rsidRDefault="00BE2909" w:rsidP="00370973">
            <w:pPr>
              <w:rPr>
                <w:rFonts w:asciiTheme="majorHAnsi" w:hAnsiTheme="majorHAnsi"/>
                <w:b w:val="0"/>
              </w:rPr>
            </w:pPr>
            <w:r w:rsidRPr="00A507A3">
              <w:rPr>
                <w:rFonts w:asciiTheme="majorHAnsi" w:hAnsiTheme="majorHAnsi"/>
              </w:rPr>
              <w:t>Pneumonia</w:t>
            </w:r>
          </w:p>
        </w:tc>
        <w:tc>
          <w:tcPr>
            <w:tcW w:w="4788" w:type="dxa"/>
          </w:tcPr>
          <w:p w:rsidR="00BE2909" w:rsidRPr="00A507A3" w:rsidRDefault="00BE2909" w:rsidP="00370973">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A507A3">
              <w:rPr>
                <w:rFonts w:asciiTheme="majorHAnsi" w:hAnsiTheme="majorHAnsi" w:cs="Arial"/>
                <w:bCs/>
                <w:color w:val="000000"/>
              </w:rPr>
              <w:t>480.0-480.9, 481, 482.0-482.9, 483.0-483.8, 484.1-484.8, 485, 486</w:t>
            </w:r>
          </w:p>
        </w:tc>
      </w:tr>
      <w:tr w:rsidR="00BE2909" w:rsidTr="00370973">
        <w:tc>
          <w:tcPr>
            <w:cnfStyle w:val="001000000000" w:firstRow="0" w:lastRow="0" w:firstColumn="1" w:lastColumn="0" w:oddVBand="0" w:evenVBand="0" w:oddHBand="0" w:evenHBand="0" w:firstRowFirstColumn="0" w:firstRowLastColumn="0" w:lastRowFirstColumn="0" w:lastRowLastColumn="0"/>
            <w:tcW w:w="4788" w:type="dxa"/>
          </w:tcPr>
          <w:p w:rsidR="00BE2909" w:rsidRPr="00A507A3" w:rsidRDefault="00BE2909" w:rsidP="00370973">
            <w:pPr>
              <w:rPr>
                <w:rFonts w:asciiTheme="majorHAnsi" w:hAnsiTheme="majorHAnsi"/>
              </w:rPr>
            </w:pPr>
            <w:r w:rsidRPr="00A507A3">
              <w:rPr>
                <w:rFonts w:asciiTheme="majorHAnsi" w:hAnsiTheme="majorHAnsi"/>
              </w:rPr>
              <w:t>Urinary Tract Infections</w:t>
            </w:r>
          </w:p>
        </w:tc>
        <w:tc>
          <w:tcPr>
            <w:tcW w:w="4788" w:type="dxa"/>
          </w:tcPr>
          <w:p w:rsidR="00BE2909" w:rsidRPr="00A507A3" w:rsidRDefault="00BE2909" w:rsidP="00370973">
            <w:p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color w:val="000000"/>
              </w:rPr>
            </w:pPr>
            <w:r w:rsidRPr="00A507A3">
              <w:rPr>
                <w:rFonts w:asciiTheme="majorHAnsi" w:hAnsiTheme="majorHAnsi" w:cs="Arial"/>
                <w:bCs/>
                <w:color w:val="000000"/>
              </w:rPr>
              <w:t>590.00, 590.01, 590.10, 590.11, 590.2, 590.3, 590.80, 590.81, 590.9, 595.0, 595.2, 595.3, 595.4, 595.89, 595.9, 597.0, 597.80, 597.89, 598.00, 598.01, 599.0</w:t>
            </w:r>
          </w:p>
        </w:tc>
      </w:tr>
      <w:tr w:rsidR="00BE2909" w:rsidTr="00370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E2909" w:rsidRPr="00A507A3" w:rsidRDefault="00BE2909" w:rsidP="00370973">
            <w:pPr>
              <w:rPr>
                <w:rFonts w:asciiTheme="majorHAnsi" w:hAnsiTheme="majorHAnsi"/>
              </w:rPr>
            </w:pPr>
            <w:r w:rsidRPr="00A507A3">
              <w:rPr>
                <w:rFonts w:asciiTheme="majorHAnsi" w:hAnsiTheme="majorHAnsi"/>
              </w:rPr>
              <w:t>Intra-abdominal Infections</w:t>
            </w:r>
          </w:p>
        </w:tc>
        <w:tc>
          <w:tcPr>
            <w:tcW w:w="4788" w:type="dxa"/>
          </w:tcPr>
          <w:p w:rsidR="00BE2909" w:rsidRPr="00A507A3" w:rsidRDefault="00BE2909" w:rsidP="003709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OTNEJMScalaSansLF"/>
              </w:rPr>
            </w:pPr>
            <w:r w:rsidRPr="00A507A3">
              <w:rPr>
                <w:rFonts w:asciiTheme="majorHAnsi" w:hAnsiTheme="majorHAnsi" w:cs="OTNEJMScalaSansLF"/>
              </w:rPr>
              <w:t>008.45, 009.0–009.3, 540.0–540.9, 541, 542, 543.9, 562.01, 562.03, 562.11, 562.13, 567.0–567.9, 569.5, 569.61, 569.71, 569.83, 572.0–572.8, 574.00–574.91,</w:t>
            </w:r>
          </w:p>
          <w:p w:rsidR="00BE2909" w:rsidRPr="00A507A3" w:rsidRDefault="00BE2909" w:rsidP="00370973">
            <w:pPr>
              <w:cnfStyle w:val="000000100000" w:firstRow="0" w:lastRow="0" w:firstColumn="0" w:lastColumn="0" w:oddVBand="0" w:evenVBand="0" w:oddHBand="1" w:evenHBand="0" w:firstRowFirstColumn="0" w:firstRowLastColumn="0" w:lastRowFirstColumn="0" w:lastRowLastColumn="0"/>
              <w:rPr>
                <w:rFonts w:asciiTheme="majorHAnsi" w:hAnsiTheme="majorHAnsi" w:cs="Arial"/>
                <w:bCs/>
                <w:color w:val="000000"/>
              </w:rPr>
            </w:pPr>
            <w:r w:rsidRPr="00A507A3">
              <w:rPr>
                <w:rFonts w:asciiTheme="majorHAnsi" w:hAnsiTheme="majorHAnsi" w:cs="OTNEJMScalaSansLF"/>
              </w:rPr>
              <w:t>575.0–575.9, 576.0–576.9, 614.0–614.9</w:t>
            </w:r>
          </w:p>
        </w:tc>
      </w:tr>
      <w:tr w:rsidR="00BE2909" w:rsidTr="00370973">
        <w:tc>
          <w:tcPr>
            <w:cnfStyle w:val="001000000000" w:firstRow="0" w:lastRow="0" w:firstColumn="1" w:lastColumn="0" w:oddVBand="0" w:evenVBand="0" w:oddHBand="0" w:evenHBand="0" w:firstRowFirstColumn="0" w:firstRowLastColumn="0" w:lastRowFirstColumn="0" w:lastRowLastColumn="0"/>
            <w:tcW w:w="4788" w:type="dxa"/>
          </w:tcPr>
          <w:p w:rsidR="00BE2909" w:rsidRPr="00A507A3" w:rsidRDefault="00BE2909" w:rsidP="00370973">
            <w:pPr>
              <w:rPr>
                <w:rFonts w:asciiTheme="majorHAnsi" w:hAnsiTheme="majorHAnsi"/>
              </w:rPr>
            </w:pPr>
            <w:r w:rsidRPr="00A507A3">
              <w:rPr>
                <w:rFonts w:asciiTheme="majorHAnsi" w:hAnsiTheme="majorHAnsi"/>
              </w:rPr>
              <w:t>Skin/Soft Tissue Infections</w:t>
            </w:r>
          </w:p>
        </w:tc>
        <w:tc>
          <w:tcPr>
            <w:tcW w:w="4788" w:type="dxa"/>
          </w:tcPr>
          <w:p w:rsidR="00BE2909" w:rsidRPr="00A507A3" w:rsidRDefault="00BE2909" w:rsidP="003709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OTNEJMScalaSansLF"/>
              </w:rPr>
            </w:pPr>
            <w:r w:rsidRPr="00A507A3">
              <w:rPr>
                <w:rFonts w:asciiTheme="majorHAnsi" w:hAnsiTheme="majorHAnsi"/>
              </w:rPr>
              <w:t>680-686, 035, 376.01, 728.86</w:t>
            </w:r>
          </w:p>
        </w:tc>
      </w:tr>
      <w:tr w:rsidR="00BE2909" w:rsidTr="00370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E2909" w:rsidRPr="00A507A3" w:rsidRDefault="00BE2909" w:rsidP="00370973">
            <w:pPr>
              <w:rPr>
                <w:rFonts w:asciiTheme="majorHAnsi" w:hAnsiTheme="majorHAnsi"/>
              </w:rPr>
            </w:pPr>
            <w:r w:rsidRPr="00A507A3">
              <w:rPr>
                <w:rFonts w:asciiTheme="majorHAnsi" w:hAnsiTheme="majorHAnsi"/>
              </w:rPr>
              <w:t>Septicemia/Bacteremia</w:t>
            </w:r>
          </w:p>
        </w:tc>
        <w:tc>
          <w:tcPr>
            <w:tcW w:w="4788" w:type="dxa"/>
          </w:tcPr>
          <w:p w:rsidR="00BE2909" w:rsidRPr="00A507A3" w:rsidRDefault="00BE2909" w:rsidP="003709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507A3">
              <w:rPr>
                <w:rFonts w:asciiTheme="majorHAnsi" w:hAnsiTheme="majorHAnsi"/>
              </w:rPr>
              <w:t>038.0-038.9, 790.7</w:t>
            </w:r>
          </w:p>
        </w:tc>
      </w:tr>
    </w:tbl>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Pr="008F55CB" w:rsidRDefault="00BE2909" w:rsidP="00BE2909">
      <w:pPr>
        <w:spacing w:after="0" w:line="240" w:lineRule="auto"/>
        <w:rPr>
          <w:rFonts w:asciiTheme="majorHAnsi" w:hAnsiTheme="majorHAnsi"/>
          <w:b/>
          <w:sz w:val="24"/>
          <w:szCs w:val="24"/>
        </w:rPr>
      </w:pPr>
      <w:proofErr w:type="spellStart"/>
      <w:proofErr w:type="gramStart"/>
      <w:r>
        <w:rPr>
          <w:rFonts w:asciiTheme="majorHAnsi" w:hAnsiTheme="majorHAnsi"/>
          <w:b/>
          <w:sz w:val="24"/>
          <w:szCs w:val="24"/>
        </w:rPr>
        <w:t>eTable</w:t>
      </w:r>
      <w:proofErr w:type="spellEnd"/>
      <w:proofErr w:type="gramEnd"/>
      <w:r>
        <w:rPr>
          <w:rFonts w:asciiTheme="majorHAnsi" w:hAnsiTheme="majorHAnsi"/>
          <w:b/>
          <w:sz w:val="24"/>
          <w:szCs w:val="24"/>
        </w:rPr>
        <w:t xml:space="preserve"> 2.  </w:t>
      </w:r>
      <w:r w:rsidRPr="008F55CB">
        <w:rPr>
          <w:rFonts w:asciiTheme="majorHAnsi" w:hAnsiTheme="majorHAnsi"/>
          <w:b/>
          <w:sz w:val="24"/>
          <w:szCs w:val="24"/>
        </w:rPr>
        <w:t>Frequency of Missing Variables for SOFA and eSOFA</w:t>
      </w:r>
    </w:p>
    <w:p w:rsidR="00BE2909" w:rsidRDefault="00BE2909" w:rsidP="00BE2909">
      <w:pPr>
        <w:spacing w:after="0" w:line="240" w:lineRule="auto"/>
        <w:rPr>
          <w:rFonts w:asciiTheme="majorHAnsi" w:hAnsiTheme="majorHAnsi"/>
          <w:sz w:val="24"/>
          <w:szCs w:val="24"/>
        </w:rPr>
      </w:pPr>
    </w:p>
    <w:tbl>
      <w:tblPr>
        <w:tblStyle w:val="LightList"/>
        <w:tblW w:w="0" w:type="auto"/>
        <w:tblLook w:val="04A0" w:firstRow="1" w:lastRow="0" w:firstColumn="1" w:lastColumn="0" w:noHBand="0" w:noVBand="1"/>
      </w:tblPr>
      <w:tblGrid>
        <w:gridCol w:w="4788"/>
        <w:gridCol w:w="4788"/>
      </w:tblGrid>
      <w:tr w:rsidR="00BE2909" w:rsidTr="00370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E2909" w:rsidRDefault="00BE2909" w:rsidP="00370973">
            <w:pPr>
              <w:rPr>
                <w:rFonts w:asciiTheme="majorHAnsi" w:hAnsiTheme="majorHAnsi"/>
                <w:sz w:val="24"/>
                <w:szCs w:val="24"/>
              </w:rPr>
            </w:pPr>
            <w:r>
              <w:rPr>
                <w:rFonts w:asciiTheme="majorHAnsi" w:hAnsiTheme="majorHAnsi"/>
                <w:sz w:val="24"/>
                <w:szCs w:val="24"/>
              </w:rPr>
              <w:t>SOFA or eSOFA component</w:t>
            </w:r>
          </w:p>
        </w:tc>
        <w:tc>
          <w:tcPr>
            <w:tcW w:w="4788" w:type="dxa"/>
          </w:tcPr>
          <w:p w:rsidR="00BE2909" w:rsidRDefault="00BE2909" w:rsidP="0037097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Number of 1</w:t>
            </w:r>
            <w:r w:rsidRPr="004C281A">
              <w:rPr>
                <w:rFonts w:asciiTheme="majorHAnsi" w:hAnsiTheme="majorHAnsi"/>
                <w:sz w:val="24"/>
                <w:szCs w:val="24"/>
                <w:vertAlign w:val="superscript"/>
              </w:rPr>
              <w:t>st</w:t>
            </w:r>
            <w:r>
              <w:rPr>
                <w:rFonts w:asciiTheme="majorHAnsi" w:hAnsiTheme="majorHAnsi"/>
                <w:sz w:val="24"/>
                <w:szCs w:val="24"/>
              </w:rPr>
              <w:t xml:space="preserve"> presumed infection episodes missing each component</w:t>
            </w:r>
          </w:p>
          <w:p w:rsidR="00BE2909" w:rsidRDefault="00BE2909" w:rsidP="0037097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(Total N=</w:t>
            </w:r>
            <w:r w:rsidRPr="0034341D">
              <w:rPr>
                <w:rFonts w:asciiTheme="majorHAnsi" w:hAnsiTheme="majorHAnsi"/>
                <w:sz w:val="24"/>
                <w:szCs w:val="24"/>
              </w:rPr>
              <w:t>104</w:t>
            </w:r>
            <w:r>
              <w:rPr>
                <w:rFonts w:asciiTheme="majorHAnsi" w:hAnsiTheme="majorHAnsi"/>
                <w:sz w:val="24"/>
                <w:szCs w:val="24"/>
              </w:rPr>
              <w:t>,903)</w:t>
            </w:r>
          </w:p>
        </w:tc>
      </w:tr>
      <w:tr w:rsidR="00BE2909" w:rsidTr="00370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E2909" w:rsidRPr="00696159" w:rsidRDefault="00BE2909" w:rsidP="00370973">
            <w:pPr>
              <w:rPr>
                <w:rFonts w:asciiTheme="majorHAnsi" w:hAnsiTheme="majorHAnsi"/>
              </w:rPr>
            </w:pPr>
            <w:r w:rsidRPr="00696159">
              <w:rPr>
                <w:rFonts w:asciiTheme="majorHAnsi" w:hAnsiTheme="majorHAnsi"/>
              </w:rPr>
              <w:t>Lactate (eSOFA)</w:t>
            </w:r>
          </w:p>
        </w:tc>
        <w:tc>
          <w:tcPr>
            <w:tcW w:w="4788" w:type="dxa"/>
          </w:tcPr>
          <w:p w:rsidR="00BE2909" w:rsidRPr="00A965D7"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965D7">
              <w:rPr>
                <w:rFonts w:asciiTheme="majorHAnsi" w:hAnsiTheme="majorHAnsi"/>
              </w:rPr>
              <w:t>65,405 (62.3%)</w:t>
            </w:r>
          </w:p>
        </w:tc>
      </w:tr>
      <w:tr w:rsidR="00BE2909" w:rsidTr="00370973">
        <w:tc>
          <w:tcPr>
            <w:cnfStyle w:val="001000000000" w:firstRow="0" w:lastRow="0" w:firstColumn="1" w:lastColumn="0" w:oddVBand="0" w:evenVBand="0" w:oddHBand="0" w:evenHBand="0" w:firstRowFirstColumn="0" w:firstRowLastColumn="0" w:lastRowFirstColumn="0" w:lastRowLastColumn="0"/>
            <w:tcW w:w="4788" w:type="dxa"/>
          </w:tcPr>
          <w:p w:rsidR="00BE2909" w:rsidRPr="00696159" w:rsidRDefault="00BE2909" w:rsidP="00370973">
            <w:pPr>
              <w:rPr>
                <w:rFonts w:asciiTheme="majorHAnsi" w:hAnsiTheme="majorHAnsi"/>
              </w:rPr>
            </w:pPr>
            <w:r w:rsidRPr="00696159">
              <w:rPr>
                <w:rFonts w:asciiTheme="majorHAnsi" w:hAnsiTheme="majorHAnsi"/>
              </w:rPr>
              <w:t>PaO2/FiO2 or SaO2/FiO2 (SOFA)</w:t>
            </w:r>
          </w:p>
        </w:tc>
        <w:tc>
          <w:tcPr>
            <w:tcW w:w="4788" w:type="dxa"/>
          </w:tcPr>
          <w:p w:rsidR="00BE2909" w:rsidRPr="00A965D7"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965D7">
              <w:rPr>
                <w:rFonts w:asciiTheme="majorHAnsi" w:hAnsiTheme="majorHAnsi"/>
              </w:rPr>
              <w:t>29,912 (28.5%)</w:t>
            </w:r>
          </w:p>
        </w:tc>
      </w:tr>
      <w:tr w:rsidR="00BE2909" w:rsidTr="00370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E2909" w:rsidRPr="00696159" w:rsidRDefault="00BE2909" w:rsidP="00370973">
            <w:pPr>
              <w:rPr>
                <w:rFonts w:asciiTheme="majorHAnsi" w:hAnsiTheme="majorHAnsi"/>
              </w:rPr>
            </w:pPr>
            <w:r w:rsidRPr="00696159">
              <w:rPr>
                <w:rFonts w:asciiTheme="majorHAnsi" w:hAnsiTheme="majorHAnsi"/>
              </w:rPr>
              <w:t>Total Bilirubin(SOFA and eSOFA)</w:t>
            </w:r>
          </w:p>
        </w:tc>
        <w:tc>
          <w:tcPr>
            <w:tcW w:w="4788" w:type="dxa"/>
          </w:tcPr>
          <w:p w:rsidR="00BE2909" w:rsidRPr="00A965D7"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965D7">
              <w:rPr>
                <w:rFonts w:asciiTheme="majorHAnsi" w:hAnsiTheme="majorHAnsi"/>
              </w:rPr>
              <w:t>21,239 (20.2%)</w:t>
            </w:r>
          </w:p>
        </w:tc>
      </w:tr>
      <w:tr w:rsidR="00BE2909" w:rsidTr="00370973">
        <w:tc>
          <w:tcPr>
            <w:cnfStyle w:val="001000000000" w:firstRow="0" w:lastRow="0" w:firstColumn="1" w:lastColumn="0" w:oddVBand="0" w:evenVBand="0" w:oddHBand="0" w:evenHBand="0" w:firstRowFirstColumn="0" w:firstRowLastColumn="0" w:lastRowFirstColumn="0" w:lastRowLastColumn="0"/>
            <w:tcW w:w="4788" w:type="dxa"/>
          </w:tcPr>
          <w:p w:rsidR="00BE2909" w:rsidRPr="00696159" w:rsidRDefault="00BE2909" w:rsidP="00370973">
            <w:pPr>
              <w:rPr>
                <w:rFonts w:asciiTheme="majorHAnsi" w:hAnsiTheme="majorHAnsi"/>
              </w:rPr>
            </w:pPr>
            <w:r w:rsidRPr="00696159">
              <w:rPr>
                <w:rFonts w:asciiTheme="majorHAnsi" w:hAnsiTheme="majorHAnsi"/>
              </w:rPr>
              <w:t>Glasgow Coma Scale (SOFA)</w:t>
            </w:r>
          </w:p>
        </w:tc>
        <w:tc>
          <w:tcPr>
            <w:tcW w:w="4788" w:type="dxa"/>
          </w:tcPr>
          <w:p w:rsidR="00BE2909" w:rsidRPr="00A965D7"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965D7">
              <w:rPr>
                <w:rFonts w:asciiTheme="majorHAnsi" w:hAnsiTheme="majorHAnsi"/>
              </w:rPr>
              <w:t>20,952 (20.0%)</w:t>
            </w:r>
          </w:p>
        </w:tc>
      </w:tr>
      <w:tr w:rsidR="00BE2909" w:rsidTr="00370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E2909" w:rsidRPr="00696159" w:rsidRDefault="00BE2909" w:rsidP="00370973">
            <w:pPr>
              <w:rPr>
                <w:rFonts w:asciiTheme="majorHAnsi" w:hAnsiTheme="majorHAnsi"/>
              </w:rPr>
            </w:pPr>
            <w:r w:rsidRPr="00696159">
              <w:rPr>
                <w:rFonts w:asciiTheme="majorHAnsi" w:hAnsiTheme="majorHAnsi"/>
              </w:rPr>
              <w:t>Blood Pressure (SOFA)</w:t>
            </w:r>
          </w:p>
        </w:tc>
        <w:tc>
          <w:tcPr>
            <w:tcW w:w="4788" w:type="dxa"/>
          </w:tcPr>
          <w:p w:rsidR="00BE2909" w:rsidRPr="00A965D7"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965D7">
              <w:rPr>
                <w:rFonts w:asciiTheme="majorHAnsi" w:hAnsiTheme="majorHAnsi"/>
              </w:rPr>
              <w:t>5,557 (5.3%)</w:t>
            </w:r>
          </w:p>
        </w:tc>
      </w:tr>
      <w:tr w:rsidR="00BE2909" w:rsidTr="00370973">
        <w:tc>
          <w:tcPr>
            <w:cnfStyle w:val="001000000000" w:firstRow="0" w:lastRow="0" w:firstColumn="1" w:lastColumn="0" w:oddVBand="0" w:evenVBand="0" w:oddHBand="0" w:evenHBand="0" w:firstRowFirstColumn="0" w:firstRowLastColumn="0" w:lastRowFirstColumn="0" w:lastRowLastColumn="0"/>
            <w:tcW w:w="4788" w:type="dxa"/>
          </w:tcPr>
          <w:p w:rsidR="00BE2909" w:rsidRPr="00696159" w:rsidRDefault="00BE2909" w:rsidP="00370973">
            <w:pPr>
              <w:rPr>
                <w:rFonts w:asciiTheme="majorHAnsi" w:hAnsiTheme="majorHAnsi"/>
              </w:rPr>
            </w:pPr>
            <w:r w:rsidRPr="00696159">
              <w:rPr>
                <w:rFonts w:asciiTheme="majorHAnsi" w:hAnsiTheme="majorHAnsi"/>
              </w:rPr>
              <w:t>Platelet Count (SOFA and eSOFA)</w:t>
            </w:r>
          </w:p>
        </w:tc>
        <w:tc>
          <w:tcPr>
            <w:tcW w:w="4788" w:type="dxa"/>
          </w:tcPr>
          <w:p w:rsidR="00BE2909" w:rsidRPr="00A965D7"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965D7">
              <w:rPr>
                <w:rFonts w:asciiTheme="majorHAnsi" w:hAnsiTheme="majorHAnsi"/>
              </w:rPr>
              <w:t>3,815 (3.6%)</w:t>
            </w:r>
          </w:p>
        </w:tc>
      </w:tr>
      <w:tr w:rsidR="00BE2909" w:rsidTr="00370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E2909" w:rsidRPr="00696159" w:rsidRDefault="00BE2909" w:rsidP="00370973">
            <w:pPr>
              <w:rPr>
                <w:rFonts w:asciiTheme="majorHAnsi" w:hAnsiTheme="majorHAnsi"/>
              </w:rPr>
            </w:pPr>
            <w:r w:rsidRPr="00696159">
              <w:rPr>
                <w:rFonts w:asciiTheme="majorHAnsi" w:hAnsiTheme="majorHAnsi"/>
              </w:rPr>
              <w:t>Creatinine (SOFA and eSOFA)</w:t>
            </w:r>
          </w:p>
        </w:tc>
        <w:tc>
          <w:tcPr>
            <w:tcW w:w="4788" w:type="dxa"/>
          </w:tcPr>
          <w:p w:rsidR="00BE2909" w:rsidRPr="00A965D7"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965D7">
              <w:rPr>
                <w:rFonts w:asciiTheme="majorHAnsi" w:hAnsiTheme="majorHAnsi"/>
              </w:rPr>
              <w:t>2,891 (2.8%)</w:t>
            </w:r>
          </w:p>
        </w:tc>
      </w:tr>
    </w:tbl>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r>
        <w:rPr>
          <w:rFonts w:asciiTheme="majorHAnsi" w:hAnsiTheme="majorHAnsi"/>
          <w:sz w:val="24"/>
          <w:szCs w:val="24"/>
        </w:rPr>
        <w:t>This table indicates the number of presumed infection episodes that were missing a</w:t>
      </w:r>
      <w:r w:rsidRPr="000B4410">
        <w:rPr>
          <w:rFonts w:asciiTheme="majorHAnsi" w:hAnsiTheme="majorHAnsi"/>
          <w:sz w:val="24"/>
          <w:szCs w:val="24"/>
        </w:rPr>
        <w:t xml:space="preserve">t least one reading necessary to compute the SOFA score </w:t>
      </w:r>
      <w:r>
        <w:rPr>
          <w:rFonts w:asciiTheme="majorHAnsi" w:hAnsiTheme="majorHAnsi"/>
          <w:sz w:val="24"/>
          <w:szCs w:val="24"/>
        </w:rPr>
        <w:t xml:space="preserve">within the 2-day window surrounding the blood culture day.  For hospitalizations with multiple presumed infection episodes, only the first episode was analyzed. </w:t>
      </w: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Pr="00815005" w:rsidRDefault="00BE2909" w:rsidP="00BE2909">
      <w:pPr>
        <w:spacing w:after="0" w:line="240" w:lineRule="auto"/>
        <w:rPr>
          <w:rFonts w:asciiTheme="majorHAnsi" w:hAnsiTheme="majorHAnsi"/>
          <w:b/>
          <w:sz w:val="24"/>
          <w:szCs w:val="24"/>
        </w:rPr>
      </w:pPr>
      <w:proofErr w:type="spellStart"/>
      <w:proofErr w:type="gramStart"/>
      <w:r>
        <w:rPr>
          <w:rFonts w:asciiTheme="majorHAnsi" w:hAnsiTheme="majorHAnsi"/>
          <w:b/>
          <w:sz w:val="24"/>
          <w:szCs w:val="24"/>
        </w:rPr>
        <w:lastRenderedPageBreak/>
        <w:t>eTable</w:t>
      </w:r>
      <w:proofErr w:type="spellEnd"/>
      <w:proofErr w:type="gramEnd"/>
      <w:r>
        <w:rPr>
          <w:rFonts w:asciiTheme="majorHAnsi" w:hAnsiTheme="majorHAnsi"/>
          <w:b/>
          <w:sz w:val="24"/>
          <w:szCs w:val="24"/>
        </w:rPr>
        <w:t xml:space="preserve"> 3. Comparison </w:t>
      </w:r>
      <w:bookmarkStart w:id="0" w:name="_GoBack"/>
      <w:bookmarkEnd w:id="0"/>
      <w:r w:rsidRPr="00815005">
        <w:rPr>
          <w:rFonts w:asciiTheme="majorHAnsi" w:hAnsiTheme="majorHAnsi"/>
          <w:b/>
          <w:sz w:val="24"/>
          <w:szCs w:val="24"/>
        </w:rPr>
        <w:t xml:space="preserve">of Findings in Primary and </w:t>
      </w:r>
      <w:r>
        <w:rPr>
          <w:rFonts w:asciiTheme="majorHAnsi" w:hAnsiTheme="majorHAnsi"/>
          <w:b/>
          <w:sz w:val="24"/>
          <w:szCs w:val="24"/>
        </w:rPr>
        <w:t>Independent</w:t>
      </w:r>
      <w:r w:rsidRPr="00815005">
        <w:rPr>
          <w:rFonts w:asciiTheme="majorHAnsi" w:hAnsiTheme="majorHAnsi"/>
          <w:b/>
          <w:sz w:val="24"/>
          <w:szCs w:val="24"/>
        </w:rPr>
        <w:t xml:space="preserve"> Datasets</w:t>
      </w:r>
    </w:p>
    <w:p w:rsidR="00BE2909" w:rsidRDefault="00BE2909" w:rsidP="00BE2909">
      <w:pPr>
        <w:spacing w:after="0" w:line="240" w:lineRule="auto"/>
        <w:rPr>
          <w:rFonts w:asciiTheme="majorHAnsi" w:hAnsiTheme="majorHAnsi"/>
          <w:sz w:val="24"/>
          <w:szCs w:val="24"/>
        </w:rPr>
      </w:pPr>
    </w:p>
    <w:tbl>
      <w:tblPr>
        <w:tblStyle w:val="LightList"/>
        <w:tblW w:w="0" w:type="auto"/>
        <w:tblLook w:val="04A0" w:firstRow="1" w:lastRow="0" w:firstColumn="1" w:lastColumn="0" w:noHBand="0" w:noVBand="1"/>
      </w:tblPr>
      <w:tblGrid>
        <w:gridCol w:w="3348"/>
        <w:gridCol w:w="2250"/>
        <w:gridCol w:w="2340"/>
      </w:tblGrid>
      <w:tr w:rsidR="00BE2909" w:rsidRPr="00B82241" w:rsidTr="00370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BE2909" w:rsidRPr="00CC0D81" w:rsidRDefault="00BE2909" w:rsidP="00370973">
            <w:pPr>
              <w:rPr>
                <w:rFonts w:asciiTheme="majorHAnsi" w:hAnsiTheme="majorHAnsi"/>
              </w:rPr>
            </w:pPr>
          </w:p>
        </w:tc>
        <w:tc>
          <w:tcPr>
            <w:tcW w:w="2250" w:type="dxa"/>
          </w:tcPr>
          <w:p w:rsidR="00BE2909" w:rsidRPr="00CC0D81" w:rsidRDefault="00BE2909" w:rsidP="0037097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C0D81">
              <w:rPr>
                <w:rFonts w:asciiTheme="majorHAnsi" w:hAnsiTheme="majorHAnsi"/>
              </w:rPr>
              <w:t xml:space="preserve">Cerner </w:t>
            </w:r>
            <w:proofErr w:type="spellStart"/>
            <w:r w:rsidRPr="00CC0D81">
              <w:rPr>
                <w:rFonts w:asciiTheme="majorHAnsi" w:hAnsiTheme="majorHAnsi"/>
              </w:rPr>
              <w:t>HealthFacts</w:t>
            </w:r>
            <w:proofErr w:type="spellEnd"/>
          </w:p>
          <w:p w:rsidR="00BE2909" w:rsidRPr="00CC0D81" w:rsidRDefault="00BE2909" w:rsidP="0037097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C0D81">
              <w:rPr>
                <w:rFonts w:asciiTheme="majorHAnsi" w:hAnsiTheme="majorHAnsi"/>
              </w:rPr>
              <w:t>(Total N=942,360)</w:t>
            </w:r>
          </w:p>
        </w:tc>
        <w:tc>
          <w:tcPr>
            <w:tcW w:w="2340" w:type="dxa"/>
          </w:tcPr>
          <w:p w:rsidR="00BE2909" w:rsidRPr="00CC0D81" w:rsidRDefault="00BE2909" w:rsidP="0037097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C0D81">
              <w:rPr>
                <w:rFonts w:asciiTheme="majorHAnsi" w:hAnsiTheme="majorHAnsi"/>
              </w:rPr>
              <w:t>Emory Dataset</w:t>
            </w:r>
          </w:p>
          <w:p w:rsidR="00BE2909" w:rsidRPr="00CC0D81" w:rsidRDefault="00BE2909" w:rsidP="0037097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C0D81">
              <w:rPr>
                <w:rFonts w:asciiTheme="majorHAnsi" w:hAnsiTheme="majorHAnsi"/>
              </w:rPr>
              <w:t>(Total N= 213,173)</w:t>
            </w:r>
          </w:p>
        </w:tc>
      </w:tr>
      <w:tr w:rsidR="00BE2909" w:rsidRPr="00B82241" w:rsidTr="00370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BE2909" w:rsidRPr="00CC0D81" w:rsidRDefault="00BE2909" w:rsidP="00370973">
            <w:pPr>
              <w:rPr>
                <w:rFonts w:asciiTheme="majorHAnsi" w:hAnsiTheme="majorHAnsi"/>
              </w:rPr>
            </w:pPr>
            <w:r w:rsidRPr="00CC0D81">
              <w:rPr>
                <w:rFonts w:asciiTheme="majorHAnsi" w:hAnsiTheme="majorHAnsi"/>
              </w:rPr>
              <w:t xml:space="preserve">Sepsis </w:t>
            </w:r>
            <w:r>
              <w:rPr>
                <w:rFonts w:asciiTheme="majorHAnsi" w:hAnsiTheme="majorHAnsi"/>
              </w:rPr>
              <w:t>Prevalence</w:t>
            </w:r>
          </w:p>
          <w:p w:rsidR="00BE2909" w:rsidRPr="00CC0D81" w:rsidRDefault="00BE2909" w:rsidP="00370973">
            <w:pPr>
              <w:rPr>
                <w:rFonts w:asciiTheme="majorHAnsi" w:hAnsiTheme="majorHAnsi"/>
              </w:rPr>
            </w:pPr>
            <w:r w:rsidRPr="00CC0D81">
              <w:rPr>
                <w:rFonts w:asciiTheme="majorHAnsi" w:hAnsiTheme="majorHAnsi"/>
              </w:rPr>
              <w:t xml:space="preserve">   SOFA</w:t>
            </w:r>
          </w:p>
          <w:p w:rsidR="00BE2909" w:rsidRPr="00CC0D81" w:rsidRDefault="00BE2909" w:rsidP="00370973">
            <w:pPr>
              <w:rPr>
                <w:rFonts w:asciiTheme="majorHAnsi" w:hAnsiTheme="majorHAnsi"/>
              </w:rPr>
            </w:pPr>
            <w:r w:rsidRPr="00CC0D81">
              <w:rPr>
                <w:rFonts w:asciiTheme="majorHAnsi" w:hAnsiTheme="majorHAnsi"/>
              </w:rPr>
              <w:t xml:space="preserve">   eSOFA</w:t>
            </w:r>
          </w:p>
        </w:tc>
        <w:tc>
          <w:tcPr>
            <w:tcW w:w="2250" w:type="dxa"/>
          </w:tcPr>
          <w:p w:rsidR="00BE2909" w:rsidRPr="00CC0D81"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BE2909" w:rsidRPr="00CC0D81"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C0D81">
              <w:rPr>
                <w:rFonts w:asciiTheme="majorHAnsi" w:hAnsiTheme="majorHAnsi"/>
              </w:rPr>
              <w:t>57,242 (6.1%)</w:t>
            </w:r>
          </w:p>
          <w:p w:rsidR="00BE2909" w:rsidRPr="00CC0D81"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C0D81">
              <w:rPr>
                <w:rFonts w:asciiTheme="majorHAnsi" w:hAnsiTheme="majorHAnsi"/>
              </w:rPr>
              <w:t>41,618 (4.4%)</w:t>
            </w:r>
          </w:p>
        </w:tc>
        <w:tc>
          <w:tcPr>
            <w:tcW w:w="2340" w:type="dxa"/>
          </w:tcPr>
          <w:p w:rsidR="00BE2909" w:rsidRPr="00CC0D81"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BE2909" w:rsidRPr="00CC0D81"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C0D81">
              <w:rPr>
                <w:rFonts w:asciiTheme="majorHAnsi" w:hAnsiTheme="majorHAnsi"/>
              </w:rPr>
              <w:t>12,983 (6.1%)</w:t>
            </w:r>
          </w:p>
          <w:p w:rsidR="00BE2909" w:rsidRPr="00CC0D81"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C0D81">
              <w:rPr>
                <w:rFonts w:asciiTheme="majorHAnsi" w:hAnsiTheme="majorHAnsi"/>
              </w:rPr>
              <w:t>13,843 (6.5%)</w:t>
            </w:r>
          </w:p>
        </w:tc>
      </w:tr>
      <w:tr w:rsidR="00BE2909" w:rsidRPr="00B82241" w:rsidTr="00370973">
        <w:tc>
          <w:tcPr>
            <w:cnfStyle w:val="001000000000" w:firstRow="0" w:lastRow="0" w:firstColumn="1" w:lastColumn="0" w:oddVBand="0" w:evenVBand="0" w:oddHBand="0" w:evenHBand="0" w:firstRowFirstColumn="0" w:firstRowLastColumn="0" w:lastRowFirstColumn="0" w:lastRowLastColumn="0"/>
            <w:tcW w:w="3348" w:type="dxa"/>
          </w:tcPr>
          <w:p w:rsidR="00BE2909" w:rsidRPr="00CC0D81" w:rsidRDefault="00BE2909" w:rsidP="00370973">
            <w:pPr>
              <w:rPr>
                <w:rFonts w:asciiTheme="majorHAnsi" w:hAnsiTheme="majorHAnsi"/>
              </w:rPr>
            </w:pPr>
            <w:r w:rsidRPr="00CC0D81">
              <w:rPr>
                <w:rFonts w:asciiTheme="majorHAnsi" w:hAnsiTheme="majorHAnsi"/>
              </w:rPr>
              <w:t>Sepsis Mortality</w:t>
            </w:r>
          </w:p>
          <w:p w:rsidR="00BE2909" w:rsidRPr="00CC0D81" w:rsidRDefault="00BE2909" w:rsidP="00370973">
            <w:pPr>
              <w:rPr>
                <w:rFonts w:asciiTheme="majorHAnsi" w:hAnsiTheme="majorHAnsi"/>
              </w:rPr>
            </w:pPr>
            <w:r w:rsidRPr="00CC0D81">
              <w:rPr>
                <w:rFonts w:asciiTheme="majorHAnsi" w:hAnsiTheme="majorHAnsi"/>
              </w:rPr>
              <w:t xml:space="preserve">   SOFA</w:t>
            </w:r>
          </w:p>
          <w:p w:rsidR="00BE2909" w:rsidRPr="00CC0D81" w:rsidRDefault="00BE2909" w:rsidP="00370973">
            <w:pPr>
              <w:rPr>
                <w:rFonts w:asciiTheme="majorHAnsi" w:hAnsiTheme="majorHAnsi"/>
              </w:rPr>
            </w:pPr>
            <w:r w:rsidRPr="00CC0D81">
              <w:rPr>
                <w:rFonts w:asciiTheme="majorHAnsi" w:hAnsiTheme="majorHAnsi"/>
              </w:rPr>
              <w:t xml:space="preserve">   eSOFA</w:t>
            </w:r>
          </w:p>
        </w:tc>
        <w:tc>
          <w:tcPr>
            <w:tcW w:w="2250" w:type="dxa"/>
          </w:tcPr>
          <w:p w:rsidR="00BE2909" w:rsidRPr="00CC0D81"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E2909" w:rsidRPr="00CC0D81"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C0D81">
              <w:rPr>
                <w:rFonts w:asciiTheme="majorHAnsi" w:hAnsiTheme="majorHAnsi"/>
              </w:rPr>
              <w:t>8,221 (14.4%)</w:t>
            </w:r>
          </w:p>
          <w:p w:rsidR="00BE2909" w:rsidRPr="00CC0D81"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C0D81">
              <w:rPr>
                <w:rFonts w:asciiTheme="majorHAnsi" w:hAnsiTheme="majorHAnsi"/>
              </w:rPr>
              <w:t>7,131 (17.1%)</w:t>
            </w:r>
          </w:p>
        </w:tc>
        <w:tc>
          <w:tcPr>
            <w:tcW w:w="2340" w:type="dxa"/>
          </w:tcPr>
          <w:p w:rsidR="00BE2909" w:rsidRPr="00CC0D81"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E2909" w:rsidRPr="00CC0D81"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C0D81">
              <w:rPr>
                <w:rFonts w:asciiTheme="majorHAnsi" w:hAnsiTheme="majorHAnsi"/>
              </w:rPr>
              <w:t>1,395 (10.8%)</w:t>
            </w:r>
          </w:p>
          <w:p w:rsidR="00BE2909" w:rsidRPr="00CC0D81"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C0D81">
              <w:rPr>
                <w:rFonts w:asciiTheme="majorHAnsi" w:hAnsiTheme="majorHAnsi"/>
              </w:rPr>
              <w:t>1,585 (11.5%)</w:t>
            </w:r>
          </w:p>
        </w:tc>
      </w:tr>
      <w:tr w:rsidR="00BE2909" w:rsidRPr="00B82241" w:rsidTr="00370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BE2909" w:rsidRPr="00CC0D81" w:rsidRDefault="00BE2909" w:rsidP="00370973">
            <w:pPr>
              <w:rPr>
                <w:rFonts w:asciiTheme="majorHAnsi" w:hAnsiTheme="majorHAnsi"/>
              </w:rPr>
            </w:pPr>
            <w:r w:rsidRPr="00CC0D81">
              <w:rPr>
                <w:rFonts w:asciiTheme="majorHAnsi" w:hAnsiTheme="majorHAnsi"/>
              </w:rPr>
              <w:t>Overlap of Sepsis Patients</w:t>
            </w:r>
          </w:p>
          <w:p w:rsidR="00BE2909" w:rsidRPr="00CC0D81" w:rsidRDefault="00BE2909" w:rsidP="00370973">
            <w:pPr>
              <w:rPr>
                <w:rFonts w:asciiTheme="majorHAnsi" w:hAnsiTheme="majorHAnsi"/>
              </w:rPr>
            </w:pPr>
            <w:r w:rsidRPr="00CC0D81">
              <w:rPr>
                <w:rFonts w:asciiTheme="majorHAnsi" w:hAnsiTheme="majorHAnsi"/>
              </w:rPr>
              <w:t xml:space="preserve">   Sensitivity of eSOFA vs SOFA </w:t>
            </w:r>
          </w:p>
          <w:p w:rsidR="00BE2909" w:rsidRPr="00CC0D81" w:rsidRDefault="00BE2909" w:rsidP="00370973">
            <w:pPr>
              <w:rPr>
                <w:rFonts w:asciiTheme="majorHAnsi" w:hAnsiTheme="majorHAnsi"/>
              </w:rPr>
            </w:pPr>
            <w:r w:rsidRPr="00CC0D81">
              <w:rPr>
                <w:rFonts w:asciiTheme="majorHAnsi" w:hAnsiTheme="majorHAnsi"/>
              </w:rPr>
              <w:t xml:space="preserve">   PPV of eSOFA vs SOFA</w:t>
            </w:r>
          </w:p>
        </w:tc>
        <w:tc>
          <w:tcPr>
            <w:tcW w:w="2250" w:type="dxa"/>
          </w:tcPr>
          <w:p w:rsidR="00BE2909" w:rsidRPr="00CC0D81"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BE2909" w:rsidRPr="00CC0D81"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C0D81">
              <w:rPr>
                <w:rFonts w:asciiTheme="majorHAnsi" w:hAnsiTheme="majorHAnsi"/>
              </w:rPr>
              <w:t>59.7%</w:t>
            </w:r>
          </w:p>
          <w:p w:rsidR="00BE2909" w:rsidRPr="00CC0D81"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C0D81">
              <w:rPr>
                <w:rFonts w:asciiTheme="majorHAnsi" w:hAnsiTheme="majorHAnsi"/>
              </w:rPr>
              <w:t>82.1%</w:t>
            </w:r>
          </w:p>
        </w:tc>
        <w:tc>
          <w:tcPr>
            <w:tcW w:w="2340" w:type="dxa"/>
          </w:tcPr>
          <w:p w:rsidR="00BE2909" w:rsidRPr="00CC0D81"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BE2909" w:rsidRPr="00CC0D81"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C0D81">
              <w:rPr>
                <w:rFonts w:asciiTheme="majorHAnsi" w:hAnsiTheme="majorHAnsi"/>
              </w:rPr>
              <w:t>74.0%</w:t>
            </w:r>
          </w:p>
          <w:p w:rsidR="00BE2909" w:rsidRPr="00CC0D81" w:rsidRDefault="00BE2909" w:rsidP="0037097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C0D81">
              <w:rPr>
                <w:rFonts w:asciiTheme="majorHAnsi" w:hAnsiTheme="majorHAnsi"/>
              </w:rPr>
              <w:t>69.4%</w:t>
            </w:r>
          </w:p>
        </w:tc>
      </w:tr>
      <w:tr w:rsidR="00BE2909" w:rsidRPr="00B82241" w:rsidTr="00370973">
        <w:tc>
          <w:tcPr>
            <w:cnfStyle w:val="001000000000" w:firstRow="0" w:lastRow="0" w:firstColumn="1" w:lastColumn="0" w:oddVBand="0" w:evenVBand="0" w:oddHBand="0" w:evenHBand="0" w:firstRowFirstColumn="0" w:firstRowLastColumn="0" w:lastRowFirstColumn="0" w:lastRowLastColumn="0"/>
            <w:tcW w:w="3348" w:type="dxa"/>
          </w:tcPr>
          <w:p w:rsidR="00BE2909" w:rsidRPr="00CC0D81" w:rsidRDefault="00BE2909" w:rsidP="00370973">
            <w:pPr>
              <w:rPr>
                <w:rFonts w:asciiTheme="majorHAnsi" w:hAnsiTheme="majorHAnsi"/>
              </w:rPr>
            </w:pPr>
            <w:r w:rsidRPr="00CC0D81">
              <w:rPr>
                <w:rFonts w:asciiTheme="majorHAnsi" w:hAnsiTheme="majorHAnsi"/>
              </w:rPr>
              <w:t>AUROC for in-hospital death</w:t>
            </w:r>
          </w:p>
          <w:p w:rsidR="00BE2909" w:rsidRPr="00CC0D81" w:rsidRDefault="00BE2909" w:rsidP="00370973">
            <w:pPr>
              <w:rPr>
                <w:rFonts w:asciiTheme="majorHAnsi" w:hAnsiTheme="majorHAnsi"/>
              </w:rPr>
            </w:pPr>
            <w:r w:rsidRPr="00CC0D81">
              <w:rPr>
                <w:rFonts w:asciiTheme="majorHAnsi" w:hAnsiTheme="majorHAnsi"/>
              </w:rPr>
              <w:t xml:space="preserve">   SOFA</w:t>
            </w:r>
            <w:r w:rsidR="002E5A71">
              <w:rPr>
                <w:rFonts w:asciiTheme="majorHAnsi" w:hAnsiTheme="majorHAnsi"/>
              </w:rPr>
              <w:t xml:space="preserve"> [95% CI]</w:t>
            </w:r>
          </w:p>
          <w:p w:rsidR="00BE2909" w:rsidRPr="00CC0D81" w:rsidRDefault="00BE2909" w:rsidP="00370973">
            <w:pPr>
              <w:rPr>
                <w:rFonts w:asciiTheme="majorHAnsi" w:hAnsiTheme="majorHAnsi"/>
              </w:rPr>
            </w:pPr>
            <w:r w:rsidRPr="00CC0D81">
              <w:rPr>
                <w:rFonts w:asciiTheme="majorHAnsi" w:hAnsiTheme="majorHAnsi"/>
              </w:rPr>
              <w:t xml:space="preserve">   eSOFA</w:t>
            </w:r>
            <w:r w:rsidR="002E5A71">
              <w:rPr>
                <w:rFonts w:asciiTheme="majorHAnsi" w:hAnsiTheme="majorHAnsi"/>
              </w:rPr>
              <w:t xml:space="preserve"> [95% CI]</w:t>
            </w:r>
          </w:p>
          <w:p w:rsidR="00BE2909" w:rsidRPr="00CC0D81" w:rsidRDefault="00BE2909" w:rsidP="00370973">
            <w:pPr>
              <w:rPr>
                <w:rFonts w:asciiTheme="majorHAnsi" w:hAnsiTheme="majorHAnsi"/>
              </w:rPr>
            </w:pPr>
            <w:r w:rsidRPr="00CC0D81">
              <w:rPr>
                <w:rFonts w:asciiTheme="majorHAnsi" w:hAnsiTheme="majorHAnsi"/>
              </w:rPr>
              <w:t xml:space="preserve">   p-value</w:t>
            </w:r>
          </w:p>
        </w:tc>
        <w:tc>
          <w:tcPr>
            <w:tcW w:w="2250" w:type="dxa"/>
          </w:tcPr>
          <w:p w:rsidR="00BE2909" w:rsidRPr="00CC0D81"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E2909" w:rsidRPr="00CC0D81"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C0D81">
              <w:rPr>
                <w:rFonts w:asciiTheme="majorHAnsi" w:hAnsiTheme="majorHAnsi"/>
              </w:rPr>
              <w:t>0.759 [0.751-0.764]</w:t>
            </w:r>
          </w:p>
          <w:p w:rsidR="00BE2909" w:rsidRPr="00CC0D81"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C0D81">
              <w:rPr>
                <w:rFonts w:asciiTheme="majorHAnsi" w:hAnsiTheme="majorHAnsi"/>
              </w:rPr>
              <w:t>0.774 [0.770-0.779]</w:t>
            </w:r>
          </w:p>
          <w:p w:rsidR="00BE2909" w:rsidRPr="00CC0D81"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C0D81">
              <w:rPr>
                <w:rFonts w:asciiTheme="majorHAnsi" w:hAnsiTheme="majorHAnsi"/>
              </w:rPr>
              <w:t>&lt;0.001</w:t>
            </w:r>
          </w:p>
        </w:tc>
        <w:tc>
          <w:tcPr>
            <w:tcW w:w="2340" w:type="dxa"/>
          </w:tcPr>
          <w:p w:rsidR="00BE2909" w:rsidRPr="00CC0D81"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E2909" w:rsidRPr="00CC0D81"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C0D81">
              <w:rPr>
                <w:rFonts w:asciiTheme="majorHAnsi" w:hAnsiTheme="majorHAnsi"/>
              </w:rPr>
              <w:t>0.717 [0.705-0.728]</w:t>
            </w:r>
          </w:p>
          <w:p w:rsidR="00BE2909" w:rsidRPr="00CC0D81"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C0D81">
              <w:rPr>
                <w:rFonts w:asciiTheme="majorHAnsi" w:hAnsiTheme="majorHAnsi"/>
              </w:rPr>
              <w:t>0.755 [0.745-0.766]</w:t>
            </w:r>
          </w:p>
          <w:p w:rsidR="00BE2909" w:rsidRPr="00CC0D81" w:rsidRDefault="00BE2909" w:rsidP="0037097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C0D81">
              <w:rPr>
                <w:rFonts w:asciiTheme="majorHAnsi" w:hAnsiTheme="majorHAnsi"/>
              </w:rPr>
              <w:t>&lt;0.001</w:t>
            </w:r>
          </w:p>
        </w:tc>
      </w:tr>
    </w:tbl>
    <w:p w:rsidR="00BE2909" w:rsidRPr="00002AEC"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roofErr w:type="spellStart"/>
      <w:proofErr w:type="gramStart"/>
      <w:r>
        <w:rPr>
          <w:rFonts w:asciiTheme="majorHAnsi" w:hAnsiTheme="majorHAnsi"/>
          <w:b/>
          <w:sz w:val="24"/>
          <w:szCs w:val="24"/>
        </w:rPr>
        <w:lastRenderedPageBreak/>
        <w:t>eFigure</w:t>
      </w:r>
      <w:proofErr w:type="spellEnd"/>
      <w:proofErr w:type="gramEnd"/>
      <w:r>
        <w:rPr>
          <w:rFonts w:asciiTheme="majorHAnsi" w:hAnsiTheme="majorHAnsi"/>
          <w:b/>
          <w:sz w:val="24"/>
          <w:szCs w:val="24"/>
        </w:rPr>
        <w:t xml:space="preserve"> 1. Overlap of presumed infection, sepsis defined by the SOFA score (Sepsis-3), and sepsis defined by eSOFA (CDC Adult Sepsis Event)</w:t>
      </w: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r>
        <w:rPr>
          <w:rFonts w:asciiTheme="majorHAnsi" w:hAnsiTheme="majorHAnsi"/>
          <w:b/>
          <w:noProof/>
          <w:sz w:val="24"/>
          <w:szCs w:val="24"/>
        </w:rPr>
        <w:drawing>
          <wp:inline distT="0" distB="0" distL="0" distR="0" wp14:anchorId="1B0ECDFF" wp14:editId="2201794B">
            <wp:extent cx="5149850" cy="354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850" cy="3549650"/>
                    </a:xfrm>
                    <a:prstGeom prst="rect">
                      <a:avLst/>
                    </a:prstGeom>
                    <a:noFill/>
                    <a:ln>
                      <a:noFill/>
                    </a:ln>
                  </pic:spPr>
                </pic:pic>
              </a:graphicData>
            </a:graphic>
          </wp:inline>
        </w:drawing>
      </w: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Pr="003A1B6E" w:rsidRDefault="00BE2909" w:rsidP="00BE2909">
      <w:pPr>
        <w:spacing w:after="0" w:line="240" w:lineRule="auto"/>
        <w:rPr>
          <w:rFonts w:asciiTheme="majorHAnsi" w:hAnsiTheme="majorHAnsi"/>
          <w:b/>
          <w:sz w:val="24"/>
          <w:szCs w:val="24"/>
        </w:rPr>
      </w:pPr>
      <w:proofErr w:type="spellStart"/>
      <w:proofErr w:type="gramStart"/>
      <w:r>
        <w:rPr>
          <w:rFonts w:asciiTheme="majorHAnsi" w:hAnsiTheme="majorHAnsi"/>
          <w:b/>
          <w:sz w:val="24"/>
          <w:szCs w:val="24"/>
        </w:rPr>
        <w:lastRenderedPageBreak/>
        <w:t>e</w:t>
      </w:r>
      <w:r w:rsidRPr="003A1B6E">
        <w:rPr>
          <w:rFonts w:asciiTheme="majorHAnsi" w:hAnsiTheme="majorHAnsi"/>
          <w:b/>
          <w:sz w:val="24"/>
          <w:szCs w:val="24"/>
        </w:rPr>
        <w:t>Figure</w:t>
      </w:r>
      <w:proofErr w:type="spellEnd"/>
      <w:proofErr w:type="gramEnd"/>
      <w:r w:rsidRPr="003A1B6E">
        <w:rPr>
          <w:rFonts w:asciiTheme="majorHAnsi" w:hAnsiTheme="majorHAnsi"/>
          <w:b/>
          <w:sz w:val="24"/>
          <w:szCs w:val="24"/>
        </w:rPr>
        <w:t xml:space="preserve"> </w:t>
      </w:r>
      <w:r>
        <w:rPr>
          <w:rFonts w:asciiTheme="majorHAnsi" w:hAnsiTheme="majorHAnsi"/>
          <w:b/>
          <w:sz w:val="24"/>
          <w:szCs w:val="24"/>
        </w:rPr>
        <w:t>2</w:t>
      </w:r>
      <w:r w:rsidRPr="003A1B6E">
        <w:rPr>
          <w:rFonts w:asciiTheme="majorHAnsi" w:hAnsiTheme="majorHAnsi"/>
          <w:b/>
          <w:sz w:val="24"/>
          <w:szCs w:val="24"/>
        </w:rPr>
        <w:t>. Frequency of SOFA organ dysfunctions in sepsis patients defined b</w:t>
      </w:r>
      <w:r>
        <w:rPr>
          <w:rFonts w:asciiTheme="majorHAnsi" w:hAnsiTheme="majorHAnsi"/>
          <w:b/>
          <w:sz w:val="24"/>
          <w:szCs w:val="24"/>
        </w:rPr>
        <w:t>y increase in SOFA by ≥2 points</w:t>
      </w:r>
      <w:r w:rsidR="002E5A71">
        <w:rPr>
          <w:rFonts w:asciiTheme="majorHAnsi" w:hAnsiTheme="majorHAnsi"/>
          <w:b/>
          <w:sz w:val="24"/>
          <w:szCs w:val="24"/>
        </w:rPr>
        <w:t xml:space="preserve"> (Sepsis-3)</w:t>
      </w: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r>
        <w:rPr>
          <w:noProof/>
        </w:rPr>
        <w:drawing>
          <wp:inline distT="0" distB="0" distL="0" distR="0" wp14:anchorId="79024702" wp14:editId="676B1F0C">
            <wp:extent cx="5471583" cy="2885015"/>
            <wp:effectExtent l="0" t="0" r="1524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2909" w:rsidRDefault="00BE2909" w:rsidP="00BE2909">
      <w:pPr>
        <w:spacing w:after="0" w:line="240" w:lineRule="auto"/>
        <w:rPr>
          <w:rFonts w:asciiTheme="majorHAnsi" w:hAnsiTheme="majorHAnsi"/>
          <w:sz w:val="24"/>
          <w:szCs w:val="24"/>
        </w:rPr>
      </w:pPr>
    </w:p>
    <w:p w:rsidR="00BE2909" w:rsidRPr="006F41EF" w:rsidRDefault="00BE2909" w:rsidP="00BE2909">
      <w:pPr>
        <w:spacing w:after="0" w:line="240" w:lineRule="auto"/>
        <w:rPr>
          <w:rFonts w:asciiTheme="majorHAnsi" w:hAnsiTheme="majorHAnsi"/>
          <w:sz w:val="24"/>
          <w:szCs w:val="24"/>
        </w:rPr>
      </w:pPr>
      <w:r>
        <w:rPr>
          <w:rFonts w:asciiTheme="majorHAnsi" w:hAnsiTheme="majorHAnsi"/>
          <w:sz w:val="24"/>
          <w:szCs w:val="24"/>
        </w:rPr>
        <w:t xml:space="preserve">Each bar represents the percentage of sepsis patients who had ≥2 SOFA points in each organ dysfunction category. </w:t>
      </w:r>
    </w:p>
    <w:p w:rsidR="00BE2909" w:rsidRDefault="00BE2909" w:rsidP="00BE2909">
      <w:pPr>
        <w:spacing w:after="0" w:line="240" w:lineRule="auto"/>
        <w:rPr>
          <w:rFonts w:asciiTheme="majorHAnsi" w:hAnsiTheme="majorHAnsi"/>
          <w:b/>
          <w:sz w:val="24"/>
          <w:szCs w:val="24"/>
        </w:rPr>
      </w:pPr>
    </w:p>
    <w:p w:rsidR="00BE2909" w:rsidRDefault="00BE2909" w:rsidP="00BE2909">
      <w:pPr>
        <w:spacing w:after="0" w:line="240" w:lineRule="auto"/>
        <w:rPr>
          <w:rFonts w:asciiTheme="majorHAnsi" w:hAnsiTheme="majorHAnsi"/>
          <w:b/>
          <w:sz w:val="24"/>
          <w:szCs w:val="24"/>
        </w:rPr>
      </w:pPr>
    </w:p>
    <w:p w:rsidR="00BE2909" w:rsidRPr="0081175F" w:rsidRDefault="00BE2909" w:rsidP="00BE2909">
      <w:pPr>
        <w:spacing w:after="0" w:line="240" w:lineRule="auto"/>
        <w:rPr>
          <w:rFonts w:asciiTheme="majorHAnsi" w:hAnsiTheme="majorHAnsi"/>
          <w:b/>
          <w:sz w:val="24"/>
          <w:szCs w:val="24"/>
        </w:rPr>
      </w:pPr>
      <w:proofErr w:type="spellStart"/>
      <w:proofErr w:type="gramStart"/>
      <w:r>
        <w:rPr>
          <w:rFonts w:asciiTheme="majorHAnsi" w:hAnsiTheme="majorHAnsi"/>
          <w:b/>
          <w:sz w:val="24"/>
          <w:szCs w:val="24"/>
        </w:rPr>
        <w:t>eFigure</w:t>
      </w:r>
      <w:proofErr w:type="spellEnd"/>
      <w:proofErr w:type="gramEnd"/>
      <w:r>
        <w:rPr>
          <w:rFonts w:asciiTheme="majorHAnsi" w:hAnsiTheme="majorHAnsi"/>
          <w:b/>
          <w:sz w:val="24"/>
          <w:szCs w:val="24"/>
        </w:rPr>
        <w:t xml:space="preserve"> 3</w:t>
      </w:r>
      <w:r w:rsidRPr="0081175F">
        <w:rPr>
          <w:rFonts w:asciiTheme="majorHAnsi" w:hAnsiTheme="majorHAnsi"/>
          <w:b/>
          <w:sz w:val="24"/>
          <w:szCs w:val="24"/>
        </w:rPr>
        <w:t>. Frequen</w:t>
      </w:r>
      <w:r>
        <w:rPr>
          <w:rFonts w:asciiTheme="majorHAnsi" w:hAnsiTheme="majorHAnsi"/>
          <w:b/>
          <w:sz w:val="24"/>
          <w:szCs w:val="24"/>
        </w:rPr>
        <w:t xml:space="preserve">cy of eSOFA organ dysfunctions </w:t>
      </w:r>
      <w:r w:rsidRPr="0081175F">
        <w:rPr>
          <w:rFonts w:asciiTheme="majorHAnsi" w:hAnsiTheme="majorHAnsi"/>
          <w:b/>
          <w:sz w:val="24"/>
          <w:szCs w:val="24"/>
        </w:rPr>
        <w:t>in sepsis patien</w:t>
      </w:r>
      <w:r>
        <w:rPr>
          <w:rFonts w:asciiTheme="majorHAnsi" w:hAnsiTheme="majorHAnsi"/>
          <w:b/>
          <w:sz w:val="24"/>
          <w:szCs w:val="24"/>
        </w:rPr>
        <w:t>ts defined by ≥1 eSOFA criteria</w:t>
      </w:r>
      <w:r w:rsidR="002E5A71">
        <w:rPr>
          <w:rFonts w:asciiTheme="majorHAnsi" w:hAnsiTheme="majorHAnsi"/>
          <w:b/>
          <w:sz w:val="24"/>
          <w:szCs w:val="24"/>
        </w:rPr>
        <w:t xml:space="preserve"> (CDC Adult Sepsis Event)</w:t>
      </w:r>
    </w:p>
    <w:p w:rsidR="00BE2909" w:rsidRDefault="00CA11F9" w:rsidP="00BE2909">
      <w:pPr>
        <w:spacing w:after="0" w:line="240" w:lineRule="auto"/>
        <w:rPr>
          <w:rFonts w:asciiTheme="majorHAnsi" w:hAnsiTheme="majorHAnsi"/>
          <w:sz w:val="24"/>
          <w:szCs w:val="24"/>
        </w:rPr>
      </w:pPr>
      <w:r>
        <w:rPr>
          <w:noProof/>
        </w:rPr>
        <w:drawing>
          <wp:inline distT="0" distB="0" distL="0" distR="0" wp14:anchorId="0B1EDD96" wp14:editId="18480B8B">
            <wp:extent cx="5520972" cy="2941460"/>
            <wp:effectExtent l="0" t="0" r="2286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Default="00BE2909" w:rsidP="00BE2909">
      <w:pPr>
        <w:spacing w:after="0" w:line="240" w:lineRule="auto"/>
        <w:rPr>
          <w:rFonts w:asciiTheme="majorHAnsi" w:hAnsiTheme="majorHAnsi"/>
          <w:sz w:val="24"/>
          <w:szCs w:val="24"/>
        </w:rPr>
      </w:pPr>
    </w:p>
    <w:p w:rsidR="00BE2909" w:rsidRPr="007509A4" w:rsidRDefault="00BE2909" w:rsidP="00BE2909">
      <w:pPr>
        <w:spacing w:after="0" w:line="240" w:lineRule="auto"/>
        <w:rPr>
          <w:rFonts w:asciiTheme="majorHAnsi" w:hAnsiTheme="majorHAnsi"/>
          <w:b/>
          <w:sz w:val="24"/>
          <w:szCs w:val="24"/>
        </w:rPr>
      </w:pPr>
      <w:proofErr w:type="spellStart"/>
      <w:proofErr w:type="gramStart"/>
      <w:r>
        <w:rPr>
          <w:rFonts w:asciiTheme="majorHAnsi" w:hAnsiTheme="majorHAnsi"/>
          <w:b/>
          <w:sz w:val="24"/>
          <w:szCs w:val="24"/>
        </w:rPr>
        <w:lastRenderedPageBreak/>
        <w:t>eFigure</w:t>
      </w:r>
      <w:proofErr w:type="spellEnd"/>
      <w:proofErr w:type="gramEnd"/>
      <w:r>
        <w:rPr>
          <w:rFonts w:asciiTheme="majorHAnsi" w:hAnsiTheme="majorHAnsi"/>
          <w:b/>
          <w:sz w:val="24"/>
          <w:szCs w:val="24"/>
        </w:rPr>
        <w:t xml:space="preserve"> 4</w:t>
      </w:r>
      <w:r w:rsidRPr="007509A4">
        <w:rPr>
          <w:rFonts w:asciiTheme="majorHAnsi" w:hAnsiTheme="majorHAnsi"/>
          <w:b/>
          <w:sz w:val="24"/>
          <w:szCs w:val="24"/>
        </w:rPr>
        <w:t>. Frequency of eSOFA organ dysfun</w:t>
      </w:r>
      <w:r>
        <w:rPr>
          <w:rFonts w:asciiTheme="majorHAnsi" w:hAnsiTheme="majorHAnsi"/>
          <w:b/>
          <w:sz w:val="24"/>
          <w:szCs w:val="24"/>
        </w:rPr>
        <w:t xml:space="preserve">ction criteria in eSOFA+/SOFA- </w:t>
      </w:r>
      <w:r w:rsidRPr="007509A4">
        <w:rPr>
          <w:rFonts w:asciiTheme="majorHAnsi" w:hAnsiTheme="majorHAnsi"/>
          <w:b/>
          <w:sz w:val="24"/>
          <w:szCs w:val="24"/>
        </w:rPr>
        <w:t>sepsis patients</w:t>
      </w:r>
    </w:p>
    <w:p w:rsidR="00BE2909" w:rsidRDefault="00BE2909" w:rsidP="00BE2909">
      <w:pPr>
        <w:spacing w:after="0" w:line="240" w:lineRule="auto"/>
        <w:rPr>
          <w:rFonts w:asciiTheme="majorHAnsi" w:hAnsiTheme="majorHAnsi"/>
          <w:sz w:val="24"/>
          <w:szCs w:val="24"/>
        </w:rPr>
      </w:pPr>
    </w:p>
    <w:p w:rsidR="00BE2909" w:rsidRDefault="00CA11F9" w:rsidP="00BE2909">
      <w:pPr>
        <w:spacing w:after="0" w:line="240" w:lineRule="auto"/>
        <w:rPr>
          <w:rFonts w:asciiTheme="majorHAnsi" w:hAnsiTheme="majorHAnsi"/>
          <w:sz w:val="24"/>
          <w:szCs w:val="24"/>
        </w:rPr>
      </w:pPr>
      <w:r>
        <w:rPr>
          <w:noProof/>
        </w:rPr>
        <w:drawing>
          <wp:inline distT="0" distB="0" distL="0" distR="0" wp14:anchorId="4D385E2B" wp14:editId="30437E05">
            <wp:extent cx="5520973" cy="3019074"/>
            <wp:effectExtent l="0" t="0" r="22860"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2909" w:rsidRDefault="00BE2909" w:rsidP="00BE2909">
      <w:pPr>
        <w:spacing w:after="0" w:line="240" w:lineRule="auto"/>
        <w:rPr>
          <w:rFonts w:asciiTheme="majorHAnsi" w:hAnsiTheme="majorHAnsi"/>
          <w:sz w:val="24"/>
          <w:szCs w:val="24"/>
        </w:rPr>
      </w:pPr>
    </w:p>
    <w:p w:rsidR="00BE2909" w:rsidRPr="007509A4" w:rsidRDefault="00BE2909" w:rsidP="00BE2909">
      <w:pPr>
        <w:spacing w:after="0" w:line="240" w:lineRule="auto"/>
        <w:rPr>
          <w:rFonts w:asciiTheme="majorHAnsi" w:hAnsiTheme="majorHAnsi"/>
          <w:b/>
          <w:sz w:val="24"/>
          <w:szCs w:val="24"/>
        </w:rPr>
      </w:pPr>
      <w:proofErr w:type="spellStart"/>
      <w:proofErr w:type="gramStart"/>
      <w:r>
        <w:rPr>
          <w:rFonts w:asciiTheme="majorHAnsi" w:hAnsiTheme="majorHAnsi"/>
          <w:b/>
          <w:sz w:val="24"/>
          <w:szCs w:val="24"/>
        </w:rPr>
        <w:t>eFigure</w:t>
      </w:r>
      <w:proofErr w:type="spellEnd"/>
      <w:proofErr w:type="gramEnd"/>
      <w:r>
        <w:rPr>
          <w:rFonts w:asciiTheme="majorHAnsi" w:hAnsiTheme="majorHAnsi"/>
          <w:b/>
          <w:sz w:val="24"/>
          <w:szCs w:val="24"/>
        </w:rPr>
        <w:t xml:space="preserve"> 5</w:t>
      </w:r>
      <w:r w:rsidRPr="007509A4">
        <w:rPr>
          <w:rFonts w:asciiTheme="majorHAnsi" w:hAnsiTheme="majorHAnsi"/>
          <w:b/>
          <w:sz w:val="24"/>
          <w:szCs w:val="24"/>
        </w:rPr>
        <w:t>. Frequency of SOFA organ dysfunctions contributing ≥2 points in SOFA+/eSOFA- sepsis patients</w:t>
      </w:r>
    </w:p>
    <w:p w:rsidR="00BE2909" w:rsidRDefault="00BE2909" w:rsidP="00BE2909">
      <w:pPr>
        <w:spacing w:after="0" w:line="240" w:lineRule="auto"/>
        <w:rPr>
          <w:rFonts w:asciiTheme="majorHAnsi" w:hAnsiTheme="majorHAnsi"/>
          <w:sz w:val="24"/>
          <w:szCs w:val="24"/>
        </w:rPr>
      </w:pPr>
    </w:p>
    <w:p w:rsidR="009A49AE" w:rsidRDefault="00BE2909" w:rsidP="00BE2909">
      <w:pPr>
        <w:spacing w:after="0" w:line="240" w:lineRule="auto"/>
        <w:rPr>
          <w:rFonts w:asciiTheme="majorHAnsi" w:hAnsiTheme="majorHAnsi"/>
          <w:sz w:val="24"/>
          <w:szCs w:val="24"/>
        </w:rPr>
      </w:pPr>
      <w:r>
        <w:rPr>
          <w:noProof/>
        </w:rPr>
        <w:drawing>
          <wp:inline distT="0" distB="0" distL="0" distR="0" wp14:anchorId="551C9B7F" wp14:editId="4586473B">
            <wp:extent cx="5584471" cy="3484739"/>
            <wp:effectExtent l="0" t="0" r="16510" b="209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3E43" w:rsidRDefault="00E03E43" w:rsidP="000602CC">
      <w:pPr>
        <w:spacing w:after="0" w:line="240" w:lineRule="auto"/>
        <w:rPr>
          <w:rFonts w:asciiTheme="majorHAnsi" w:hAnsiTheme="majorHAnsi"/>
          <w:b/>
          <w:sz w:val="24"/>
          <w:szCs w:val="24"/>
        </w:rPr>
      </w:pPr>
    </w:p>
    <w:p w:rsidR="00E03E43" w:rsidRDefault="00E03E43" w:rsidP="000602CC">
      <w:pPr>
        <w:spacing w:after="0" w:line="240" w:lineRule="auto"/>
        <w:rPr>
          <w:rFonts w:asciiTheme="majorHAnsi" w:hAnsiTheme="majorHAnsi"/>
          <w:b/>
          <w:sz w:val="24"/>
          <w:szCs w:val="24"/>
        </w:rPr>
      </w:pPr>
    </w:p>
    <w:p w:rsidR="000602CC" w:rsidRPr="007509A4" w:rsidRDefault="000602CC" w:rsidP="000602CC">
      <w:pPr>
        <w:spacing w:after="0" w:line="240" w:lineRule="auto"/>
        <w:rPr>
          <w:rFonts w:asciiTheme="majorHAnsi" w:hAnsiTheme="majorHAnsi"/>
          <w:b/>
          <w:sz w:val="24"/>
          <w:szCs w:val="24"/>
        </w:rPr>
      </w:pPr>
      <w:proofErr w:type="spellStart"/>
      <w:proofErr w:type="gramStart"/>
      <w:r>
        <w:rPr>
          <w:rFonts w:asciiTheme="majorHAnsi" w:hAnsiTheme="majorHAnsi"/>
          <w:b/>
          <w:sz w:val="24"/>
          <w:szCs w:val="24"/>
        </w:rPr>
        <w:lastRenderedPageBreak/>
        <w:t>eFigure</w:t>
      </w:r>
      <w:proofErr w:type="spellEnd"/>
      <w:proofErr w:type="gramEnd"/>
      <w:r>
        <w:rPr>
          <w:rFonts w:asciiTheme="majorHAnsi" w:hAnsiTheme="majorHAnsi"/>
          <w:b/>
          <w:sz w:val="24"/>
          <w:szCs w:val="24"/>
        </w:rPr>
        <w:t xml:space="preserve"> 6</w:t>
      </w:r>
      <w:r w:rsidR="00DD52F9">
        <w:rPr>
          <w:rFonts w:asciiTheme="majorHAnsi" w:hAnsiTheme="majorHAnsi"/>
          <w:b/>
          <w:sz w:val="24"/>
          <w:szCs w:val="24"/>
        </w:rPr>
        <w:t>. Frequency of</w:t>
      </w:r>
      <w:r w:rsidRPr="007509A4">
        <w:rPr>
          <w:rFonts w:asciiTheme="majorHAnsi" w:hAnsiTheme="majorHAnsi"/>
          <w:b/>
          <w:sz w:val="24"/>
          <w:szCs w:val="24"/>
        </w:rPr>
        <w:t xml:space="preserve"> organ dysfunctions contributing ≥2 </w:t>
      </w:r>
      <w:r w:rsidR="00DD52F9">
        <w:rPr>
          <w:rFonts w:asciiTheme="majorHAnsi" w:hAnsiTheme="majorHAnsi"/>
          <w:b/>
          <w:sz w:val="24"/>
          <w:szCs w:val="24"/>
        </w:rPr>
        <w:t xml:space="preserve">SOFA </w:t>
      </w:r>
      <w:r w:rsidRPr="007509A4">
        <w:rPr>
          <w:rFonts w:asciiTheme="majorHAnsi" w:hAnsiTheme="majorHAnsi"/>
          <w:b/>
          <w:sz w:val="24"/>
          <w:szCs w:val="24"/>
        </w:rPr>
        <w:t>points</w:t>
      </w:r>
      <w:r>
        <w:rPr>
          <w:rFonts w:asciiTheme="majorHAnsi" w:hAnsiTheme="majorHAnsi"/>
          <w:b/>
          <w:sz w:val="24"/>
          <w:szCs w:val="24"/>
        </w:rPr>
        <w:t xml:space="preserve"> and </w:t>
      </w:r>
      <w:r w:rsidR="00DD52F9">
        <w:rPr>
          <w:rFonts w:asciiTheme="majorHAnsi" w:hAnsiTheme="majorHAnsi"/>
          <w:b/>
          <w:sz w:val="24"/>
          <w:szCs w:val="24"/>
        </w:rPr>
        <w:t xml:space="preserve">≥1 </w:t>
      </w:r>
      <w:r>
        <w:rPr>
          <w:rFonts w:asciiTheme="majorHAnsi" w:hAnsiTheme="majorHAnsi"/>
          <w:b/>
          <w:sz w:val="24"/>
          <w:szCs w:val="24"/>
        </w:rPr>
        <w:t xml:space="preserve">eSOFA </w:t>
      </w:r>
      <w:r w:rsidR="00DD52F9">
        <w:rPr>
          <w:rFonts w:asciiTheme="majorHAnsi" w:hAnsiTheme="majorHAnsi"/>
          <w:b/>
          <w:sz w:val="24"/>
          <w:szCs w:val="24"/>
        </w:rPr>
        <w:t xml:space="preserve">criteria </w:t>
      </w:r>
      <w:r w:rsidRPr="007509A4">
        <w:rPr>
          <w:rFonts w:asciiTheme="majorHAnsi" w:hAnsiTheme="majorHAnsi"/>
          <w:b/>
          <w:sz w:val="24"/>
          <w:szCs w:val="24"/>
        </w:rPr>
        <w:t>in SOFA+/eSOFA</w:t>
      </w:r>
      <w:r>
        <w:rPr>
          <w:rFonts w:asciiTheme="majorHAnsi" w:hAnsiTheme="majorHAnsi"/>
          <w:b/>
          <w:sz w:val="24"/>
          <w:szCs w:val="24"/>
        </w:rPr>
        <w:t>+</w:t>
      </w:r>
      <w:r w:rsidRPr="007509A4">
        <w:rPr>
          <w:rFonts w:asciiTheme="majorHAnsi" w:hAnsiTheme="majorHAnsi"/>
          <w:b/>
          <w:sz w:val="24"/>
          <w:szCs w:val="24"/>
        </w:rPr>
        <w:t xml:space="preserve"> sepsis patients</w:t>
      </w:r>
    </w:p>
    <w:p w:rsidR="00340CC3" w:rsidRDefault="00340CC3" w:rsidP="00BE2909">
      <w:pPr>
        <w:spacing w:after="0" w:line="240" w:lineRule="auto"/>
        <w:rPr>
          <w:rFonts w:asciiTheme="majorHAnsi" w:hAnsiTheme="majorHAnsi"/>
          <w:sz w:val="24"/>
          <w:szCs w:val="24"/>
        </w:rPr>
      </w:pPr>
    </w:p>
    <w:p w:rsidR="00340CC3" w:rsidRDefault="00012E7C" w:rsidP="00BE2909">
      <w:pPr>
        <w:spacing w:after="0" w:line="240" w:lineRule="auto"/>
        <w:rPr>
          <w:rFonts w:asciiTheme="majorHAnsi" w:hAnsiTheme="majorHAnsi"/>
          <w:sz w:val="24"/>
          <w:szCs w:val="24"/>
        </w:rPr>
      </w:pPr>
      <w:r>
        <w:rPr>
          <w:noProof/>
        </w:rPr>
        <w:drawing>
          <wp:inline distT="0" distB="0" distL="0" distR="0" wp14:anchorId="127A79BC" wp14:editId="1FE88A66">
            <wp:extent cx="5943600" cy="3216910"/>
            <wp:effectExtent l="0" t="0" r="19050"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2E7C" w:rsidRDefault="00012E7C" w:rsidP="00BE2909">
      <w:pPr>
        <w:spacing w:after="0" w:line="240" w:lineRule="auto"/>
        <w:rPr>
          <w:rFonts w:asciiTheme="majorHAnsi" w:hAnsiTheme="majorHAnsi"/>
          <w:sz w:val="24"/>
          <w:szCs w:val="24"/>
        </w:rPr>
      </w:pPr>
    </w:p>
    <w:p w:rsidR="00012E7C" w:rsidRDefault="00012E7C" w:rsidP="00BE2909">
      <w:pPr>
        <w:spacing w:after="0" w:line="240" w:lineRule="auto"/>
        <w:rPr>
          <w:rFonts w:asciiTheme="majorHAnsi" w:hAnsiTheme="majorHAnsi"/>
          <w:sz w:val="24"/>
          <w:szCs w:val="24"/>
        </w:rPr>
      </w:pPr>
      <w:r>
        <w:rPr>
          <w:rFonts w:asciiTheme="majorHAnsi" w:hAnsiTheme="majorHAnsi"/>
          <w:sz w:val="24"/>
          <w:szCs w:val="24"/>
        </w:rPr>
        <w:t xml:space="preserve">This figure shows the distribution of dysfunctional organs in patients meeting both CDC Adult Sepsis Event and Sepsis-3 criteria.  </w:t>
      </w:r>
      <w:r w:rsidR="00411822">
        <w:rPr>
          <w:rFonts w:asciiTheme="majorHAnsi" w:hAnsiTheme="majorHAnsi"/>
          <w:sz w:val="24"/>
          <w:szCs w:val="24"/>
        </w:rPr>
        <w:t xml:space="preserve">The </w:t>
      </w:r>
      <w:r w:rsidR="00136A51">
        <w:rPr>
          <w:rFonts w:asciiTheme="majorHAnsi" w:hAnsiTheme="majorHAnsi"/>
          <w:sz w:val="24"/>
          <w:szCs w:val="24"/>
        </w:rPr>
        <w:t xml:space="preserve">blue </w:t>
      </w:r>
      <w:r w:rsidR="00411822">
        <w:rPr>
          <w:rFonts w:asciiTheme="majorHAnsi" w:hAnsiTheme="majorHAnsi"/>
          <w:sz w:val="24"/>
          <w:szCs w:val="24"/>
        </w:rPr>
        <w:t>bars indicate</w:t>
      </w:r>
      <w:r w:rsidR="00136A51">
        <w:rPr>
          <w:rFonts w:asciiTheme="majorHAnsi" w:hAnsiTheme="majorHAnsi"/>
          <w:sz w:val="24"/>
          <w:szCs w:val="24"/>
        </w:rPr>
        <w:t xml:space="preserve"> the frequency of ≥2 </w:t>
      </w:r>
      <w:r w:rsidR="00411822">
        <w:rPr>
          <w:rFonts w:asciiTheme="majorHAnsi" w:hAnsiTheme="majorHAnsi"/>
          <w:sz w:val="24"/>
          <w:szCs w:val="24"/>
        </w:rPr>
        <w:t>SOFA points for each organ dysfunction category for sepsis patients</w:t>
      </w:r>
      <w:r w:rsidR="00136A51">
        <w:rPr>
          <w:rFonts w:asciiTheme="majorHAnsi" w:hAnsiTheme="majorHAnsi"/>
          <w:sz w:val="24"/>
          <w:szCs w:val="24"/>
        </w:rPr>
        <w:t xml:space="preserve">, while the </w:t>
      </w:r>
      <w:r w:rsidR="00411822">
        <w:rPr>
          <w:rFonts w:asciiTheme="majorHAnsi" w:hAnsiTheme="majorHAnsi"/>
          <w:sz w:val="24"/>
          <w:szCs w:val="24"/>
        </w:rPr>
        <w:t>blue bar</w:t>
      </w:r>
      <w:r w:rsidR="00136A51">
        <w:rPr>
          <w:rFonts w:asciiTheme="majorHAnsi" w:hAnsiTheme="majorHAnsi"/>
          <w:sz w:val="24"/>
          <w:szCs w:val="24"/>
        </w:rPr>
        <w:t xml:space="preserve"> indicates the frequency of ≥1 eSOFA criteria in each category.  </w:t>
      </w:r>
      <w:r w:rsidR="005E7F9A">
        <w:rPr>
          <w:rFonts w:asciiTheme="majorHAnsi" w:hAnsiTheme="majorHAnsi"/>
          <w:sz w:val="24"/>
          <w:szCs w:val="24"/>
        </w:rPr>
        <w:t xml:space="preserve">The far right column </w:t>
      </w:r>
      <w:r w:rsidR="00DA5CC2">
        <w:rPr>
          <w:rFonts w:asciiTheme="majorHAnsi" w:hAnsiTheme="majorHAnsi"/>
          <w:sz w:val="24"/>
          <w:szCs w:val="24"/>
        </w:rPr>
        <w:t>(</w:t>
      </w:r>
      <w:r w:rsidR="005E7F9A">
        <w:rPr>
          <w:rFonts w:asciiTheme="majorHAnsi" w:hAnsiTheme="majorHAnsi"/>
          <w:sz w:val="24"/>
          <w:szCs w:val="24"/>
        </w:rPr>
        <w:t>“</w:t>
      </w:r>
      <w:r w:rsidR="00DA5CC2">
        <w:rPr>
          <w:rFonts w:asciiTheme="majorHAnsi" w:hAnsiTheme="majorHAnsi"/>
          <w:sz w:val="24"/>
          <w:szCs w:val="24"/>
        </w:rPr>
        <w:t>Neurologic or L</w:t>
      </w:r>
      <w:r w:rsidR="005E7F9A">
        <w:rPr>
          <w:rFonts w:asciiTheme="majorHAnsi" w:hAnsiTheme="majorHAnsi"/>
          <w:sz w:val="24"/>
          <w:szCs w:val="24"/>
        </w:rPr>
        <w:t>actate”</w:t>
      </w:r>
      <w:r w:rsidR="00953FF4">
        <w:rPr>
          <w:rFonts w:asciiTheme="majorHAnsi" w:hAnsiTheme="majorHAnsi"/>
          <w:sz w:val="24"/>
          <w:szCs w:val="24"/>
        </w:rPr>
        <w:t xml:space="preserve">) refers to </w:t>
      </w:r>
      <w:r w:rsidR="005E7F9A">
        <w:rPr>
          <w:rFonts w:asciiTheme="majorHAnsi" w:hAnsiTheme="majorHAnsi"/>
          <w:sz w:val="24"/>
          <w:szCs w:val="24"/>
        </w:rPr>
        <w:t xml:space="preserve">the Neurologic SOFA criteria or the Lactate ≥2.0 </w:t>
      </w:r>
      <w:proofErr w:type="spellStart"/>
      <w:r w:rsidR="005E7F9A">
        <w:rPr>
          <w:rFonts w:asciiTheme="majorHAnsi" w:hAnsiTheme="majorHAnsi"/>
          <w:sz w:val="24"/>
          <w:szCs w:val="24"/>
        </w:rPr>
        <w:t>mmol</w:t>
      </w:r>
      <w:proofErr w:type="spellEnd"/>
      <w:r w:rsidR="005E7F9A">
        <w:rPr>
          <w:rFonts w:asciiTheme="majorHAnsi" w:hAnsiTheme="majorHAnsi"/>
          <w:sz w:val="24"/>
          <w:szCs w:val="24"/>
        </w:rPr>
        <w:t xml:space="preserve">/L eSOFA criteria. </w:t>
      </w:r>
    </w:p>
    <w:p w:rsidR="00AC58F9" w:rsidRPr="00BE2909" w:rsidRDefault="00AE24EA" w:rsidP="00BE2909">
      <w:pPr>
        <w:spacing w:after="0" w:line="240" w:lineRule="auto"/>
        <w:rPr>
          <w:rFonts w:asciiTheme="majorHAnsi" w:hAnsiTheme="majorHAnsi"/>
          <w:sz w:val="24"/>
          <w:szCs w:val="24"/>
        </w:rPr>
      </w:pPr>
      <w:r>
        <w:rPr>
          <w:rFonts w:asciiTheme="majorHAnsi" w:hAnsiTheme="majorHAnsi"/>
          <w:sz w:val="24"/>
          <w:szCs w:val="24"/>
        </w:rPr>
        <w:t xml:space="preserve">The other corresponding eSOFA criteria are: </w:t>
      </w:r>
      <w:r w:rsidR="009D1857">
        <w:rPr>
          <w:rFonts w:asciiTheme="majorHAnsi" w:hAnsiTheme="majorHAnsi"/>
          <w:sz w:val="24"/>
          <w:szCs w:val="24"/>
        </w:rPr>
        <w:t>v</w:t>
      </w:r>
      <w:r>
        <w:rPr>
          <w:rFonts w:asciiTheme="majorHAnsi" w:hAnsiTheme="majorHAnsi"/>
          <w:sz w:val="24"/>
          <w:szCs w:val="24"/>
        </w:rPr>
        <w:t xml:space="preserve">asopressor initiation (cardiovascular), mechanical ventilation initiation (respiratory), doubling in creatinine (renal), doubling in bilirubin to ≥2.0 </w:t>
      </w:r>
      <w:r w:rsidR="00EB5E27">
        <w:rPr>
          <w:rFonts w:asciiTheme="majorHAnsi" w:hAnsiTheme="majorHAnsi"/>
          <w:sz w:val="24"/>
          <w:szCs w:val="24"/>
        </w:rPr>
        <w:t>mg/</w:t>
      </w:r>
      <w:proofErr w:type="spellStart"/>
      <w:r w:rsidR="00EB5E27">
        <w:rPr>
          <w:rFonts w:asciiTheme="majorHAnsi" w:hAnsiTheme="majorHAnsi"/>
          <w:sz w:val="24"/>
          <w:szCs w:val="24"/>
        </w:rPr>
        <w:t>dL</w:t>
      </w:r>
      <w:proofErr w:type="spellEnd"/>
      <w:r w:rsidR="00EB5E27">
        <w:rPr>
          <w:rFonts w:asciiTheme="majorHAnsi" w:hAnsiTheme="majorHAnsi"/>
          <w:sz w:val="24"/>
          <w:szCs w:val="24"/>
        </w:rPr>
        <w:t xml:space="preserve"> </w:t>
      </w:r>
      <w:r>
        <w:rPr>
          <w:rFonts w:asciiTheme="majorHAnsi" w:hAnsiTheme="majorHAnsi"/>
          <w:sz w:val="24"/>
          <w:szCs w:val="24"/>
        </w:rPr>
        <w:t xml:space="preserve">(hepatic), </w:t>
      </w:r>
      <w:r w:rsidR="00103BCB">
        <w:rPr>
          <w:rFonts w:asciiTheme="majorHAnsi" w:hAnsiTheme="majorHAnsi"/>
          <w:sz w:val="24"/>
          <w:szCs w:val="24"/>
        </w:rPr>
        <w:t xml:space="preserve">and </w:t>
      </w:r>
      <w:r>
        <w:rPr>
          <w:rFonts w:asciiTheme="majorHAnsi" w:hAnsiTheme="majorHAnsi"/>
          <w:sz w:val="24"/>
          <w:szCs w:val="24"/>
        </w:rPr>
        <w:t>decrease in platelets by ≥5</w:t>
      </w:r>
      <w:r w:rsidR="00EB5E27">
        <w:rPr>
          <w:rFonts w:asciiTheme="majorHAnsi" w:hAnsiTheme="majorHAnsi"/>
          <w:sz w:val="24"/>
          <w:szCs w:val="24"/>
        </w:rPr>
        <w:t>0% to &lt;100</w:t>
      </w:r>
      <w:r w:rsidR="00EB5E27" w:rsidRPr="00EB5E27">
        <w:rPr>
          <w:rFonts w:asciiTheme="majorHAnsi" w:hAnsiTheme="majorHAnsi" w:cs="Arial"/>
          <w:sz w:val="24"/>
          <w:szCs w:val="24"/>
        </w:rPr>
        <w:t xml:space="preserve"> cells/µL</w:t>
      </w:r>
      <w:r>
        <w:rPr>
          <w:rFonts w:asciiTheme="majorHAnsi" w:hAnsiTheme="majorHAnsi"/>
          <w:sz w:val="24"/>
          <w:szCs w:val="24"/>
        </w:rPr>
        <w:t xml:space="preserve"> (coagulation).</w:t>
      </w:r>
    </w:p>
    <w:sectPr w:rsidR="00AC58F9" w:rsidRPr="00BE2909" w:rsidSect="007F744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1A" w:rsidRDefault="00D0021A">
      <w:pPr>
        <w:spacing w:after="0" w:line="240" w:lineRule="auto"/>
      </w:pPr>
      <w:r>
        <w:separator/>
      </w:r>
    </w:p>
  </w:endnote>
  <w:endnote w:type="continuationSeparator" w:id="0">
    <w:p w:rsidR="00D0021A" w:rsidRDefault="00D0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TNEJMScalaSansL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24178"/>
      <w:docPartObj>
        <w:docPartGallery w:val="Page Numbers (Bottom of Page)"/>
        <w:docPartUnique/>
      </w:docPartObj>
    </w:sdtPr>
    <w:sdtEndPr>
      <w:rPr>
        <w:rFonts w:asciiTheme="majorHAnsi" w:hAnsiTheme="majorHAnsi"/>
        <w:noProof/>
      </w:rPr>
    </w:sdtEndPr>
    <w:sdtContent>
      <w:p w:rsidR="00053088" w:rsidRPr="000863D0" w:rsidRDefault="00BE2909">
        <w:pPr>
          <w:pStyle w:val="Footer"/>
          <w:jc w:val="right"/>
          <w:rPr>
            <w:rFonts w:asciiTheme="majorHAnsi" w:hAnsiTheme="majorHAnsi"/>
          </w:rPr>
        </w:pPr>
        <w:r w:rsidRPr="000863D0">
          <w:rPr>
            <w:rFonts w:asciiTheme="majorHAnsi" w:hAnsiTheme="majorHAnsi"/>
          </w:rPr>
          <w:fldChar w:fldCharType="begin"/>
        </w:r>
        <w:r w:rsidRPr="000863D0">
          <w:rPr>
            <w:rFonts w:asciiTheme="majorHAnsi" w:hAnsiTheme="majorHAnsi"/>
          </w:rPr>
          <w:instrText xml:space="preserve"> PAGE   \* MERGEFORMAT </w:instrText>
        </w:r>
        <w:r w:rsidRPr="000863D0">
          <w:rPr>
            <w:rFonts w:asciiTheme="majorHAnsi" w:hAnsiTheme="majorHAnsi"/>
          </w:rPr>
          <w:fldChar w:fldCharType="separate"/>
        </w:r>
        <w:r w:rsidR="00C02128">
          <w:rPr>
            <w:rFonts w:asciiTheme="majorHAnsi" w:hAnsiTheme="majorHAnsi"/>
            <w:noProof/>
          </w:rPr>
          <w:t>10</w:t>
        </w:r>
        <w:r w:rsidRPr="000863D0">
          <w:rPr>
            <w:rFonts w:asciiTheme="majorHAnsi" w:hAnsiTheme="majorHAnsi"/>
            <w:noProof/>
          </w:rPr>
          <w:fldChar w:fldCharType="end"/>
        </w:r>
      </w:p>
    </w:sdtContent>
  </w:sdt>
  <w:p w:rsidR="00053088" w:rsidRDefault="00D00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1A" w:rsidRDefault="00D0021A">
      <w:pPr>
        <w:spacing w:after="0" w:line="240" w:lineRule="auto"/>
      </w:pPr>
      <w:r>
        <w:separator/>
      </w:r>
    </w:p>
  </w:footnote>
  <w:footnote w:type="continuationSeparator" w:id="0">
    <w:p w:rsidR="00D0021A" w:rsidRDefault="00D00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2F1D"/>
    <w:multiLevelType w:val="hybridMultilevel"/>
    <w:tmpl w:val="EF3210FA"/>
    <w:lvl w:ilvl="0" w:tplc="A9EC6A7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200989"/>
    <w:multiLevelType w:val="hybridMultilevel"/>
    <w:tmpl w:val="66680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A58F4"/>
    <w:multiLevelType w:val="hybridMultilevel"/>
    <w:tmpl w:val="41B63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3C18B1"/>
    <w:multiLevelType w:val="hybridMultilevel"/>
    <w:tmpl w:val="27F2C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09"/>
    <w:rsid w:val="00012E7C"/>
    <w:rsid w:val="000602CC"/>
    <w:rsid w:val="000D372C"/>
    <w:rsid w:val="00100600"/>
    <w:rsid w:val="00103BCB"/>
    <w:rsid w:val="00136A51"/>
    <w:rsid w:val="001B6479"/>
    <w:rsid w:val="002E551D"/>
    <w:rsid w:val="002E5A71"/>
    <w:rsid w:val="002F7ED7"/>
    <w:rsid w:val="00340CC3"/>
    <w:rsid w:val="00411822"/>
    <w:rsid w:val="00413E58"/>
    <w:rsid w:val="004F3A49"/>
    <w:rsid w:val="00516F6D"/>
    <w:rsid w:val="005C28F8"/>
    <w:rsid w:val="005D771E"/>
    <w:rsid w:val="005E7F9A"/>
    <w:rsid w:val="006100DA"/>
    <w:rsid w:val="007A414D"/>
    <w:rsid w:val="00816C8C"/>
    <w:rsid w:val="008968F2"/>
    <w:rsid w:val="008D7875"/>
    <w:rsid w:val="00953FF4"/>
    <w:rsid w:val="00994F9B"/>
    <w:rsid w:val="009C3429"/>
    <w:rsid w:val="009D1857"/>
    <w:rsid w:val="00A64C51"/>
    <w:rsid w:val="00A968BC"/>
    <w:rsid w:val="00AC58F9"/>
    <w:rsid w:val="00AE24EA"/>
    <w:rsid w:val="00B30707"/>
    <w:rsid w:val="00B330C0"/>
    <w:rsid w:val="00B51E94"/>
    <w:rsid w:val="00BE2909"/>
    <w:rsid w:val="00C02128"/>
    <w:rsid w:val="00C454FD"/>
    <w:rsid w:val="00C71675"/>
    <w:rsid w:val="00C879C8"/>
    <w:rsid w:val="00CA11F9"/>
    <w:rsid w:val="00D0021A"/>
    <w:rsid w:val="00D32E10"/>
    <w:rsid w:val="00DA5CC2"/>
    <w:rsid w:val="00DD52F9"/>
    <w:rsid w:val="00E03E43"/>
    <w:rsid w:val="00E9597A"/>
    <w:rsid w:val="00EB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2909"/>
    <w:pPr>
      <w:ind w:left="720"/>
      <w:contextualSpacing/>
    </w:pPr>
  </w:style>
  <w:style w:type="character" w:customStyle="1" w:styleId="ListParagraphChar">
    <w:name w:val="List Paragraph Char"/>
    <w:basedOn w:val="DefaultParagraphFont"/>
    <w:link w:val="ListParagraph"/>
    <w:uiPriority w:val="34"/>
    <w:rsid w:val="00BE2909"/>
  </w:style>
  <w:style w:type="paragraph" w:styleId="Footer">
    <w:name w:val="footer"/>
    <w:basedOn w:val="Normal"/>
    <w:link w:val="FooterChar"/>
    <w:uiPriority w:val="99"/>
    <w:unhideWhenUsed/>
    <w:rsid w:val="00BE2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09"/>
  </w:style>
  <w:style w:type="table" w:styleId="LightList">
    <w:name w:val="Light List"/>
    <w:basedOn w:val="TableNormal"/>
    <w:uiPriority w:val="61"/>
    <w:rsid w:val="00BE29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E2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2909"/>
    <w:pPr>
      <w:ind w:left="720"/>
      <w:contextualSpacing/>
    </w:pPr>
  </w:style>
  <w:style w:type="character" w:customStyle="1" w:styleId="ListParagraphChar">
    <w:name w:val="List Paragraph Char"/>
    <w:basedOn w:val="DefaultParagraphFont"/>
    <w:link w:val="ListParagraph"/>
    <w:uiPriority w:val="34"/>
    <w:rsid w:val="00BE2909"/>
  </w:style>
  <w:style w:type="paragraph" w:styleId="Footer">
    <w:name w:val="footer"/>
    <w:basedOn w:val="Normal"/>
    <w:link w:val="FooterChar"/>
    <w:uiPriority w:val="99"/>
    <w:unhideWhenUsed/>
    <w:rsid w:val="00BE2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09"/>
  </w:style>
  <w:style w:type="table" w:styleId="LightList">
    <w:name w:val="Light List"/>
    <w:basedOn w:val="TableNormal"/>
    <w:uiPriority w:val="61"/>
    <w:rsid w:val="00BE29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E2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anu\Desktop\FILES\ACADEMIC\2016%20Epicenters\SOFA%20Sepsis%20and%20eSOFA%20Comparison\Manuscript%20-%20SOFA%20vs%20Epicenters%20Organ%20Dysfunction%20Criteria\eFigures%20for%20eSOFA%20vs%20SOFA%20Manuscrip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anu\Desktop\FILES\ACADEMIC\2016%20Epicenters\eSOFA%20Comparison\Manuscript%20-%20SOFA%20vs%20Epicenters%20Organ%20Dysfunction%20Criteria\eFigures%20for%20eSOFA%20vs%20SOFA%20Manuscrip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anu\Desktop\FILES\ACADEMIC\2016%20Epicenters\eSOFA%20Comparison\Manuscript%20-%20SOFA%20vs%20Epicenters%20Organ%20Dysfunction%20Criteria\eFigures%20for%20eSOFA%20vs%20SOFA%20Manuscrip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anu\Desktop\FILES\ACADEMIC\2016%20Epicenters\SOFA%20Sepsis%20and%20eSOFA%20Comparison\Manuscript%20-%20SOFA%20vs%20Epicenters%20Organ%20Dysfunction%20Criteria\eFigures%20for%20eSOFA%20vs%20SOFA%20Manuscrip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hanu\Desktop\FILES\ACADEMIC\2016%20Epicenters\eSOFA%20Comparison\Manuscript%20-%20SOFA%20vs%20Epicenters%20Organ%20Dysfunction%20Criteria\eFigures%20for%20eSOFA%20vs%20SOFA%20Manuscrip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SOFA &gt;=2 %</c:v>
                </c:pt>
              </c:strCache>
            </c:strRef>
          </c:tx>
          <c:invertIfNegative val="0"/>
          <c:cat>
            <c:strRef>
              <c:f>Sheet1!$B$3:$B$8</c:f>
              <c:strCache>
                <c:ptCount val="6"/>
                <c:pt idx="0">
                  <c:v>Neurologic SOFA</c:v>
                </c:pt>
                <c:pt idx="1">
                  <c:v>Cardiovascular SOFA</c:v>
                </c:pt>
                <c:pt idx="2">
                  <c:v>Respiratory SOFA</c:v>
                </c:pt>
                <c:pt idx="3">
                  <c:v>Renal SOFA</c:v>
                </c:pt>
                <c:pt idx="4">
                  <c:v>Hepatic SOFA</c:v>
                </c:pt>
                <c:pt idx="5">
                  <c:v>Coagulation SOFA</c:v>
                </c:pt>
              </c:strCache>
            </c:strRef>
          </c:cat>
          <c:val>
            <c:numRef>
              <c:f>Sheet1!$C$3:$C$8</c:f>
              <c:numCache>
                <c:formatCode>0.00%</c:formatCode>
                <c:ptCount val="6"/>
                <c:pt idx="0">
                  <c:v>0.26500000000000001</c:v>
                </c:pt>
                <c:pt idx="1">
                  <c:v>0.221</c:v>
                </c:pt>
                <c:pt idx="2">
                  <c:v>0.38700000000000001</c:v>
                </c:pt>
                <c:pt idx="3">
                  <c:v>0.159</c:v>
                </c:pt>
                <c:pt idx="4">
                  <c:v>6.3E-2</c:v>
                </c:pt>
                <c:pt idx="5">
                  <c:v>0.108</c:v>
                </c:pt>
              </c:numCache>
            </c:numRef>
          </c:val>
          <c:extLst xmlns:c16r2="http://schemas.microsoft.com/office/drawing/2015/06/chart">
            <c:ext xmlns:c16="http://schemas.microsoft.com/office/drawing/2014/chart" uri="{C3380CC4-5D6E-409C-BE32-E72D297353CC}">
              <c16:uniqueId val="{00000000-FC11-744F-9F4B-9AE5934BD661}"/>
            </c:ext>
          </c:extLst>
        </c:ser>
        <c:dLbls>
          <c:showLegendKey val="0"/>
          <c:showVal val="0"/>
          <c:showCatName val="0"/>
          <c:showSerName val="0"/>
          <c:showPercent val="0"/>
          <c:showBubbleSize val="0"/>
        </c:dLbls>
        <c:gapWidth val="150"/>
        <c:axId val="177631232"/>
        <c:axId val="180562176"/>
      </c:barChart>
      <c:catAx>
        <c:axId val="177631232"/>
        <c:scaling>
          <c:orientation val="minMax"/>
        </c:scaling>
        <c:delete val="0"/>
        <c:axPos val="b"/>
        <c:numFmt formatCode="General" sourceLinked="0"/>
        <c:majorTickMark val="out"/>
        <c:minorTickMark val="none"/>
        <c:tickLblPos val="nextTo"/>
        <c:txPr>
          <a:bodyPr/>
          <a:lstStyle/>
          <a:p>
            <a:pPr>
              <a:defRPr b="1"/>
            </a:pPr>
            <a:endParaRPr lang="en-US"/>
          </a:p>
        </c:txPr>
        <c:crossAx val="180562176"/>
        <c:crosses val="autoZero"/>
        <c:auto val="1"/>
        <c:lblAlgn val="ctr"/>
        <c:lblOffset val="100"/>
        <c:noMultiLvlLbl val="0"/>
      </c:catAx>
      <c:valAx>
        <c:axId val="180562176"/>
        <c:scaling>
          <c:orientation val="minMax"/>
          <c:max val="0.5"/>
        </c:scaling>
        <c:delete val="0"/>
        <c:axPos val="l"/>
        <c:majorGridlines/>
        <c:numFmt formatCode="0%" sourceLinked="0"/>
        <c:majorTickMark val="out"/>
        <c:minorTickMark val="none"/>
        <c:tickLblPos val="nextTo"/>
        <c:crossAx val="1776312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invertIfNegative val="0"/>
          <c:cat>
            <c:strRef>
              <c:f>'eFigures 2-5'!$B$19:$B$24</c:f>
              <c:strCache>
                <c:ptCount val="6"/>
                <c:pt idx="0">
                  <c:v>Vasopressor Initiation</c:v>
                </c:pt>
                <c:pt idx="1">
                  <c:v>Mechanical Ventilation Initiation</c:v>
                </c:pt>
                <c:pt idx="2">
                  <c:v>Doubling in Creatinine</c:v>
                </c:pt>
                <c:pt idx="3">
                  <c:v>Doubling in Bilirubin to ≥2.0</c:v>
                </c:pt>
                <c:pt idx="4">
                  <c:v>Decrease in Platelets by ≥50% to &lt;100</c:v>
                </c:pt>
                <c:pt idx="5">
                  <c:v>Serum Lactate ≥2.0</c:v>
                </c:pt>
              </c:strCache>
            </c:strRef>
          </c:cat>
          <c:val>
            <c:numRef>
              <c:f>'eFigures 2-5'!$C$19:$C$24</c:f>
              <c:numCache>
                <c:formatCode>0.00%</c:formatCode>
                <c:ptCount val="6"/>
                <c:pt idx="0">
                  <c:v>0.32800000000000001</c:v>
                </c:pt>
                <c:pt idx="1">
                  <c:v>0.21299999999999999</c:v>
                </c:pt>
                <c:pt idx="2">
                  <c:v>0.41899999999999998</c:v>
                </c:pt>
                <c:pt idx="3">
                  <c:v>8.5999999999999993E-2</c:v>
                </c:pt>
                <c:pt idx="4">
                  <c:v>0.12</c:v>
                </c:pt>
                <c:pt idx="5">
                  <c:v>0.47399999999999998</c:v>
                </c:pt>
              </c:numCache>
            </c:numRef>
          </c:val>
        </c:ser>
        <c:dLbls>
          <c:showLegendKey val="0"/>
          <c:showVal val="0"/>
          <c:showCatName val="0"/>
          <c:showSerName val="0"/>
          <c:showPercent val="0"/>
          <c:showBubbleSize val="0"/>
        </c:dLbls>
        <c:gapWidth val="150"/>
        <c:axId val="183273984"/>
        <c:axId val="181003392"/>
      </c:barChart>
      <c:catAx>
        <c:axId val="183273984"/>
        <c:scaling>
          <c:orientation val="minMax"/>
        </c:scaling>
        <c:delete val="0"/>
        <c:axPos val="b"/>
        <c:majorTickMark val="out"/>
        <c:minorTickMark val="none"/>
        <c:tickLblPos val="nextTo"/>
        <c:txPr>
          <a:bodyPr/>
          <a:lstStyle/>
          <a:p>
            <a:pPr>
              <a:defRPr b="1"/>
            </a:pPr>
            <a:endParaRPr lang="en-US"/>
          </a:p>
        </c:txPr>
        <c:crossAx val="181003392"/>
        <c:crosses val="autoZero"/>
        <c:auto val="1"/>
        <c:lblAlgn val="ctr"/>
        <c:lblOffset val="100"/>
        <c:noMultiLvlLbl val="0"/>
      </c:catAx>
      <c:valAx>
        <c:axId val="181003392"/>
        <c:scaling>
          <c:orientation val="minMax"/>
        </c:scaling>
        <c:delete val="0"/>
        <c:axPos val="l"/>
        <c:majorGridlines/>
        <c:numFmt formatCode="0%" sourceLinked="0"/>
        <c:majorTickMark val="out"/>
        <c:minorTickMark val="none"/>
        <c:tickLblPos val="nextTo"/>
        <c:crossAx val="1832739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cat>
            <c:strRef>
              <c:f>'eFigures 2-5'!$B$34:$B$39</c:f>
              <c:strCache>
                <c:ptCount val="6"/>
                <c:pt idx="0">
                  <c:v>Vasopressor Initiation</c:v>
                </c:pt>
                <c:pt idx="1">
                  <c:v>Mechanical Ventilation Initiation</c:v>
                </c:pt>
                <c:pt idx="2">
                  <c:v>Doubling in Creatinine</c:v>
                </c:pt>
                <c:pt idx="3">
                  <c:v>Doubling in Bilirubin to ≥2.0</c:v>
                </c:pt>
                <c:pt idx="4">
                  <c:v>Decrease in Platelets by ≥50% to &lt;100</c:v>
                </c:pt>
                <c:pt idx="5">
                  <c:v>Serum Lactate ≥2.0</c:v>
                </c:pt>
              </c:strCache>
            </c:strRef>
          </c:cat>
          <c:val>
            <c:numRef>
              <c:f>'eFigures 2-5'!$C$34:$C$39</c:f>
              <c:numCache>
                <c:formatCode>0.00%</c:formatCode>
                <c:ptCount val="6"/>
                <c:pt idx="0">
                  <c:v>7.3999999999999996E-2</c:v>
                </c:pt>
                <c:pt idx="1">
                  <c:v>3.2000000000000001E-2</c:v>
                </c:pt>
                <c:pt idx="2">
                  <c:v>0.33900000000000002</c:v>
                </c:pt>
                <c:pt idx="3">
                  <c:v>4.2999999999999997E-2</c:v>
                </c:pt>
                <c:pt idx="4">
                  <c:v>3.6999999999999998E-2</c:v>
                </c:pt>
                <c:pt idx="5">
                  <c:v>0.621</c:v>
                </c:pt>
              </c:numCache>
            </c:numRef>
          </c:val>
        </c:ser>
        <c:dLbls>
          <c:showLegendKey val="0"/>
          <c:showVal val="0"/>
          <c:showCatName val="0"/>
          <c:showSerName val="0"/>
          <c:showPercent val="0"/>
          <c:showBubbleSize val="0"/>
        </c:dLbls>
        <c:gapWidth val="150"/>
        <c:axId val="183274496"/>
        <c:axId val="181009728"/>
      </c:barChart>
      <c:catAx>
        <c:axId val="183274496"/>
        <c:scaling>
          <c:orientation val="minMax"/>
        </c:scaling>
        <c:delete val="0"/>
        <c:axPos val="b"/>
        <c:majorTickMark val="out"/>
        <c:minorTickMark val="none"/>
        <c:tickLblPos val="nextTo"/>
        <c:txPr>
          <a:bodyPr/>
          <a:lstStyle/>
          <a:p>
            <a:pPr>
              <a:defRPr b="1"/>
            </a:pPr>
            <a:endParaRPr lang="en-US"/>
          </a:p>
        </c:txPr>
        <c:crossAx val="181009728"/>
        <c:crosses val="autoZero"/>
        <c:auto val="1"/>
        <c:lblAlgn val="ctr"/>
        <c:lblOffset val="100"/>
        <c:noMultiLvlLbl val="0"/>
      </c:catAx>
      <c:valAx>
        <c:axId val="181009728"/>
        <c:scaling>
          <c:orientation val="minMax"/>
        </c:scaling>
        <c:delete val="0"/>
        <c:axPos val="l"/>
        <c:majorGridlines/>
        <c:numFmt formatCode="0%" sourceLinked="0"/>
        <c:majorTickMark val="out"/>
        <c:minorTickMark val="none"/>
        <c:tickLblPos val="nextTo"/>
        <c:crossAx val="1832744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Sheet1!$B$53:$B$58</c:f>
              <c:strCache>
                <c:ptCount val="6"/>
                <c:pt idx="0">
                  <c:v>Neurologic SOFA</c:v>
                </c:pt>
                <c:pt idx="1">
                  <c:v>Cardiovascular SOFA</c:v>
                </c:pt>
                <c:pt idx="2">
                  <c:v>Respiratory SOFA</c:v>
                </c:pt>
                <c:pt idx="3">
                  <c:v>Renal SOFA</c:v>
                </c:pt>
                <c:pt idx="4">
                  <c:v>Hepatic SOFA</c:v>
                </c:pt>
                <c:pt idx="5">
                  <c:v>Coagulation SOFA</c:v>
                </c:pt>
              </c:strCache>
            </c:strRef>
          </c:cat>
          <c:val>
            <c:numRef>
              <c:f>Sheet1!$C$53:$C$58</c:f>
              <c:numCache>
                <c:formatCode>0.00%</c:formatCode>
                <c:ptCount val="6"/>
                <c:pt idx="0">
                  <c:v>0.14699999999999999</c:v>
                </c:pt>
                <c:pt idx="1">
                  <c:v>7.0000000000000001E-3</c:v>
                </c:pt>
                <c:pt idx="2">
                  <c:v>0.31900000000000001</c:v>
                </c:pt>
                <c:pt idx="3">
                  <c:v>4.4999999999999998E-2</c:v>
                </c:pt>
                <c:pt idx="4">
                  <c:v>1.7000000000000001E-2</c:v>
                </c:pt>
                <c:pt idx="5">
                  <c:v>3.6999999999999998E-2</c:v>
                </c:pt>
              </c:numCache>
            </c:numRef>
          </c:val>
          <c:extLst xmlns:c16r2="http://schemas.microsoft.com/office/drawing/2015/06/chart">
            <c:ext xmlns:c16="http://schemas.microsoft.com/office/drawing/2014/chart" uri="{C3380CC4-5D6E-409C-BE32-E72D297353CC}">
              <c16:uniqueId val="{00000000-F416-AE4D-94F5-96FE2C245E99}"/>
            </c:ext>
          </c:extLst>
        </c:ser>
        <c:dLbls>
          <c:showLegendKey val="0"/>
          <c:showVal val="0"/>
          <c:showCatName val="0"/>
          <c:showSerName val="0"/>
          <c:showPercent val="0"/>
          <c:showBubbleSize val="0"/>
        </c:dLbls>
        <c:gapWidth val="150"/>
        <c:axId val="177012224"/>
        <c:axId val="192964864"/>
      </c:barChart>
      <c:catAx>
        <c:axId val="177012224"/>
        <c:scaling>
          <c:orientation val="minMax"/>
        </c:scaling>
        <c:delete val="0"/>
        <c:axPos val="b"/>
        <c:numFmt formatCode="General" sourceLinked="0"/>
        <c:majorTickMark val="out"/>
        <c:minorTickMark val="none"/>
        <c:tickLblPos val="nextTo"/>
        <c:txPr>
          <a:bodyPr/>
          <a:lstStyle/>
          <a:p>
            <a:pPr>
              <a:defRPr b="1"/>
            </a:pPr>
            <a:endParaRPr lang="en-US"/>
          </a:p>
        </c:txPr>
        <c:crossAx val="192964864"/>
        <c:crosses val="autoZero"/>
        <c:auto val="1"/>
        <c:lblAlgn val="ctr"/>
        <c:lblOffset val="100"/>
        <c:noMultiLvlLbl val="0"/>
      </c:catAx>
      <c:valAx>
        <c:axId val="192964864"/>
        <c:scaling>
          <c:orientation val="minMax"/>
          <c:max val="0.5"/>
        </c:scaling>
        <c:delete val="0"/>
        <c:axPos val="l"/>
        <c:majorGridlines/>
        <c:numFmt formatCode="0%" sourceLinked="0"/>
        <c:majorTickMark val="out"/>
        <c:minorTickMark val="none"/>
        <c:tickLblPos val="nextTo"/>
        <c:crossAx val="17701222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'New eFigure 6'!$B$18</c:f>
              <c:strCache>
                <c:ptCount val="1"/>
                <c:pt idx="0">
                  <c:v>≥2 SOFA points</c:v>
                </c:pt>
              </c:strCache>
            </c:strRef>
          </c:tx>
          <c:invertIfNegative val="0"/>
          <c:cat>
            <c:strRef>
              <c:f>'New eFigure 6'!$A$19:$A$24</c:f>
              <c:strCache>
                <c:ptCount val="6"/>
                <c:pt idx="0">
                  <c:v>Cardiovascular</c:v>
                </c:pt>
                <c:pt idx="1">
                  <c:v>Respiratory</c:v>
                </c:pt>
                <c:pt idx="2">
                  <c:v>Renal</c:v>
                </c:pt>
                <c:pt idx="3">
                  <c:v>Hepatic</c:v>
                </c:pt>
                <c:pt idx="4">
                  <c:v>Coagulation</c:v>
                </c:pt>
                <c:pt idx="5">
                  <c:v>Neurologic or Lactate</c:v>
                </c:pt>
              </c:strCache>
            </c:strRef>
          </c:cat>
          <c:val>
            <c:numRef>
              <c:f>'New eFigure 6'!$B$19:$B$24</c:f>
              <c:numCache>
                <c:formatCode>0.00%</c:formatCode>
                <c:ptCount val="6"/>
                <c:pt idx="0">
                  <c:v>0.36299999999999999</c:v>
                </c:pt>
                <c:pt idx="1">
                  <c:v>0.434</c:v>
                </c:pt>
                <c:pt idx="2">
                  <c:v>0.23499999999999999</c:v>
                </c:pt>
                <c:pt idx="3">
                  <c:v>9.5000000000000001E-2</c:v>
                </c:pt>
                <c:pt idx="4">
                  <c:v>0.157</c:v>
                </c:pt>
                <c:pt idx="5">
                  <c:v>0.34200000000000003</c:v>
                </c:pt>
              </c:numCache>
            </c:numRef>
          </c:val>
        </c:ser>
        <c:ser>
          <c:idx val="1"/>
          <c:order val="1"/>
          <c:tx>
            <c:strRef>
              <c:f>'New eFigure 6'!$C$18</c:f>
              <c:strCache>
                <c:ptCount val="1"/>
                <c:pt idx="0">
                  <c:v>≥1 eSOFA criteria</c:v>
                </c:pt>
              </c:strCache>
            </c:strRef>
          </c:tx>
          <c:invertIfNegative val="0"/>
          <c:cat>
            <c:strRef>
              <c:f>'New eFigure 6'!$A$19:$A$24</c:f>
              <c:strCache>
                <c:ptCount val="6"/>
                <c:pt idx="0">
                  <c:v>Cardiovascular</c:v>
                </c:pt>
                <c:pt idx="1">
                  <c:v>Respiratory</c:v>
                </c:pt>
                <c:pt idx="2">
                  <c:v>Renal</c:v>
                </c:pt>
                <c:pt idx="3">
                  <c:v>Hepatic</c:v>
                </c:pt>
                <c:pt idx="4">
                  <c:v>Coagulation</c:v>
                </c:pt>
                <c:pt idx="5">
                  <c:v>Neurologic or Lactate</c:v>
                </c:pt>
              </c:strCache>
            </c:strRef>
          </c:cat>
          <c:val>
            <c:numRef>
              <c:f>'New eFigure 6'!$C$19:$C$24</c:f>
              <c:numCache>
                <c:formatCode>0.00%</c:formatCode>
                <c:ptCount val="6"/>
                <c:pt idx="0">
                  <c:v>0.38200000000000001</c:v>
                </c:pt>
                <c:pt idx="1">
                  <c:v>0.25</c:v>
                </c:pt>
                <c:pt idx="2">
                  <c:v>0.439</c:v>
                </c:pt>
                <c:pt idx="3">
                  <c:v>9.6000000000000002E-2</c:v>
                </c:pt>
                <c:pt idx="4">
                  <c:v>0.14000000000000001</c:v>
                </c:pt>
                <c:pt idx="5">
                  <c:v>0.443</c:v>
                </c:pt>
              </c:numCache>
            </c:numRef>
          </c:val>
        </c:ser>
        <c:dLbls>
          <c:showLegendKey val="0"/>
          <c:showVal val="0"/>
          <c:showCatName val="0"/>
          <c:showSerName val="0"/>
          <c:showPercent val="0"/>
          <c:showBubbleSize val="0"/>
        </c:dLbls>
        <c:gapWidth val="150"/>
        <c:axId val="177010688"/>
        <c:axId val="192968320"/>
      </c:barChart>
      <c:catAx>
        <c:axId val="177010688"/>
        <c:scaling>
          <c:orientation val="minMax"/>
        </c:scaling>
        <c:delete val="0"/>
        <c:axPos val="b"/>
        <c:majorTickMark val="out"/>
        <c:minorTickMark val="none"/>
        <c:tickLblPos val="nextTo"/>
        <c:txPr>
          <a:bodyPr/>
          <a:lstStyle/>
          <a:p>
            <a:pPr>
              <a:defRPr b="1"/>
            </a:pPr>
            <a:endParaRPr lang="en-US"/>
          </a:p>
        </c:txPr>
        <c:crossAx val="192968320"/>
        <c:crosses val="autoZero"/>
        <c:auto val="1"/>
        <c:lblAlgn val="ctr"/>
        <c:lblOffset val="100"/>
        <c:noMultiLvlLbl val="0"/>
      </c:catAx>
      <c:valAx>
        <c:axId val="192968320"/>
        <c:scaling>
          <c:orientation val="minMax"/>
        </c:scaling>
        <c:delete val="0"/>
        <c:axPos val="l"/>
        <c:majorGridlines/>
        <c:numFmt formatCode="0%" sourceLinked="0"/>
        <c:majorTickMark val="out"/>
        <c:minorTickMark val="none"/>
        <c:tickLblPos val="nextTo"/>
        <c:crossAx val="177010688"/>
        <c:crosses val="autoZero"/>
        <c:crossBetween val="between"/>
      </c:valAx>
    </c:plotArea>
    <c:legend>
      <c:legendPos val="t"/>
      <c:overlay val="0"/>
      <c:txPr>
        <a:bodyPr/>
        <a:lstStyle/>
        <a:p>
          <a:pPr>
            <a:defRPr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Chanu Rhee</dc:creator>
  <cp:lastModifiedBy>Chanu Rhee</cp:lastModifiedBy>
  <cp:revision>40</cp:revision>
  <dcterms:created xsi:type="dcterms:W3CDTF">2018-06-26T20:01:00Z</dcterms:created>
  <dcterms:modified xsi:type="dcterms:W3CDTF">2018-09-06T03:43:00Z</dcterms:modified>
</cp:coreProperties>
</file>