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B085" w14:textId="77777777" w:rsidR="00721461" w:rsidRDefault="00721461" w:rsidP="00721461">
      <w:pPr>
        <w:jc w:val="both"/>
        <w:rPr>
          <w:rFonts w:ascii="Arial" w:hAnsi="Arial" w:cs="Arial"/>
          <w:b/>
          <w:sz w:val="20"/>
          <w:szCs w:val="20"/>
        </w:rPr>
      </w:pPr>
      <w:r w:rsidRPr="004661A9">
        <w:rPr>
          <w:rFonts w:ascii="Arial" w:hAnsi="Arial" w:cs="Arial"/>
          <w:b/>
          <w:sz w:val="20"/>
          <w:szCs w:val="20"/>
        </w:rPr>
        <w:t xml:space="preserve">Supplementary </w:t>
      </w:r>
      <w:r>
        <w:rPr>
          <w:rFonts w:ascii="Arial" w:hAnsi="Arial" w:cs="Arial"/>
          <w:b/>
          <w:sz w:val="20"/>
          <w:szCs w:val="20"/>
        </w:rPr>
        <w:t xml:space="preserve">Figure </w:t>
      </w:r>
      <w:r w:rsidRPr="004661A9">
        <w:rPr>
          <w:rFonts w:ascii="Arial" w:hAnsi="Arial" w:cs="Arial"/>
          <w:b/>
          <w:sz w:val="20"/>
          <w:szCs w:val="20"/>
        </w:rPr>
        <w:t xml:space="preserve">Legends </w:t>
      </w:r>
    </w:p>
    <w:p w14:paraId="31857E2A" w14:textId="77777777" w:rsidR="00721461" w:rsidRDefault="00721461" w:rsidP="00721461">
      <w:pPr>
        <w:jc w:val="both"/>
        <w:rPr>
          <w:rFonts w:ascii="Arial" w:hAnsi="Arial" w:cs="Arial"/>
          <w:b/>
          <w:color w:val="FF0000"/>
          <w:sz w:val="20"/>
          <w:szCs w:val="20"/>
        </w:rPr>
      </w:pPr>
    </w:p>
    <w:p w14:paraId="6945CC4D" w14:textId="77777777" w:rsidR="00721461" w:rsidRDefault="00721461" w:rsidP="00721461">
      <w:pPr>
        <w:jc w:val="both"/>
        <w:rPr>
          <w:rFonts w:ascii="Arial" w:eastAsia="Calibri" w:hAnsi="Arial" w:cs="Arial"/>
          <w:color w:val="000000"/>
          <w:kern w:val="24"/>
          <w:sz w:val="20"/>
          <w:szCs w:val="20"/>
        </w:rPr>
      </w:pPr>
      <w:r w:rsidRPr="008D33C4">
        <w:rPr>
          <w:rFonts w:ascii="Arial" w:eastAsia="Calibri" w:hAnsi="Arial" w:cs="Arial"/>
          <w:b/>
          <w:color w:val="000000"/>
          <w:kern w:val="24"/>
          <w:sz w:val="20"/>
          <w:szCs w:val="20"/>
        </w:rPr>
        <w:t>Figure S1</w:t>
      </w:r>
      <w:r>
        <w:rPr>
          <w:rFonts w:ascii="Arial" w:eastAsia="Calibri" w:hAnsi="Arial" w:cs="Arial"/>
          <w:color w:val="000000"/>
          <w:kern w:val="24"/>
          <w:sz w:val="20"/>
          <w:szCs w:val="20"/>
        </w:rPr>
        <w:t>.</w:t>
      </w:r>
      <w:r w:rsidRPr="004661A9">
        <w:rPr>
          <w:rFonts w:ascii="Arial" w:eastAsia="Calibri" w:hAnsi="Arial" w:cs="Arial"/>
          <w:color w:val="000000"/>
          <w:kern w:val="24"/>
          <w:sz w:val="20"/>
          <w:szCs w:val="20"/>
        </w:rPr>
        <w:t xml:space="preserve"> Schematic showing the key regulatory steps of ferroptosis. Ferroptosis can be induced (red text; via inhibition of GSH synthesis or GPX4 activity) and inhibited (blue text; via inhibition of PE-OOH production) in the </w:t>
      </w:r>
      <w:r w:rsidRPr="004661A9">
        <w:rPr>
          <w:rFonts w:ascii="Arial" w:eastAsia="Calibri" w:hAnsi="Arial" w:cs="Arial"/>
          <w:i/>
          <w:iCs/>
          <w:color w:val="000000"/>
          <w:kern w:val="24"/>
          <w:sz w:val="20"/>
          <w:szCs w:val="20"/>
        </w:rPr>
        <w:t>in vitro</w:t>
      </w:r>
      <w:r w:rsidRPr="004661A9">
        <w:rPr>
          <w:rFonts w:ascii="Arial" w:eastAsia="Calibri" w:hAnsi="Arial" w:cs="Arial"/>
          <w:color w:val="000000"/>
          <w:kern w:val="24"/>
          <w:sz w:val="20"/>
          <w:szCs w:val="20"/>
        </w:rPr>
        <w:t xml:space="preserve"> setting using various compounds and small molecule inhibitors.</w:t>
      </w:r>
    </w:p>
    <w:p w14:paraId="35BB9BE9" w14:textId="77777777" w:rsidR="00721461" w:rsidRPr="004661A9" w:rsidRDefault="00721461" w:rsidP="00721461">
      <w:pPr>
        <w:jc w:val="both"/>
        <w:rPr>
          <w:rFonts w:ascii="Arial" w:hAnsi="Arial" w:cs="Arial"/>
          <w:b/>
          <w:bCs/>
          <w:sz w:val="20"/>
          <w:szCs w:val="20"/>
        </w:rPr>
      </w:pPr>
    </w:p>
    <w:p w14:paraId="79590FBC" w14:textId="77777777" w:rsidR="00721461" w:rsidRDefault="00721461" w:rsidP="00721461">
      <w:pPr>
        <w:jc w:val="both"/>
        <w:rPr>
          <w:rFonts w:ascii="Arial" w:hAnsi="Arial" w:cs="Arial"/>
          <w:sz w:val="20"/>
          <w:szCs w:val="20"/>
        </w:rPr>
      </w:pPr>
      <w:r w:rsidRPr="004661A9">
        <w:rPr>
          <w:rFonts w:ascii="Arial" w:hAnsi="Arial" w:cs="Arial"/>
          <w:b/>
          <w:bCs/>
          <w:sz w:val="20"/>
          <w:szCs w:val="20"/>
        </w:rPr>
        <w:t xml:space="preserve">Figure </w:t>
      </w:r>
      <w:r>
        <w:rPr>
          <w:rFonts w:ascii="Arial" w:hAnsi="Arial" w:cs="Arial"/>
          <w:b/>
          <w:bCs/>
          <w:sz w:val="20"/>
          <w:szCs w:val="20"/>
        </w:rPr>
        <w:t>S2</w:t>
      </w:r>
      <w:r w:rsidRPr="004661A9">
        <w:rPr>
          <w:rFonts w:ascii="Arial" w:hAnsi="Arial" w:cs="Arial"/>
          <w:b/>
          <w:bCs/>
          <w:sz w:val="20"/>
          <w:szCs w:val="20"/>
        </w:rPr>
        <w:t xml:space="preserve">. No motor deficits were observed in open field testing by day 5 after controlled cortical impact (CCI). </w:t>
      </w:r>
      <w:r w:rsidRPr="004661A9">
        <w:rPr>
          <w:rFonts w:ascii="Arial" w:hAnsi="Arial" w:cs="Arial"/>
          <w:sz w:val="20"/>
          <w:szCs w:val="20"/>
        </w:rPr>
        <w:t>No difference was observed in (</w:t>
      </w:r>
      <w:r w:rsidRPr="004661A9">
        <w:rPr>
          <w:rFonts w:ascii="Arial" w:hAnsi="Arial" w:cs="Arial"/>
          <w:b/>
          <w:bCs/>
          <w:sz w:val="20"/>
          <w:szCs w:val="20"/>
        </w:rPr>
        <w:t>A</w:t>
      </w:r>
      <w:r w:rsidRPr="004661A9">
        <w:rPr>
          <w:rFonts w:ascii="Arial" w:hAnsi="Arial" w:cs="Arial"/>
          <w:sz w:val="20"/>
          <w:szCs w:val="20"/>
        </w:rPr>
        <w:t>)</w:t>
      </w:r>
      <w:r w:rsidRPr="004661A9">
        <w:rPr>
          <w:rFonts w:ascii="Arial" w:hAnsi="Arial" w:cs="Arial"/>
          <w:b/>
          <w:bCs/>
          <w:sz w:val="20"/>
          <w:szCs w:val="20"/>
        </w:rPr>
        <w:t xml:space="preserve"> </w:t>
      </w:r>
      <w:r w:rsidRPr="004661A9">
        <w:rPr>
          <w:rFonts w:ascii="Arial" w:hAnsi="Arial" w:cs="Arial"/>
          <w:sz w:val="20"/>
          <w:szCs w:val="20"/>
        </w:rPr>
        <w:t>distance travelled or (</w:t>
      </w:r>
      <w:r w:rsidRPr="004661A9">
        <w:rPr>
          <w:rFonts w:ascii="Arial" w:hAnsi="Arial" w:cs="Arial"/>
          <w:b/>
          <w:bCs/>
          <w:sz w:val="20"/>
          <w:szCs w:val="20"/>
        </w:rPr>
        <w:t>B</w:t>
      </w:r>
      <w:r w:rsidRPr="004661A9">
        <w:rPr>
          <w:rFonts w:ascii="Arial" w:hAnsi="Arial" w:cs="Arial"/>
          <w:sz w:val="20"/>
          <w:szCs w:val="20"/>
        </w:rPr>
        <w:t>) mean speed between sham and CCI-injured animals using open field testing. (Data are Mean ± SD, N=12-13/group).</w:t>
      </w:r>
    </w:p>
    <w:p w14:paraId="68BD942F" w14:textId="77777777" w:rsidR="00721461" w:rsidRDefault="00721461" w:rsidP="00721461">
      <w:pPr>
        <w:jc w:val="both"/>
        <w:rPr>
          <w:rFonts w:ascii="Arial" w:hAnsi="Arial" w:cs="Arial"/>
          <w:sz w:val="20"/>
          <w:szCs w:val="20"/>
        </w:rPr>
      </w:pPr>
    </w:p>
    <w:p w14:paraId="4BEAB6B3" w14:textId="77777777" w:rsidR="00721461" w:rsidRDefault="00721461" w:rsidP="00721461">
      <w:pPr>
        <w:jc w:val="both"/>
        <w:rPr>
          <w:rFonts w:ascii="Arial" w:hAnsi="Arial" w:cs="Arial"/>
          <w:sz w:val="20"/>
          <w:szCs w:val="20"/>
        </w:rPr>
      </w:pPr>
      <w:r w:rsidRPr="004661A9">
        <w:rPr>
          <w:rFonts w:ascii="Arial" w:hAnsi="Arial" w:cs="Arial"/>
          <w:b/>
          <w:bCs/>
          <w:sz w:val="20"/>
          <w:szCs w:val="20"/>
        </w:rPr>
        <w:t>Figure S</w:t>
      </w:r>
      <w:r>
        <w:rPr>
          <w:rFonts w:ascii="Arial" w:hAnsi="Arial" w:cs="Arial"/>
          <w:b/>
          <w:bCs/>
          <w:sz w:val="20"/>
          <w:szCs w:val="20"/>
        </w:rPr>
        <w:t>3</w:t>
      </w:r>
      <w:r w:rsidRPr="004661A9">
        <w:rPr>
          <w:rFonts w:ascii="Arial" w:hAnsi="Arial" w:cs="Arial"/>
          <w:b/>
          <w:bCs/>
          <w:sz w:val="20"/>
          <w:szCs w:val="20"/>
        </w:rPr>
        <w:t xml:space="preserve">. Inhibition of </w:t>
      </w:r>
      <w:r>
        <w:rPr>
          <w:rFonts w:ascii="Arial" w:hAnsi="Arial" w:cs="Arial"/>
          <w:b/>
          <w:bCs/>
          <w:sz w:val="20"/>
          <w:szCs w:val="20"/>
        </w:rPr>
        <w:t>p</w:t>
      </w:r>
      <w:r w:rsidRPr="004661A9">
        <w:rPr>
          <w:rFonts w:ascii="Arial" w:hAnsi="Arial" w:cs="Arial"/>
          <w:b/>
          <w:bCs/>
          <w:sz w:val="20"/>
          <w:szCs w:val="20"/>
        </w:rPr>
        <w:t>harmacologically-induced ferroptosis in HT22 neurons</w:t>
      </w:r>
      <w:r w:rsidRPr="00F91CEE">
        <w:rPr>
          <w:rFonts w:ascii="Arial" w:hAnsi="Arial" w:cs="Arial"/>
          <w:sz w:val="20"/>
          <w:szCs w:val="20"/>
        </w:rPr>
        <w:t xml:space="preserve">. </w:t>
      </w:r>
      <w:r>
        <w:rPr>
          <w:rFonts w:ascii="Arial" w:hAnsi="Arial" w:cs="Arial"/>
          <w:sz w:val="20"/>
          <w:szCs w:val="20"/>
        </w:rPr>
        <w:t>F</w:t>
      </w:r>
      <w:r w:rsidRPr="00F91CEE">
        <w:rPr>
          <w:rFonts w:ascii="Arial" w:hAnsi="Arial" w:cs="Arial"/>
          <w:sz w:val="20"/>
          <w:szCs w:val="20"/>
        </w:rPr>
        <w:t>erroptosis was induced using (</w:t>
      </w:r>
      <w:r w:rsidRPr="006F1B38">
        <w:rPr>
          <w:rFonts w:ascii="Arial" w:hAnsi="Arial" w:cs="Arial"/>
          <w:b/>
          <w:sz w:val="20"/>
          <w:szCs w:val="20"/>
        </w:rPr>
        <w:t>A</w:t>
      </w:r>
      <w:r>
        <w:rPr>
          <w:rFonts w:ascii="Arial" w:hAnsi="Arial" w:cs="Arial"/>
          <w:sz w:val="20"/>
          <w:szCs w:val="20"/>
        </w:rPr>
        <w:t>)</w:t>
      </w:r>
      <w:r w:rsidRPr="00F91CEE">
        <w:rPr>
          <w:rFonts w:ascii="Arial" w:hAnsi="Arial" w:cs="Arial"/>
          <w:sz w:val="20"/>
          <w:szCs w:val="20"/>
        </w:rPr>
        <w:t xml:space="preserve"> glutamate (5 </w:t>
      </w:r>
      <w:proofErr w:type="spellStart"/>
      <w:r w:rsidRPr="00F91CEE">
        <w:rPr>
          <w:rFonts w:ascii="Arial" w:hAnsi="Arial" w:cs="Arial"/>
          <w:sz w:val="20"/>
          <w:szCs w:val="20"/>
        </w:rPr>
        <w:t>mM</w:t>
      </w:r>
      <w:proofErr w:type="spellEnd"/>
      <w:r w:rsidRPr="00F91CEE">
        <w:rPr>
          <w:rFonts w:ascii="Arial" w:hAnsi="Arial" w:cs="Arial"/>
          <w:sz w:val="20"/>
          <w:szCs w:val="20"/>
        </w:rPr>
        <w:t>; inhibitor of cystine/glutamate antiporter which results in depletion of intracellular cysteine – the rate-limiting substrate of GSH synthesis), (</w:t>
      </w:r>
      <w:r>
        <w:rPr>
          <w:rFonts w:ascii="Arial" w:hAnsi="Arial" w:cs="Arial"/>
          <w:b/>
          <w:sz w:val="20"/>
          <w:szCs w:val="20"/>
        </w:rPr>
        <w:t>B</w:t>
      </w:r>
      <w:r w:rsidRPr="00F91CEE">
        <w:rPr>
          <w:rFonts w:ascii="Arial" w:hAnsi="Arial" w:cs="Arial"/>
          <w:sz w:val="20"/>
          <w:szCs w:val="20"/>
        </w:rPr>
        <w:t xml:space="preserve">) </w:t>
      </w:r>
      <w:proofErr w:type="spellStart"/>
      <w:r w:rsidRPr="00F91CEE">
        <w:rPr>
          <w:rFonts w:ascii="Arial" w:hAnsi="Arial" w:cs="Arial"/>
          <w:sz w:val="20"/>
          <w:szCs w:val="20"/>
        </w:rPr>
        <w:t>erastin</w:t>
      </w:r>
      <w:proofErr w:type="spellEnd"/>
      <w:r w:rsidRPr="00F91CEE">
        <w:rPr>
          <w:rFonts w:ascii="Arial" w:hAnsi="Arial" w:cs="Arial"/>
          <w:sz w:val="20"/>
          <w:szCs w:val="20"/>
        </w:rPr>
        <w:t xml:space="preserve"> (5 </w:t>
      </w:r>
      <w:proofErr w:type="spellStart"/>
      <w:r w:rsidRPr="00F91CEE">
        <w:rPr>
          <w:rFonts w:ascii="Arial" w:hAnsi="Arial" w:cs="Arial"/>
          <w:sz w:val="20"/>
          <w:szCs w:val="20"/>
        </w:rPr>
        <w:t>μM</w:t>
      </w:r>
      <w:proofErr w:type="spellEnd"/>
      <w:r w:rsidRPr="00F91CEE">
        <w:rPr>
          <w:rFonts w:ascii="Arial" w:hAnsi="Arial" w:cs="Arial"/>
          <w:sz w:val="20"/>
          <w:szCs w:val="20"/>
        </w:rPr>
        <w:t>; inhibitor of cystine/glutamate antiporter which results in depletion of intracellular cysteine – the rate-limiting substrate of GSH synthesis), or (</w:t>
      </w:r>
      <w:r w:rsidRPr="006F1B38">
        <w:rPr>
          <w:rFonts w:ascii="Arial" w:hAnsi="Arial" w:cs="Arial"/>
          <w:b/>
          <w:sz w:val="20"/>
          <w:szCs w:val="20"/>
        </w:rPr>
        <w:t>C</w:t>
      </w:r>
      <w:r w:rsidRPr="00F91CEE">
        <w:rPr>
          <w:rFonts w:ascii="Arial" w:hAnsi="Arial" w:cs="Arial"/>
          <w:sz w:val="20"/>
          <w:szCs w:val="20"/>
        </w:rPr>
        <w:t xml:space="preserve">) BSO (50 </w:t>
      </w:r>
      <w:proofErr w:type="spellStart"/>
      <w:r w:rsidRPr="00F91CEE">
        <w:rPr>
          <w:rFonts w:ascii="Arial" w:hAnsi="Arial" w:cs="Arial"/>
          <w:sz w:val="20"/>
          <w:szCs w:val="20"/>
        </w:rPr>
        <w:t>μM</w:t>
      </w:r>
      <w:proofErr w:type="spellEnd"/>
      <w:r w:rsidRPr="00F91CEE">
        <w:rPr>
          <w:rFonts w:ascii="Arial" w:hAnsi="Arial" w:cs="Arial"/>
          <w:sz w:val="20"/>
          <w:szCs w:val="20"/>
        </w:rPr>
        <w:t xml:space="preserve">; inhibitor of rate-limiting enzyme in GSH synthesis) resulting in a significant increase in cell death (lactate dehydrogenase release). Administration of DFO (10 </w:t>
      </w:r>
      <w:proofErr w:type="spellStart"/>
      <w:r w:rsidRPr="00F91CEE">
        <w:rPr>
          <w:rFonts w:ascii="Arial" w:hAnsi="Arial" w:cs="Arial"/>
          <w:sz w:val="20"/>
          <w:szCs w:val="20"/>
        </w:rPr>
        <w:t>μM</w:t>
      </w:r>
      <w:proofErr w:type="spellEnd"/>
      <w:r w:rsidRPr="00F91CEE">
        <w:rPr>
          <w:rFonts w:ascii="Arial" w:hAnsi="Arial" w:cs="Arial"/>
          <w:sz w:val="20"/>
          <w:szCs w:val="20"/>
        </w:rPr>
        <w:t>; iron chelator)</w:t>
      </w:r>
      <w:r>
        <w:rPr>
          <w:rFonts w:ascii="Arial" w:hAnsi="Arial" w:cs="Arial"/>
          <w:sz w:val="20"/>
          <w:szCs w:val="20"/>
        </w:rPr>
        <w:t xml:space="preserve"> or</w:t>
      </w:r>
      <w:r w:rsidRPr="00F91CEE">
        <w:rPr>
          <w:rFonts w:ascii="Arial" w:hAnsi="Arial" w:cs="Arial"/>
          <w:sz w:val="20"/>
          <w:szCs w:val="20"/>
        </w:rPr>
        <w:t xml:space="preserve"> Fer-1 (0.2-1 </w:t>
      </w:r>
      <w:proofErr w:type="spellStart"/>
      <w:r w:rsidRPr="00F91CEE">
        <w:rPr>
          <w:rFonts w:ascii="Arial" w:hAnsi="Arial" w:cs="Arial"/>
          <w:sz w:val="20"/>
          <w:szCs w:val="20"/>
        </w:rPr>
        <w:t>μM</w:t>
      </w:r>
      <w:proofErr w:type="spellEnd"/>
      <w:r w:rsidRPr="00F91CEE">
        <w:rPr>
          <w:rFonts w:ascii="Arial" w:hAnsi="Arial" w:cs="Arial"/>
          <w:sz w:val="20"/>
          <w:szCs w:val="20"/>
        </w:rPr>
        <w:t>; lipid radical-trapping antioxidant)</w:t>
      </w:r>
      <w:r>
        <w:rPr>
          <w:rFonts w:ascii="Arial" w:hAnsi="Arial" w:cs="Arial"/>
          <w:sz w:val="20"/>
          <w:szCs w:val="20"/>
        </w:rPr>
        <w:t xml:space="preserve"> </w:t>
      </w:r>
      <w:r w:rsidRPr="00F91CEE">
        <w:rPr>
          <w:rFonts w:ascii="Arial" w:hAnsi="Arial" w:cs="Arial"/>
          <w:sz w:val="20"/>
          <w:szCs w:val="20"/>
        </w:rPr>
        <w:t>resulted in a significant reduction in pharmacologically-induced cell death. (Data are Mean ± SD, N=3-4/group, *</w:t>
      </w:r>
      <w:r w:rsidRPr="006F1B38">
        <w:rPr>
          <w:rFonts w:ascii="Arial" w:hAnsi="Arial" w:cs="Arial"/>
          <w:i/>
          <w:sz w:val="20"/>
          <w:szCs w:val="20"/>
        </w:rPr>
        <w:t>p</w:t>
      </w:r>
      <w:r w:rsidRPr="00F91CEE">
        <w:rPr>
          <w:rFonts w:ascii="Arial" w:hAnsi="Arial" w:cs="Arial"/>
          <w:sz w:val="20"/>
          <w:szCs w:val="20"/>
        </w:rPr>
        <w:t>&lt;0.05 vs control, #</w:t>
      </w:r>
      <w:r w:rsidRPr="006F1B38">
        <w:rPr>
          <w:rFonts w:ascii="Arial" w:hAnsi="Arial" w:cs="Arial"/>
          <w:i/>
          <w:sz w:val="20"/>
          <w:szCs w:val="20"/>
        </w:rPr>
        <w:t>p</w:t>
      </w:r>
      <w:r w:rsidRPr="00F91CEE">
        <w:rPr>
          <w:rFonts w:ascii="Arial" w:hAnsi="Arial" w:cs="Arial"/>
          <w:sz w:val="20"/>
          <w:szCs w:val="20"/>
        </w:rPr>
        <w:t xml:space="preserve">&lt;0.05 vs vehicle). Abbreviations: L-buthionine </w:t>
      </w:r>
      <w:proofErr w:type="spellStart"/>
      <w:r w:rsidRPr="00F91CEE">
        <w:rPr>
          <w:rFonts w:ascii="Arial" w:hAnsi="Arial" w:cs="Arial"/>
          <w:sz w:val="20"/>
          <w:szCs w:val="20"/>
        </w:rPr>
        <w:t>sulfoximine</w:t>
      </w:r>
      <w:proofErr w:type="spellEnd"/>
      <w:r w:rsidRPr="00F91CEE">
        <w:rPr>
          <w:rFonts w:ascii="Arial" w:hAnsi="Arial" w:cs="Arial"/>
          <w:sz w:val="20"/>
          <w:szCs w:val="20"/>
        </w:rPr>
        <w:t xml:space="preserve"> (BSO), deferoxamine (DFO), ferrostatin-1</w:t>
      </w:r>
      <w:r>
        <w:rPr>
          <w:rFonts w:ascii="Arial" w:hAnsi="Arial" w:cs="Arial"/>
          <w:sz w:val="20"/>
          <w:szCs w:val="20"/>
        </w:rPr>
        <w:t xml:space="preserve"> </w:t>
      </w:r>
      <w:r w:rsidRPr="00F91CEE">
        <w:rPr>
          <w:rFonts w:ascii="Arial" w:hAnsi="Arial" w:cs="Arial"/>
          <w:sz w:val="20"/>
          <w:szCs w:val="20"/>
        </w:rPr>
        <w:t>(Fer-1).</w:t>
      </w:r>
    </w:p>
    <w:p w14:paraId="066FD2E3" w14:textId="77777777" w:rsidR="00721461" w:rsidRDefault="00721461" w:rsidP="00721461">
      <w:pPr>
        <w:pStyle w:val="NoSpacing"/>
        <w:spacing w:line="480" w:lineRule="auto"/>
        <w:jc w:val="both"/>
        <w:rPr>
          <w:rFonts w:ascii="Arial" w:hAnsi="Arial" w:cs="Arial"/>
          <w:b/>
          <w:bCs/>
          <w:sz w:val="20"/>
          <w:szCs w:val="20"/>
        </w:rPr>
      </w:pPr>
    </w:p>
    <w:p w14:paraId="0AFA0A7C" w14:textId="77777777" w:rsidR="00721461" w:rsidRPr="004661A9" w:rsidRDefault="00721461" w:rsidP="00721461">
      <w:pPr>
        <w:pStyle w:val="NoSpacing"/>
        <w:spacing w:line="480" w:lineRule="auto"/>
        <w:jc w:val="both"/>
        <w:rPr>
          <w:rFonts w:ascii="Arial" w:hAnsi="Arial" w:cs="Arial"/>
          <w:b/>
          <w:sz w:val="20"/>
          <w:szCs w:val="20"/>
        </w:rPr>
      </w:pPr>
      <w:r w:rsidRPr="004661A9">
        <w:rPr>
          <w:rFonts w:ascii="Arial" w:hAnsi="Arial" w:cs="Arial"/>
          <w:b/>
          <w:bCs/>
          <w:sz w:val="20"/>
          <w:szCs w:val="20"/>
        </w:rPr>
        <w:t xml:space="preserve">Figure </w:t>
      </w:r>
      <w:r>
        <w:rPr>
          <w:rFonts w:ascii="Arial" w:hAnsi="Arial" w:cs="Arial"/>
          <w:b/>
          <w:bCs/>
          <w:sz w:val="20"/>
          <w:szCs w:val="20"/>
        </w:rPr>
        <w:t>S4</w:t>
      </w:r>
      <w:r w:rsidRPr="004661A9">
        <w:rPr>
          <w:rFonts w:ascii="Arial" w:hAnsi="Arial" w:cs="Arial"/>
          <w:b/>
          <w:bCs/>
          <w:sz w:val="20"/>
          <w:szCs w:val="20"/>
        </w:rPr>
        <w:t xml:space="preserve">. Phosphatidylethanolamine (PE) contains more arachidonic acid (AA) and </w:t>
      </w:r>
      <w:proofErr w:type="spellStart"/>
      <w:r w:rsidRPr="004661A9">
        <w:rPr>
          <w:rFonts w:ascii="Arial" w:hAnsi="Arial" w:cs="Arial"/>
          <w:b/>
          <w:bCs/>
          <w:sz w:val="20"/>
          <w:szCs w:val="20"/>
        </w:rPr>
        <w:t>adrenic</w:t>
      </w:r>
      <w:proofErr w:type="spellEnd"/>
      <w:r w:rsidRPr="004661A9">
        <w:rPr>
          <w:rFonts w:ascii="Arial" w:hAnsi="Arial" w:cs="Arial"/>
          <w:b/>
          <w:bCs/>
          <w:sz w:val="20"/>
          <w:szCs w:val="20"/>
        </w:rPr>
        <w:t xml:space="preserve"> acid (</w:t>
      </w:r>
      <w:proofErr w:type="spellStart"/>
      <w:r w:rsidRPr="004661A9">
        <w:rPr>
          <w:rFonts w:ascii="Arial" w:hAnsi="Arial" w:cs="Arial"/>
          <w:b/>
          <w:bCs/>
          <w:sz w:val="20"/>
          <w:szCs w:val="20"/>
        </w:rPr>
        <w:t>AdA</w:t>
      </w:r>
      <w:proofErr w:type="spellEnd"/>
      <w:r w:rsidRPr="004661A9">
        <w:rPr>
          <w:rFonts w:ascii="Arial" w:hAnsi="Arial" w:cs="Arial"/>
          <w:b/>
          <w:bCs/>
          <w:sz w:val="20"/>
          <w:szCs w:val="20"/>
        </w:rPr>
        <w:t xml:space="preserve">) than other phospholipid classes in murine cortex. </w:t>
      </w:r>
      <w:r w:rsidRPr="00EC5AF1">
        <w:rPr>
          <w:rFonts w:ascii="Arial" w:hAnsi="Arial" w:cs="Arial"/>
          <w:sz w:val="20"/>
          <w:szCs w:val="20"/>
        </w:rPr>
        <w:t>(</w:t>
      </w:r>
      <w:r w:rsidRPr="00114CC8">
        <w:rPr>
          <w:rFonts w:ascii="Arial" w:hAnsi="Arial" w:cs="Arial"/>
          <w:b/>
          <w:sz w:val="20"/>
          <w:szCs w:val="20"/>
        </w:rPr>
        <w:t>A</w:t>
      </w:r>
      <w:r w:rsidRPr="00EC5AF1">
        <w:rPr>
          <w:rFonts w:ascii="Arial" w:hAnsi="Arial" w:cs="Arial"/>
          <w:sz w:val="20"/>
          <w:szCs w:val="20"/>
        </w:rPr>
        <w:t>)</w:t>
      </w:r>
      <w:r w:rsidRPr="00114CC8">
        <w:rPr>
          <w:rFonts w:ascii="Arial" w:hAnsi="Arial" w:cs="Arial"/>
          <w:sz w:val="20"/>
          <w:szCs w:val="20"/>
        </w:rPr>
        <w:t xml:space="preserve"> Spectra of phosphatidic acid (PA), phosphatidylcholine (PC), phosphatidylethanolamine (PE), phosphatidylglycerol (PG), phosphatidylinositol (PI), and phosphatidylserine (PS) in mouse cortex</w:t>
      </w:r>
      <w:r w:rsidRPr="00EC5AF1">
        <w:rPr>
          <w:rFonts w:ascii="Arial" w:hAnsi="Arial" w:cs="Arial"/>
          <w:sz w:val="20"/>
          <w:szCs w:val="20"/>
        </w:rPr>
        <w:t>. (</w:t>
      </w:r>
      <w:r>
        <w:rPr>
          <w:rFonts w:ascii="Arial" w:hAnsi="Arial" w:cs="Arial"/>
          <w:b/>
          <w:sz w:val="20"/>
          <w:szCs w:val="20"/>
        </w:rPr>
        <w:t>B</w:t>
      </w:r>
      <w:r w:rsidRPr="00EC5AF1">
        <w:rPr>
          <w:rFonts w:ascii="Arial" w:hAnsi="Arial" w:cs="Arial"/>
          <w:sz w:val="20"/>
          <w:szCs w:val="20"/>
        </w:rPr>
        <w:t xml:space="preserve">) </w:t>
      </w:r>
      <w:r w:rsidRPr="004661A9">
        <w:rPr>
          <w:rFonts w:ascii="Arial" w:hAnsi="Arial" w:cs="Arial"/>
          <w:sz w:val="20"/>
          <w:szCs w:val="20"/>
        </w:rPr>
        <w:t xml:space="preserve">Stacked bar graph showing the abundance of major phospholipid classes in mouse cortex. Species within each phospholipid class were grouped by the number of double bonds, revealing the greatest amount of species containing 4, 5, or 6 double bonds (phospholipids likely containing AA and </w:t>
      </w:r>
      <w:proofErr w:type="spellStart"/>
      <w:r w:rsidRPr="004661A9">
        <w:rPr>
          <w:rFonts w:ascii="Arial" w:hAnsi="Arial" w:cs="Arial"/>
          <w:sz w:val="20"/>
          <w:szCs w:val="20"/>
        </w:rPr>
        <w:t>AdA</w:t>
      </w:r>
      <w:proofErr w:type="spellEnd"/>
      <w:r w:rsidRPr="004661A9">
        <w:rPr>
          <w:rFonts w:ascii="Arial" w:hAnsi="Arial" w:cs="Arial"/>
          <w:sz w:val="20"/>
          <w:szCs w:val="20"/>
        </w:rPr>
        <w:t xml:space="preserve">) in the PE class. (N=5). </w:t>
      </w:r>
    </w:p>
    <w:p w14:paraId="3570FD7B" w14:textId="77777777" w:rsidR="00721461" w:rsidRDefault="00721461" w:rsidP="00721461">
      <w:pPr>
        <w:jc w:val="both"/>
        <w:rPr>
          <w:rFonts w:ascii="Arial" w:hAnsi="Arial" w:cs="Arial"/>
          <w:sz w:val="20"/>
          <w:szCs w:val="20"/>
        </w:rPr>
      </w:pPr>
    </w:p>
    <w:p w14:paraId="4AB927A2" w14:textId="77777777" w:rsidR="00721461" w:rsidRPr="004661A9" w:rsidRDefault="00721461" w:rsidP="00721461">
      <w:pPr>
        <w:jc w:val="both"/>
        <w:rPr>
          <w:rFonts w:ascii="Arial" w:hAnsi="Arial" w:cs="Arial"/>
          <w:sz w:val="20"/>
          <w:szCs w:val="20"/>
        </w:rPr>
      </w:pPr>
      <w:r w:rsidRPr="004661A9">
        <w:rPr>
          <w:rFonts w:ascii="Arial" w:hAnsi="Arial" w:cs="Arial"/>
          <w:b/>
          <w:bCs/>
          <w:sz w:val="20"/>
          <w:szCs w:val="20"/>
        </w:rPr>
        <w:lastRenderedPageBreak/>
        <w:t>Figure S</w:t>
      </w:r>
      <w:r>
        <w:rPr>
          <w:rFonts w:ascii="Arial" w:hAnsi="Arial" w:cs="Arial"/>
          <w:b/>
          <w:bCs/>
          <w:sz w:val="20"/>
          <w:szCs w:val="20"/>
        </w:rPr>
        <w:t>5</w:t>
      </w:r>
      <w:r w:rsidRPr="004661A9">
        <w:rPr>
          <w:rFonts w:ascii="Arial" w:hAnsi="Arial" w:cs="Arial"/>
          <w:b/>
          <w:bCs/>
          <w:sz w:val="20"/>
          <w:szCs w:val="20"/>
        </w:rPr>
        <w:t xml:space="preserve">. </w:t>
      </w:r>
      <w:proofErr w:type="spellStart"/>
      <w:r w:rsidRPr="004661A9">
        <w:rPr>
          <w:rFonts w:ascii="Arial" w:hAnsi="Arial" w:cs="Arial"/>
          <w:b/>
          <w:bCs/>
          <w:sz w:val="20"/>
          <w:szCs w:val="20"/>
        </w:rPr>
        <w:t>Lipidomic</w:t>
      </w:r>
      <w:r>
        <w:rPr>
          <w:rFonts w:ascii="Arial" w:hAnsi="Arial" w:cs="Arial"/>
          <w:b/>
          <w:bCs/>
          <w:sz w:val="20"/>
          <w:szCs w:val="20"/>
        </w:rPr>
        <w:t>s</w:t>
      </w:r>
      <w:proofErr w:type="spellEnd"/>
      <w:r w:rsidRPr="004661A9">
        <w:rPr>
          <w:rFonts w:ascii="Arial" w:hAnsi="Arial" w:cs="Arial"/>
          <w:b/>
          <w:bCs/>
          <w:sz w:val="20"/>
          <w:szCs w:val="20"/>
        </w:rPr>
        <w:t xml:space="preserve"> analysis of murine cortex. </w:t>
      </w:r>
      <w:r w:rsidRPr="00BF1617">
        <w:rPr>
          <w:rFonts w:ascii="Arial" w:hAnsi="Arial" w:cs="Arial"/>
          <w:sz w:val="20"/>
          <w:szCs w:val="20"/>
        </w:rPr>
        <w:t>(</w:t>
      </w:r>
      <w:r>
        <w:rPr>
          <w:rFonts w:ascii="Arial" w:hAnsi="Arial" w:cs="Arial"/>
          <w:b/>
          <w:bCs/>
          <w:sz w:val="20"/>
          <w:szCs w:val="20"/>
        </w:rPr>
        <w:t>A</w:t>
      </w:r>
      <w:r w:rsidRPr="00BF1617">
        <w:rPr>
          <w:rFonts w:ascii="Arial" w:hAnsi="Arial" w:cs="Arial"/>
          <w:sz w:val="20"/>
          <w:szCs w:val="20"/>
        </w:rPr>
        <w:t>) MS</w:t>
      </w:r>
      <w:r w:rsidRPr="00765475">
        <w:rPr>
          <w:rFonts w:ascii="Arial" w:hAnsi="Arial" w:cs="Arial"/>
          <w:sz w:val="20"/>
          <w:szCs w:val="20"/>
          <w:vertAlign w:val="superscript"/>
        </w:rPr>
        <w:t>2</w:t>
      </w:r>
      <w:r w:rsidRPr="00BF1617">
        <w:rPr>
          <w:rFonts w:ascii="Arial" w:hAnsi="Arial" w:cs="Arial"/>
          <w:sz w:val="20"/>
          <w:szCs w:val="20"/>
        </w:rPr>
        <w:t xml:space="preserve"> fragmentation of highly abundant </w:t>
      </w:r>
      <w:r w:rsidRPr="00765475">
        <w:rPr>
          <w:rFonts w:ascii="Arial" w:hAnsi="Arial" w:cs="Arial"/>
          <w:sz w:val="20"/>
          <w:szCs w:val="20"/>
        </w:rPr>
        <w:t xml:space="preserve">phosphatidylethanolamine </w:t>
      </w:r>
      <w:r>
        <w:rPr>
          <w:rFonts w:ascii="Arial" w:hAnsi="Arial" w:cs="Arial"/>
          <w:sz w:val="20"/>
          <w:szCs w:val="20"/>
        </w:rPr>
        <w:t>(</w:t>
      </w:r>
      <w:r w:rsidRPr="00BF1617">
        <w:rPr>
          <w:rFonts w:ascii="Arial" w:hAnsi="Arial" w:cs="Arial"/>
          <w:sz w:val="20"/>
          <w:szCs w:val="20"/>
        </w:rPr>
        <w:t>PE</w:t>
      </w:r>
      <w:r>
        <w:rPr>
          <w:rFonts w:ascii="Arial" w:hAnsi="Arial" w:cs="Arial"/>
          <w:sz w:val="20"/>
          <w:szCs w:val="20"/>
        </w:rPr>
        <w:t>)</w:t>
      </w:r>
      <w:r w:rsidRPr="00BF1617">
        <w:rPr>
          <w:rFonts w:ascii="Arial" w:hAnsi="Arial" w:cs="Arial"/>
          <w:sz w:val="20"/>
          <w:szCs w:val="20"/>
        </w:rPr>
        <w:t xml:space="preserve"> species confirmed the predominance of </w:t>
      </w:r>
      <w:r>
        <w:rPr>
          <w:rFonts w:ascii="Arial" w:hAnsi="Arial" w:cs="Arial"/>
          <w:sz w:val="20"/>
          <w:szCs w:val="20"/>
        </w:rPr>
        <w:t>arachidonic acid/</w:t>
      </w:r>
      <w:proofErr w:type="spellStart"/>
      <w:r>
        <w:rPr>
          <w:rFonts w:ascii="Arial" w:hAnsi="Arial" w:cs="Arial"/>
          <w:sz w:val="20"/>
          <w:szCs w:val="20"/>
        </w:rPr>
        <w:t>adrenic</w:t>
      </w:r>
      <w:proofErr w:type="spellEnd"/>
      <w:r>
        <w:rPr>
          <w:rFonts w:ascii="Arial" w:hAnsi="Arial" w:cs="Arial"/>
          <w:sz w:val="20"/>
          <w:szCs w:val="20"/>
        </w:rPr>
        <w:t xml:space="preserve"> acid (</w:t>
      </w:r>
      <w:r w:rsidRPr="00BF1617">
        <w:rPr>
          <w:rFonts w:ascii="Arial" w:hAnsi="Arial" w:cs="Arial"/>
          <w:sz w:val="20"/>
          <w:szCs w:val="20"/>
        </w:rPr>
        <w:t>AA/</w:t>
      </w:r>
      <w:proofErr w:type="spellStart"/>
      <w:r w:rsidRPr="00BF1617">
        <w:rPr>
          <w:rFonts w:ascii="Arial" w:hAnsi="Arial" w:cs="Arial"/>
          <w:sz w:val="20"/>
          <w:szCs w:val="20"/>
        </w:rPr>
        <w:t>AdA</w:t>
      </w:r>
      <w:proofErr w:type="spellEnd"/>
      <w:r>
        <w:rPr>
          <w:rFonts w:ascii="Arial" w:hAnsi="Arial" w:cs="Arial"/>
          <w:sz w:val="20"/>
          <w:szCs w:val="20"/>
        </w:rPr>
        <w:t>)</w:t>
      </w:r>
      <w:r w:rsidRPr="00BF1617">
        <w:rPr>
          <w:rFonts w:ascii="Arial" w:hAnsi="Arial" w:cs="Arial"/>
          <w:sz w:val="20"/>
          <w:szCs w:val="20"/>
        </w:rPr>
        <w:t>-containing PE in cortex, with characteristic fragments shown in red.</w:t>
      </w:r>
    </w:p>
    <w:p w14:paraId="3C32446C" w14:textId="77777777" w:rsidR="00721461" w:rsidRPr="004661A9" w:rsidRDefault="00721461" w:rsidP="00721461">
      <w:pPr>
        <w:jc w:val="both"/>
        <w:rPr>
          <w:rFonts w:ascii="Arial" w:hAnsi="Arial" w:cs="Arial"/>
          <w:b/>
          <w:bCs/>
          <w:sz w:val="20"/>
          <w:szCs w:val="20"/>
        </w:rPr>
      </w:pPr>
    </w:p>
    <w:p w14:paraId="6F77C384" w14:textId="77777777" w:rsidR="00721461" w:rsidRDefault="00721461" w:rsidP="00721461">
      <w:pPr>
        <w:jc w:val="both"/>
        <w:rPr>
          <w:rFonts w:ascii="Arial" w:hAnsi="Arial" w:cs="Arial"/>
          <w:sz w:val="20"/>
          <w:szCs w:val="20"/>
        </w:rPr>
      </w:pPr>
      <w:r w:rsidRPr="004661A9">
        <w:rPr>
          <w:rFonts w:ascii="Arial" w:hAnsi="Arial" w:cs="Arial"/>
          <w:b/>
          <w:bCs/>
          <w:sz w:val="20"/>
          <w:szCs w:val="20"/>
        </w:rPr>
        <w:t xml:space="preserve">Figure </w:t>
      </w:r>
      <w:r>
        <w:rPr>
          <w:rFonts w:ascii="Arial" w:hAnsi="Arial" w:cs="Arial"/>
          <w:b/>
          <w:bCs/>
          <w:sz w:val="20"/>
          <w:szCs w:val="20"/>
        </w:rPr>
        <w:t>S6</w:t>
      </w:r>
      <w:r w:rsidRPr="004661A9">
        <w:rPr>
          <w:rFonts w:ascii="Arial" w:hAnsi="Arial" w:cs="Arial"/>
          <w:b/>
          <w:bCs/>
          <w:sz w:val="20"/>
          <w:szCs w:val="20"/>
        </w:rPr>
        <w:t xml:space="preserve">. Identity of the significantly changing oxidized phosphatidylethanolamine (PE) species in cortex at 4 h after controlled cortical impact (CCI) with baicalein or vehicle treatment. </w:t>
      </w:r>
      <w:r w:rsidRPr="004661A9">
        <w:rPr>
          <w:rFonts w:ascii="Arial" w:hAnsi="Arial" w:cs="Arial"/>
          <w:sz w:val="20"/>
          <w:szCs w:val="20"/>
        </w:rPr>
        <w:t>Volcano plots demonstrating the significantly increased (red) or decreased (blue) oxidized PE species in the cortex of (</w:t>
      </w:r>
      <w:r w:rsidRPr="004661A9">
        <w:rPr>
          <w:rFonts w:ascii="Arial" w:hAnsi="Arial" w:cs="Arial"/>
          <w:b/>
          <w:bCs/>
          <w:sz w:val="20"/>
          <w:szCs w:val="20"/>
        </w:rPr>
        <w:t>A</w:t>
      </w:r>
      <w:r w:rsidRPr="004661A9">
        <w:rPr>
          <w:rFonts w:ascii="Arial" w:hAnsi="Arial" w:cs="Arial"/>
          <w:sz w:val="20"/>
          <w:szCs w:val="20"/>
        </w:rPr>
        <w:t>)</w:t>
      </w:r>
      <w:r w:rsidRPr="004661A9">
        <w:rPr>
          <w:rFonts w:ascii="Arial" w:hAnsi="Arial" w:cs="Arial"/>
          <w:b/>
          <w:bCs/>
          <w:sz w:val="20"/>
          <w:szCs w:val="20"/>
        </w:rPr>
        <w:t xml:space="preserve"> </w:t>
      </w:r>
      <w:proofErr w:type="spellStart"/>
      <w:r w:rsidRPr="004661A9">
        <w:rPr>
          <w:rFonts w:ascii="Arial" w:hAnsi="Arial" w:cs="Arial"/>
          <w:sz w:val="20"/>
          <w:szCs w:val="20"/>
        </w:rPr>
        <w:t>CCI+vehicle</w:t>
      </w:r>
      <w:proofErr w:type="spellEnd"/>
      <w:r w:rsidRPr="004661A9">
        <w:rPr>
          <w:rFonts w:ascii="Arial" w:hAnsi="Arial" w:cs="Arial"/>
          <w:sz w:val="20"/>
          <w:szCs w:val="20"/>
        </w:rPr>
        <w:t xml:space="preserve"> vs naive, (</w:t>
      </w:r>
      <w:r w:rsidRPr="004661A9">
        <w:rPr>
          <w:rFonts w:ascii="Arial" w:hAnsi="Arial" w:cs="Arial"/>
          <w:b/>
          <w:bCs/>
          <w:sz w:val="20"/>
          <w:szCs w:val="20"/>
        </w:rPr>
        <w:t>B</w:t>
      </w:r>
      <w:r w:rsidRPr="004661A9">
        <w:rPr>
          <w:rFonts w:ascii="Arial" w:hAnsi="Arial" w:cs="Arial"/>
          <w:sz w:val="20"/>
          <w:szCs w:val="20"/>
        </w:rPr>
        <w:t xml:space="preserve">) </w:t>
      </w:r>
      <w:proofErr w:type="spellStart"/>
      <w:r w:rsidRPr="004661A9">
        <w:rPr>
          <w:rFonts w:ascii="Arial" w:hAnsi="Arial" w:cs="Arial"/>
          <w:sz w:val="20"/>
          <w:szCs w:val="20"/>
        </w:rPr>
        <w:t>CCI+baicalein</w:t>
      </w:r>
      <w:proofErr w:type="spellEnd"/>
      <w:r w:rsidRPr="004661A9">
        <w:rPr>
          <w:rFonts w:ascii="Arial" w:hAnsi="Arial" w:cs="Arial"/>
          <w:sz w:val="20"/>
          <w:szCs w:val="20"/>
        </w:rPr>
        <w:t xml:space="preserve"> vs naive, (</w:t>
      </w:r>
      <w:r w:rsidRPr="004661A9">
        <w:rPr>
          <w:rFonts w:ascii="Arial" w:hAnsi="Arial" w:cs="Arial"/>
          <w:b/>
          <w:bCs/>
          <w:sz w:val="20"/>
          <w:szCs w:val="20"/>
        </w:rPr>
        <w:t>C</w:t>
      </w:r>
      <w:r w:rsidRPr="004661A9">
        <w:rPr>
          <w:rFonts w:ascii="Arial" w:hAnsi="Arial" w:cs="Arial"/>
          <w:sz w:val="20"/>
          <w:szCs w:val="20"/>
        </w:rPr>
        <w:t xml:space="preserve">) </w:t>
      </w:r>
      <w:proofErr w:type="spellStart"/>
      <w:r w:rsidRPr="004661A9">
        <w:rPr>
          <w:rFonts w:ascii="Arial" w:hAnsi="Arial" w:cs="Arial"/>
          <w:sz w:val="20"/>
          <w:szCs w:val="20"/>
        </w:rPr>
        <w:t>CCI+baicalein</w:t>
      </w:r>
      <w:proofErr w:type="spellEnd"/>
      <w:r w:rsidRPr="004661A9">
        <w:rPr>
          <w:rFonts w:ascii="Arial" w:hAnsi="Arial" w:cs="Arial"/>
          <w:sz w:val="20"/>
          <w:szCs w:val="20"/>
        </w:rPr>
        <w:t xml:space="preserve"> vs </w:t>
      </w:r>
      <w:proofErr w:type="spellStart"/>
      <w:r w:rsidRPr="004661A9">
        <w:rPr>
          <w:rFonts w:ascii="Arial" w:hAnsi="Arial" w:cs="Arial"/>
          <w:sz w:val="20"/>
          <w:szCs w:val="20"/>
        </w:rPr>
        <w:t>CCI+vehicle</w:t>
      </w:r>
      <w:proofErr w:type="spellEnd"/>
      <w:r w:rsidRPr="004661A9">
        <w:rPr>
          <w:rFonts w:ascii="Arial" w:hAnsi="Arial" w:cs="Arial"/>
          <w:sz w:val="20"/>
          <w:szCs w:val="20"/>
        </w:rPr>
        <w:t xml:space="preserve"> mice at 4 h after injury. (</w:t>
      </w:r>
      <w:r w:rsidRPr="004661A9">
        <w:rPr>
          <w:rFonts w:ascii="Arial" w:hAnsi="Arial" w:cs="Arial"/>
          <w:b/>
          <w:bCs/>
          <w:sz w:val="20"/>
          <w:szCs w:val="20"/>
        </w:rPr>
        <w:t>D</w:t>
      </w:r>
      <w:r w:rsidRPr="004661A9">
        <w:rPr>
          <w:rFonts w:ascii="Arial" w:hAnsi="Arial" w:cs="Arial"/>
          <w:sz w:val="20"/>
          <w:szCs w:val="20"/>
        </w:rPr>
        <w:t xml:space="preserve">) Table listing the significantly altered oxidized PE species of the corresponding volcano plots (red text highlights previously identified </w:t>
      </w:r>
      <w:proofErr w:type="spellStart"/>
      <w:r w:rsidRPr="004661A9">
        <w:rPr>
          <w:rFonts w:ascii="Arial" w:hAnsi="Arial" w:cs="Arial"/>
          <w:sz w:val="20"/>
          <w:szCs w:val="20"/>
        </w:rPr>
        <w:t>ferroptotic</w:t>
      </w:r>
      <w:proofErr w:type="spellEnd"/>
      <w:r w:rsidRPr="004661A9">
        <w:rPr>
          <w:rFonts w:ascii="Arial" w:hAnsi="Arial" w:cs="Arial"/>
          <w:sz w:val="20"/>
          <w:szCs w:val="20"/>
        </w:rPr>
        <w:t xml:space="preserve"> signals). (N=4-5/group, </w:t>
      </w:r>
      <w:r w:rsidRPr="004661A9">
        <w:rPr>
          <w:rFonts w:ascii="Arial" w:hAnsi="Arial" w:cs="Arial"/>
          <w:i/>
          <w:iCs/>
          <w:sz w:val="20"/>
          <w:szCs w:val="20"/>
        </w:rPr>
        <w:t>p</w:t>
      </w:r>
      <w:r w:rsidRPr="004661A9">
        <w:rPr>
          <w:rFonts w:ascii="Arial" w:hAnsi="Arial" w:cs="Arial"/>
          <w:sz w:val="20"/>
          <w:szCs w:val="20"/>
        </w:rPr>
        <w:t>&lt;0.05).</w:t>
      </w:r>
    </w:p>
    <w:p w14:paraId="60948873" w14:textId="77777777" w:rsidR="00721461" w:rsidRDefault="00721461" w:rsidP="00721461">
      <w:pPr>
        <w:pStyle w:val="NoSpacing"/>
        <w:spacing w:line="480" w:lineRule="auto"/>
        <w:jc w:val="both"/>
        <w:rPr>
          <w:rFonts w:ascii="Arial" w:hAnsi="Arial" w:cs="Arial"/>
          <w:b/>
          <w:sz w:val="20"/>
          <w:szCs w:val="20"/>
        </w:rPr>
      </w:pPr>
    </w:p>
    <w:p w14:paraId="3D439A64" w14:textId="77777777" w:rsidR="00721461" w:rsidRPr="008C6CB3" w:rsidRDefault="00721461" w:rsidP="00721461">
      <w:pPr>
        <w:pStyle w:val="NoSpacing"/>
        <w:spacing w:line="480" w:lineRule="auto"/>
        <w:jc w:val="both"/>
        <w:rPr>
          <w:rFonts w:ascii="Arial" w:hAnsi="Arial" w:cs="Arial"/>
          <w:sz w:val="20"/>
          <w:szCs w:val="20"/>
        </w:rPr>
      </w:pPr>
      <w:r w:rsidRPr="008C6CB3">
        <w:rPr>
          <w:rFonts w:ascii="Arial" w:hAnsi="Arial" w:cs="Arial"/>
          <w:b/>
          <w:sz w:val="20"/>
          <w:szCs w:val="20"/>
        </w:rPr>
        <w:t xml:space="preserve">Figure </w:t>
      </w:r>
      <w:r>
        <w:rPr>
          <w:rFonts w:ascii="Arial" w:hAnsi="Arial" w:cs="Arial"/>
          <w:b/>
          <w:sz w:val="20"/>
          <w:szCs w:val="20"/>
        </w:rPr>
        <w:t>S7</w:t>
      </w:r>
      <w:r w:rsidRPr="008C6CB3">
        <w:rPr>
          <w:rFonts w:ascii="Arial" w:hAnsi="Arial" w:cs="Arial"/>
          <w:b/>
          <w:sz w:val="20"/>
          <w:szCs w:val="20"/>
        </w:rPr>
        <w:t xml:space="preserve">. </w:t>
      </w:r>
      <w:r>
        <w:rPr>
          <w:rFonts w:ascii="Arial" w:hAnsi="Arial" w:cs="Arial"/>
          <w:b/>
          <w:sz w:val="20"/>
          <w:szCs w:val="20"/>
        </w:rPr>
        <w:t>Characterization of pro-</w:t>
      </w:r>
      <w:proofErr w:type="spellStart"/>
      <w:r>
        <w:rPr>
          <w:rFonts w:ascii="Arial" w:hAnsi="Arial" w:cs="Arial"/>
          <w:b/>
          <w:sz w:val="20"/>
          <w:szCs w:val="20"/>
        </w:rPr>
        <w:t>ferroptotic</w:t>
      </w:r>
      <w:proofErr w:type="spellEnd"/>
      <w:r>
        <w:rPr>
          <w:rFonts w:ascii="Arial" w:hAnsi="Arial" w:cs="Arial"/>
          <w:b/>
          <w:sz w:val="20"/>
          <w:szCs w:val="20"/>
        </w:rPr>
        <w:t xml:space="preserve"> oxidized </w:t>
      </w:r>
      <w:r w:rsidRPr="00543A47">
        <w:rPr>
          <w:rFonts w:ascii="Arial" w:hAnsi="Arial" w:cs="Arial"/>
          <w:b/>
          <w:sz w:val="20"/>
          <w:szCs w:val="20"/>
        </w:rPr>
        <w:t>phosphatidylethanolamine (PE) species.</w:t>
      </w:r>
      <w:r w:rsidRPr="008C6CB3">
        <w:rPr>
          <w:rFonts w:ascii="Arial" w:hAnsi="Arial" w:cs="Arial"/>
          <w:sz w:val="20"/>
          <w:szCs w:val="20"/>
        </w:rPr>
        <w:t xml:space="preserve"> MS</w:t>
      </w:r>
      <w:r w:rsidRPr="008C6CB3">
        <w:rPr>
          <w:rFonts w:ascii="Arial" w:hAnsi="Arial" w:cs="Arial"/>
          <w:sz w:val="20"/>
          <w:szCs w:val="20"/>
          <w:vertAlign w:val="superscript"/>
        </w:rPr>
        <w:t>2</w:t>
      </w:r>
      <w:r w:rsidRPr="008C6CB3">
        <w:rPr>
          <w:rFonts w:ascii="Arial" w:hAnsi="Arial" w:cs="Arial"/>
          <w:sz w:val="20"/>
          <w:szCs w:val="20"/>
        </w:rPr>
        <w:t xml:space="preserve"> fragmentation of previously identified </w:t>
      </w:r>
      <w:proofErr w:type="spellStart"/>
      <w:r w:rsidRPr="008C6CB3">
        <w:rPr>
          <w:rFonts w:ascii="Arial" w:hAnsi="Arial" w:cs="Arial"/>
          <w:sz w:val="20"/>
          <w:szCs w:val="20"/>
        </w:rPr>
        <w:t>ferroptotic</w:t>
      </w:r>
      <w:proofErr w:type="spellEnd"/>
      <w:r w:rsidRPr="008C6CB3">
        <w:rPr>
          <w:rFonts w:ascii="Arial" w:hAnsi="Arial" w:cs="Arial"/>
          <w:sz w:val="20"/>
          <w:szCs w:val="20"/>
        </w:rPr>
        <w:t xml:space="preserve"> death signals that significantly changed in the cortex after </w:t>
      </w:r>
      <w:r>
        <w:rPr>
          <w:rFonts w:ascii="Arial" w:hAnsi="Arial" w:cs="Arial"/>
          <w:sz w:val="20"/>
          <w:szCs w:val="20"/>
        </w:rPr>
        <w:t>controlled cortical impact (</w:t>
      </w:r>
      <w:r w:rsidRPr="008C6CB3">
        <w:rPr>
          <w:rFonts w:ascii="Arial" w:hAnsi="Arial" w:cs="Arial"/>
          <w:sz w:val="20"/>
          <w:szCs w:val="20"/>
        </w:rPr>
        <w:t>CCI</w:t>
      </w:r>
      <w:r>
        <w:rPr>
          <w:rFonts w:ascii="Arial" w:hAnsi="Arial" w:cs="Arial"/>
          <w:sz w:val="20"/>
          <w:szCs w:val="20"/>
        </w:rPr>
        <w:t>)</w:t>
      </w:r>
      <w:r w:rsidRPr="008C6CB3">
        <w:rPr>
          <w:rFonts w:ascii="Arial" w:hAnsi="Arial" w:cs="Arial"/>
          <w:sz w:val="20"/>
          <w:szCs w:val="20"/>
        </w:rPr>
        <w:t xml:space="preserve"> (purple denotes non-oxygenated free fatty acid (FFA) fragments, blue denotes oxygenated FFA fragments, and red denotes signature fragments of position-specific oxidation). (Data are Mean ± SD, N=4-5/group, *</w:t>
      </w:r>
      <w:r w:rsidRPr="008C6CB3">
        <w:rPr>
          <w:rFonts w:ascii="Arial" w:hAnsi="Arial" w:cs="Arial"/>
          <w:i/>
          <w:sz w:val="20"/>
          <w:szCs w:val="20"/>
        </w:rPr>
        <w:t>p</w:t>
      </w:r>
      <w:r w:rsidRPr="008C6CB3">
        <w:rPr>
          <w:rFonts w:ascii="Arial" w:hAnsi="Arial" w:cs="Arial"/>
          <w:sz w:val="20"/>
          <w:szCs w:val="20"/>
        </w:rPr>
        <w:t>&lt;0.05 vs naive, #</w:t>
      </w:r>
      <w:r w:rsidRPr="008C6CB3">
        <w:rPr>
          <w:rFonts w:ascii="Arial" w:hAnsi="Arial" w:cs="Arial"/>
          <w:i/>
          <w:sz w:val="20"/>
          <w:szCs w:val="20"/>
        </w:rPr>
        <w:t>p</w:t>
      </w:r>
      <w:r w:rsidRPr="008C6CB3">
        <w:rPr>
          <w:rFonts w:ascii="Arial" w:hAnsi="Arial" w:cs="Arial"/>
          <w:sz w:val="20"/>
          <w:szCs w:val="20"/>
        </w:rPr>
        <w:t>&lt;0.05 vs vehicle).</w:t>
      </w:r>
    </w:p>
    <w:p w14:paraId="6586B668" w14:textId="77777777" w:rsidR="00721461" w:rsidRDefault="00721461" w:rsidP="00721461">
      <w:pPr>
        <w:jc w:val="both"/>
        <w:rPr>
          <w:rFonts w:ascii="Arial" w:hAnsi="Arial" w:cs="Arial"/>
          <w:sz w:val="20"/>
          <w:szCs w:val="20"/>
        </w:rPr>
      </w:pPr>
    </w:p>
    <w:p w14:paraId="7C10A9F1" w14:textId="77777777" w:rsidR="00721461" w:rsidRDefault="00721461" w:rsidP="00721461">
      <w:pPr>
        <w:jc w:val="both"/>
        <w:rPr>
          <w:rFonts w:ascii="Arial" w:hAnsi="Arial" w:cs="Arial"/>
          <w:sz w:val="20"/>
          <w:szCs w:val="20"/>
        </w:rPr>
      </w:pPr>
      <w:r w:rsidRPr="004661A9">
        <w:rPr>
          <w:rFonts w:ascii="Arial" w:hAnsi="Arial" w:cs="Arial"/>
          <w:b/>
          <w:bCs/>
          <w:sz w:val="20"/>
          <w:szCs w:val="20"/>
        </w:rPr>
        <w:t xml:space="preserve">Figure </w:t>
      </w:r>
      <w:r>
        <w:rPr>
          <w:rFonts w:ascii="Arial" w:hAnsi="Arial" w:cs="Arial"/>
          <w:b/>
          <w:bCs/>
          <w:sz w:val="20"/>
          <w:szCs w:val="20"/>
        </w:rPr>
        <w:t>S8</w:t>
      </w:r>
      <w:r w:rsidRPr="004661A9">
        <w:rPr>
          <w:rFonts w:ascii="Arial" w:hAnsi="Arial" w:cs="Arial"/>
          <w:b/>
          <w:bCs/>
          <w:sz w:val="20"/>
          <w:szCs w:val="20"/>
        </w:rPr>
        <w:t xml:space="preserve">. Baicalein administration does not affect cardiolipin (CL) oxidation in the cortex at 4 h after controlled cortical impact (CCI). </w:t>
      </w:r>
      <w:r w:rsidRPr="004661A9">
        <w:rPr>
          <w:rFonts w:ascii="Arial" w:hAnsi="Arial" w:cs="Arial"/>
          <w:sz w:val="20"/>
          <w:szCs w:val="20"/>
        </w:rPr>
        <w:t xml:space="preserve">Heat map showing fold change in non-oxidized CL and oxidized CL (with the addition of 1 or 2 oxygens) at 4 h post-CCI with respect to naive. Regardless of treatment (vehicle or baicalein), CCI resulted in a decrease in non-oxidized CL and an increase in oxidized CL compared to naive animals. Reduction in non-oxidized CL and accumulation in oxidized CL was most prominent in highly unsaturated species. (N=5-6/group). </w:t>
      </w:r>
    </w:p>
    <w:p w14:paraId="26546D8D" w14:textId="77777777" w:rsidR="00721461" w:rsidRDefault="00721461" w:rsidP="00721461">
      <w:pPr>
        <w:pStyle w:val="NoSpacing"/>
        <w:spacing w:line="480" w:lineRule="auto"/>
        <w:jc w:val="both"/>
        <w:rPr>
          <w:rFonts w:ascii="Arial" w:hAnsi="Arial" w:cs="Arial"/>
          <w:b/>
          <w:bCs/>
          <w:sz w:val="20"/>
          <w:szCs w:val="20"/>
        </w:rPr>
      </w:pPr>
      <w:bookmarkStart w:id="0" w:name="_GoBack"/>
      <w:bookmarkEnd w:id="0"/>
    </w:p>
    <w:p w14:paraId="0FFB7C63" w14:textId="77777777" w:rsidR="00E42B61" w:rsidRPr="00721461" w:rsidRDefault="00721461" w:rsidP="00721461">
      <w:pPr>
        <w:pStyle w:val="NoSpacing"/>
        <w:spacing w:line="480" w:lineRule="auto"/>
        <w:jc w:val="both"/>
        <w:rPr>
          <w:rFonts w:ascii="Arial" w:hAnsi="Arial" w:cs="Arial"/>
          <w:sz w:val="20"/>
          <w:szCs w:val="20"/>
        </w:rPr>
      </w:pPr>
      <w:r w:rsidRPr="008C6CB3">
        <w:rPr>
          <w:rFonts w:ascii="Arial" w:hAnsi="Arial" w:cs="Arial"/>
          <w:b/>
          <w:bCs/>
          <w:sz w:val="20"/>
          <w:szCs w:val="20"/>
        </w:rPr>
        <w:t xml:space="preserve">Figure </w:t>
      </w:r>
      <w:r>
        <w:rPr>
          <w:rFonts w:ascii="Arial" w:hAnsi="Arial" w:cs="Arial"/>
          <w:b/>
          <w:bCs/>
          <w:sz w:val="20"/>
          <w:szCs w:val="20"/>
        </w:rPr>
        <w:t>S9</w:t>
      </w:r>
      <w:r w:rsidRPr="008C6CB3">
        <w:rPr>
          <w:rFonts w:ascii="Arial" w:hAnsi="Arial" w:cs="Arial"/>
          <w:b/>
          <w:bCs/>
          <w:sz w:val="20"/>
          <w:szCs w:val="20"/>
        </w:rPr>
        <w:t xml:space="preserve">. </w:t>
      </w:r>
      <w:r>
        <w:rPr>
          <w:rFonts w:ascii="Arial" w:hAnsi="Arial" w:cs="Arial"/>
          <w:b/>
          <w:bCs/>
          <w:sz w:val="20"/>
          <w:szCs w:val="20"/>
        </w:rPr>
        <w:t>Effect of b</w:t>
      </w:r>
      <w:r w:rsidRPr="008C6CB3">
        <w:rPr>
          <w:rFonts w:ascii="Arial" w:hAnsi="Arial" w:cs="Arial"/>
          <w:b/>
          <w:bCs/>
          <w:sz w:val="20"/>
          <w:szCs w:val="20"/>
        </w:rPr>
        <w:t xml:space="preserve">aicalein administration </w:t>
      </w:r>
      <w:r>
        <w:rPr>
          <w:rFonts w:ascii="Arial" w:hAnsi="Arial" w:cs="Arial"/>
          <w:b/>
          <w:bCs/>
          <w:sz w:val="20"/>
          <w:szCs w:val="20"/>
        </w:rPr>
        <w:t>on probe trial</w:t>
      </w:r>
      <w:r w:rsidRPr="008C6CB3">
        <w:rPr>
          <w:rFonts w:ascii="Arial" w:hAnsi="Arial" w:cs="Arial"/>
          <w:b/>
          <w:bCs/>
          <w:sz w:val="20"/>
          <w:szCs w:val="20"/>
        </w:rPr>
        <w:t xml:space="preserve"> performance after controlled cortical impact (CCI</w:t>
      </w:r>
      <w:r>
        <w:rPr>
          <w:rFonts w:ascii="Arial" w:hAnsi="Arial" w:cs="Arial"/>
          <w:b/>
          <w:bCs/>
          <w:sz w:val="20"/>
          <w:szCs w:val="20"/>
        </w:rPr>
        <w:t>).</w:t>
      </w:r>
      <w:r w:rsidRPr="008C6CB3">
        <w:rPr>
          <w:rFonts w:ascii="Arial" w:hAnsi="Arial" w:cs="Arial"/>
          <w:sz w:val="20"/>
          <w:szCs w:val="20"/>
        </w:rPr>
        <w:t xml:space="preserve"> </w:t>
      </w:r>
      <w:r>
        <w:rPr>
          <w:rFonts w:ascii="Arial" w:hAnsi="Arial" w:cs="Arial"/>
          <w:sz w:val="20"/>
          <w:szCs w:val="20"/>
        </w:rPr>
        <w:t xml:space="preserve">Following visible platform testing on day 15 post-injury, a </w:t>
      </w:r>
      <w:r w:rsidRPr="004661A9">
        <w:rPr>
          <w:rFonts w:ascii="Arial" w:hAnsi="Arial" w:cs="Arial"/>
          <w:sz w:val="20"/>
          <w:szCs w:val="20"/>
        </w:rPr>
        <w:t>60 s probe trial was performed to evaluate time spent in the southwest quadrant when the platform was removed.</w:t>
      </w:r>
      <w:r>
        <w:rPr>
          <w:rFonts w:ascii="Arial" w:hAnsi="Arial" w:cs="Arial"/>
          <w:sz w:val="20"/>
          <w:szCs w:val="20"/>
        </w:rPr>
        <w:t xml:space="preserve"> </w:t>
      </w:r>
      <w:r w:rsidRPr="008C6CB3">
        <w:rPr>
          <w:rFonts w:ascii="Arial" w:hAnsi="Arial" w:cs="Arial"/>
          <w:sz w:val="20"/>
          <w:szCs w:val="20"/>
        </w:rPr>
        <w:t>Post-hoc analysis of one-way ANOVA showed that CCI-injured groups spent significantly less time in the target quadrant than shams, but no effect of therapy was observed. (Data are Mean ± SD, N=9-10/group, *</w:t>
      </w:r>
      <w:r w:rsidRPr="008C6CB3">
        <w:rPr>
          <w:rFonts w:ascii="Arial" w:hAnsi="Arial" w:cs="Arial"/>
          <w:i/>
          <w:iCs/>
          <w:sz w:val="20"/>
          <w:szCs w:val="20"/>
        </w:rPr>
        <w:t>p</w:t>
      </w:r>
      <w:r>
        <w:rPr>
          <w:rFonts w:ascii="Arial" w:hAnsi="Arial" w:cs="Arial"/>
          <w:sz w:val="20"/>
          <w:szCs w:val="20"/>
        </w:rPr>
        <w:t>&lt;0.01 vs sham).</w:t>
      </w:r>
    </w:p>
    <w:sectPr w:rsidR="00E42B61" w:rsidRPr="00721461" w:rsidSect="0072146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61"/>
    <w:rsid w:val="00721461"/>
    <w:rsid w:val="00905C03"/>
    <w:rsid w:val="00A711E5"/>
    <w:rsid w:val="00E42B61"/>
    <w:rsid w:val="00E53E8A"/>
    <w:rsid w:val="00F4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DD4A"/>
  <w15:chartTrackingRefBased/>
  <w15:docId w15:val="{B698A184-23FA-4376-9928-10726B19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461"/>
    <w:pPr>
      <w:spacing w:after="0" w:line="48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1461"/>
    <w:pPr>
      <w:spacing w:after="0" w:line="240" w:lineRule="auto"/>
    </w:pPr>
  </w:style>
  <w:style w:type="character" w:customStyle="1" w:styleId="NoSpacingChar">
    <w:name w:val="No Spacing Char"/>
    <w:basedOn w:val="DefaultParagraphFont"/>
    <w:link w:val="NoSpacing"/>
    <w:uiPriority w:val="1"/>
    <w:rsid w:val="0072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2018-10-24T17:32:00Z</dcterms:created>
  <dcterms:modified xsi:type="dcterms:W3CDTF">2018-10-24T17:34:00Z</dcterms:modified>
</cp:coreProperties>
</file>