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8E17A" w14:textId="77777777" w:rsidR="00BC27B8" w:rsidRPr="004905C9" w:rsidRDefault="00BC27B8" w:rsidP="00BC27B8">
      <w:pPr>
        <w:spacing w:line="480" w:lineRule="auto"/>
        <w:jc w:val="center"/>
        <w:rPr>
          <w:rFonts w:cs="Arial"/>
          <w:b/>
          <w:sz w:val="28"/>
          <w:szCs w:val="28"/>
        </w:rPr>
      </w:pPr>
      <w:r w:rsidRPr="004905C9">
        <w:rPr>
          <w:rFonts w:cs="Arial"/>
          <w:b/>
          <w:sz w:val="28"/>
          <w:szCs w:val="28"/>
        </w:rPr>
        <w:t>SUPPLEMENTAL DIGITAL CONTENT</w:t>
      </w:r>
    </w:p>
    <w:p w14:paraId="4978E17B" w14:textId="77777777" w:rsidR="00F03E73" w:rsidRPr="004905C9" w:rsidRDefault="00F03E73" w:rsidP="00BC27B8">
      <w:pPr>
        <w:spacing w:line="480" w:lineRule="auto"/>
        <w:jc w:val="both"/>
        <w:rPr>
          <w:rFonts w:cs="Arial"/>
          <w:lang w:val="en-CA"/>
        </w:rPr>
      </w:pPr>
      <w:r w:rsidRPr="004905C9">
        <w:rPr>
          <w:rFonts w:ascii="Calibri" w:eastAsia="MS Mincho" w:hAnsi="Calibri" w:cs="Arial"/>
          <w:b/>
          <w:sz w:val="28"/>
          <w:szCs w:val="28"/>
          <w:lang w:val="en-US" w:eastAsia="ja-JP"/>
        </w:rPr>
        <w:t>Renal Klotho is reduced in septic patients and pretreatment with recombinant Klotho attenuates organ injury in LPS-challenged mice</w:t>
      </w:r>
      <w:r w:rsidRPr="004905C9">
        <w:rPr>
          <w:rFonts w:cs="Arial"/>
          <w:lang w:val="en-CA"/>
        </w:rPr>
        <w:t xml:space="preserve"> </w:t>
      </w:r>
    </w:p>
    <w:p w14:paraId="4978E17C" w14:textId="77777777" w:rsidR="00BC27B8" w:rsidRPr="004905C9" w:rsidRDefault="00BC27B8" w:rsidP="00BC27B8">
      <w:pPr>
        <w:spacing w:line="480" w:lineRule="auto"/>
        <w:jc w:val="both"/>
        <w:rPr>
          <w:rFonts w:cs="Arial"/>
          <w:vertAlign w:val="superscript"/>
          <w:lang w:val="en-CA"/>
        </w:rPr>
      </w:pPr>
      <w:r w:rsidRPr="004905C9">
        <w:rPr>
          <w:rFonts w:cs="Arial"/>
          <w:lang w:val="en-CA"/>
        </w:rPr>
        <w:t xml:space="preserve">Daniela </w:t>
      </w:r>
      <w:proofErr w:type="spellStart"/>
      <w:r w:rsidRPr="004905C9">
        <w:rPr>
          <w:rFonts w:cs="Arial"/>
          <w:lang w:val="en-CA"/>
        </w:rPr>
        <w:t>Jou</w:t>
      </w:r>
      <w:proofErr w:type="spellEnd"/>
      <w:r w:rsidRPr="004905C9">
        <w:rPr>
          <w:rFonts w:cs="Arial"/>
          <w:lang w:val="en-CA"/>
        </w:rPr>
        <w:t>-Valencia BSc</w:t>
      </w:r>
      <w:r w:rsidRPr="004905C9">
        <w:rPr>
          <w:rFonts w:cs="Arial"/>
          <w:vertAlign w:val="superscript"/>
          <w:lang w:val="en-CA"/>
        </w:rPr>
        <w:t>1,2</w:t>
      </w:r>
      <w:r w:rsidRPr="004905C9">
        <w:rPr>
          <w:rFonts w:cs="Arial"/>
          <w:lang w:val="en-CA"/>
        </w:rPr>
        <w:t xml:space="preserve">; </w:t>
      </w:r>
      <w:proofErr w:type="spellStart"/>
      <w:r w:rsidRPr="004905C9">
        <w:rPr>
          <w:rFonts w:cs="Arial"/>
          <w:lang w:val="en-CA"/>
        </w:rPr>
        <w:t>Grietje</w:t>
      </w:r>
      <w:proofErr w:type="spellEnd"/>
      <w:r w:rsidRPr="004905C9">
        <w:rPr>
          <w:rFonts w:cs="Arial"/>
          <w:lang w:val="en-CA"/>
        </w:rPr>
        <w:t xml:space="preserve"> Molema PhD</w:t>
      </w:r>
      <w:r w:rsidRPr="004905C9">
        <w:rPr>
          <w:rFonts w:cs="Arial"/>
          <w:vertAlign w:val="superscript"/>
          <w:lang w:val="en-CA"/>
        </w:rPr>
        <w:t>2</w:t>
      </w:r>
      <w:r w:rsidR="005C00E7" w:rsidRPr="004905C9">
        <w:rPr>
          <w:rFonts w:cs="Arial"/>
          <w:lang w:val="en-CA"/>
        </w:rPr>
        <w:t xml:space="preserve">; </w:t>
      </w:r>
      <w:proofErr w:type="spellStart"/>
      <w:r w:rsidR="005C00E7" w:rsidRPr="004905C9">
        <w:rPr>
          <w:rFonts w:cs="Arial"/>
          <w:lang w:val="en-CA"/>
        </w:rPr>
        <w:t>Eliane</w:t>
      </w:r>
      <w:proofErr w:type="spellEnd"/>
      <w:r w:rsidR="005C00E7" w:rsidRPr="004905C9">
        <w:rPr>
          <w:rFonts w:cs="Arial"/>
          <w:lang w:val="en-CA"/>
        </w:rPr>
        <w:t xml:space="preserve"> </w:t>
      </w:r>
      <w:proofErr w:type="spellStart"/>
      <w:r w:rsidR="005C00E7" w:rsidRPr="004905C9">
        <w:rPr>
          <w:rFonts w:cs="Arial"/>
          <w:lang w:val="en-CA"/>
        </w:rPr>
        <w:t>Popa</w:t>
      </w:r>
      <w:proofErr w:type="spellEnd"/>
      <w:r w:rsidRPr="004905C9">
        <w:rPr>
          <w:rFonts w:cs="Arial"/>
          <w:lang w:val="en-CA"/>
        </w:rPr>
        <w:t xml:space="preserve"> PhD</w:t>
      </w:r>
      <w:r w:rsidRPr="004905C9">
        <w:rPr>
          <w:rFonts w:cs="Arial"/>
          <w:vertAlign w:val="superscript"/>
          <w:lang w:val="en-CA"/>
        </w:rPr>
        <w:t>2</w:t>
      </w:r>
      <w:r w:rsidR="005C00E7" w:rsidRPr="004905C9">
        <w:rPr>
          <w:rFonts w:cs="Arial"/>
          <w:lang w:val="en-CA"/>
        </w:rPr>
        <w:t>; Adnan Aslan MD</w:t>
      </w:r>
      <w:r w:rsidRPr="004905C9">
        <w:rPr>
          <w:rFonts w:cs="Arial"/>
          <w:vertAlign w:val="superscript"/>
          <w:lang w:val="en-CA"/>
        </w:rPr>
        <w:t>1,2</w:t>
      </w:r>
      <w:r w:rsidRPr="004905C9">
        <w:rPr>
          <w:rFonts w:cs="Arial"/>
          <w:lang w:val="en-CA"/>
        </w:rPr>
        <w:t xml:space="preserve">; </w:t>
      </w:r>
      <w:proofErr w:type="spellStart"/>
      <w:r w:rsidRPr="004905C9">
        <w:rPr>
          <w:rFonts w:cs="Arial"/>
          <w:lang w:val="en-CA"/>
        </w:rPr>
        <w:t>Fransien</w:t>
      </w:r>
      <w:proofErr w:type="spellEnd"/>
      <w:r w:rsidRPr="004905C9">
        <w:rPr>
          <w:rFonts w:cs="Arial"/>
          <w:lang w:val="en-CA"/>
        </w:rPr>
        <w:t xml:space="preserve"> van Dijk MSc</w:t>
      </w:r>
      <w:r w:rsidRPr="004905C9">
        <w:rPr>
          <w:rFonts w:cs="Arial"/>
          <w:vertAlign w:val="superscript"/>
          <w:lang w:val="en-CA"/>
        </w:rPr>
        <w:t>2</w:t>
      </w:r>
      <w:r w:rsidRPr="004905C9">
        <w:rPr>
          <w:rFonts w:cs="Arial"/>
          <w:lang w:val="en-CA"/>
        </w:rPr>
        <w:t xml:space="preserve">; Rik </w:t>
      </w:r>
      <w:proofErr w:type="spellStart"/>
      <w:r w:rsidRPr="004905C9">
        <w:rPr>
          <w:rFonts w:cs="Arial"/>
          <w:lang w:val="en-CA"/>
        </w:rPr>
        <w:t>Mencke</w:t>
      </w:r>
      <w:proofErr w:type="spellEnd"/>
      <w:r w:rsidRPr="004905C9">
        <w:rPr>
          <w:rFonts w:cs="Arial"/>
          <w:lang w:val="en-CA"/>
        </w:rPr>
        <w:t xml:space="preserve"> MD</w:t>
      </w:r>
      <w:r w:rsidRPr="004905C9">
        <w:rPr>
          <w:rFonts w:cs="Arial"/>
          <w:vertAlign w:val="superscript"/>
          <w:lang w:val="en-CA"/>
        </w:rPr>
        <w:t>3</w:t>
      </w:r>
      <w:r w:rsidRPr="004905C9">
        <w:rPr>
          <w:rFonts w:cs="Arial"/>
          <w:lang w:val="en-CA"/>
        </w:rPr>
        <w:t>; Jan-</w:t>
      </w:r>
      <w:proofErr w:type="spellStart"/>
      <w:r w:rsidRPr="004905C9">
        <w:rPr>
          <w:rFonts w:cs="Arial"/>
          <w:lang w:val="en-CA"/>
        </w:rPr>
        <w:t>Luuk</w:t>
      </w:r>
      <w:proofErr w:type="spellEnd"/>
      <w:r w:rsidRPr="004905C9">
        <w:rPr>
          <w:rFonts w:cs="Arial"/>
          <w:lang w:val="en-CA"/>
        </w:rPr>
        <w:t xml:space="preserve"> </w:t>
      </w:r>
      <w:proofErr w:type="spellStart"/>
      <w:r w:rsidRPr="004905C9">
        <w:rPr>
          <w:rFonts w:cs="Arial"/>
          <w:lang w:val="en-CA"/>
        </w:rPr>
        <w:t>Hillebrands</w:t>
      </w:r>
      <w:proofErr w:type="spellEnd"/>
      <w:r w:rsidRPr="004905C9">
        <w:rPr>
          <w:rFonts w:cs="Arial"/>
          <w:lang w:val="en-CA"/>
        </w:rPr>
        <w:t xml:space="preserve"> PhD</w:t>
      </w:r>
      <w:r w:rsidRPr="004905C9">
        <w:rPr>
          <w:rFonts w:cs="Arial"/>
          <w:vertAlign w:val="superscript"/>
          <w:lang w:val="en-CA"/>
        </w:rPr>
        <w:t>3</w:t>
      </w:r>
      <w:r w:rsidRPr="004905C9">
        <w:rPr>
          <w:rFonts w:cs="Arial"/>
          <w:lang w:val="en-CA"/>
        </w:rPr>
        <w:t xml:space="preserve">; Peter </w:t>
      </w:r>
      <w:proofErr w:type="spellStart"/>
      <w:r w:rsidRPr="004905C9">
        <w:rPr>
          <w:rFonts w:cs="Arial"/>
          <w:lang w:val="en-CA"/>
        </w:rPr>
        <w:t>Heeringa</w:t>
      </w:r>
      <w:proofErr w:type="spellEnd"/>
      <w:r w:rsidRPr="004905C9">
        <w:rPr>
          <w:rFonts w:cs="Arial"/>
          <w:lang w:val="en-CA"/>
        </w:rPr>
        <w:t xml:space="preserve"> PhD</w:t>
      </w:r>
      <w:r w:rsidRPr="004905C9">
        <w:rPr>
          <w:rFonts w:cs="Arial"/>
          <w:vertAlign w:val="superscript"/>
          <w:lang w:val="en-CA"/>
        </w:rPr>
        <w:t>2</w:t>
      </w:r>
      <w:r w:rsidRPr="004905C9">
        <w:rPr>
          <w:rFonts w:cs="Arial"/>
          <w:lang w:val="en-CA"/>
        </w:rPr>
        <w:t xml:space="preserve">; Joost G. </w:t>
      </w:r>
      <w:proofErr w:type="spellStart"/>
      <w:r w:rsidRPr="004905C9">
        <w:rPr>
          <w:rFonts w:cs="Arial"/>
          <w:lang w:val="en-CA"/>
        </w:rPr>
        <w:t>Hoenderop</w:t>
      </w:r>
      <w:proofErr w:type="spellEnd"/>
      <w:r w:rsidRPr="004905C9">
        <w:rPr>
          <w:rFonts w:cs="Arial"/>
          <w:lang w:val="en-CA"/>
        </w:rPr>
        <w:t xml:space="preserve"> PhD</w:t>
      </w:r>
      <w:r w:rsidRPr="004905C9">
        <w:rPr>
          <w:rFonts w:cs="Arial"/>
          <w:vertAlign w:val="superscript"/>
          <w:lang w:val="en-CA"/>
        </w:rPr>
        <w:t>4</w:t>
      </w:r>
      <w:r w:rsidRPr="004905C9">
        <w:rPr>
          <w:rFonts w:cs="Arial"/>
          <w:lang w:val="en-CA"/>
        </w:rPr>
        <w:t xml:space="preserve">; Jan G. </w:t>
      </w:r>
      <w:proofErr w:type="spellStart"/>
      <w:r w:rsidRPr="004905C9">
        <w:rPr>
          <w:rFonts w:cs="Arial"/>
          <w:lang w:val="en-CA"/>
        </w:rPr>
        <w:t>Zijlstra</w:t>
      </w:r>
      <w:proofErr w:type="spellEnd"/>
      <w:r w:rsidRPr="004905C9">
        <w:rPr>
          <w:rFonts w:cs="Arial"/>
          <w:lang w:val="en-CA"/>
        </w:rPr>
        <w:t xml:space="preserve"> MD, PhD</w:t>
      </w:r>
      <w:r w:rsidRPr="004905C9">
        <w:rPr>
          <w:rFonts w:cs="Arial"/>
          <w:vertAlign w:val="superscript"/>
          <w:lang w:val="en-CA"/>
        </w:rPr>
        <w:t>1</w:t>
      </w:r>
      <w:r w:rsidRPr="004905C9">
        <w:rPr>
          <w:rFonts w:cs="Arial"/>
          <w:lang w:val="en-CA"/>
        </w:rPr>
        <w:t xml:space="preserve">; </w:t>
      </w:r>
      <w:proofErr w:type="spellStart"/>
      <w:r w:rsidRPr="004905C9">
        <w:rPr>
          <w:rFonts w:cs="Arial"/>
          <w:lang w:val="en-CA"/>
        </w:rPr>
        <w:t>Matijs</w:t>
      </w:r>
      <w:proofErr w:type="spellEnd"/>
      <w:r w:rsidRPr="004905C9">
        <w:rPr>
          <w:rFonts w:cs="Arial"/>
          <w:lang w:val="en-CA"/>
        </w:rPr>
        <w:t xml:space="preserve"> van Meurs MD, PhD</w:t>
      </w:r>
      <w:r w:rsidRPr="004905C9">
        <w:rPr>
          <w:rFonts w:cs="Arial"/>
          <w:vertAlign w:val="superscript"/>
          <w:lang w:val="en-CA"/>
        </w:rPr>
        <w:t>1,2</w:t>
      </w:r>
      <w:r w:rsidRPr="004905C9">
        <w:rPr>
          <w:rFonts w:cs="Arial"/>
          <w:lang w:val="en-CA"/>
        </w:rPr>
        <w:t>; Jill Moser PhD</w:t>
      </w:r>
      <w:r w:rsidRPr="004905C9">
        <w:rPr>
          <w:rFonts w:cs="Arial"/>
          <w:vertAlign w:val="superscript"/>
          <w:lang w:val="en-CA"/>
        </w:rPr>
        <w:t>1,2</w:t>
      </w:r>
    </w:p>
    <w:p w14:paraId="4978E17D" w14:textId="77777777" w:rsidR="00BC27B8" w:rsidRPr="004905C9" w:rsidRDefault="00BC27B8" w:rsidP="00BC27B8">
      <w:pPr>
        <w:spacing w:line="480" w:lineRule="auto"/>
        <w:jc w:val="both"/>
        <w:rPr>
          <w:rFonts w:cs="Arial"/>
          <w:vertAlign w:val="superscript"/>
          <w:lang w:val="en-CA"/>
        </w:rPr>
      </w:pPr>
    </w:p>
    <w:p w14:paraId="4978E17E" w14:textId="77777777" w:rsidR="00BC27B8" w:rsidRPr="004905C9" w:rsidRDefault="00BC27B8" w:rsidP="00BC27B8">
      <w:pPr>
        <w:spacing w:after="0" w:line="480" w:lineRule="auto"/>
        <w:jc w:val="both"/>
        <w:rPr>
          <w:rFonts w:cs="Arial"/>
          <w:vertAlign w:val="superscript"/>
          <w:lang w:val="en-CA"/>
        </w:rPr>
      </w:pPr>
      <w:r w:rsidRPr="004905C9">
        <w:rPr>
          <w:rFonts w:cs="Arial"/>
          <w:vertAlign w:val="superscript"/>
          <w:lang w:val="en-CA"/>
        </w:rPr>
        <w:t>1.</w:t>
      </w:r>
      <w:r w:rsidRPr="004905C9">
        <w:rPr>
          <w:rFonts w:cs="Arial"/>
          <w:lang w:val="en-CA"/>
        </w:rPr>
        <w:t xml:space="preserve"> Department of Critical Care, University of Groningen, University Medical Center Groningen, Groningen, The Netherlands.</w:t>
      </w:r>
    </w:p>
    <w:p w14:paraId="4978E17F" w14:textId="77777777" w:rsidR="00BC27B8" w:rsidRPr="004905C9" w:rsidRDefault="00BC27B8" w:rsidP="00BC27B8">
      <w:pPr>
        <w:spacing w:after="0" w:line="480" w:lineRule="auto"/>
        <w:jc w:val="both"/>
        <w:rPr>
          <w:rFonts w:cs="Arial"/>
          <w:lang w:val="en-CA"/>
        </w:rPr>
      </w:pPr>
      <w:r w:rsidRPr="004905C9">
        <w:rPr>
          <w:rFonts w:cs="Arial"/>
          <w:vertAlign w:val="superscript"/>
          <w:lang w:val="en-CA"/>
        </w:rPr>
        <w:t>2.</w:t>
      </w:r>
      <w:r w:rsidRPr="004905C9">
        <w:rPr>
          <w:rFonts w:cs="Arial"/>
          <w:lang w:val="en-CA"/>
        </w:rPr>
        <w:t xml:space="preserve"> Department of Pathology and Medical Biology, Medical Biology section, University of Groningen, University Medical Center Groningen, Groningen, The Netherlands.</w:t>
      </w:r>
    </w:p>
    <w:p w14:paraId="4978E180" w14:textId="77777777" w:rsidR="00BC27B8" w:rsidRPr="004905C9" w:rsidRDefault="00BC27B8" w:rsidP="00BC27B8">
      <w:pPr>
        <w:spacing w:after="0" w:line="480" w:lineRule="auto"/>
        <w:jc w:val="both"/>
        <w:rPr>
          <w:rFonts w:cs="Arial"/>
          <w:lang w:val="en-CA"/>
        </w:rPr>
      </w:pPr>
      <w:r w:rsidRPr="004905C9">
        <w:rPr>
          <w:rFonts w:cs="Arial"/>
          <w:vertAlign w:val="superscript"/>
          <w:lang w:val="en-CA"/>
        </w:rPr>
        <w:t>3.</w:t>
      </w:r>
      <w:r w:rsidRPr="004905C9">
        <w:rPr>
          <w:rFonts w:cs="Arial"/>
          <w:lang w:val="en-CA"/>
        </w:rPr>
        <w:t xml:space="preserve"> Department of Pathology and Medical Biology, Pathology section, University of Groningen, University Medical Center Groningen, Groningen, The Netherlands.</w:t>
      </w:r>
    </w:p>
    <w:p w14:paraId="4978E181" w14:textId="77777777" w:rsidR="00BC27B8" w:rsidRPr="004905C9" w:rsidRDefault="00BC27B8" w:rsidP="00BC27B8">
      <w:pPr>
        <w:spacing w:after="0" w:line="480" w:lineRule="auto"/>
        <w:jc w:val="both"/>
        <w:rPr>
          <w:rFonts w:cs="Arial"/>
          <w:lang w:val="en-CA"/>
        </w:rPr>
      </w:pPr>
      <w:r w:rsidRPr="004905C9">
        <w:rPr>
          <w:rFonts w:cs="Arial"/>
          <w:vertAlign w:val="superscript"/>
          <w:lang w:val="en-CA"/>
        </w:rPr>
        <w:t>4.</w:t>
      </w:r>
      <w:r w:rsidRPr="004905C9">
        <w:rPr>
          <w:rFonts w:cs="Arial"/>
          <w:lang w:val="en-CA"/>
        </w:rPr>
        <w:t xml:space="preserve"> Department of Physiology, Radboud University Medical Center, Nijmegen, The Netherlands</w:t>
      </w:r>
    </w:p>
    <w:p w14:paraId="4978E182" w14:textId="77777777" w:rsidR="00BC27B8" w:rsidRPr="004905C9" w:rsidRDefault="00BC27B8">
      <w:pPr>
        <w:rPr>
          <w:b/>
          <w:sz w:val="28"/>
          <w:szCs w:val="28"/>
          <w:lang w:val="en-CA"/>
        </w:rPr>
      </w:pPr>
    </w:p>
    <w:p w14:paraId="4978E183" w14:textId="77777777" w:rsidR="00BC27B8" w:rsidRPr="004905C9" w:rsidRDefault="00BC27B8">
      <w:pPr>
        <w:rPr>
          <w:b/>
          <w:sz w:val="28"/>
          <w:szCs w:val="28"/>
        </w:rPr>
      </w:pPr>
    </w:p>
    <w:p w14:paraId="4978E184" w14:textId="77777777" w:rsidR="00FF436A" w:rsidRPr="004905C9" w:rsidRDefault="00FF436A" w:rsidP="00FF436A">
      <w:pPr>
        <w:shd w:val="clear" w:color="auto" w:fill="FFFFFF"/>
        <w:spacing w:after="0" w:line="480" w:lineRule="auto"/>
        <w:jc w:val="both"/>
        <w:rPr>
          <w:rFonts w:cs="Arial"/>
          <w:bCs/>
          <w:color w:val="222222"/>
          <w:lang w:val="en-CA"/>
        </w:rPr>
      </w:pPr>
      <w:r w:rsidRPr="004905C9">
        <w:rPr>
          <w:rFonts w:cs="Arial"/>
          <w:b/>
          <w:bCs/>
          <w:color w:val="222222"/>
          <w:lang w:val="en-CA"/>
        </w:rPr>
        <w:t>Key Words:</w:t>
      </w:r>
      <w:r w:rsidRPr="004905C9">
        <w:rPr>
          <w:rFonts w:cs="Arial"/>
          <w:bCs/>
          <w:color w:val="222222"/>
          <w:lang w:val="en-CA"/>
        </w:rPr>
        <w:t xml:space="preserve"> Sepsis, Acute Kidney Injury, Delirium, Endotoxemia, Klotho, Inflammation, Microvasculature, Endothelial activation</w:t>
      </w:r>
    </w:p>
    <w:p w14:paraId="4978E185" w14:textId="77777777" w:rsidR="00BC27B8" w:rsidRPr="004905C9" w:rsidRDefault="00BC27B8">
      <w:pPr>
        <w:rPr>
          <w:b/>
          <w:sz w:val="28"/>
          <w:szCs w:val="28"/>
          <w:lang w:val="en-CA"/>
        </w:rPr>
      </w:pPr>
    </w:p>
    <w:p w14:paraId="4978E186" w14:textId="77777777" w:rsidR="00BC27B8" w:rsidRPr="004905C9" w:rsidRDefault="00BC27B8">
      <w:pPr>
        <w:rPr>
          <w:b/>
          <w:sz w:val="28"/>
          <w:szCs w:val="28"/>
        </w:rPr>
      </w:pPr>
    </w:p>
    <w:p w14:paraId="4978E187" w14:textId="77777777" w:rsidR="00BC27B8" w:rsidRPr="004905C9" w:rsidRDefault="00BC27B8">
      <w:pPr>
        <w:rPr>
          <w:b/>
          <w:sz w:val="28"/>
          <w:szCs w:val="28"/>
        </w:rPr>
      </w:pPr>
    </w:p>
    <w:p w14:paraId="4978E188" w14:textId="77777777" w:rsidR="00BC27B8" w:rsidRPr="004905C9" w:rsidRDefault="00BC27B8">
      <w:pPr>
        <w:rPr>
          <w:b/>
          <w:sz w:val="28"/>
          <w:szCs w:val="28"/>
        </w:rPr>
      </w:pPr>
    </w:p>
    <w:p w14:paraId="4978E189" w14:textId="77777777" w:rsidR="00BC27B8" w:rsidRPr="004905C9" w:rsidRDefault="00BC27B8">
      <w:pPr>
        <w:rPr>
          <w:b/>
          <w:sz w:val="28"/>
          <w:szCs w:val="28"/>
        </w:rPr>
      </w:pPr>
    </w:p>
    <w:p w14:paraId="4978E18A" w14:textId="77777777" w:rsidR="00BC27B8" w:rsidRPr="004905C9" w:rsidRDefault="00BC27B8">
      <w:pPr>
        <w:rPr>
          <w:b/>
          <w:sz w:val="28"/>
          <w:szCs w:val="28"/>
        </w:rPr>
      </w:pPr>
    </w:p>
    <w:p w14:paraId="4978E18B" w14:textId="77777777" w:rsidR="00AE487C" w:rsidRPr="004905C9" w:rsidRDefault="00AE487C" w:rsidP="00316115">
      <w:pPr>
        <w:rPr>
          <w:b/>
          <w:sz w:val="28"/>
          <w:szCs w:val="28"/>
        </w:rPr>
      </w:pPr>
      <w:r w:rsidRPr="004905C9">
        <w:rPr>
          <w:b/>
          <w:sz w:val="28"/>
          <w:szCs w:val="28"/>
        </w:rPr>
        <w:lastRenderedPageBreak/>
        <w:t>Supplemental digital content 1 – Methods</w:t>
      </w:r>
    </w:p>
    <w:p w14:paraId="4978E18C" w14:textId="77777777" w:rsidR="00316115" w:rsidRPr="004905C9" w:rsidRDefault="00316115" w:rsidP="00316115">
      <w:pPr>
        <w:rPr>
          <w:b/>
          <w:sz w:val="28"/>
          <w:szCs w:val="28"/>
        </w:rPr>
      </w:pPr>
    </w:p>
    <w:p w14:paraId="4978E18D" w14:textId="77777777" w:rsidR="00B82A0E" w:rsidRPr="004905C9" w:rsidRDefault="00B82A0E" w:rsidP="00B82A0E">
      <w:pPr>
        <w:spacing w:after="0" w:line="480" w:lineRule="auto"/>
        <w:jc w:val="both"/>
        <w:outlineLvl w:val="0"/>
        <w:rPr>
          <w:rFonts w:cs="Arial"/>
          <w:b/>
          <w:lang w:val="en-CA"/>
        </w:rPr>
      </w:pPr>
      <w:r w:rsidRPr="004905C9">
        <w:rPr>
          <w:rFonts w:cs="Arial"/>
          <w:b/>
          <w:lang w:val="en-CA"/>
        </w:rPr>
        <w:t>Gene expression analysis by RT-qPCR</w:t>
      </w:r>
    </w:p>
    <w:p w14:paraId="4978E18E" w14:textId="77777777" w:rsidR="00B82A0E" w:rsidRPr="004905C9" w:rsidRDefault="00B82A0E" w:rsidP="00B82A0E">
      <w:pPr>
        <w:spacing w:after="0" w:line="480" w:lineRule="auto"/>
        <w:jc w:val="both"/>
        <w:rPr>
          <w:rFonts w:cs="Arial"/>
          <w:lang w:val="en-CA"/>
        </w:rPr>
      </w:pPr>
      <w:r w:rsidRPr="004905C9">
        <w:rPr>
          <w:rFonts w:cs="Arial"/>
          <w:lang w:val="en-CA"/>
        </w:rPr>
        <w:t xml:space="preserve">Total RNA was isolated from mouse kidney and brain </w:t>
      </w:r>
      <w:proofErr w:type="spellStart"/>
      <w:r w:rsidRPr="004905C9">
        <w:rPr>
          <w:rFonts w:cs="Arial"/>
          <w:lang w:val="en-CA"/>
        </w:rPr>
        <w:t>cryosections</w:t>
      </w:r>
      <w:proofErr w:type="spellEnd"/>
      <w:r w:rsidRPr="004905C9">
        <w:rPr>
          <w:rFonts w:cs="Arial"/>
          <w:lang w:val="en-CA"/>
        </w:rPr>
        <w:t xml:space="preserve"> using a </w:t>
      </w:r>
      <w:proofErr w:type="spellStart"/>
      <w:r w:rsidRPr="004905C9">
        <w:rPr>
          <w:rFonts w:cs="Arial"/>
          <w:lang w:val="en-CA"/>
        </w:rPr>
        <w:t>RNAeasy</w:t>
      </w:r>
      <w:proofErr w:type="spellEnd"/>
      <w:r w:rsidRPr="004905C9">
        <w:rPr>
          <w:rFonts w:cs="Arial"/>
          <w:lang w:val="en-CA"/>
        </w:rPr>
        <w:t xml:space="preserve"> Mini Plus Kit (Qiagen, </w:t>
      </w:r>
      <w:proofErr w:type="spellStart"/>
      <w:r w:rsidRPr="004905C9">
        <w:rPr>
          <w:rFonts w:cs="Arial"/>
          <w:lang w:val="en-CA"/>
        </w:rPr>
        <w:t>Leusden</w:t>
      </w:r>
      <w:proofErr w:type="spellEnd"/>
      <w:r w:rsidRPr="004905C9">
        <w:rPr>
          <w:rFonts w:cs="Arial"/>
          <w:lang w:val="en-CA"/>
        </w:rPr>
        <w:t>, The Netherlands), according to the manufacturer’s instructions. RNA integrity was analyzed using gel electrophoresis and RNA concentration (OD260) and purity (OD260/280) were measured by Nanodrop ND-1000UV-Vis spectrophotometer (</w:t>
      </w:r>
      <w:proofErr w:type="spellStart"/>
      <w:r w:rsidRPr="004905C9">
        <w:rPr>
          <w:rFonts w:cs="Arial"/>
          <w:lang w:val="en-CA"/>
        </w:rPr>
        <w:t>NanoDrop</w:t>
      </w:r>
      <w:proofErr w:type="spellEnd"/>
      <w:r w:rsidRPr="004905C9">
        <w:rPr>
          <w:rFonts w:cs="Arial"/>
          <w:lang w:val="en-CA"/>
        </w:rPr>
        <w:t xml:space="preserve"> Technologies, Rockland, DE, USA). cDNA was synthesized as previously described </w:t>
      </w:r>
      <w:r w:rsidRPr="004905C9">
        <w:rPr>
          <w:rFonts w:cs="Arial"/>
          <w:lang w:val="en-CA"/>
        </w:rPr>
        <w:fldChar w:fldCharType="begin"/>
      </w:r>
      <w:r w:rsidRPr="004905C9">
        <w:rPr>
          <w:rFonts w:cs="Arial"/>
          <w:lang w:val="en-CA"/>
        </w:rPr>
        <w:instrText xml:space="preserve"> ADDIN REFMGR.CITE &lt;Refman&gt;&lt;Cite&gt;&lt;Author&gt;Kurniati&lt;/Author&gt;&lt;Year&gt;2013&lt;/Year&gt;&lt;RecNum&gt;6220&lt;/RecNum&gt;&lt;IDText&gt;The flow dependency of Tie2 expression in endotoxemia&lt;/IDText&gt;&lt;MDL Ref_Type="Journal"&gt;&lt;Ref_Type&gt;Journal&lt;/Ref_Type&gt;&lt;Ref_ID&gt;6220&lt;/Ref_ID&gt;&lt;Title_Primary&gt;The flow dependency of Tie2 expression in endotoxemia&lt;/Title_Primary&gt;&lt;Authors_Primary&gt;Kurniati,Neng F&lt;/Authors_Primary&gt;&lt;Authors_Primary&gt;Jongman,Rianne M&lt;/Authors_Primary&gt;&lt;Authors_Primary&gt;Hagen,Franziska&lt;/Authors_Primary&gt;&lt;Authors_Primary&gt;Spokes,Katherine C&lt;/Authors_Primary&gt;&lt;Authors_Primary&gt;Moser,Jill&lt;/Authors_Primary&gt;&lt;Authors_Primary&gt;Regan,Erzs&amp;#xE9;bet Ravasz&lt;/Authors_Primary&gt;&lt;Authors_Primary&gt;Krenning,Guido&lt;/Authors_Primary&gt;&lt;Authors_Primary&gt;Moonen,Jan RenierA&lt;/Authors_Primary&gt;&lt;Authors_Primary&gt;Harmsen,MartinC&lt;/Authors_Primary&gt;&lt;Authors_Primary&gt;Struys,MichelM&lt;/Authors_Primary&gt;&lt;Authors_Primary&gt;Hammes,Hans Peter&lt;/Authors_Primary&gt;&lt;Authors_Primary&gt;Zijlstra,JanG&lt;/Authors_Primary&gt;&lt;Authors_Primary&gt;Aird,WilliamC&lt;/Authors_Primary&gt;&lt;Authors_Primary&gt;Heeringa,Peter&lt;/Authors_Primary&gt;&lt;Authors_Primary&gt;Molema,Grietje&lt;/Authors_Primary&gt;&lt;Authors_Primary&gt;Meurs,Matijs&lt;/Authors_Primary&gt;&lt;Date_Primary&gt;2013&lt;/Date_Primary&gt;&lt;Keywords&gt;Endothelial Tie2&lt;/Keywords&gt;&lt;Keywords&gt;Endotoxemia&lt;/Keywords&gt;&lt;Keywords&gt;EXPRESSION&lt;/Keywords&gt;&lt;Keywords&gt;Flow&lt;/Keywords&gt;&lt;Keywords&gt;In Vitro&lt;/Keywords&gt;&lt;Keywords&gt;In vivo&lt;/Keywords&gt;&lt;Keywords&gt;Lipopolysaccharide&lt;/Keywords&gt;&lt;Keywords&gt;Tie2&lt;/Keywords&gt;&lt;Reprint&gt;Not in File&lt;/Reprint&gt;&lt;Start_Page&gt;1262&lt;/Start_Page&gt;&lt;End_Page&gt;1271&lt;/End_Page&gt;&lt;Periodical&gt;Intensive Care Med&lt;/Periodical&gt;&lt;Volume&gt;39&lt;/Volume&gt;&lt;Issue&gt;7&lt;/Issue&gt;&lt;Web_URL&gt;&lt;u&gt;http://dx.doi.org/10.1007/s00134-013-2899-7&lt;/u&gt;&lt;/Web_URL&gt;&lt;ZZ_JournalFull&gt;&lt;f name="System"&gt;Intensive Care Med&lt;/f&gt;&lt;/ZZ_JournalFull&gt;&lt;ZZ_WorkformID&gt;1&lt;/ZZ_WorkformID&gt;&lt;/MDL&gt;&lt;/Cite&gt;&lt;/Refman&gt;</w:instrText>
      </w:r>
      <w:r w:rsidRPr="004905C9">
        <w:rPr>
          <w:rFonts w:cs="Arial"/>
          <w:lang w:val="en-CA"/>
        </w:rPr>
        <w:fldChar w:fldCharType="separate"/>
      </w:r>
      <w:r w:rsidR="00FA56B7" w:rsidRPr="004905C9">
        <w:rPr>
          <w:rFonts w:cs="Arial"/>
          <w:noProof/>
          <w:lang w:val="en-CA"/>
        </w:rPr>
        <w:t>(37</w:t>
      </w:r>
      <w:r w:rsidRPr="004905C9">
        <w:rPr>
          <w:rFonts w:cs="Arial"/>
          <w:noProof/>
          <w:lang w:val="en-CA"/>
        </w:rPr>
        <w:t>)</w:t>
      </w:r>
      <w:r w:rsidRPr="004905C9">
        <w:rPr>
          <w:rFonts w:cs="Arial"/>
          <w:lang w:val="en-CA"/>
        </w:rPr>
        <w:fldChar w:fldCharType="end"/>
      </w:r>
      <w:r w:rsidRPr="004905C9">
        <w:rPr>
          <w:rFonts w:cs="Arial"/>
          <w:lang w:val="en-CA"/>
        </w:rPr>
        <w:t xml:space="preserve">. RT-qPCR was performed using the </w:t>
      </w:r>
      <w:proofErr w:type="spellStart"/>
      <w:r w:rsidRPr="004905C9">
        <w:rPr>
          <w:rFonts w:cs="Arial"/>
          <w:lang w:val="en-CA"/>
        </w:rPr>
        <w:t>ViiA</w:t>
      </w:r>
      <w:proofErr w:type="spellEnd"/>
      <w:r w:rsidRPr="004905C9">
        <w:rPr>
          <w:rFonts w:cs="Arial"/>
          <w:lang w:val="en-CA"/>
        </w:rPr>
        <w:t xml:space="preserve"> 7 system (Applied Biosystems/</w:t>
      </w:r>
      <w:proofErr w:type="spellStart"/>
      <w:r w:rsidRPr="004905C9">
        <w:rPr>
          <w:rFonts w:cs="Arial"/>
          <w:lang w:val="en-CA"/>
        </w:rPr>
        <w:t>ThermoFisher</w:t>
      </w:r>
      <w:proofErr w:type="spellEnd"/>
      <w:r w:rsidRPr="004905C9">
        <w:rPr>
          <w:rFonts w:cs="Arial"/>
          <w:lang w:val="en-CA"/>
        </w:rPr>
        <w:t xml:space="preserve"> Scientific). Duplicate real-time PCR analyses were executed for each sample, and the obtained threshold cycle (C</w:t>
      </w:r>
      <w:r w:rsidRPr="004905C9">
        <w:rPr>
          <w:rFonts w:cs="Arial"/>
          <w:vertAlign w:val="subscript"/>
          <w:lang w:val="en-CA"/>
        </w:rPr>
        <w:t>T</w:t>
      </w:r>
      <w:r w:rsidRPr="004905C9">
        <w:rPr>
          <w:rFonts w:cs="Arial"/>
          <w:lang w:val="en-CA"/>
        </w:rPr>
        <w:t>) values were averaged. Gene expression was normalized to the expression of housekeeping gene (GAPDH) resulting in the ΔC</w:t>
      </w:r>
      <w:r w:rsidRPr="004905C9">
        <w:rPr>
          <w:rFonts w:cs="Arial"/>
          <w:vertAlign w:val="subscript"/>
          <w:lang w:val="en-CA"/>
        </w:rPr>
        <w:t xml:space="preserve">T </w:t>
      </w:r>
      <w:r w:rsidRPr="004905C9">
        <w:rPr>
          <w:rFonts w:cs="Arial"/>
          <w:lang w:val="en-CA"/>
        </w:rPr>
        <w:t>value. The relative mRNA level was calculated by 2</w:t>
      </w:r>
      <w:r w:rsidRPr="004905C9">
        <w:rPr>
          <w:rFonts w:cs="Arial"/>
          <w:vertAlign w:val="superscript"/>
          <w:lang w:val="en-CA"/>
        </w:rPr>
        <w:t>- ΔCT</w:t>
      </w:r>
      <w:r w:rsidRPr="004905C9">
        <w:rPr>
          <w:rFonts w:cs="Arial"/>
          <w:lang w:val="en-CA"/>
        </w:rPr>
        <w:t>. Assay on demand primers from Applied Biosystems (</w:t>
      </w:r>
      <w:proofErr w:type="spellStart"/>
      <w:r w:rsidRPr="004905C9">
        <w:rPr>
          <w:rFonts w:cs="Arial"/>
          <w:lang w:val="en-CA"/>
        </w:rPr>
        <w:t>Nieuwerkerk</w:t>
      </w:r>
      <w:proofErr w:type="spellEnd"/>
      <w:r w:rsidRPr="004905C9">
        <w:rPr>
          <w:rFonts w:cs="Arial"/>
          <w:lang w:val="en-CA"/>
        </w:rPr>
        <w:t xml:space="preserve"> </w:t>
      </w:r>
      <w:proofErr w:type="spellStart"/>
      <w:r w:rsidRPr="004905C9">
        <w:rPr>
          <w:rFonts w:cs="Arial"/>
          <w:lang w:val="en-CA"/>
        </w:rPr>
        <w:t>aan</w:t>
      </w:r>
      <w:proofErr w:type="spellEnd"/>
      <w:r w:rsidRPr="004905C9">
        <w:rPr>
          <w:rFonts w:cs="Arial"/>
          <w:lang w:val="en-CA"/>
        </w:rPr>
        <w:t xml:space="preserve"> de </w:t>
      </w:r>
      <w:proofErr w:type="spellStart"/>
      <w:r w:rsidRPr="004905C9">
        <w:rPr>
          <w:rFonts w:cs="Arial"/>
          <w:lang w:val="en-CA"/>
        </w:rPr>
        <w:t>IJssel</w:t>
      </w:r>
      <w:proofErr w:type="spellEnd"/>
      <w:r w:rsidRPr="004905C9">
        <w:rPr>
          <w:rFonts w:cs="Arial"/>
          <w:lang w:val="en-CA"/>
        </w:rPr>
        <w:t xml:space="preserve">, The Netherlands) included GADPH (Glyceraldehyde-3-phosphate dehydrogenase, assay ID Mm99999915_g1/ </w:t>
      </w:r>
      <w:r w:rsidRPr="004905C9">
        <w:rPr>
          <w:rFonts w:cs="Arial"/>
        </w:rPr>
        <w:t>Hs99999905_m1</w:t>
      </w:r>
      <w:r w:rsidRPr="004905C9">
        <w:rPr>
          <w:rFonts w:cs="Arial"/>
          <w:lang w:val="en-CA"/>
        </w:rPr>
        <w:t>), Klotho (assay ID Mm00502002_m1/ Hs00183100_m1), NGAL/LCN2 (Neutrophil gelatinase-associated lipocalin/Lipocalin-2, assay ID Mm01324470_m1/ Hs01008571_m1), KIM-1/ HAVCR1 (Kidney Injury Molecule-1/ Hepatitis A virus cellular receptor-1, assay ID Mm00516023_m1/ Hs03054855_g1), Ddx58/RIG-I (</w:t>
      </w:r>
      <w:proofErr w:type="spellStart"/>
      <w:r w:rsidRPr="004905C9">
        <w:rPr>
          <w:rFonts w:cs="Arial"/>
          <w:lang w:val="en-CA"/>
        </w:rPr>
        <w:t>DExD</w:t>
      </w:r>
      <w:proofErr w:type="spellEnd"/>
      <w:r w:rsidRPr="004905C9">
        <w:rPr>
          <w:rFonts w:cs="Arial"/>
          <w:lang w:val="en-CA"/>
        </w:rPr>
        <w:t>/H-Box Helicase 58, assay ID Mm01216853_m1), E-selectin (assay ID Mm00441248_m1/ Hs00174057), VCAM-1 (vascular cell adhesion molecule-1, assay ID Mm00449197_m1/ Hs00365486_m1), ICAM-1 (intracellular adhesion molecule-1, assay ID Mm00441242_m1/ Hs00164932_m1), IL-6 (Interleukin-6, assay ID Mm00446190_m1), IL-8 (Interleukin-8, assay ID Mm00433859_m1), MCP-1 (Monocyte chemotactic protein-1, assay ID Mm00441242_m1), TNFα (Tumor necrosis factor alpha, assay ID Mm00443258_m1), IL-1β (Interleukin-1β, assay ID Mm00434228_m1).</w:t>
      </w:r>
    </w:p>
    <w:p w14:paraId="4978E18F" w14:textId="77777777" w:rsidR="00AE487C" w:rsidRPr="004905C9" w:rsidRDefault="00AE487C">
      <w:pPr>
        <w:rPr>
          <w:lang w:val="en-CA"/>
        </w:rPr>
      </w:pPr>
    </w:p>
    <w:p w14:paraId="4978E190" w14:textId="77777777" w:rsidR="00B82A0E" w:rsidRPr="004905C9" w:rsidRDefault="00B82A0E" w:rsidP="00B82A0E">
      <w:pPr>
        <w:spacing w:after="0" w:line="480" w:lineRule="auto"/>
        <w:jc w:val="both"/>
        <w:rPr>
          <w:rFonts w:cs="Arial"/>
          <w:b/>
          <w:lang w:val="en-CA"/>
        </w:rPr>
      </w:pPr>
    </w:p>
    <w:p w14:paraId="4978E191" w14:textId="77777777" w:rsidR="00B82A0E" w:rsidRPr="004905C9" w:rsidRDefault="00B82A0E" w:rsidP="00B82A0E">
      <w:pPr>
        <w:spacing w:after="0" w:line="480" w:lineRule="auto"/>
        <w:jc w:val="both"/>
        <w:rPr>
          <w:rFonts w:cs="Arial"/>
          <w:b/>
          <w:lang w:val="en-CA"/>
        </w:rPr>
      </w:pPr>
    </w:p>
    <w:p w14:paraId="4978E192" w14:textId="77777777" w:rsidR="00B82A0E" w:rsidRPr="004905C9" w:rsidRDefault="00B82A0E" w:rsidP="00B82A0E">
      <w:pPr>
        <w:spacing w:after="0" w:line="480" w:lineRule="auto"/>
        <w:jc w:val="both"/>
        <w:rPr>
          <w:rFonts w:cs="Arial"/>
          <w:lang w:val="en-CA"/>
        </w:rPr>
      </w:pPr>
      <w:r w:rsidRPr="004905C9">
        <w:rPr>
          <w:rFonts w:cs="Arial"/>
          <w:b/>
          <w:lang w:val="en-CA"/>
        </w:rPr>
        <w:lastRenderedPageBreak/>
        <w:t>Immunohistochemistry</w:t>
      </w:r>
    </w:p>
    <w:p w14:paraId="4978E193" w14:textId="77777777" w:rsidR="00B82A0E" w:rsidRPr="004905C9" w:rsidRDefault="00B82A0E" w:rsidP="00B82A0E">
      <w:pPr>
        <w:spacing w:after="0" w:line="480" w:lineRule="auto"/>
        <w:jc w:val="both"/>
        <w:rPr>
          <w:rFonts w:cs="Arial"/>
          <w:noProof/>
          <w:lang w:val="en-CA"/>
        </w:rPr>
      </w:pPr>
      <w:r w:rsidRPr="004905C9">
        <w:rPr>
          <w:rFonts w:cs="Arial"/>
          <w:noProof/>
          <w:lang w:val="en-CA"/>
        </w:rPr>
        <w:t>Immunochemical staining of Klotho protein was performed on formalin-fixed paraffin-embedded human kidney, and mouse kidney and brain tissue. Tissue sections were deparaffinized, rehydrated, and antigens retrieved by boiling the sections for 15 minutes in 1mM EDTA (pH 8). The endogenous peroxidase activity was blocked by 10 minutes incubation with Peroxidase Block (EnVision + System-HRP, DAKO, Carpentaria, CA, USA). After washing with PBS, the slides were incubated with rat-anti-Klotho (clone KM2076, TransGenic Inc. Kobe, Japan) in 5% BSA solution for 1 hour at room temperature (RT). After washing, the secondary antibody rabbit anti-rat (Vector Laboratories Inc, Burlingame, CA, USA) was added for 45 minutes. Sections were then rinsed and incubated with HRP-labeled anti-rabbit polymer (EnVision + System-HRP-AEC) for 30 minutes. After washing, the p</w:t>
      </w:r>
      <w:proofErr w:type="spellStart"/>
      <w:r w:rsidRPr="004905C9">
        <w:rPr>
          <w:rFonts w:eastAsia="Times New Roman" w:cs="Arial"/>
          <w:color w:val="222222"/>
          <w:shd w:val="clear" w:color="auto" w:fill="FFFFFF"/>
          <w:lang w:val="en-CA"/>
        </w:rPr>
        <w:t>eroxidase</w:t>
      </w:r>
      <w:proofErr w:type="spellEnd"/>
      <w:r w:rsidRPr="004905C9">
        <w:rPr>
          <w:rFonts w:eastAsia="Times New Roman" w:cs="Arial"/>
          <w:color w:val="222222"/>
          <w:shd w:val="clear" w:color="auto" w:fill="FFFFFF"/>
          <w:lang w:val="en-CA"/>
        </w:rPr>
        <w:t xml:space="preserve"> activity was detected with 3-amino-9-ethylcarbazole (AEC; Envision kit, DAKO) and </w:t>
      </w:r>
      <w:r w:rsidRPr="004905C9">
        <w:rPr>
          <w:rFonts w:cs="Arial"/>
          <w:noProof/>
          <w:lang w:val="en-CA"/>
        </w:rPr>
        <w:t xml:space="preserve">sections counterstained with Mayer’s hematoxylin (Merck Millipore, Darmstadt, Germany). Sections were mounted with Kaiser’s glycerol gelatin (Merck Millipore). </w:t>
      </w:r>
    </w:p>
    <w:p w14:paraId="4978E194" w14:textId="77777777" w:rsidR="00B82A0E" w:rsidRPr="004905C9" w:rsidRDefault="00B82A0E" w:rsidP="00B82A0E">
      <w:pPr>
        <w:spacing w:after="0" w:line="480" w:lineRule="auto"/>
        <w:jc w:val="both"/>
        <w:rPr>
          <w:rFonts w:cs="Arial"/>
          <w:noProof/>
          <w:u w:val="single"/>
          <w:lang w:val="en-CA"/>
        </w:rPr>
      </w:pPr>
    </w:p>
    <w:p w14:paraId="4978E195" w14:textId="77777777" w:rsidR="00B82A0E" w:rsidRPr="004905C9" w:rsidRDefault="00B82A0E" w:rsidP="00B82A0E">
      <w:pPr>
        <w:spacing w:after="0" w:line="480" w:lineRule="auto"/>
        <w:jc w:val="both"/>
        <w:rPr>
          <w:rFonts w:cs="Arial"/>
          <w:noProof/>
          <w:lang w:val="en-CA"/>
        </w:rPr>
      </w:pPr>
      <w:r w:rsidRPr="004905C9">
        <w:rPr>
          <w:rFonts w:cs="Arial"/>
          <w:noProof/>
          <w:lang w:val="en-CA"/>
        </w:rPr>
        <w:t xml:space="preserve">Immunohistochemical staining of endothelial adhesion molecules and leukocyte infiltration was performed on 5 µm mouse kidney tissue cryosections. Tissue was fixed in acetone for 10 minutes and rehydrated in PBS. Endogenous peroxidase activity was blocked as described above. Non-specific binding was blocked by 1% BSA and 2% FCS in PBS for 30 minutes at RT. Primary antibodies included rat-anti-Ly6G (lymphocyte antigen 6 complex-locus G, BD Biosciences), rat-anti-VCAM-1 (clone M/K-1.9, ATCC, Manassas VA, USA), rat-anti-E-Selectin (clone MES-1, kindly provided by Derek Brown, UCB Celltech, Brussels, Belgium). Antibodies were diluted in 1% BSA with 2%FCS in PBS and incubated for 1 hour at RT. Subsequent steps were performed as described above. </w:t>
      </w:r>
    </w:p>
    <w:p w14:paraId="4978E196" w14:textId="77777777" w:rsidR="00B82A0E" w:rsidRPr="004905C9" w:rsidRDefault="00B82A0E">
      <w:pPr>
        <w:rPr>
          <w:lang w:val="en-CA"/>
        </w:rPr>
      </w:pPr>
    </w:p>
    <w:p w14:paraId="4978E197" w14:textId="77777777" w:rsidR="00B82A0E" w:rsidRPr="004905C9" w:rsidRDefault="00B82A0E" w:rsidP="00B82A0E">
      <w:pPr>
        <w:spacing w:after="0" w:line="480" w:lineRule="auto"/>
        <w:jc w:val="both"/>
        <w:outlineLvl w:val="0"/>
        <w:rPr>
          <w:rFonts w:cs="Arial"/>
          <w:b/>
          <w:noProof/>
          <w:lang w:val="en-CA"/>
        </w:rPr>
      </w:pPr>
      <w:r w:rsidRPr="004905C9">
        <w:rPr>
          <w:rFonts w:cs="Arial"/>
          <w:b/>
          <w:noProof/>
          <w:lang w:val="en-CA"/>
        </w:rPr>
        <w:t xml:space="preserve">ELISA </w:t>
      </w:r>
    </w:p>
    <w:p w14:paraId="4978E198" w14:textId="77777777" w:rsidR="00B82A0E" w:rsidRPr="004905C9" w:rsidRDefault="00B82A0E" w:rsidP="00B82A0E">
      <w:pPr>
        <w:spacing w:after="0" w:line="480" w:lineRule="auto"/>
        <w:jc w:val="both"/>
        <w:rPr>
          <w:rFonts w:cs="Arial"/>
          <w:lang w:val="en-CA"/>
        </w:rPr>
      </w:pPr>
      <w:r w:rsidRPr="004905C9">
        <w:rPr>
          <w:rFonts w:cs="Arial"/>
          <w:lang w:val="en-CA"/>
        </w:rPr>
        <w:t xml:space="preserve">NGAL and MPO protein levels were determined in mouse renal tissue lysates by ELISA (NGAL: HK210, R&amp;D Systems, Minneapolis, Minnesota, USA; MPO: HK210, </w:t>
      </w:r>
      <w:proofErr w:type="spellStart"/>
      <w:r w:rsidRPr="004905C9">
        <w:rPr>
          <w:rFonts w:cs="Arial"/>
          <w:lang w:val="en-CA"/>
        </w:rPr>
        <w:t>Hycult</w:t>
      </w:r>
      <w:proofErr w:type="spellEnd"/>
      <w:r w:rsidRPr="004905C9">
        <w:rPr>
          <w:rFonts w:cs="Arial"/>
          <w:lang w:val="en-CA"/>
        </w:rPr>
        <w:t xml:space="preserve"> Biotech). NGAL plasma levels were </w:t>
      </w:r>
      <w:r w:rsidRPr="004905C9">
        <w:rPr>
          <w:rFonts w:cs="Arial"/>
          <w:lang w:val="en-CA"/>
        </w:rPr>
        <w:lastRenderedPageBreak/>
        <w:t>determined using the same NGAL ELISA kit. Plasma IL-6 levels were determined using the LEGEND MAX™ Mouse IL-6 ELISA Kit (</w:t>
      </w:r>
      <w:proofErr w:type="spellStart"/>
      <w:r w:rsidRPr="004905C9">
        <w:rPr>
          <w:rFonts w:cs="Arial"/>
          <w:lang w:val="en-CA"/>
        </w:rPr>
        <w:t>Biolegend</w:t>
      </w:r>
      <w:proofErr w:type="spellEnd"/>
      <w:r w:rsidRPr="004905C9">
        <w:rPr>
          <w:rFonts w:cs="Arial"/>
          <w:lang w:val="en-CA"/>
        </w:rPr>
        <w:t xml:space="preserve">, San Diego, CA, USA). All ELISA analyses were performed according to the manufacturers’ instructions. </w:t>
      </w:r>
    </w:p>
    <w:p w14:paraId="4978E199" w14:textId="77777777" w:rsidR="00B82A0E" w:rsidRPr="004905C9" w:rsidRDefault="00B82A0E">
      <w:pPr>
        <w:rPr>
          <w:lang w:val="en-CA"/>
        </w:rPr>
      </w:pPr>
    </w:p>
    <w:p w14:paraId="4978E19A" w14:textId="77777777" w:rsidR="00B82A0E" w:rsidRPr="004905C9" w:rsidRDefault="00B82A0E">
      <w:pPr>
        <w:rPr>
          <w:lang w:val="en-CA"/>
        </w:rPr>
      </w:pPr>
    </w:p>
    <w:p w14:paraId="4978E19B" w14:textId="77777777" w:rsidR="00B82A0E" w:rsidRPr="004905C9" w:rsidRDefault="00B82A0E">
      <w:pPr>
        <w:rPr>
          <w:lang w:val="en-CA"/>
        </w:rPr>
      </w:pPr>
    </w:p>
    <w:p w14:paraId="4978E19C" w14:textId="77777777" w:rsidR="00B82A0E" w:rsidRPr="004905C9" w:rsidRDefault="00B82A0E">
      <w:pPr>
        <w:rPr>
          <w:lang w:val="en-CA"/>
        </w:rPr>
      </w:pPr>
    </w:p>
    <w:p w14:paraId="4978E19D" w14:textId="77777777" w:rsidR="00B82A0E" w:rsidRPr="004905C9" w:rsidRDefault="00B82A0E">
      <w:pPr>
        <w:rPr>
          <w:lang w:val="en-CA"/>
        </w:rPr>
      </w:pPr>
    </w:p>
    <w:p w14:paraId="4978E19E" w14:textId="77777777" w:rsidR="00B82A0E" w:rsidRPr="004905C9" w:rsidRDefault="00B82A0E">
      <w:pPr>
        <w:rPr>
          <w:lang w:val="en-CA"/>
        </w:rPr>
      </w:pPr>
    </w:p>
    <w:p w14:paraId="4978E19F" w14:textId="77777777" w:rsidR="0022188B" w:rsidRPr="004905C9" w:rsidRDefault="0022188B"/>
    <w:p w14:paraId="4978E1A0" w14:textId="77777777" w:rsidR="0022188B" w:rsidRPr="004905C9" w:rsidRDefault="0022188B"/>
    <w:p w14:paraId="4978E1A1" w14:textId="77777777" w:rsidR="0022188B" w:rsidRPr="004905C9" w:rsidRDefault="0022188B"/>
    <w:p w14:paraId="4978E1A2" w14:textId="77777777" w:rsidR="0022188B" w:rsidRPr="004905C9" w:rsidRDefault="0022188B"/>
    <w:p w14:paraId="4978E1A3" w14:textId="77777777" w:rsidR="0022188B" w:rsidRPr="004905C9" w:rsidRDefault="0022188B"/>
    <w:p w14:paraId="4978E1A4" w14:textId="77777777" w:rsidR="0022188B" w:rsidRPr="004905C9" w:rsidRDefault="0022188B">
      <w:r w:rsidRPr="004905C9">
        <w:rPr>
          <w:noProof/>
          <w:lang w:eastAsia="en-GB"/>
        </w:rPr>
        <w:lastRenderedPageBreak/>
        <w:drawing>
          <wp:anchor distT="0" distB="0" distL="114300" distR="114300" simplePos="0" relativeHeight="251668480" behindDoc="0" locked="0" layoutInCell="1" allowOverlap="1" wp14:anchorId="4978E235" wp14:editId="4978E236">
            <wp:simplePos x="0" y="0"/>
            <wp:positionH relativeFrom="margin">
              <wp:posOffset>-1593850</wp:posOffset>
            </wp:positionH>
            <wp:positionV relativeFrom="paragraph">
              <wp:posOffset>222885</wp:posOffset>
            </wp:positionV>
            <wp:extent cx="8841600" cy="4986000"/>
            <wp:effectExtent l="381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8841600" cy="4986000"/>
                    </a:xfrm>
                    <a:prstGeom prst="rect">
                      <a:avLst/>
                    </a:prstGeom>
                    <a:noFill/>
                  </pic:spPr>
                </pic:pic>
              </a:graphicData>
            </a:graphic>
            <wp14:sizeRelH relativeFrom="margin">
              <wp14:pctWidth>0</wp14:pctWidth>
            </wp14:sizeRelH>
            <wp14:sizeRelV relativeFrom="margin">
              <wp14:pctHeight>0</wp14:pctHeight>
            </wp14:sizeRelV>
          </wp:anchor>
        </w:drawing>
      </w:r>
    </w:p>
    <w:p w14:paraId="4978E1A5" w14:textId="77777777" w:rsidR="0022188B" w:rsidRPr="004905C9" w:rsidRDefault="0022188B"/>
    <w:p w14:paraId="4978E1A6" w14:textId="77777777" w:rsidR="0022188B" w:rsidRPr="004905C9" w:rsidRDefault="0022188B"/>
    <w:p w14:paraId="4978E1A7" w14:textId="77777777" w:rsidR="0022188B" w:rsidRPr="004905C9" w:rsidRDefault="0022188B"/>
    <w:p w14:paraId="4978E1A8" w14:textId="77777777" w:rsidR="0022188B" w:rsidRPr="004905C9" w:rsidRDefault="0022188B"/>
    <w:p w14:paraId="4978E1A9" w14:textId="77777777" w:rsidR="0022188B" w:rsidRPr="004905C9" w:rsidRDefault="0022188B"/>
    <w:p w14:paraId="4978E1AA" w14:textId="77777777" w:rsidR="0022188B" w:rsidRPr="004905C9" w:rsidRDefault="0022188B"/>
    <w:p w14:paraId="4978E1AB" w14:textId="77777777" w:rsidR="0022188B" w:rsidRPr="004905C9" w:rsidRDefault="0022188B"/>
    <w:p w14:paraId="4978E1AC" w14:textId="77777777" w:rsidR="0022188B" w:rsidRPr="004905C9" w:rsidRDefault="0022188B">
      <w:r w:rsidRPr="004905C9">
        <w:rPr>
          <w:noProof/>
          <w:lang w:eastAsia="en-GB"/>
        </w:rPr>
        <mc:AlternateContent>
          <mc:Choice Requires="wps">
            <w:drawing>
              <wp:anchor distT="0" distB="0" distL="114300" distR="114300" simplePos="0" relativeHeight="251670528" behindDoc="0" locked="0" layoutInCell="1" allowOverlap="1" wp14:anchorId="4978E237" wp14:editId="5641F56C">
                <wp:simplePos x="0" y="0"/>
                <wp:positionH relativeFrom="leftMargin">
                  <wp:posOffset>-3054985</wp:posOffset>
                </wp:positionH>
                <wp:positionV relativeFrom="paragraph">
                  <wp:posOffset>601980</wp:posOffset>
                </wp:positionV>
                <wp:extent cx="7691628" cy="307777"/>
                <wp:effectExtent l="0" t="0" r="0" b="0"/>
                <wp:wrapNone/>
                <wp:docPr id="12" name="Rectangle 5"/>
                <wp:cNvGraphicFramePr/>
                <a:graphic xmlns:a="http://schemas.openxmlformats.org/drawingml/2006/main">
                  <a:graphicData uri="http://schemas.microsoft.com/office/word/2010/wordprocessingShape">
                    <wps:wsp>
                      <wps:cNvSpPr/>
                      <wps:spPr>
                        <a:xfrm rot="16200000">
                          <a:off x="0" y="0"/>
                          <a:ext cx="7691628" cy="307777"/>
                        </a:xfrm>
                        <a:prstGeom prst="rect">
                          <a:avLst/>
                        </a:prstGeom>
                      </wps:spPr>
                      <wps:txbx>
                        <w:txbxContent>
                          <w:p w14:paraId="4978E249" w14:textId="77777777" w:rsidR="0022188B" w:rsidRPr="0022188B" w:rsidRDefault="0022188B" w:rsidP="0022188B">
                            <w:pPr>
                              <w:pStyle w:val="NormalWeb"/>
                              <w:spacing w:before="0" w:beforeAutospacing="0" w:after="0" w:afterAutospacing="0"/>
                              <w:rPr>
                                <w:sz w:val="22"/>
                              </w:rPr>
                            </w:pPr>
                            <w:r w:rsidRPr="004905C9">
                              <w:rPr>
                                <w:rFonts w:asciiTheme="minorHAnsi" w:hAnsi="Calibri" w:cstheme="minorBidi"/>
                                <w:b/>
                                <w:bCs/>
                                <w:color w:val="000000" w:themeColor="text1"/>
                                <w:kern w:val="24"/>
                                <w:szCs w:val="28"/>
                              </w:rPr>
                              <w:t>Supplemental Table 1. Septic patients: clinical, laboratory and renal function details</w:t>
                            </w:r>
                          </w:p>
                        </w:txbxContent>
                      </wps:txbx>
                      <wps:bodyPr wrap="square">
                        <a:spAutoFit/>
                      </wps:bodyPr>
                    </wps:wsp>
                  </a:graphicData>
                </a:graphic>
              </wp:anchor>
            </w:drawing>
          </mc:Choice>
          <mc:Fallback>
            <w:pict>
              <v:rect w14:anchorId="4978E237" id="Rectangle 5" o:spid="_x0000_s1026" style="position:absolute;margin-left:-240.55pt;margin-top:47.4pt;width:605.65pt;height:24.25pt;rotation:-90;z-index:251670528;visibility:visible;mso-wrap-style:squar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9gjAEAAP8CAAAOAAAAZHJzL2Uyb0RvYy54bWysUsGO2yAQvVfaf0DcN3ZSNdtacVaVVttL&#10;tV112w8gGGIkw9AZEjt/3wG7abW9VeWAGHg83nvD7n7ygzgbJAehletVLYUJGjoXjq38/u3x9r0U&#10;lFTo1ADBtPJiSN7vb97sxtiYDfQwdAYFkwRqxtjKPqXYVBXp3nhFK4gm8KEF9CpxiceqQzUyux+q&#10;TV1vqxGwiwjaEPHuw3wo94XfWqPTF2vJJDG0krWlMmOZD3mu9jvVHFHF3ulFhvoHFV65wI9eqR5U&#10;UuKE7i8q7zQCgU0rDb4Ca502xQO7Wdev3Lz0KprihcOheI2J/h+tfjo/o3Ad924jRVCee/SVU1Ph&#10;OBjxLuczRmoY9hKfcamIl9nsZNELBA51veVm8CgZsCsxlYgv14jNlITmzbvtB8byp9B89ra+45Hf&#10;qGayTBqR0icDXuRFK5HFFFZ1/kxphv6C8L0sbpaTV2k6TIvGA3QXdjZya1tJP04Kc5KKwR9PCR5d&#10;ocp3ZuBCxSkXMcuPyG38sy6o3/92/xMAAP//AwBQSwMEFAAGAAgAAAAhACmrLqbhAAAADAEAAA8A&#10;AABkcnMvZG93bnJldi54bWxMj8tqwzAQRfeF/oOYQneJVNc4xrEc+iAh0EVJ2g+QLcUytUbGUmLn&#10;7ztZtcvLHO6cW25m17OLGUPnUcLTUgAz2HjdYSvh+2u7yIGFqFCr3qORcDUBNtX9XakK7Sc8mMsx&#10;toxKMBRKgo1xKDgPjTVOhaUfDNLt5EenIsWx5XpUE5W7nidCZNypDumDVYN5s6b5OZ6dhGFXv+/C&#10;dUrE52HYbz/cq9+3VsrHh/llDSyaOf7BcNMndajIqfZn1IH1lIV4JlTCIs2zDNgNSXNaU0tYJekK&#10;eFXy/yOqXwAAAP//AwBQSwECLQAUAAYACAAAACEAtoM4kv4AAADhAQAAEwAAAAAAAAAAAAAAAAAA&#10;AAAAW0NvbnRlbnRfVHlwZXNdLnhtbFBLAQItABQABgAIAAAAIQA4/SH/1gAAAJQBAAALAAAAAAAA&#10;AAAAAAAAAC8BAABfcmVscy8ucmVsc1BLAQItABQABgAIAAAAIQDNc19gjAEAAP8CAAAOAAAAAAAA&#10;AAAAAAAAAC4CAABkcnMvZTJvRG9jLnhtbFBLAQItABQABgAIAAAAIQApqy6m4QAAAAwBAAAPAAAA&#10;AAAAAAAAAAAAAOYDAABkcnMvZG93bnJldi54bWxQSwUGAAAAAAQABADzAAAA9AQAAAAA&#10;" filled="f" stroked="f">
                <v:textbox style="mso-fit-shape-to-text:t">
                  <w:txbxContent>
                    <w:p w14:paraId="4978E249" w14:textId="77777777" w:rsidR="0022188B" w:rsidRPr="0022188B" w:rsidRDefault="0022188B" w:rsidP="0022188B">
                      <w:pPr>
                        <w:pStyle w:val="NormalWeb"/>
                        <w:spacing w:before="0" w:beforeAutospacing="0" w:after="0" w:afterAutospacing="0"/>
                        <w:rPr>
                          <w:sz w:val="22"/>
                        </w:rPr>
                      </w:pPr>
                      <w:r w:rsidRPr="004905C9">
                        <w:rPr>
                          <w:rFonts w:asciiTheme="minorHAnsi" w:hAnsi="Calibri" w:cstheme="minorBidi"/>
                          <w:b/>
                          <w:bCs/>
                          <w:color w:val="000000" w:themeColor="text1"/>
                          <w:kern w:val="24"/>
                          <w:szCs w:val="28"/>
                        </w:rPr>
                        <w:t>Supplemental Table 1. Septic patients: clinical, laboratory and renal function details</w:t>
                      </w:r>
                    </w:p>
                  </w:txbxContent>
                </v:textbox>
                <w10:wrap anchorx="margin"/>
              </v:rect>
            </w:pict>
          </mc:Fallback>
        </mc:AlternateContent>
      </w:r>
    </w:p>
    <w:p w14:paraId="4978E1AD" w14:textId="77777777" w:rsidR="0022188B" w:rsidRPr="004905C9" w:rsidRDefault="0022188B"/>
    <w:p w14:paraId="4978E1AE" w14:textId="77777777" w:rsidR="0022188B" w:rsidRPr="004905C9" w:rsidRDefault="0022188B"/>
    <w:p w14:paraId="4978E1AF" w14:textId="77777777" w:rsidR="0022188B" w:rsidRPr="004905C9" w:rsidRDefault="0022188B"/>
    <w:p w14:paraId="4978E1B0" w14:textId="77777777" w:rsidR="0022188B" w:rsidRPr="004905C9" w:rsidRDefault="0022188B"/>
    <w:p w14:paraId="4978E1B1" w14:textId="77777777" w:rsidR="0022188B" w:rsidRPr="004905C9" w:rsidRDefault="0022188B"/>
    <w:p w14:paraId="4978E1B2" w14:textId="77777777" w:rsidR="0022188B" w:rsidRPr="004905C9" w:rsidRDefault="0022188B"/>
    <w:p w14:paraId="4978E1B3" w14:textId="77777777" w:rsidR="0022188B" w:rsidRPr="004905C9" w:rsidRDefault="0022188B"/>
    <w:p w14:paraId="4978E1B4" w14:textId="77777777" w:rsidR="0022188B" w:rsidRPr="004905C9" w:rsidRDefault="0022188B"/>
    <w:p w14:paraId="4978E1B5" w14:textId="77777777" w:rsidR="0022188B" w:rsidRPr="004905C9" w:rsidRDefault="0022188B"/>
    <w:p w14:paraId="4978E1B6" w14:textId="77777777" w:rsidR="0022188B" w:rsidRPr="004905C9" w:rsidRDefault="0022188B"/>
    <w:p w14:paraId="4978E1B7" w14:textId="77777777" w:rsidR="0022188B" w:rsidRPr="004905C9" w:rsidRDefault="0022188B"/>
    <w:p w14:paraId="4978E1B8" w14:textId="77777777" w:rsidR="0022188B" w:rsidRPr="004905C9" w:rsidRDefault="0022188B"/>
    <w:p w14:paraId="4978E1B9" w14:textId="77777777" w:rsidR="0022188B" w:rsidRPr="004905C9" w:rsidRDefault="0022188B"/>
    <w:p w14:paraId="4978E1BA" w14:textId="77777777" w:rsidR="0022188B" w:rsidRPr="004905C9" w:rsidRDefault="0022188B"/>
    <w:p w14:paraId="4978E1BB" w14:textId="77777777" w:rsidR="000E13A3" w:rsidRPr="004905C9" w:rsidRDefault="000E13A3"/>
    <w:p w14:paraId="4978E1BC" w14:textId="77777777" w:rsidR="000E13A3" w:rsidRPr="004905C9" w:rsidRDefault="000E13A3"/>
    <w:p w14:paraId="4978E1BD" w14:textId="77777777" w:rsidR="000E13A3" w:rsidRPr="004905C9" w:rsidRDefault="000E13A3"/>
    <w:p w14:paraId="4978E1BE" w14:textId="77777777" w:rsidR="000E13A3" w:rsidRPr="004905C9" w:rsidRDefault="000E13A3"/>
    <w:p w14:paraId="4978E1BF" w14:textId="77777777" w:rsidR="000E13A3" w:rsidRPr="004905C9" w:rsidRDefault="000E13A3"/>
    <w:p w14:paraId="4978E1C0" w14:textId="77777777" w:rsidR="000E13A3" w:rsidRPr="004905C9" w:rsidRDefault="000E13A3"/>
    <w:p w14:paraId="4978E1C1" w14:textId="77777777" w:rsidR="0022188B" w:rsidRPr="004905C9" w:rsidRDefault="0022188B"/>
    <w:p w14:paraId="4978E1C2" w14:textId="77777777" w:rsidR="0022188B" w:rsidRPr="004905C9" w:rsidRDefault="0022188B"/>
    <w:p w14:paraId="4978E1C3" w14:textId="77777777" w:rsidR="0022188B" w:rsidRPr="004905C9" w:rsidRDefault="0022188B">
      <w:r w:rsidRPr="004905C9">
        <w:rPr>
          <w:noProof/>
          <w:lang w:eastAsia="en-GB"/>
        </w:rPr>
        <w:lastRenderedPageBreak/>
        <mc:AlternateContent>
          <mc:Choice Requires="wps">
            <w:drawing>
              <wp:anchor distT="0" distB="0" distL="114300" distR="114300" simplePos="0" relativeHeight="251673600" behindDoc="0" locked="0" layoutInCell="1" allowOverlap="1" wp14:anchorId="4978E239" wp14:editId="4978E23A">
                <wp:simplePos x="0" y="0"/>
                <wp:positionH relativeFrom="margin">
                  <wp:align>right</wp:align>
                </wp:positionH>
                <wp:positionV relativeFrom="paragraph">
                  <wp:posOffset>14892</wp:posOffset>
                </wp:positionV>
                <wp:extent cx="5737123" cy="294968"/>
                <wp:effectExtent l="0" t="0" r="0" b="0"/>
                <wp:wrapNone/>
                <wp:docPr id="4" name="Rectangle 3"/>
                <wp:cNvGraphicFramePr/>
                <a:graphic xmlns:a="http://schemas.openxmlformats.org/drawingml/2006/main">
                  <a:graphicData uri="http://schemas.microsoft.com/office/word/2010/wordprocessingShape">
                    <wps:wsp>
                      <wps:cNvSpPr/>
                      <wps:spPr>
                        <a:xfrm>
                          <a:off x="0" y="0"/>
                          <a:ext cx="5737123" cy="294968"/>
                        </a:xfrm>
                        <a:prstGeom prst="rect">
                          <a:avLst/>
                        </a:prstGeom>
                      </wps:spPr>
                      <wps:txbx>
                        <w:txbxContent>
                          <w:p w14:paraId="4978E24A" w14:textId="77777777" w:rsidR="0022188B" w:rsidRPr="0022188B" w:rsidRDefault="0022188B" w:rsidP="0022188B">
                            <w:pPr>
                              <w:pStyle w:val="NormalWeb"/>
                              <w:spacing w:before="0" w:beforeAutospacing="0" w:after="0" w:afterAutospacing="0"/>
                              <w:rPr>
                                <w:sz w:val="22"/>
                              </w:rPr>
                            </w:pPr>
                            <w:r w:rsidRPr="004905C9">
                              <w:rPr>
                                <w:rFonts w:asciiTheme="minorHAnsi" w:hAnsi="Calibri" w:cstheme="minorBidi"/>
                                <w:b/>
                                <w:bCs/>
                                <w:color w:val="000000" w:themeColor="text1"/>
                                <w:kern w:val="24"/>
                                <w:szCs w:val="28"/>
                              </w:rPr>
                              <w:t>Supplemental Table 2. Control patients: clinical, laboratory and renal function details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78E239" id="Rectangle 3" o:spid="_x0000_s1027" style="position:absolute;margin-left:400.55pt;margin-top:1.15pt;width:451.75pt;height:23.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5liQEAAPYCAAAOAAAAZHJzL2Uyb0RvYy54bWysUstuGzEMvAfoPwi61+tHmsfC66BAkFyK&#10;NoiTD6C1klfASlQp2bv++1Ky4wTNreiFepAazgy1vBtdL/aaokXfyNlkKoX2Clvrt418fXn4eiNF&#10;TOBb6NHrRh50lHerLxfLIdR6jh32rSbBID7WQ2hkl1KoqyqqTjuIEwzac9IgOUh8pG3VEgyM7vpq&#10;Pp1eVQNSGwiVjpFv749JuSr4xmiVfhkTdRJ9I5lbKpFK3ORYrZZQbwlCZ9WJBvwDCwfWc9Mz1D0k&#10;EDuyn6CcVYQRTZoodBUaY5UuGljNbPqXmnUHQRctbE4MZ5vi/4NVP/dPJGzbyEspPDge0TObBn7b&#10;a7HI9gwh1ly1Dk90OkXeZq2jIZdXViHGYunhbKkek1B8+e16cT2bL6RQnJvfXt5e3WTQ6v11oJge&#10;NTqRN40k7l6chP2PmI6lbyX8LrM59s+7NG7GQn72xnSD7YEFDTzRRsbfO6BsINQev+8SGlsQ89Nj&#10;4QmRzS2cTh8hT+/juVS9f9fVHwAAAP//AwBQSwMEFAAGAAgAAAAhAFVI3q7eAAAABQEAAA8AAABk&#10;cnMvZG93bnJldi54bWxMj0FLw0AUhO9C/8PyCl7EbmxVYpqXIgWxSKGYas/b7GsSzL5Ns9sk/nvX&#10;kx6HGWa+SVejaURPnastI9zNIhDEhdU1lwgf+5fbGITzirVqLBPCNzlYZZOrVCXaDvxOfe5LEUrY&#10;JQqh8r5NpHRFRUa5mW2Jg3eynVE+yK6UulNDKDeNnEfRozSq5rBQqZbWFRVf+cUgDMWuP+y3r3J3&#10;c9hYPm/O6/zzDfF6Oj4vQXga/V8YfvEDOmSB6WgvrJ1oEMIRjzBfgAjmU7R4AHFEuI9jkFkq/9Nn&#10;PwAAAP//AwBQSwECLQAUAAYACAAAACEAtoM4kv4AAADhAQAAEwAAAAAAAAAAAAAAAAAAAAAAW0Nv&#10;bnRlbnRfVHlwZXNdLnhtbFBLAQItABQABgAIAAAAIQA4/SH/1gAAAJQBAAALAAAAAAAAAAAAAAAA&#10;AC8BAABfcmVscy8ucmVsc1BLAQItABQABgAIAAAAIQAD2Z5liQEAAPYCAAAOAAAAAAAAAAAAAAAA&#10;AC4CAABkcnMvZTJvRG9jLnhtbFBLAQItABQABgAIAAAAIQBVSN6u3gAAAAUBAAAPAAAAAAAAAAAA&#10;AAAAAOMDAABkcnMvZG93bnJldi54bWxQSwUGAAAAAAQABADzAAAA7gQAAAAA&#10;" filled="f" stroked="f">
                <v:textbox>
                  <w:txbxContent>
                    <w:p w14:paraId="4978E24A" w14:textId="77777777" w:rsidR="0022188B" w:rsidRPr="0022188B" w:rsidRDefault="0022188B" w:rsidP="0022188B">
                      <w:pPr>
                        <w:pStyle w:val="NormalWeb"/>
                        <w:spacing w:before="0" w:beforeAutospacing="0" w:after="0" w:afterAutospacing="0"/>
                        <w:rPr>
                          <w:sz w:val="22"/>
                        </w:rPr>
                      </w:pPr>
                      <w:r w:rsidRPr="004905C9">
                        <w:rPr>
                          <w:rFonts w:asciiTheme="minorHAnsi" w:hAnsi="Calibri" w:cstheme="minorBidi"/>
                          <w:b/>
                          <w:bCs/>
                          <w:color w:val="000000" w:themeColor="text1"/>
                          <w:kern w:val="24"/>
                          <w:szCs w:val="28"/>
                        </w:rPr>
                        <w:t>Supplemental Table 2. Control patients: clinical, laboratory and renal function details</w:t>
                      </w:r>
                    </w:p>
                  </w:txbxContent>
                </v:textbox>
                <w10:wrap anchorx="margin"/>
              </v:rect>
            </w:pict>
          </mc:Fallback>
        </mc:AlternateContent>
      </w:r>
    </w:p>
    <w:p w14:paraId="4978E1C4" w14:textId="77777777" w:rsidR="0022188B" w:rsidRPr="004905C9" w:rsidRDefault="0022188B">
      <w:r w:rsidRPr="004905C9">
        <w:rPr>
          <w:noProof/>
          <w:lang w:eastAsia="en-GB"/>
        </w:rPr>
        <w:drawing>
          <wp:anchor distT="0" distB="0" distL="114300" distR="114300" simplePos="0" relativeHeight="251671552" behindDoc="0" locked="0" layoutInCell="1" allowOverlap="1" wp14:anchorId="4978E23B" wp14:editId="4978E23C">
            <wp:simplePos x="0" y="0"/>
            <wp:positionH relativeFrom="margin">
              <wp:align>left</wp:align>
            </wp:positionH>
            <wp:positionV relativeFrom="paragraph">
              <wp:posOffset>209196</wp:posOffset>
            </wp:positionV>
            <wp:extent cx="4183200" cy="2685600"/>
            <wp:effectExtent l="0" t="0" r="8255"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3200" cy="2685600"/>
                    </a:xfrm>
                    <a:prstGeom prst="rect">
                      <a:avLst/>
                    </a:prstGeom>
                    <a:noFill/>
                  </pic:spPr>
                </pic:pic>
              </a:graphicData>
            </a:graphic>
            <wp14:sizeRelH relativeFrom="margin">
              <wp14:pctWidth>0</wp14:pctWidth>
            </wp14:sizeRelH>
            <wp14:sizeRelV relativeFrom="margin">
              <wp14:pctHeight>0</wp14:pctHeight>
            </wp14:sizeRelV>
          </wp:anchor>
        </w:drawing>
      </w:r>
    </w:p>
    <w:p w14:paraId="4978E1C5" w14:textId="77777777" w:rsidR="0022188B" w:rsidRPr="004905C9" w:rsidRDefault="0022188B"/>
    <w:p w14:paraId="4978E1C6" w14:textId="77777777" w:rsidR="0022188B" w:rsidRPr="004905C9" w:rsidRDefault="0022188B"/>
    <w:p w14:paraId="4978E1C7" w14:textId="77777777" w:rsidR="0022188B" w:rsidRPr="004905C9" w:rsidRDefault="0022188B"/>
    <w:p w14:paraId="4978E1C8" w14:textId="77777777" w:rsidR="0022188B" w:rsidRPr="004905C9" w:rsidRDefault="0022188B"/>
    <w:p w14:paraId="4978E1C9" w14:textId="77777777" w:rsidR="0022188B" w:rsidRPr="004905C9" w:rsidRDefault="0022188B"/>
    <w:p w14:paraId="4978E1CA" w14:textId="77777777" w:rsidR="0022188B" w:rsidRPr="004905C9" w:rsidRDefault="0022188B"/>
    <w:p w14:paraId="4978E1CB" w14:textId="77777777" w:rsidR="0022188B" w:rsidRPr="004905C9" w:rsidRDefault="0022188B"/>
    <w:p w14:paraId="4978E1CC" w14:textId="77777777" w:rsidR="0022188B" w:rsidRPr="004905C9" w:rsidRDefault="0022188B"/>
    <w:p w14:paraId="4978E1CD" w14:textId="77777777" w:rsidR="0022188B" w:rsidRPr="004905C9" w:rsidRDefault="0022188B"/>
    <w:p w14:paraId="4978E1CE" w14:textId="77777777" w:rsidR="0022188B" w:rsidRPr="004905C9" w:rsidRDefault="0022188B"/>
    <w:p w14:paraId="4978E1CF" w14:textId="77777777" w:rsidR="0022188B" w:rsidRPr="004905C9" w:rsidRDefault="0022188B"/>
    <w:p w14:paraId="4978E1D0" w14:textId="77777777" w:rsidR="0022188B" w:rsidRPr="004905C9" w:rsidRDefault="0022188B"/>
    <w:p w14:paraId="4978E1D1" w14:textId="77777777" w:rsidR="0022188B" w:rsidRPr="004905C9" w:rsidRDefault="0022188B"/>
    <w:p w14:paraId="4978E1D2" w14:textId="4330718A" w:rsidR="004905C9" w:rsidRDefault="004905C9">
      <w:r>
        <w:br w:type="page"/>
      </w:r>
    </w:p>
    <w:p w14:paraId="3480963F" w14:textId="7E5EFFE8" w:rsidR="0022188B" w:rsidRPr="004905C9" w:rsidRDefault="004905C9">
      <w:r w:rsidRPr="004905C9">
        <w:rPr>
          <w:noProof/>
          <w:lang w:eastAsia="en-GB"/>
        </w:rPr>
        <w:lastRenderedPageBreak/>
        <w:drawing>
          <wp:anchor distT="0" distB="0" distL="114300" distR="114300" simplePos="0" relativeHeight="251677696" behindDoc="0" locked="0" layoutInCell="1" allowOverlap="1" wp14:anchorId="1D8C6A42" wp14:editId="2ED52CEF">
            <wp:simplePos x="0" y="0"/>
            <wp:positionH relativeFrom="margin">
              <wp:posOffset>0</wp:posOffset>
            </wp:positionH>
            <wp:positionV relativeFrom="paragraph">
              <wp:posOffset>280670</wp:posOffset>
            </wp:positionV>
            <wp:extent cx="4206875" cy="20421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6875" cy="2042160"/>
                    </a:xfrm>
                    <a:prstGeom prst="rect">
                      <a:avLst/>
                    </a:prstGeom>
                    <a:noFill/>
                  </pic:spPr>
                </pic:pic>
              </a:graphicData>
            </a:graphic>
          </wp:anchor>
        </w:drawing>
      </w:r>
    </w:p>
    <w:p w14:paraId="4978E1D3" w14:textId="77777777" w:rsidR="0022188B" w:rsidRPr="004905C9" w:rsidRDefault="0022188B"/>
    <w:p w14:paraId="4978E1D4" w14:textId="77777777" w:rsidR="0022188B" w:rsidRPr="004905C9" w:rsidRDefault="0022188B"/>
    <w:p w14:paraId="4978E1D5" w14:textId="77777777" w:rsidR="0022188B" w:rsidRPr="004905C9" w:rsidRDefault="0022188B"/>
    <w:p w14:paraId="4978E1D6" w14:textId="77777777" w:rsidR="0022188B" w:rsidRPr="004905C9" w:rsidRDefault="0022188B"/>
    <w:p w14:paraId="4978E1D7" w14:textId="77777777" w:rsidR="0022188B" w:rsidRPr="004905C9" w:rsidRDefault="0022188B"/>
    <w:p w14:paraId="4978E1D8" w14:textId="77777777" w:rsidR="0022188B" w:rsidRPr="004905C9" w:rsidRDefault="0022188B"/>
    <w:p w14:paraId="4978E1D9" w14:textId="77777777" w:rsidR="00BC27B8" w:rsidRPr="004905C9" w:rsidRDefault="00BC27B8"/>
    <w:p w14:paraId="4978E1DA" w14:textId="77777777" w:rsidR="00DB14E4" w:rsidRPr="004905C9" w:rsidRDefault="00DB14E4"/>
    <w:p w14:paraId="4978E1DB" w14:textId="77777777" w:rsidR="00084903" w:rsidRPr="004905C9" w:rsidRDefault="00084903"/>
    <w:p w14:paraId="4978E1DC" w14:textId="77777777" w:rsidR="00084903" w:rsidRPr="004905C9" w:rsidRDefault="00084903"/>
    <w:p w14:paraId="1C5F375F" w14:textId="77777777" w:rsidR="004905C9" w:rsidRPr="00924763" w:rsidRDefault="004905C9" w:rsidP="004905C9">
      <w:pPr>
        <w:spacing w:after="0" w:line="360" w:lineRule="auto"/>
        <w:jc w:val="both"/>
        <w:rPr>
          <w:rFonts w:cs="Arial"/>
          <w:lang w:val="en-CA"/>
        </w:rPr>
      </w:pPr>
      <w:r w:rsidRPr="004905C9">
        <w:rPr>
          <w:rFonts w:cs="Arial"/>
          <w:b/>
          <w:lang w:val="en-CA"/>
        </w:rPr>
        <w:t xml:space="preserve">Supplemental Figure </w:t>
      </w:r>
      <w:r>
        <w:rPr>
          <w:rFonts w:cs="Arial"/>
          <w:b/>
          <w:lang w:val="en-CA"/>
        </w:rPr>
        <w:t>1</w:t>
      </w:r>
      <w:r w:rsidRPr="004905C9">
        <w:rPr>
          <w:rFonts w:cs="Arial"/>
          <w:b/>
          <w:lang w:val="en-CA"/>
        </w:rPr>
        <w:t xml:space="preserve">. Klotho levels are reduced in the brain of </w:t>
      </w:r>
      <w:proofErr w:type="spellStart"/>
      <w:r w:rsidRPr="004905C9">
        <w:rPr>
          <w:rFonts w:cs="Arial"/>
          <w:b/>
          <w:lang w:val="en-CA"/>
        </w:rPr>
        <w:t>endotoxemic</w:t>
      </w:r>
      <w:proofErr w:type="spellEnd"/>
      <w:r w:rsidRPr="004905C9">
        <w:rPr>
          <w:rFonts w:cs="Arial"/>
          <w:b/>
          <w:lang w:val="en-CA"/>
        </w:rPr>
        <w:t xml:space="preserve"> mice and are rescued by recombinant Klotho administration prior to LPS challenge.</w:t>
      </w:r>
      <w:r w:rsidRPr="004905C9">
        <w:rPr>
          <w:rFonts w:cs="Arial"/>
          <w:lang w:val="en-CA"/>
        </w:rPr>
        <w:t xml:space="preserve"> (A) Representative immunohistochemical staining of Klotho (red) in the brain of healthy C57Bl/6 mice. Original magnification 400x. (B) mRNA expression of Klotho in the brain of control and LPS challenged (0.5mg/kg) </w:t>
      </w:r>
      <w:proofErr w:type="gramStart"/>
      <w:r w:rsidRPr="004905C9">
        <w:rPr>
          <w:rFonts w:cs="Arial"/>
          <w:lang w:val="en-CA"/>
        </w:rPr>
        <w:t>mice  at</w:t>
      </w:r>
      <w:proofErr w:type="gramEnd"/>
      <w:r w:rsidRPr="004905C9">
        <w:rPr>
          <w:rFonts w:cs="Arial"/>
          <w:lang w:val="en-CA"/>
        </w:rPr>
        <w:t xml:space="preserve"> 8h after LPS administration. Klotho mRNA expression levels were determined by RT-qPCR using GAPDH as the housekeeping gene. Each dot represents an individual mouse. Bars represent the mean ± SD. * p&lt; 0.05.</w:t>
      </w:r>
    </w:p>
    <w:p w14:paraId="4978E1DD" w14:textId="77777777" w:rsidR="00084903" w:rsidRPr="004905C9" w:rsidRDefault="00084903">
      <w:bookmarkStart w:id="0" w:name="_GoBack"/>
      <w:bookmarkEnd w:id="0"/>
    </w:p>
    <w:p w14:paraId="4978E1DE" w14:textId="77777777" w:rsidR="00084903" w:rsidRPr="004905C9" w:rsidRDefault="00084903"/>
    <w:p w14:paraId="4978E1DF" w14:textId="77777777" w:rsidR="00084903" w:rsidRPr="004905C9" w:rsidRDefault="00084903"/>
    <w:p w14:paraId="4978E1E0" w14:textId="77777777" w:rsidR="00084903" w:rsidRPr="004905C9" w:rsidRDefault="00084903"/>
    <w:p w14:paraId="4978E1E1" w14:textId="77777777" w:rsidR="00084903" w:rsidRPr="004905C9" w:rsidRDefault="00084903"/>
    <w:p w14:paraId="4978E1E2" w14:textId="77777777" w:rsidR="00084903" w:rsidRPr="004905C9" w:rsidRDefault="001932D9">
      <w:r w:rsidRPr="004905C9">
        <w:rPr>
          <w:noProof/>
          <w:lang w:eastAsia="en-GB"/>
        </w:rPr>
        <w:lastRenderedPageBreak/>
        <w:drawing>
          <wp:inline distT="0" distB="0" distL="0" distR="0" wp14:anchorId="4978E23D" wp14:editId="4978E23E">
            <wp:extent cx="5547360" cy="4376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1.tif"/>
                    <pic:cNvPicPr/>
                  </pic:nvPicPr>
                  <pic:blipFill>
                    <a:blip r:embed="rId8">
                      <a:extLst>
                        <a:ext uri="{28A0092B-C50C-407E-A947-70E740481C1C}">
                          <a14:useLocalDpi xmlns:a14="http://schemas.microsoft.com/office/drawing/2010/main" val="0"/>
                        </a:ext>
                      </a:extLst>
                    </a:blip>
                    <a:stretch>
                      <a:fillRect/>
                    </a:stretch>
                  </pic:blipFill>
                  <pic:spPr>
                    <a:xfrm>
                      <a:off x="0" y="0"/>
                      <a:ext cx="5547360" cy="4376928"/>
                    </a:xfrm>
                    <a:prstGeom prst="rect">
                      <a:avLst/>
                    </a:prstGeom>
                  </pic:spPr>
                </pic:pic>
              </a:graphicData>
            </a:graphic>
          </wp:inline>
        </w:drawing>
      </w:r>
    </w:p>
    <w:p w14:paraId="4978E1E3" w14:textId="77777777" w:rsidR="00084903" w:rsidRPr="004905C9" w:rsidRDefault="00084903"/>
    <w:p w14:paraId="4978E1E4" w14:textId="4FFC47E7" w:rsidR="005C09EB" w:rsidRPr="004905C9" w:rsidRDefault="00084903" w:rsidP="005C09EB">
      <w:pPr>
        <w:spacing w:after="0" w:line="360" w:lineRule="auto"/>
        <w:jc w:val="both"/>
        <w:rPr>
          <w:rFonts w:cs="Arial"/>
          <w:lang w:val="en-CA"/>
        </w:rPr>
      </w:pPr>
      <w:r w:rsidRPr="004905C9">
        <w:rPr>
          <w:rFonts w:cs="Arial"/>
          <w:b/>
          <w:lang w:val="en-CA"/>
        </w:rPr>
        <w:t xml:space="preserve">Supplemental Figure </w:t>
      </w:r>
      <w:r w:rsidR="004905C9">
        <w:rPr>
          <w:rFonts w:cs="Arial"/>
          <w:b/>
          <w:lang w:val="en-CA"/>
        </w:rPr>
        <w:t>2</w:t>
      </w:r>
      <w:r w:rsidRPr="004905C9">
        <w:rPr>
          <w:rFonts w:cs="Arial"/>
          <w:b/>
          <w:lang w:val="en-CA"/>
        </w:rPr>
        <w:t>.</w:t>
      </w:r>
      <w:r w:rsidR="00B20E3A" w:rsidRPr="004905C9">
        <w:rPr>
          <w:rFonts w:cs="Arial"/>
          <w:b/>
          <w:lang w:val="en-CA"/>
        </w:rPr>
        <w:t xml:space="preserve"> Renal Klotho levels are reduced in critically-ill patients with sepsis. </w:t>
      </w:r>
      <w:r w:rsidR="009E52EB" w:rsidRPr="004905C9">
        <w:rPr>
          <w:rFonts w:cs="Arial"/>
          <w:lang w:val="en-CA"/>
        </w:rPr>
        <w:t>(A)</w:t>
      </w:r>
      <w:r w:rsidR="009E52EB" w:rsidRPr="004905C9">
        <w:rPr>
          <w:rFonts w:cs="Arial"/>
          <w:b/>
          <w:lang w:val="en-CA"/>
        </w:rPr>
        <w:t xml:space="preserve"> </w:t>
      </w:r>
      <w:r w:rsidR="009E52EB" w:rsidRPr="004905C9">
        <w:rPr>
          <w:rFonts w:cs="Arial"/>
          <w:lang w:val="en-CA"/>
        </w:rPr>
        <w:t>Representative immunohistochemical staining of Klotho (red) in post-mortem kidney biopsy of a sepsis-AKI pat</w:t>
      </w:r>
      <w:r w:rsidR="000B2811" w:rsidRPr="004905C9">
        <w:rPr>
          <w:rFonts w:cs="Arial"/>
          <w:lang w:val="en-CA"/>
        </w:rPr>
        <w:t>ient compared to Control tissue, Original magnification 400x.</w:t>
      </w:r>
      <w:r w:rsidR="009E52EB" w:rsidRPr="004905C9">
        <w:rPr>
          <w:rFonts w:cs="Arial"/>
          <w:lang w:val="en-CA"/>
        </w:rPr>
        <w:t xml:space="preserve"> (B</w:t>
      </w:r>
      <w:r w:rsidR="00B20E3A" w:rsidRPr="004905C9">
        <w:rPr>
          <w:rFonts w:cs="Arial"/>
          <w:lang w:val="en-CA"/>
        </w:rPr>
        <w:t xml:space="preserve">) Morphometric quantification of Klotho staining in kidney biopsies from control (n=9) and sepsis-AKI (n=19) subjects. </w:t>
      </w:r>
      <w:r w:rsidR="005C09EB" w:rsidRPr="004905C9">
        <w:rPr>
          <w:rFonts w:cs="Arial"/>
          <w:lang w:val="en-CA"/>
        </w:rPr>
        <w:t>(C) Klotho mRNA expression was determi</w:t>
      </w:r>
      <w:r w:rsidR="00693C4E" w:rsidRPr="004905C9">
        <w:rPr>
          <w:rFonts w:cs="Arial"/>
          <w:lang w:val="en-CA"/>
        </w:rPr>
        <w:t>ned in the renal biopsies from c</w:t>
      </w:r>
      <w:r w:rsidR="005C09EB" w:rsidRPr="004905C9">
        <w:rPr>
          <w:rFonts w:cs="Arial"/>
          <w:lang w:val="en-CA"/>
        </w:rPr>
        <w:t>ontrol individuals (Black dots, R</w:t>
      </w:r>
      <w:r w:rsidR="005C09EB" w:rsidRPr="004905C9">
        <w:rPr>
          <w:rFonts w:cs="Arial"/>
          <w:vertAlign w:val="superscript"/>
          <w:lang w:val="en-CA"/>
        </w:rPr>
        <w:t>2</w:t>
      </w:r>
      <w:r w:rsidR="005C09EB" w:rsidRPr="004905C9">
        <w:rPr>
          <w:rFonts w:cs="Arial"/>
          <w:lang w:val="en-CA"/>
        </w:rPr>
        <w:t>= 0.3564, p= 0.0684) and in patients who died of sepsis (Red dots, R</w:t>
      </w:r>
      <w:r w:rsidR="005C09EB" w:rsidRPr="004905C9">
        <w:rPr>
          <w:rFonts w:cs="Arial"/>
          <w:vertAlign w:val="superscript"/>
          <w:lang w:val="en-CA"/>
        </w:rPr>
        <w:t>2</w:t>
      </w:r>
      <w:r w:rsidR="005C09EB" w:rsidRPr="004905C9">
        <w:rPr>
          <w:rFonts w:cs="Arial"/>
          <w:lang w:val="en-CA"/>
        </w:rPr>
        <w:t>= 0.0000017, p= 0.9958).</w:t>
      </w:r>
    </w:p>
    <w:p w14:paraId="4978E1E5" w14:textId="77777777" w:rsidR="00084903" w:rsidRPr="004905C9" w:rsidRDefault="005C09EB" w:rsidP="005C09EB">
      <w:pPr>
        <w:spacing w:after="0" w:line="360" w:lineRule="auto"/>
        <w:jc w:val="both"/>
        <w:rPr>
          <w:rFonts w:cs="Arial"/>
          <w:lang w:val="en-CA"/>
        </w:rPr>
      </w:pPr>
      <w:r w:rsidRPr="004905C9">
        <w:rPr>
          <w:rFonts w:cs="Arial"/>
          <w:lang w:val="en-CA"/>
        </w:rPr>
        <w:t>(D</w:t>
      </w:r>
      <w:r w:rsidR="00B20E3A" w:rsidRPr="004905C9">
        <w:rPr>
          <w:rFonts w:cs="Arial"/>
          <w:lang w:val="en-CA"/>
        </w:rPr>
        <w:t>)</w:t>
      </w:r>
      <w:r w:rsidR="009E52EB" w:rsidRPr="004905C9">
        <w:rPr>
          <w:rFonts w:cs="Arial"/>
          <w:lang w:val="en-CA"/>
        </w:rPr>
        <w:t xml:space="preserve"> Sepsis-AKI patients</w:t>
      </w:r>
      <w:r w:rsidR="001A685B" w:rsidRPr="004905C9">
        <w:rPr>
          <w:rFonts w:cs="Arial"/>
          <w:lang w:val="en-CA"/>
        </w:rPr>
        <w:t xml:space="preserve"> (n=19)</w:t>
      </w:r>
      <w:r w:rsidR="009E52EB" w:rsidRPr="004905C9">
        <w:rPr>
          <w:rFonts w:cs="Arial"/>
          <w:lang w:val="en-CA"/>
        </w:rPr>
        <w:t xml:space="preserve"> were categorized by the extent of renal failure, RIFLE criteria</w:t>
      </w:r>
      <w:r w:rsidR="00B20E3A" w:rsidRPr="004905C9">
        <w:rPr>
          <w:rFonts w:cs="Arial"/>
          <w:lang w:val="en-CA"/>
        </w:rPr>
        <w:t>. Graphs represent the total number of positive pixels per μm2. Each dot represents an individual subject and the bars represent the mean ± SD. *, p&lt; 0.05</w:t>
      </w:r>
      <w:r w:rsidR="000D76BD" w:rsidRPr="004905C9">
        <w:rPr>
          <w:rFonts w:cs="Arial"/>
          <w:lang w:val="en-CA"/>
        </w:rPr>
        <w:t xml:space="preserve">. </w:t>
      </w:r>
    </w:p>
    <w:p w14:paraId="4978E1E6" w14:textId="77777777" w:rsidR="000D76BD" w:rsidRPr="004905C9" w:rsidRDefault="000D76BD" w:rsidP="00B20E3A">
      <w:pPr>
        <w:spacing w:line="360" w:lineRule="auto"/>
        <w:jc w:val="both"/>
        <w:rPr>
          <w:rFonts w:cs="Arial"/>
          <w:lang w:val="en-CA"/>
        </w:rPr>
      </w:pPr>
    </w:p>
    <w:p w14:paraId="4978E1E7" w14:textId="77777777" w:rsidR="00084903" w:rsidRPr="004905C9" w:rsidRDefault="00084903" w:rsidP="00B20E3A">
      <w:pPr>
        <w:spacing w:line="360" w:lineRule="auto"/>
        <w:jc w:val="both"/>
      </w:pPr>
    </w:p>
    <w:p w14:paraId="4978E1E8" w14:textId="77777777" w:rsidR="00084903" w:rsidRPr="004905C9" w:rsidRDefault="00084903" w:rsidP="00B20E3A">
      <w:pPr>
        <w:spacing w:line="360" w:lineRule="auto"/>
        <w:jc w:val="both"/>
      </w:pPr>
    </w:p>
    <w:p w14:paraId="4978E1E9" w14:textId="77777777" w:rsidR="00084903" w:rsidRPr="004905C9" w:rsidRDefault="00084903"/>
    <w:p w14:paraId="4978E1EA" w14:textId="77777777" w:rsidR="00084903" w:rsidRPr="004905C9" w:rsidRDefault="00084903"/>
    <w:p w14:paraId="4978E1EB" w14:textId="77777777" w:rsidR="00084903" w:rsidRPr="004905C9" w:rsidRDefault="00B73ACB">
      <w:r w:rsidRPr="004905C9">
        <w:rPr>
          <w:noProof/>
          <w:lang w:eastAsia="en-GB"/>
        </w:rPr>
        <w:lastRenderedPageBreak/>
        <w:drawing>
          <wp:anchor distT="0" distB="0" distL="114300" distR="114300" simplePos="0" relativeHeight="251660288" behindDoc="0" locked="0" layoutInCell="1" allowOverlap="1" wp14:anchorId="4978E23F" wp14:editId="4978E240">
            <wp:simplePos x="0" y="0"/>
            <wp:positionH relativeFrom="margin">
              <wp:posOffset>700272</wp:posOffset>
            </wp:positionH>
            <wp:positionV relativeFrom="paragraph">
              <wp:posOffset>5376</wp:posOffset>
            </wp:positionV>
            <wp:extent cx="4079240" cy="3284855"/>
            <wp:effectExtent l="0" t="0" r="0"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79240" cy="3284855"/>
                    </a:xfrm>
                    <a:prstGeom prst="rect">
                      <a:avLst/>
                    </a:prstGeom>
                  </pic:spPr>
                </pic:pic>
              </a:graphicData>
            </a:graphic>
          </wp:anchor>
        </w:drawing>
      </w:r>
    </w:p>
    <w:p w14:paraId="4978E1EC" w14:textId="77777777" w:rsidR="00084903" w:rsidRPr="004905C9" w:rsidRDefault="00084903"/>
    <w:p w14:paraId="4978E1ED" w14:textId="77777777" w:rsidR="00084903" w:rsidRPr="004905C9" w:rsidRDefault="00084903"/>
    <w:p w14:paraId="4978E1EE" w14:textId="77777777" w:rsidR="00084903" w:rsidRPr="004905C9" w:rsidRDefault="00084903"/>
    <w:p w14:paraId="4978E1EF" w14:textId="77777777" w:rsidR="007336A6" w:rsidRPr="004905C9" w:rsidRDefault="007336A6"/>
    <w:p w14:paraId="4978E1F0" w14:textId="77777777" w:rsidR="007336A6" w:rsidRPr="004905C9" w:rsidRDefault="007336A6"/>
    <w:p w14:paraId="4978E1F1" w14:textId="77777777" w:rsidR="007336A6" w:rsidRPr="004905C9" w:rsidRDefault="007336A6"/>
    <w:p w14:paraId="4978E1F2" w14:textId="77777777" w:rsidR="007336A6" w:rsidRPr="004905C9" w:rsidRDefault="007336A6"/>
    <w:p w14:paraId="4978E1F3" w14:textId="77777777" w:rsidR="00084903" w:rsidRPr="004905C9" w:rsidRDefault="00084903"/>
    <w:p w14:paraId="4978E1F4" w14:textId="77777777" w:rsidR="00084903" w:rsidRPr="004905C9" w:rsidRDefault="00084903"/>
    <w:p w14:paraId="4978E1F5" w14:textId="77777777" w:rsidR="00084903" w:rsidRPr="004905C9" w:rsidRDefault="00084903"/>
    <w:p w14:paraId="4978E1F6" w14:textId="77777777" w:rsidR="00DB14E4" w:rsidRPr="004905C9" w:rsidRDefault="00DB14E4"/>
    <w:p w14:paraId="4978E1F7" w14:textId="77777777" w:rsidR="00DB14E4" w:rsidRPr="004905C9" w:rsidRDefault="00DB14E4"/>
    <w:p w14:paraId="4978E1F8" w14:textId="161282B2" w:rsidR="005E77EA" w:rsidRPr="004905C9" w:rsidRDefault="00803876" w:rsidP="00084903">
      <w:pPr>
        <w:pStyle w:val="Caption"/>
        <w:spacing w:after="0" w:line="360" w:lineRule="auto"/>
        <w:jc w:val="both"/>
        <w:rPr>
          <w:lang w:val="en-GB"/>
        </w:rPr>
      </w:pPr>
      <w:r w:rsidRPr="004905C9">
        <w:rPr>
          <w:rFonts w:cs="Arial"/>
          <w:color w:val="auto"/>
          <w:sz w:val="22"/>
          <w:szCs w:val="22"/>
          <w:lang w:val="en-CA"/>
        </w:rPr>
        <w:t xml:space="preserve">Supplemental Figure </w:t>
      </w:r>
      <w:r w:rsidR="004905C9">
        <w:rPr>
          <w:rFonts w:cs="Arial"/>
          <w:color w:val="auto"/>
          <w:sz w:val="22"/>
          <w:szCs w:val="22"/>
          <w:lang w:val="en-CA"/>
        </w:rPr>
        <w:t>3</w:t>
      </w:r>
      <w:r w:rsidR="00DB14E4" w:rsidRPr="004905C9">
        <w:rPr>
          <w:rFonts w:cs="Arial"/>
          <w:color w:val="auto"/>
          <w:sz w:val="22"/>
          <w:szCs w:val="22"/>
          <w:lang w:val="en-CA"/>
        </w:rPr>
        <w:t>.</w:t>
      </w:r>
      <w:r w:rsidR="005E77EA" w:rsidRPr="004905C9">
        <w:rPr>
          <w:rFonts w:cs="Arial"/>
          <w:color w:val="auto"/>
          <w:sz w:val="22"/>
          <w:szCs w:val="22"/>
          <w:lang w:val="en-CA"/>
        </w:rPr>
        <w:t xml:space="preserve"> Reduced Klotho protein levels at 4hr after LPS administration. </w:t>
      </w:r>
      <w:r w:rsidR="005E77EA" w:rsidRPr="004905C9">
        <w:rPr>
          <w:rFonts w:cs="Arial"/>
          <w:lang w:val="en-CA"/>
        </w:rPr>
        <w:t xml:space="preserve"> </w:t>
      </w:r>
      <w:r w:rsidR="005E77EA" w:rsidRPr="004905C9">
        <w:rPr>
          <w:rFonts w:cs="Arial"/>
          <w:b w:val="0"/>
          <w:color w:val="auto"/>
          <w:sz w:val="22"/>
          <w:szCs w:val="22"/>
          <w:lang w:val="en-CA"/>
        </w:rPr>
        <w:t>Representative immunohistochemical staining of Klotho (red) in the kidney of control mice (vehicle treated) and mice challenged with LPS (1 mg/kg) and sacrificed 4 hr later. Original magnification 400x.</w:t>
      </w:r>
      <w:r w:rsidR="005E77EA" w:rsidRPr="004905C9">
        <w:rPr>
          <w:lang w:val="en-GB"/>
        </w:rPr>
        <w:t xml:space="preserve"> </w:t>
      </w:r>
    </w:p>
    <w:p w14:paraId="4978E1F9" w14:textId="77777777" w:rsidR="00DB14E4" w:rsidRPr="004905C9" w:rsidRDefault="00DB14E4"/>
    <w:p w14:paraId="4978E1FA" w14:textId="77777777" w:rsidR="00DB14E4" w:rsidRPr="004905C9" w:rsidRDefault="00DB14E4"/>
    <w:p w14:paraId="4978E1FB" w14:textId="77777777" w:rsidR="00DB14E4" w:rsidRPr="004905C9" w:rsidRDefault="00DB14E4"/>
    <w:p w14:paraId="4978E1FC" w14:textId="77777777" w:rsidR="00DB14E4" w:rsidRPr="004905C9" w:rsidRDefault="00DB14E4"/>
    <w:p w14:paraId="4978E1FD" w14:textId="77777777" w:rsidR="00DB14E4" w:rsidRPr="004905C9" w:rsidRDefault="00DB14E4"/>
    <w:p w14:paraId="4978E1FE" w14:textId="77777777" w:rsidR="00DB14E4" w:rsidRPr="004905C9" w:rsidRDefault="00DB14E4"/>
    <w:p w14:paraId="4978E1FF" w14:textId="77777777" w:rsidR="00DB14E4" w:rsidRPr="004905C9" w:rsidRDefault="00DB14E4"/>
    <w:p w14:paraId="4978E200" w14:textId="77777777" w:rsidR="00DB14E4" w:rsidRPr="004905C9" w:rsidRDefault="00DB14E4"/>
    <w:p w14:paraId="4978E201" w14:textId="77777777" w:rsidR="00DB14E4" w:rsidRPr="004905C9" w:rsidRDefault="00DB14E4"/>
    <w:p w14:paraId="4978E202" w14:textId="77777777" w:rsidR="00DB14E4" w:rsidRPr="004905C9" w:rsidRDefault="00DB14E4"/>
    <w:p w14:paraId="4978E203" w14:textId="77777777" w:rsidR="00DB14E4" w:rsidRPr="004905C9" w:rsidRDefault="00DB14E4"/>
    <w:p w14:paraId="4978E204" w14:textId="77777777" w:rsidR="00DB14E4" w:rsidRPr="004905C9" w:rsidRDefault="00DB14E4"/>
    <w:p w14:paraId="4978E205" w14:textId="77777777" w:rsidR="00BC27B8" w:rsidRPr="004905C9" w:rsidRDefault="00BC27B8" w:rsidP="00BC27B8">
      <w:r w:rsidRPr="004905C9">
        <w:rPr>
          <w:noProof/>
          <w:lang w:eastAsia="en-GB"/>
        </w:rPr>
        <w:lastRenderedPageBreak/>
        <w:drawing>
          <wp:anchor distT="0" distB="0" distL="114300" distR="114300" simplePos="0" relativeHeight="251659264" behindDoc="0" locked="0" layoutInCell="1" allowOverlap="1" wp14:anchorId="4978E241" wp14:editId="4978E242">
            <wp:simplePos x="0" y="0"/>
            <wp:positionH relativeFrom="column">
              <wp:posOffset>222250</wp:posOffset>
            </wp:positionH>
            <wp:positionV relativeFrom="paragraph">
              <wp:posOffset>0</wp:posOffset>
            </wp:positionV>
            <wp:extent cx="5248656" cy="4309872"/>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tif"/>
                    <pic:cNvPicPr/>
                  </pic:nvPicPr>
                  <pic:blipFill>
                    <a:blip r:embed="rId10">
                      <a:extLst>
                        <a:ext uri="{28A0092B-C50C-407E-A947-70E740481C1C}">
                          <a14:useLocalDpi xmlns:a14="http://schemas.microsoft.com/office/drawing/2010/main" val="0"/>
                        </a:ext>
                      </a:extLst>
                    </a:blip>
                    <a:stretch>
                      <a:fillRect/>
                    </a:stretch>
                  </pic:blipFill>
                  <pic:spPr>
                    <a:xfrm>
                      <a:off x="0" y="0"/>
                      <a:ext cx="5248656" cy="4309872"/>
                    </a:xfrm>
                    <a:prstGeom prst="rect">
                      <a:avLst/>
                    </a:prstGeom>
                  </pic:spPr>
                </pic:pic>
              </a:graphicData>
            </a:graphic>
            <wp14:sizeRelH relativeFrom="page">
              <wp14:pctWidth>0</wp14:pctWidth>
            </wp14:sizeRelH>
            <wp14:sizeRelV relativeFrom="page">
              <wp14:pctHeight>0</wp14:pctHeight>
            </wp14:sizeRelV>
          </wp:anchor>
        </w:drawing>
      </w:r>
    </w:p>
    <w:p w14:paraId="4978E206" w14:textId="612CDDAF" w:rsidR="00BC27B8" w:rsidRPr="004905C9" w:rsidRDefault="00803876" w:rsidP="00084903">
      <w:pPr>
        <w:pStyle w:val="Caption"/>
        <w:spacing w:after="0" w:line="360" w:lineRule="auto"/>
        <w:jc w:val="both"/>
        <w:rPr>
          <w:rFonts w:cs="Arial"/>
          <w:b w:val="0"/>
          <w:color w:val="auto"/>
          <w:sz w:val="22"/>
          <w:szCs w:val="22"/>
          <w:lang w:val="en-CA"/>
        </w:rPr>
      </w:pPr>
      <w:r w:rsidRPr="004905C9">
        <w:rPr>
          <w:rFonts w:cs="Arial"/>
          <w:color w:val="auto"/>
          <w:sz w:val="22"/>
          <w:szCs w:val="22"/>
          <w:lang w:val="en-CA"/>
        </w:rPr>
        <w:t xml:space="preserve">Supplemental Figure </w:t>
      </w:r>
      <w:r w:rsidR="004905C9">
        <w:rPr>
          <w:rFonts w:cs="Arial"/>
          <w:color w:val="auto"/>
          <w:sz w:val="22"/>
          <w:szCs w:val="22"/>
          <w:lang w:val="en-CA"/>
        </w:rPr>
        <w:t>4</w:t>
      </w:r>
      <w:r w:rsidR="00BC27B8" w:rsidRPr="004905C9">
        <w:rPr>
          <w:rFonts w:cs="Arial"/>
          <w:color w:val="auto"/>
          <w:sz w:val="22"/>
          <w:szCs w:val="22"/>
          <w:lang w:val="en-CA"/>
        </w:rPr>
        <w:t xml:space="preserve">. Klotho </w:t>
      </w:r>
      <w:proofErr w:type="spellStart"/>
      <w:r w:rsidR="00BC27B8" w:rsidRPr="004905C9">
        <w:rPr>
          <w:rFonts w:cs="Arial"/>
          <w:color w:val="auto"/>
          <w:sz w:val="22"/>
          <w:szCs w:val="22"/>
          <w:lang w:val="en-CA"/>
        </w:rPr>
        <w:t>haploinsufficient</w:t>
      </w:r>
      <w:proofErr w:type="spellEnd"/>
      <w:r w:rsidR="00BC27B8" w:rsidRPr="004905C9">
        <w:rPr>
          <w:rFonts w:cs="Arial"/>
          <w:color w:val="auto"/>
          <w:sz w:val="22"/>
          <w:szCs w:val="22"/>
          <w:lang w:val="en-CA"/>
        </w:rPr>
        <w:t xml:space="preserve"> (Klotho</w:t>
      </w:r>
      <w:r w:rsidR="00BC27B8" w:rsidRPr="004905C9">
        <w:rPr>
          <w:rFonts w:cs="Arial"/>
          <w:color w:val="auto"/>
          <w:sz w:val="22"/>
          <w:szCs w:val="22"/>
          <w:vertAlign w:val="superscript"/>
          <w:lang w:val="en-CA"/>
        </w:rPr>
        <w:t>+/-</w:t>
      </w:r>
      <w:r w:rsidR="00BC27B8" w:rsidRPr="004905C9">
        <w:rPr>
          <w:rFonts w:cs="Arial"/>
          <w:color w:val="auto"/>
          <w:sz w:val="22"/>
          <w:szCs w:val="22"/>
          <w:lang w:val="en-CA"/>
        </w:rPr>
        <w:t>) mice display signs of renal inflammation, damage and endothelial activation.</w:t>
      </w:r>
      <w:r w:rsidR="00BC27B8" w:rsidRPr="004905C9">
        <w:rPr>
          <w:rFonts w:cs="Arial"/>
          <w:b w:val="0"/>
          <w:color w:val="auto"/>
          <w:sz w:val="22"/>
          <w:szCs w:val="22"/>
          <w:lang w:val="en-CA"/>
        </w:rPr>
        <w:t xml:space="preserve"> Renal mRNA expression of Klotho, NGAL, KIM-1, RIG-I, E-selectin, VCAM-1 and ICAM-1 in </w:t>
      </w:r>
      <w:proofErr w:type="gramStart"/>
      <w:r w:rsidR="00BC27B8" w:rsidRPr="004905C9">
        <w:rPr>
          <w:rFonts w:cs="Arial"/>
          <w:b w:val="0"/>
          <w:color w:val="auto"/>
          <w:sz w:val="22"/>
          <w:szCs w:val="22"/>
          <w:lang w:val="en-CA"/>
        </w:rPr>
        <w:t xml:space="preserve">Klotho  </w:t>
      </w:r>
      <w:proofErr w:type="spellStart"/>
      <w:r w:rsidR="00BC27B8" w:rsidRPr="004905C9">
        <w:rPr>
          <w:rFonts w:cs="Arial"/>
          <w:b w:val="0"/>
          <w:color w:val="auto"/>
          <w:sz w:val="22"/>
          <w:szCs w:val="22"/>
          <w:lang w:val="en-CA"/>
        </w:rPr>
        <w:t>haploinsufficient</w:t>
      </w:r>
      <w:proofErr w:type="spellEnd"/>
      <w:proofErr w:type="gramEnd"/>
      <w:r w:rsidR="00BC27B8" w:rsidRPr="004905C9">
        <w:rPr>
          <w:rFonts w:cs="Arial"/>
          <w:b w:val="0"/>
          <w:color w:val="auto"/>
          <w:sz w:val="22"/>
          <w:szCs w:val="22"/>
          <w:lang w:val="en-CA"/>
        </w:rPr>
        <w:t xml:space="preserve"> mice (Kl</w:t>
      </w:r>
      <w:r w:rsidR="00BC27B8" w:rsidRPr="004905C9">
        <w:rPr>
          <w:rFonts w:cs="Arial"/>
          <w:b w:val="0"/>
          <w:color w:val="auto"/>
          <w:sz w:val="22"/>
          <w:szCs w:val="22"/>
          <w:vertAlign w:val="superscript"/>
          <w:lang w:val="en-CA"/>
        </w:rPr>
        <w:t>+/-</w:t>
      </w:r>
      <w:r w:rsidR="00BC27B8" w:rsidRPr="004905C9">
        <w:rPr>
          <w:rFonts w:cs="Arial"/>
          <w:b w:val="0"/>
          <w:color w:val="auto"/>
          <w:sz w:val="22"/>
          <w:szCs w:val="22"/>
          <w:lang w:val="en-CA"/>
        </w:rPr>
        <w:t>)</w:t>
      </w:r>
      <w:r w:rsidR="00BC27B8" w:rsidRPr="004905C9">
        <w:rPr>
          <w:rFonts w:cs="Arial"/>
          <w:color w:val="auto"/>
          <w:sz w:val="22"/>
          <w:szCs w:val="22"/>
          <w:lang w:val="en-CA"/>
        </w:rPr>
        <w:t xml:space="preserve"> </w:t>
      </w:r>
      <w:r w:rsidR="00BC27B8" w:rsidRPr="004905C9">
        <w:rPr>
          <w:rFonts w:cs="Arial"/>
          <w:b w:val="0"/>
          <w:color w:val="auto"/>
          <w:sz w:val="22"/>
          <w:szCs w:val="22"/>
          <w:lang w:val="en-CA"/>
        </w:rPr>
        <w:t xml:space="preserve">(n=5) or wild type (WT) (n=5) mice as determined by RT-qPCR using GAPDH as a housekeeping gene. Each dot represents an individual mouse. Bars represent the mean ± SD. *p&lt; 0.05, ** p&lt; 0.005. </w:t>
      </w:r>
    </w:p>
    <w:p w14:paraId="4978E207" w14:textId="77777777" w:rsidR="00BC27B8" w:rsidRPr="004905C9" w:rsidRDefault="00BC27B8" w:rsidP="00BC27B8"/>
    <w:p w14:paraId="4978E208" w14:textId="77777777" w:rsidR="00BC27B8" w:rsidRPr="004905C9" w:rsidRDefault="00BC27B8"/>
    <w:p w14:paraId="4978E209" w14:textId="77777777" w:rsidR="00DB14E4" w:rsidRPr="004905C9" w:rsidRDefault="00DB14E4"/>
    <w:p w14:paraId="4978E20A" w14:textId="77777777" w:rsidR="00DB14E4" w:rsidRPr="004905C9" w:rsidRDefault="00DB14E4"/>
    <w:p w14:paraId="4978E20B" w14:textId="77777777" w:rsidR="00DB14E4" w:rsidRPr="004905C9" w:rsidRDefault="00DB14E4"/>
    <w:p w14:paraId="4978E20C" w14:textId="77777777" w:rsidR="00DB14E4" w:rsidRPr="004905C9" w:rsidRDefault="00DB14E4"/>
    <w:p w14:paraId="4978E20D" w14:textId="77777777" w:rsidR="00DB14E4" w:rsidRPr="004905C9" w:rsidRDefault="00DB14E4"/>
    <w:p w14:paraId="4978E20E" w14:textId="77777777" w:rsidR="00DB14E4" w:rsidRPr="004905C9" w:rsidRDefault="00DB14E4"/>
    <w:p w14:paraId="4978E20F" w14:textId="77777777" w:rsidR="00DB14E4" w:rsidRPr="004905C9" w:rsidRDefault="00DB14E4"/>
    <w:p w14:paraId="4978E210" w14:textId="77777777" w:rsidR="00DB14E4" w:rsidRPr="004905C9" w:rsidRDefault="00DB14E4"/>
    <w:p w14:paraId="4978E211" w14:textId="77777777" w:rsidR="00DB14E4" w:rsidRPr="004905C9" w:rsidRDefault="00DB14E4"/>
    <w:p w14:paraId="4978E212" w14:textId="77777777" w:rsidR="00DB14E4" w:rsidRPr="004905C9" w:rsidRDefault="00DB14E4"/>
    <w:p w14:paraId="4978E213" w14:textId="77777777" w:rsidR="00DB14E4" w:rsidRPr="004905C9" w:rsidRDefault="00803876">
      <w:r w:rsidRPr="004905C9">
        <w:rPr>
          <w:noProof/>
          <w:lang w:eastAsia="en-GB"/>
        </w:rPr>
        <w:drawing>
          <wp:anchor distT="0" distB="0" distL="114300" distR="114300" simplePos="0" relativeHeight="251666432" behindDoc="0" locked="0" layoutInCell="1" allowOverlap="1" wp14:anchorId="4978E243" wp14:editId="4978E244">
            <wp:simplePos x="0" y="0"/>
            <wp:positionH relativeFrom="column">
              <wp:posOffset>0</wp:posOffset>
            </wp:positionH>
            <wp:positionV relativeFrom="paragraph">
              <wp:posOffset>2658</wp:posOffset>
            </wp:positionV>
            <wp:extent cx="4175760" cy="4779264"/>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s.tif"/>
                    <pic:cNvPicPr/>
                  </pic:nvPicPr>
                  <pic:blipFill>
                    <a:blip r:embed="rId11">
                      <a:extLst>
                        <a:ext uri="{28A0092B-C50C-407E-A947-70E740481C1C}">
                          <a14:useLocalDpi xmlns:a14="http://schemas.microsoft.com/office/drawing/2010/main" val="0"/>
                        </a:ext>
                      </a:extLst>
                    </a:blip>
                    <a:stretch>
                      <a:fillRect/>
                    </a:stretch>
                  </pic:blipFill>
                  <pic:spPr>
                    <a:xfrm>
                      <a:off x="0" y="0"/>
                      <a:ext cx="4175760" cy="4779264"/>
                    </a:xfrm>
                    <a:prstGeom prst="rect">
                      <a:avLst/>
                    </a:prstGeom>
                  </pic:spPr>
                </pic:pic>
              </a:graphicData>
            </a:graphic>
          </wp:anchor>
        </w:drawing>
      </w:r>
    </w:p>
    <w:p w14:paraId="4978E214" w14:textId="77777777" w:rsidR="00DB14E4" w:rsidRPr="004905C9" w:rsidRDefault="00DB14E4"/>
    <w:p w14:paraId="4978E215" w14:textId="77777777" w:rsidR="00DB14E4" w:rsidRPr="004905C9" w:rsidRDefault="00DB14E4"/>
    <w:p w14:paraId="4978E216" w14:textId="77777777" w:rsidR="00DB14E4" w:rsidRPr="004905C9" w:rsidRDefault="00DB14E4"/>
    <w:p w14:paraId="4978E217" w14:textId="77777777" w:rsidR="00DB14E4" w:rsidRPr="004905C9" w:rsidRDefault="00DB14E4"/>
    <w:p w14:paraId="4978E218" w14:textId="77777777" w:rsidR="005A6BFA" w:rsidRPr="004905C9" w:rsidRDefault="005A6BFA" w:rsidP="005E77EA">
      <w:pPr>
        <w:spacing w:line="480" w:lineRule="auto"/>
        <w:jc w:val="both"/>
      </w:pPr>
    </w:p>
    <w:p w14:paraId="4978E219" w14:textId="77777777" w:rsidR="00803876" w:rsidRPr="004905C9" w:rsidRDefault="00803876" w:rsidP="00084903">
      <w:pPr>
        <w:spacing w:line="360" w:lineRule="auto"/>
        <w:jc w:val="both"/>
        <w:rPr>
          <w:rFonts w:cs="Arial"/>
          <w:b/>
          <w:lang w:val="en-CA"/>
        </w:rPr>
      </w:pPr>
    </w:p>
    <w:p w14:paraId="4978E21A" w14:textId="77777777" w:rsidR="00803876" w:rsidRPr="004905C9" w:rsidRDefault="00803876" w:rsidP="00084903">
      <w:pPr>
        <w:spacing w:line="360" w:lineRule="auto"/>
        <w:jc w:val="both"/>
        <w:rPr>
          <w:rFonts w:cs="Arial"/>
          <w:b/>
          <w:lang w:val="en-CA"/>
        </w:rPr>
      </w:pPr>
    </w:p>
    <w:p w14:paraId="4978E21B" w14:textId="77777777" w:rsidR="00803876" w:rsidRPr="004905C9" w:rsidRDefault="00803876" w:rsidP="00084903">
      <w:pPr>
        <w:spacing w:line="360" w:lineRule="auto"/>
        <w:jc w:val="both"/>
        <w:rPr>
          <w:rFonts w:cs="Arial"/>
          <w:b/>
          <w:lang w:val="en-CA"/>
        </w:rPr>
      </w:pPr>
    </w:p>
    <w:p w14:paraId="4978E21C" w14:textId="77777777" w:rsidR="00803876" w:rsidRPr="004905C9" w:rsidRDefault="00803876" w:rsidP="00084903">
      <w:pPr>
        <w:spacing w:line="360" w:lineRule="auto"/>
        <w:jc w:val="both"/>
        <w:rPr>
          <w:rFonts w:cs="Arial"/>
          <w:b/>
          <w:lang w:val="en-CA"/>
        </w:rPr>
      </w:pPr>
    </w:p>
    <w:p w14:paraId="4978E21D" w14:textId="77777777" w:rsidR="00803876" w:rsidRPr="004905C9" w:rsidRDefault="00803876" w:rsidP="00084903">
      <w:pPr>
        <w:spacing w:line="360" w:lineRule="auto"/>
        <w:jc w:val="both"/>
        <w:rPr>
          <w:rFonts w:cs="Arial"/>
          <w:b/>
          <w:lang w:val="en-CA"/>
        </w:rPr>
      </w:pPr>
    </w:p>
    <w:p w14:paraId="4978E21E" w14:textId="77777777" w:rsidR="00803876" w:rsidRPr="004905C9" w:rsidRDefault="00803876" w:rsidP="00084903">
      <w:pPr>
        <w:spacing w:line="360" w:lineRule="auto"/>
        <w:jc w:val="both"/>
        <w:rPr>
          <w:rFonts w:cs="Arial"/>
          <w:b/>
          <w:lang w:val="en-CA"/>
        </w:rPr>
      </w:pPr>
    </w:p>
    <w:p w14:paraId="4978E21F" w14:textId="77777777" w:rsidR="00803876" w:rsidRPr="004905C9" w:rsidRDefault="00803876" w:rsidP="00084903">
      <w:pPr>
        <w:spacing w:line="360" w:lineRule="auto"/>
        <w:jc w:val="both"/>
        <w:rPr>
          <w:rFonts w:cs="Arial"/>
          <w:b/>
          <w:lang w:val="en-CA"/>
        </w:rPr>
      </w:pPr>
    </w:p>
    <w:p w14:paraId="4978E220" w14:textId="77777777" w:rsidR="00803876" w:rsidRPr="004905C9" w:rsidRDefault="00803876" w:rsidP="00084903">
      <w:pPr>
        <w:spacing w:line="360" w:lineRule="auto"/>
        <w:jc w:val="both"/>
        <w:rPr>
          <w:rFonts w:cs="Arial"/>
          <w:b/>
          <w:lang w:val="en-CA"/>
        </w:rPr>
      </w:pPr>
    </w:p>
    <w:p w14:paraId="4978E221" w14:textId="77777777" w:rsidR="005F6C76" w:rsidRPr="004905C9" w:rsidRDefault="005F6C76" w:rsidP="001B3672">
      <w:pPr>
        <w:spacing w:after="0" w:line="360" w:lineRule="auto"/>
        <w:jc w:val="both"/>
        <w:rPr>
          <w:rFonts w:cs="Arial"/>
          <w:b/>
          <w:lang w:val="en-CA"/>
        </w:rPr>
      </w:pPr>
    </w:p>
    <w:p w14:paraId="4978E222" w14:textId="6233A9BB" w:rsidR="00803876" w:rsidRPr="004905C9" w:rsidRDefault="004905C9" w:rsidP="001B3672">
      <w:pPr>
        <w:spacing w:after="0" w:line="360" w:lineRule="auto"/>
        <w:jc w:val="both"/>
        <w:rPr>
          <w:rFonts w:cs="Arial"/>
          <w:lang w:val="en-CA"/>
        </w:rPr>
      </w:pPr>
      <w:r>
        <w:rPr>
          <w:rFonts w:cs="Arial"/>
          <w:b/>
          <w:lang w:val="en-CA"/>
        </w:rPr>
        <w:t>Supplemental Figure 5</w:t>
      </w:r>
      <w:r w:rsidR="00DB14E4" w:rsidRPr="004905C9">
        <w:rPr>
          <w:rFonts w:cs="Arial"/>
          <w:b/>
          <w:lang w:val="en-CA"/>
        </w:rPr>
        <w:t>.</w:t>
      </w:r>
      <w:r w:rsidR="005E77EA" w:rsidRPr="004905C9">
        <w:rPr>
          <w:rFonts w:cs="Arial"/>
          <w:b/>
          <w:lang w:val="en-CA"/>
        </w:rPr>
        <w:t xml:space="preserve"> </w:t>
      </w:r>
      <w:r w:rsidR="00803876" w:rsidRPr="004905C9">
        <w:rPr>
          <w:rFonts w:cs="Arial"/>
          <w:b/>
          <w:lang w:val="en-CA"/>
        </w:rPr>
        <w:t>Recombinant Klotho protein administration protects against LPS-mediated kidney damage and inflammation in vivo.</w:t>
      </w:r>
      <w:r w:rsidR="00803876" w:rsidRPr="004905C9">
        <w:rPr>
          <w:b/>
          <w:bCs/>
          <w:iCs/>
          <w:color w:val="000000" w:themeColor="text1"/>
          <w:kern w:val="24"/>
        </w:rPr>
        <w:t xml:space="preserve"> </w:t>
      </w:r>
      <w:r w:rsidR="005E77EA" w:rsidRPr="004905C9">
        <w:rPr>
          <w:rFonts w:cs="Arial"/>
          <w:lang w:val="en-CA"/>
        </w:rPr>
        <w:t xml:space="preserve">Plasma </w:t>
      </w:r>
      <w:r w:rsidR="00803876" w:rsidRPr="004905C9">
        <w:rPr>
          <w:rFonts w:cs="Arial"/>
          <w:lang w:val="en-CA"/>
        </w:rPr>
        <w:t xml:space="preserve">(A) </w:t>
      </w:r>
      <w:r w:rsidR="005E77EA" w:rsidRPr="004905C9">
        <w:rPr>
          <w:rFonts w:cs="Arial"/>
          <w:lang w:val="en-CA"/>
        </w:rPr>
        <w:t xml:space="preserve">urea nitrogen, </w:t>
      </w:r>
      <w:r w:rsidR="00803876" w:rsidRPr="004905C9">
        <w:rPr>
          <w:rFonts w:cs="Arial"/>
          <w:lang w:val="en-CA"/>
        </w:rPr>
        <w:t xml:space="preserve">(B) </w:t>
      </w:r>
      <w:r w:rsidR="005E77EA" w:rsidRPr="004905C9">
        <w:rPr>
          <w:rFonts w:cs="Arial"/>
          <w:lang w:val="en-CA"/>
        </w:rPr>
        <w:t xml:space="preserve">NGAL and </w:t>
      </w:r>
      <w:r w:rsidR="00803876" w:rsidRPr="004905C9">
        <w:rPr>
          <w:rFonts w:cs="Arial"/>
          <w:lang w:val="en-CA"/>
        </w:rPr>
        <w:t xml:space="preserve">(C) </w:t>
      </w:r>
      <w:r w:rsidR="005E77EA" w:rsidRPr="004905C9">
        <w:rPr>
          <w:rFonts w:cs="Arial"/>
          <w:lang w:val="en-CA"/>
        </w:rPr>
        <w:t>IL-6 levels were determined in the plasma of control vehicle-treated mice (n=5) or LPS (1mg/kg) challenged mice (LPS; n=8), or LPS (1mg/kg) challenged mice that received recombinant Klotho (0.05mg/kg) 30 minutes prior to LPS injection (</w:t>
      </w:r>
      <w:proofErr w:type="spellStart"/>
      <w:r w:rsidR="005E77EA" w:rsidRPr="004905C9">
        <w:rPr>
          <w:rFonts w:cs="Arial"/>
          <w:lang w:val="en-CA"/>
        </w:rPr>
        <w:t>rKL</w:t>
      </w:r>
      <w:proofErr w:type="spellEnd"/>
      <w:r w:rsidR="005E77EA" w:rsidRPr="004905C9">
        <w:rPr>
          <w:rFonts w:cs="Arial"/>
          <w:lang w:val="en-CA"/>
        </w:rPr>
        <w:t xml:space="preserve"> + LPS; n=8). </w:t>
      </w:r>
      <w:r w:rsidR="001B3672" w:rsidRPr="004905C9">
        <w:rPr>
          <w:rFonts w:cs="Arial"/>
          <w:lang w:val="en-CA"/>
        </w:rPr>
        <w:t xml:space="preserve">(D) Renal NGAL protein levels in control, LPS and </w:t>
      </w:r>
      <w:proofErr w:type="spellStart"/>
      <w:r w:rsidR="001B3672" w:rsidRPr="004905C9">
        <w:rPr>
          <w:rFonts w:cs="Arial"/>
          <w:lang w:val="en-CA"/>
        </w:rPr>
        <w:t>rKL</w:t>
      </w:r>
      <w:proofErr w:type="spellEnd"/>
      <w:r w:rsidR="001B3672" w:rsidRPr="004905C9">
        <w:rPr>
          <w:rFonts w:cs="Arial"/>
          <w:lang w:val="en-CA"/>
        </w:rPr>
        <w:t xml:space="preserve"> + LPS mice were determined by ELISA analysis of renal tissue lysates. All mice were sacrificed 4 hours after LPS or vehicle injection. Each dot represents an individual mouse</w:t>
      </w:r>
      <w:r w:rsidR="001B3672" w:rsidRPr="004905C9">
        <w:rPr>
          <w:rFonts w:cs="Arial"/>
          <w:b/>
          <w:lang w:val="en-CA"/>
        </w:rPr>
        <w:t xml:space="preserve">. </w:t>
      </w:r>
      <w:r w:rsidR="001B3672" w:rsidRPr="004905C9">
        <w:rPr>
          <w:rFonts w:cs="Arial"/>
          <w:lang w:val="en-CA"/>
        </w:rPr>
        <w:t>Bars represent the mean ± SD. * p&lt; 0.05, ** p&lt; 0.005, *** p&lt; 0.001.</w:t>
      </w:r>
    </w:p>
    <w:p w14:paraId="4978E223" w14:textId="77777777" w:rsidR="00DB14E4" w:rsidRPr="004905C9" w:rsidRDefault="00DB14E4" w:rsidP="005E77EA">
      <w:pPr>
        <w:spacing w:line="480" w:lineRule="auto"/>
        <w:rPr>
          <w:rFonts w:cs="Arial"/>
          <w:lang w:val="en-CA"/>
        </w:rPr>
      </w:pPr>
    </w:p>
    <w:p w14:paraId="4978E224" w14:textId="77777777" w:rsidR="00DB14E4" w:rsidRPr="004905C9" w:rsidRDefault="00DB14E4">
      <w:pPr>
        <w:rPr>
          <w:rFonts w:cs="Arial"/>
          <w:lang w:val="en-CA"/>
        </w:rPr>
      </w:pPr>
    </w:p>
    <w:p w14:paraId="4978E225" w14:textId="77777777" w:rsidR="00DB14E4" w:rsidRPr="004905C9" w:rsidRDefault="00DB14E4">
      <w:pPr>
        <w:rPr>
          <w:rFonts w:cs="Arial"/>
          <w:lang w:val="en-CA"/>
        </w:rPr>
      </w:pPr>
    </w:p>
    <w:p w14:paraId="4978E226" w14:textId="77777777" w:rsidR="00DB14E4" w:rsidRPr="004905C9" w:rsidRDefault="00DB14E4">
      <w:pPr>
        <w:rPr>
          <w:rFonts w:cs="Arial"/>
          <w:lang w:val="en-CA"/>
        </w:rPr>
      </w:pPr>
    </w:p>
    <w:p w14:paraId="4978E227" w14:textId="77777777" w:rsidR="0075470B" w:rsidRPr="004905C9" w:rsidRDefault="00E00619">
      <w:pPr>
        <w:rPr>
          <w:rFonts w:cs="Arial"/>
          <w:lang w:val="en-CA"/>
        </w:rPr>
      </w:pPr>
      <w:r w:rsidRPr="004905C9">
        <w:rPr>
          <w:rFonts w:cs="Arial"/>
          <w:noProof/>
          <w:lang w:eastAsia="en-GB"/>
        </w:rPr>
        <w:lastRenderedPageBreak/>
        <w:drawing>
          <wp:anchor distT="0" distB="0" distL="114300" distR="114300" simplePos="0" relativeHeight="251675648" behindDoc="0" locked="0" layoutInCell="1" allowOverlap="1" wp14:anchorId="4978E245" wp14:editId="4978E246">
            <wp:simplePos x="0" y="0"/>
            <wp:positionH relativeFrom="column">
              <wp:posOffset>56271</wp:posOffset>
            </wp:positionH>
            <wp:positionV relativeFrom="paragraph">
              <wp:posOffset>586</wp:posOffset>
            </wp:positionV>
            <wp:extent cx="5731510" cy="4137025"/>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kl.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137025"/>
                    </a:xfrm>
                    <a:prstGeom prst="rect">
                      <a:avLst/>
                    </a:prstGeom>
                  </pic:spPr>
                </pic:pic>
              </a:graphicData>
            </a:graphic>
          </wp:anchor>
        </w:drawing>
      </w:r>
    </w:p>
    <w:p w14:paraId="4978E228" w14:textId="008F8909" w:rsidR="00D35AFD" w:rsidRPr="004905C9" w:rsidRDefault="00D35AFD" w:rsidP="00D35AFD">
      <w:pPr>
        <w:spacing w:line="360" w:lineRule="auto"/>
        <w:jc w:val="both"/>
        <w:rPr>
          <w:rFonts w:cs="Arial"/>
          <w:lang w:val="en-CA"/>
        </w:rPr>
      </w:pPr>
      <w:r w:rsidRPr="004905C9">
        <w:rPr>
          <w:rFonts w:cs="Arial"/>
          <w:b/>
          <w:lang w:val="en-CA"/>
        </w:rPr>
        <w:t xml:space="preserve">Supplemental Figure </w:t>
      </w:r>
      <w:r w:rsidR="004905C9">
        <w:rPr>
          <w:rFonts w:cs="Arial"/>
          <w:b/>
          <w:lang w:val="en-CA"/>
        </w:rPr>
        <w:t>6</w:t>
      </w:r>
      <w:r w:rsidRPr="004905C9">
        <w:rPr>
          <w:rFonts w:cs="Arial"/>
          <w:b/>
          <w:lang w:val="en-CA"/>
        </w:rPr>
        <w:t xml:space="preserve">. Recombinant Klotho protein administration attenuates LPS-mediated </w:t>
      </w:r>
      <w:r w:rsidR="005F6C76" w:rsidRPr="004905C9">
        <w:rPr>
          <w:rFonts w:cs="Arial"/>
          <w:b/>
          <w:lang w:val="en-CA"/>
        </w:rPr>
        <w:t xml:space="preserve">endothelial activation and </w:t>
      </w:r>
      <w:r w:rsidRPr="004905C9">
        <w:rPr>
          <w:rFonts w:cs="Arial"/>
          <w:b/>
          <w:lang w:val="en-CA"/>
        </w:rPr>
        <w:t>neutrophil infiltration into the kidney.</w:t>
      </w:r>
      <w:r w:rsidRPr="004905C9">
        <w:rPr>
          <w:rFonts w:cs="Arial"/>
          <w:lang w:val="en-CA"/>
        </w:rPr>
        <w:t xml:space="preserve"> </w:t>
      </w:r>
      <w:r w:rsidR="005F6C76" w:rsidRPr="004905C9">
        <w:rPr>
          <w:rFonts w:cs="Arial"/>
          <w:lang w:val="en-CA"/>
        </w:rPr>
        <w:t>(A) Representative immunohistochemical staining of E-selectin and VCAM-1 protein (red) in the kidney of control vehicle-treated mice or LPS (1mg/kg) challenged mice (LPS; n=8), or LPS (1mg/kg) challenged mice that received recombinant Klotho (0.05mg/kg) 30 minutes prior to LPS injection (</w:t>
      </w:r>
      <w:proofErr w:type="spellStart"/>
      <w:r w:rsidR="005F6C76" w:rsidRPr="004905C9">
        <w:rPr>
          <w:rFonts w:cs="Arial"/>
          <w:lang w:val="en-CA"/>
        </w:rPr>
        <w:t>rKL</w:t>
      </w:r>
      <w:proofErr w:type="spellEnd"/>
      <w:r w:rsidR="005F6C76" w:rsidRPr="004905C9">
        <w:rPr>
          <w:rFonts w:cs="Arial"/>
          <w:lang w:val="en-CA"/>
        </w:rPr>
        <w:t xml:space="preserve"> + LPS; n=8). Original magnification 400x. (B) Morphometric analyses of E-selectin and VCAM-1 staining in the kidney of control, LPS, and </w:t>
      </w:r>
      <w:proofErr w:type="spellStart"/>
      <w:r w:rsidR="005F6C76" w:rsidRPr="004905C9">
        <w:rPr>
          <w:rFonts w:cs="Arial"/>
          <w:lang w:val="en-CA"/>
        </w:rPr>
        <w:t>rKL</w:t>
      </w:r>
      <w:proofErr w:type="spellEnd"/>
      <w:r w:rsidR="005F6C76" w:rsidRPr="004905C9">
        <w:rPr>
          <w:rFonts w:cs="Arial"/>
          <w:lang w:val="en-CA"/>
        </w:rPr>
        <w:t xml:space="preserve"> + LPS mice. Graphs represents the total number of positive red pixels per μm2. (C</w:t>
      </w:r>
      <w:r w:rsidRPr="004905C9">
        <w:rPr>
          <w:rFonts w:cs="Arial"/>
          <w:lang w:val="en-CA"/>
        </w:rPr>
        <w:t xml:space="preserve">) Representative immunohistochemical staining of neutrophil marker Ly6G (red) in the kidney of control, LPS, and </w:t>
      </w:r>
      <w:proofErr w:type="spellStart"/>
      <w:r w:rsidRPr="004905C9">
        <w:rPr>
          <w:rFonts w:cs="Arial"/>
          <w:lang w:val="en-CA"/>
        </w:rPr>
        <w:t>rKL</w:t>
      </w:r>
      <w:proofErr w:type="spellEnd"/>
      <w:r w:rsidRPr="004905C9">
        <w:rPr>
          <w:rFonts w:cs="Arial"/>
          <w:lang w:val="en-CA"/>
        </w:rPr>
        <w:t xml:space="preserve"> + LPS mice. Original magnification 400x. (</w:t>
      </w:r>
      <w:r w:rsidR="005F6C76" w:rsidRPr="004905C9">
        <w:rPr>
          <w:rFonts w:cs="Arial"/>
          <w:lang w:val="en-CA"/>
        </w:rPr>
        <w:t>D</w:t>
      </w:r>
      <w:r w:rsidRPr="004905C9">
        <w:rPr>
          <w:rFonts w:cs="Arial"/>
          <w:lang w:val="en-CA"/>
        </w:rPr>
        <w:t xml:space="preserve">) Mean neutrophils per glomerulus was determined by </w:t>
      </w:r>
      <w:r w:rsidR="00AB2723" w:rsidRPr="004905C9">
        <w:rPr>
          <w:rFonts w:cs="Arial"/>
          <w:lang w:val="en-CA"/>
        </w:rPr>
        <w:t>quantifying</w:t>
      </w:r>
      <w:r w:rsidRPr="004905C9">
        <w:rPr>
          <w:rFonts w:cs="Arial"/>
          <w:lang w:val="en-CA"/>
        </w:rPr>
        <w:t xml:space="preserve"> positive cells in glomeruli (see Materials and Methods for details</w:t>
      </w:r>
      <w:r w:rsidR="00AB2723" w:rsidRPr="004905C9">
        <w:rPr>
          <w:rFonts w:cs="Arial"/>
          <w:lang w:val="en-CA"/>
        </w:rPr>
        <w:t>)</w:t>
      </w:r>
      <w:r w:rsidR="005F6C76" w:rsidRPr="004905C9">
        <w:rPr>
          <w:rFonts w:cs="Arial"/>
          <w:lang w:val="en-CA"/>
        </w:rPr>
        <w:t xml:space="preserve"> (E</w:t>
      </w:r>
      <w:r w:rsidRPr="004905C9">
        <w:rPr>
          <w:rFonts w:cs="Arial"/>
          <w:lang w:val="en-CA"/>
        </w:rPr>
        <w:t xml:space="preserve">) Renal Myeloperoxidase (MPO) protein levels in control, LPS and </w:t>
      </w:r>
      <w:proofErr w:type="spellStart"/>
      <w:r w:rsidRPr="004905C9">
        <w:rPr>
          <w:rFonts w:cs="Arial"/>
          <w:lang w:val="en-CA"/>
        </w:rPr>
        <w:t>rKL</w:t>
      </w:r>
      <w:proofErr w:type="spellEnd"/>
      <w:r w:rsidRPr="004905C9">
        <w:rPr>
          <w:rFonts w:cs="Arial"/>
          <w:lang w:val="en-CA"/>
        </w:rPr>
        <w:t xml:space="preserve"> + LPS mice were determined by ELISA analysis of renal tissue lysates. Each dot represents an individual mouse. Bars represent the mean ± SD. ** p&lt; 0.005, *** p&lt; 0.001.</w:t>
      </w:r>
    </w:p>
    <w:p w14:paraId="4978E229" w14:textId="77777777" w:rsidR="00DB14E4" w:rsidRPr="004905C9" w:rsidRDefault="00DB14E4">
      <w:pPr>
        <w:rPr>
          <w:rFonts w:cs="Arial"/>
          <w:lang w:val="en-CA"/>
        </w:rPr>
      </w:pPr>
    </w:p>
    <w:p w14:paraId="4978E22A" w14:textId="77777777" w:rsidR="00DB14E4" w:rsidRPr="004905C9" w:rsidRDefault="00DB14E4">
      <w:pPr>
        <w:rPr>
          <w:rFonts w:cs="Arial"/>
          <w:lang w:val="en-CA"/>
        </w:rPr>
      </w:pPr>
    </w:p>
    <w:p w14:paraId="4978E234" w14:textId="1F18A07D" w:rsidR="00DB14E4" w:rsidRDefault="00DB14E4" w:rsidP="005E77EA">
      <w:pPr>
        <w:spacing w:line="480" w:lineRule="auto"/>
        <w:jc w:val="both"/>
      </w:pPr>
    </w:p>
    <w:sectPr w:rsidR="00DB14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7C"/>
    <w:rsid w:val="00006BDB"/>
    <w:rsid w:val="00023529"/>
    <w:rsid w:val="00084903"/>
    <w:rsid w:val="000B2811"/>
    <w:rsid w:val="000D76BD"/>
    <w:rsid w:val="000E13A3"/>
    <w:rsid w:val="001932D9"/>
    <w:rsid w:val="001A685B"/>
    <w:rsid w:val="001B3672"/>
    <w:rsid w:val="001C6FDC"/>
    <w:rsid w:val="0022188B"/>
    <w:rsid w:val="00231546"/>
    <w:rsid w:val="002C0E90"/>
    <w:rsid w:val="00305C6C"/>
    <w:rsid w:val="00316115"/>
    <w:rsid w:val="003873EA"/>
    <w:rsid w:val="00391033"/>
    <w:rsid w:val="00454126"/>
    <w:rsid w:val="004905C9"/>
    <w:rsid w:val="00505933"/>
    <w:rsid w:val="0056010E"/>
    <w:rsid w:val="005A6BFA"/>
    <w:rsid w:val="005C00E7"/>
    <w:rsid w:val="005C09EB"/>
    <w:rsid w:val="005E5CC1"/>
    <w:rsid w:val="005E77EA"/>
    <w:rsid w:val="005F6C76"/>
    <w:rsid w:val="006853A1"/>
    <w:rsid w:val="00693C4E"/>
    <w:rsid w:val="00721C63"/>
    <w:rsid w:val="00730664"/>
    <w:rsid w:val="007336A6"/>
    <w:rsid w:val="0075470B"/>
    <w:rsid w:val="00803876"/>
    <w:rsid w:val="00855DFA"/>
    <w:rsid w:val="008714C1"/>
    <w:rsid w:val="008A342F"/>
    <w:rsid w:val="00924763"/>
    <w:rsid w:val="00964505"/>
    <w:rsid w:val="009E52EB"/>
    <w:rsid w:val="00A92872"/>
    <w:rsid w:val="00AB2723"/>
    <w:rsid w:val="00AC5B89"/>
    <w:rsid w:val="00AE487C"/>
    <w:rsid w:val="00AF395A"/>
    <w:rsid w:val="00B20E3A"/>
    <w:rsid w:val="00B73ACB"/>
    <w:rsid w:val="00B82A0E"/>
    <w:rsid w:val="00BC27B8"/>
    <w:rsid w:val="00C1008A"/>
    <w:rsid w:val="00D35AFD"/>
    <w:rsid w:val="00D72D04"/>
    <w:rsid w:val="00D9160A"/>
    <w:rsid w:val="00DB14E4"/>
    <w:rsid w:val="00E00619"/>
    <w:rsid w:val="00ED4653"/>
    <w:rsid w:val="00F03E73"/>
    <w:rsid w:val="00F21886"/>
    <w:rsid w:val="00F24AC3"/>
    <w:rsid w:val="00F324EE"/>
    <w:rsid w:val="00F34884"/>
    <w:rsid w:val="00FA54CC"/>
    <w:rsid w:val="00FA56B7"/>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8E17A"/>
  <w15:chartTrackingRefBased/>
  <w15:docId w15:val="{DDF029FC-6AAA-4573-93ED-C61D8D51E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C27B8"/>
    <w:pPr>
      <w:spacing w:after="200" w:line="240" w:lineRule="auto"/>
    </w:pPr>
    <w:rPr>
      <w:b/>
      <w:bCs/>
      <w:color w:val="5B9BD5" w:themeColor="accent1"/>
      <w:sz w:val="18"/>
      <w:szCs w:val="18"/>
      <w:lang w:val="nl-NL"/>
    </w:rPr>
  </w:style>
  <w:style w:type="paragraph" w:styleId="NormalWeb">
    <w:name w:val="Normal (Web)"/>
    <w:basedOn w:val="Normal"/>
    <w:uiPriority w:val="99"/>
    <w:semiHidden/>
    <w:unhideWhenUsed/>
    <w:rsid w:val="0022188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png"/><Relationship Id="rId10" Type="http://schemas.openxmlformats.org/officeDocument/2006/relationships/image" Target="media/image6.t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1B6E3-A8EC-423E-87FA-9DD770EA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1691</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Moser</dc:creator>
  <cp:keywords/>
  <dc:description/>
  <cp:lastModifiedBy>Baeuerlein, Christopher</cp:lastModifiedBy>
  <cp:revision>4</cp:revision>
  <dcterms:created xsi:type="dcterms:W3CDTF">2018-07-14T08:04:00Z</dcterms:created>
  <dcterms:modified xsi:type="dcterms:W3CDTF">2018-08-23T18:20:00Z</dcterms:modified>
</cp:coreProperties>
</file>