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469" w:rsidRPr="0083417A" w:rsidRDefault="009F6469" w:rsidP="009F6469">
      <w:pPr>
        <w:spacing w:line="240" w:lineRule="auto"/>
        <w:rPr>
          <w:rFonts w:ascii="Times New Roman" w:eastAsia="Calibri" w:hAnsi="Times New Roman" w:cs="Times New Roman"/>
          <w:b/>
          <w:sz w:val="24"/>
          <w:szCs w:val="20"/>
          <w:lang w:val="en-US"/>
        </w:rPr>
      </w:pPr>
      <w:r w:rsidRPr="0083417A">
        <w:rPr>
          <w:rFonts w:ascii="Times New Roman" w:eastAsia="Calibri" w:hAnsi="Times New Roman" w:cs="Times New Roman"/>
          <w:b/>
          <w:sz w:val="24"/>
          <w:szCs w:val="20"/>
          <w:lang w:val="en-US"/>
        </w:rPr>
        <w:t>Supplementary Content</w:t>
      </w:r>
    </w:p>
    <w:p w:rsidR="009F6469" w:rsidRPr="00A84365" w:rsidRDefault="00A84365" w:rsidP="009F6469">
      <w:pPr>
        <w:spacing w:after="0" w:line="240" w:lineRule="auto"/>
        <w:ind w:left="1410" w:hanging="1410"/>
        <w:rPr>
          <w:rFonts w:ascii="Times New Roman" w:eastAsia="Calibri" w:hAnsi="Times New Roman" w:cs="Times New Roman"/>
          <w:b/>
          <w:szCs w:val="20"/>
          <w:lang w:val="en-US"/>
        </w:rPr>
      </w:pPr>
      <w:r w:rsidRPr="00A84365">
        <w:rPr>
          <w:rFonts w:ascii="Times New Roman" w:eastAsia="Calibri" w:hAnsi="Times New Roman" w:cs="Times New Roman"/>
          <w:b/>
          <w:szCs w:val="20"/>
          <w:lang w:val="en-US"/>
        </w:rPr>
        <w:t xml:space="preserve">Figure S1 </w:t>
      </w:r>
    </w:p>
    <w:p w:rsidR="00A84365" w:rsidRPr="00A84365" w:rsidRDefault="00A84365" w:rsidP="009F6469">
      <w:pPr>
        <w:spacing w:after="0" w:line="240" w:lineRule="auto"/>
        <w:ind w:left="1410" w:hanging="1410"/>
        <w:rPr>
          <w:rFonts w:ascii="Times New Roman" w:eastAsia="Calibri" w:hAnsi="Times New Roman" w:cs="Times New Roman"/>
          <w:szCs w:val="20"/>
          <w:lang w:val="en-US"/>
        </w:rPr>
      </w:pPr>
      <w:r w:rsidRPr="00A84365">
        <w:rPr>
          <w:rFonts w:ascii="Times New Roman" w:hAnsi="Times New Roman" w:cs="Times New Roman"/>
          <w:lang w:val="en-US"/>
        </w:rPr>
        <w:t>Workflow diagram for NGS diagnostics in context with clinical microbiology results</w:t>
      </w:r>
      <w:r>
        <w:rPr>
          <w:rFonts w:ascii="Times New Roman" w:hAnsi="Times New Roman" w:cs="Times New Roman"/>
          <w:lang w:val="en-US"/>
        </w:rPr>
        <w:t>.</w:t>
      </w:r>
    </w:p>
    <w:p w:rsidR="00A84365" w:rsidRPr="0083417A" w:rsidRDefault="00A84365" w:rsidP="009F6469">
      <w:pPr>
        <w:spacing w:after="0" w:line="240" w:lineRule="auto"/>
        <w:ind w:left="1410" w:hanging="1410"/>
        <w:rPr>
          <w:rFonts w:ascii="Times New Roman" w:eastAsia="Calibri" w:hAnsi="Times New Roman" w:cs="Times New Roman"/>
          <w:szCs w:val="20"/>
          <w:lang w:val="en-US"/>
        </w:rPr>
      </w:pPr>
    </w:p>
    <w:p w:rsidR="009F6469" w:rsidRPr="0083417A" w:rsidRDefault="0080215D" w:rsidP="009F6469">
      <w:pPr>
        <w:spacing w:after="0" w:line="240" w:lineRule="auto"/>
        <w:rPr>
          <w:rFonts w:ascii="Times New Roman" w:eastAsia="Calibri" w:hAnsi="Times New Roman" w:cs="Times New Roman"/>
          <w:b/>
          <w:szCs w:val="20"/>
          <w:lang w:val="en-US"/>
        </w:rPr>
      </w:pPr>
      <w:r>
        <w:rPr>
          <w:rFonts w:ascii="Times New Roman" w:eastAsia="Calibri" w:hAnsi="Times New Roman" w:cs="Times New Roman"/>
          <w:b/>
          <w:szCs w:val="20"/>
          <w:lang w:val="en-US"/>
        </w:rPr>
        <w:t>Data</w:t>
      </w:r>
      <w:r w:rsidR="009F6469" w:rsidRPr="0083417A">
        <w:rPr>
          <w:rFonts w:ascii="Times New Roman" w:eastAsia="Calibri" w:hAnsi="Times New Roman" w:cs="Times New Roman"/>
          <w:b/>
          <w:szCs w:val="20"/>
          <w:lang w:val="en-US"/>
        </w:rPr>
        <w:t xml:space="preserve"> </w:t>
      </w:r>
      <w:r w:rsidR="00BB37BB">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2</w:t>
      </w:r>
      <w:r w:rsidR="009F6469" w:rsidRPr="0083417A">
        <w:rPr>
          <w:rFonts w:ascii="Times New Roman" w:eastAsia="Calibri" w:hAnsi="Times New Roman" w:cs="Times New Roman"/>
          <w:b/>
          <w:szCs w:val="20"/>
          <w:lang w:val="en-US"/>
        </w:rPr>
        <w:tab/>
      </w:r>
      <w:r w:rsidR="009F6469" w:rsidRPr="0083417A">
        <w:rPr>
          <w:rFonts w:ascii="Times New Roman" w:eastAsia="Calibri" w:hAnsi="Times New Roman" w:cs="Times New Roman"/>
          <w:b/>
          <w:szCs w:val="20"/>
          <w:lang w:val="en-US"/>
        </w:rPr>
        <w:tab/>
      </w:r>
    </w:p>
    <w:p w:rsidR="009F6469" w:rsidRDefault="0080215D" w:rsidP="009F6469">
      <w:pPr>
        <w:spacing w:after="0" w:line="240" w:lineRule="auto"/>
        <w:rPr>
          <w:rFonts w:ascii="Times New Roman" w:eastAsia="Calibri" w:hAnsi="Times New Roman" w:cs="Times New Roman"/>
          <w:szCs w:val="20"/>
          <w:lang w:val="en-US"/>
        </w:rPr>
      </w:pPr>
      <w:r w:rsidRPr="0080215D">
        <w:rPr>
          <w:rFonts w:ascii="Times New Roman" w:eastAsia="Calibri" w:hAnsi="Times New Roman" w:cs="Times New Roman"/>
          <w:szCs w:val="20"/>
          <w:lang w:val="en-US"/>
        </w:rPr>
        <w:t>Overview of patients, groups, samp</w:t>
      </w:r>
      <w:r>
        <w:rPr>
          <w:rFonts w:ascii="Times New Roman" w:eastAsia="Calibri" w:hAnsi="Times New Roman" w:cs="Times New Roman"/>
          <w:szCs w:val="20"/>
          <w:lang w:val="en-US"/>
        </w:rPr>
        <w:t>les and results in this study.</w:t>
      </w:r>
    </w:p>
    <w:p w:rsidR="009F6469" w:rsidRPr="0083417A" w:rsidRDefault="009F6469" w:rsidP="009F6469">
      <w:pPr>
        <w:spacing w:after="0" w:line="240" w:lineRule="auto"/>
        <w:rPr>
          <w:rFonts w:ascii="Times New Roman" w:eastAsia="Calibri" w:hAnsi="Times New Roman" w:cs="Times New Roman"/>
          <w:szCs w:val="20"/>
          <w:lang w:val="en-US"/>
        </w:rPr>
      </w:pPr>
    </w:p>
    <w:p w:rsidR="009F6469" w:rsidRPr="0083417A" w:rsidRDefault="009F6469" w:rsidP="009F6469">
      <w:pPr>
        <w:spacing w:after="0" w:line="240" w:lineRule="auto"/>
        <w:ind w:left="1410" w:hanging="1410"/>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Figure </w:t>
      </w:r>
      <w:r w:rsidR="00BB37BB">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3</w:t>
      </w:r>
      <w:r w:rsidRPr="0083417A">
        <w:rPr>
          <w:rFonts w:ascii="Times New Roman" w:eastAsia="Calibri" w:hAnsi="Times New Roman" w:cs="Times New Roman"/>
          <w:b/>
          <w:szCs w:val="20"/>
          <w:lang w:val="en-US"/>
        </w:rPr>
        <w:t xml:space="preserve"> </w:t>
      </w:r>
      <w:r w:rsidRPr="0083417A">
        <w:rPr>
          <w:rFonts w:ascii="Times New Roman" w:eastAsia="Calibri" w:hAnsi="Times New Roman" w:cs="Times New Roman"/>
          <w:b/>
          <w:szCs w:val="20"/>
          <w:lang w:val="en-US"/>
        </w:rPr>
        <w:tab/>
      </w:r>
    </w:p>
    <w:p w:rsidR="009F6469" w:rsidRDefault="009F6469" w:rsidP="009F6469">
      <w:pPr>
        <w:spacing w:after="0" w:line="240" w:lineRule="auto"/>
        <w:ind w:left="1410" w:hanging="1410"/>
        <w:rPr>
          <w:rFonts w:ascii="Times New Roman" w:eastAsia="Calibri" w:hAnsi="Times New Roman" w:cs="Times New Roman"/>
          <w:szCs w:val="20"/>
          <w:lang w:val="en-US"/>
        </w:rPr>
      </w:pPr>
      <w:r w:rsidRPr="009F6469">
        <w:rPr>
          <w:rFonts w:ascii="Times New Roman" w:eastAsia="Calibri" w:hAnsi="Times New Roman" w:cs="Times New Roman"/>
          <w:szCs w:val="20"/>
          <w:lang w:val="en-US"/>
        </w:rPr>
        <w:t>Decision tree for species hit inclusion following SIQ score calculation.</w:t>
      </w:r>
    </w:p>
    <w:p w:rsidR="009F6469" w:rsidRPr="0083417A" w:rsidRDefault="009F6469" w:rsidP="009F6469">
      <w:pPr>
        <w:spacing w:after="0" w:line="240" w:lineRule="auto"/>
        <w:ind w:left="1410" w:hanging="1410"/>
        <w:rPr>
          <w:rFonts w:ascii="Times New Roman" w:eastAsia="Calibri" w:hAnsi="Times New Roman" w:cs="Times New Roman"/>
          <w:szCs w:val="20"/>
          <w:lang w:val="en-US"/>
        </w:rPr>
      </w:pPr>
    </w:p>
    <w:p w:rsidR="009F6469" w:rsidRPr="0083417A" w:rsidRDefault="009F6469" w:rsidP="009F6469">
      <w:pPr>
        <w:spacing w:after="0" w:line="240" w:lineRule="auto"/>
        <w:ind w:left="1410" w:hanging="1410"/>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Figure </w:t>
      </w:r>
      <w:r w:rsidR="00BB37BB">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4</w:t>
      </w:r>
      <w:r w:rsidRPr="0083417A">
        <w:rPr>
          <w:rFonts w:ascii="Times New Roman" w:eastAsia="Calibri" w:hAnsi="Times New Roman" w:cs="Times New Roman"/>
          <w:b/>
          <w:szCs w:val="20"/>
          <w:lang w:val="en-US"/>
        </w:rPr>
        <w:tab/>
      </w:r>
      <w:r w:rsidRPr="0083417A">
        <w:rPr>
          <w:rFonts w:ascii="Times New Roman" w:eastAsia="Calibri" w:hAnsi="Times New Roman" w:cs="Times New Roman"/>
          <w:b/>
          <w:szCs w:val="20"/>
          <w:lang w:val="en-US"/>
        </w:rPr>
        <w:tab/>
      </w:r>
    </w:p>
    <w:p w:rsidR="009F6469" w:rsidRDefault="009F6469" w:rsidP="009F6469">
      <w:pPr>
        <w:spacing w:after="0" w:line="240" w:lineRule="auto"/>
        <w:ind w:left="1410" w:hanging="1410"/>
        <w:rPr>
          <w:rFonts w:ascii="Times New Roman" w:eastAsia="Calibri" w:hAnsi="Times New Roman" w:cs="Times New Roman"/>
          <w:szCs w:val="20"/>
          <w:lang w:val="en-US"/>
        </w:rPr>
      </w:pPr>
      <w:r w:rsidRPr="009F6469">
        <w:rPr>
          <w:rFonts w:ascii="Times New Roman" w:eastAsia="Calibri" w:hAnsi="Times New Roman" w:cs="Times New Roman"/>
          <w:szCs w:val="20"/>
          <w:lang w:val="en-US"/>
        </w:rPr>
        <w:t>Questionnaire for the expert evaluation.</w:t>
      </w:r>
    </w:p>
    <w:p w:rsidR="009F6469" w:rsidRPr="0083417A" w:rsidRDefault="009F6469" w:rsidP="009F6469">
      <w:pPr>
        <w:spacing w:after="0" w:line="240" w:lineRule="auto"/>
        <w:ind w:left="1410" w:hanging="1410"/>
        <w:rPr>
          <w:rFonts w:ascii="Times New Roman" w:eastAsia="Calibri" w:hAnsi="Times New Roman" w:cs="Times New Roman"/>
          <w:szCs w:val="20"/>
          <w:lang w:val="en-US"/>
        </w:rPr>
      </w:pPr>
    </w:p>
    <w:p w:rsidR="009F6469" w:rsidRPr="0083417A" w:rsidRDefault="009F6469" w:rsidP="009F6469">
      <w:pPr>
        <w:spacing w:after="0" w:line="240" w:lineRule="auto"/>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Figure </w:t>
      </w:r>
      <w:r w:rsidR="00BB37BB">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5</w:t>
      </w:r>
      <w:r w:rsidRPr="0083417A">
        <w:rPr>
          <w:rFonts w:ascii="Times New Roman" w:eastAsia="Calibri" w:hAnsi="Times New Roman" w:cs="Times New Roman"/>
          <w:b/>
          <w:szCs w:val="20"/>
          <w:lang w:val="en-US"/>
        </w:rPr>
        <w:tab/>
      </w:r>
      <w:r w:rsidRPr="0083417A">
        <w:rPr>
          <w:rFonts w:ascii="Times New Roman" w:eastAsia="Calibri" w:hAnsi="Times New Roman" w:cs="Times New Roman"/>
          <w:b/>
          <w:szCs w:val="20"/>
          <w:lang w:val="en-US"/>
        </w:rPr>
        <w:tab/>
      </w:r>
    </w:p>
    <w:p w:rsidR="009F6469" w:rsidRDefault="009F6469" w:rsidP="009F6469">
      <w:pPr>
        <w:spacing w:after="0" w:line="240" w:lineRule="auto"/>
        <w:rPr>
          <w:rFonts w:ascii="Times New Roman" w:eastAsia="Calibri" w:hAnsi="Times New Roman" w:cs="Times New Roman"/>
          <w:szCs w:val="20"/>
          <w:lang w:val="en-US"/>
        </w:rPr>
      </w:pPr>
      <w:r w:rsidRPr="009F6469">
        <w:rPr>
          <w:rFonts w:ascii="Times New Roman" w:eastAsia="Calibri" w:hAnsi="Times New Roman" w:cs="Times New Roman"/>
          <w:szCs w:val="20"/>
          <w:lang w:val="en-US"/>
        </w:rPr>
        <w:t>cfDNA concentrations are displayed for the groups of septic (S) and postoperative (P) patients, for individual time points.</w:t>
      </w:r>
    </w:p>
    <w:p w:rsidR="009F6469" w:rsidRPr="0083417A" w:rsidRDefault="009F6469" w:rsidP="009F6469">
      <w:pPr>
        <w:spacing w:after="0" w:line="240" w:lineRule="auto"/>
        <w:rPr>
          <w:rFonts w:ascii="Times New Roman" w:eastAsia="Calibri" w:hAnsi="Times New Roman" w:cs="Times New Roman"/>
          <w:szCs w:val="20"/>
          <w:lang w:val="en-US"/>
        </w:rPr>
      </w:pPr>
    </w:p>
    <w:p w:rsidR="009F6469" w:rsidRPr="0083417A" w:rsidRDefault="009F6469" w:rsidP="009F6469">
      <w:pPr>
        <w:spacing w:after="0" w:line="240" w:lineRule="auto"/>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Figure </w:t>
      </w:r>
      <w:r w:rsidR="00BB37BB">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6</w:t>
      </w:r>
      <w:r w:rsidRPr="0083417A">
        <w:rPr>
          <w:rFonts w:ascii="Times New Roman" w:eastAsia="Calibri" w:hAnsi="Times New Roman" w:cs="Times New Roman"/>
          <w:b/>
          <w:szCs w:val="20"/>
          <w:lang w:val="en-US"/>
        </w:rPr>
        <w:tab/>
      </w:r>
      <w:r w:rsidRPr="0083417A">
        <w:rPr>
          <w:rFonts w:ascii="Times New Roman" w:eastAsia="Calibri" w:hAnsi="Times New Roman" w:cs="Times New Roman"/>
          <w:b/>
          <w:szCs w:val="20"/>
          <w:lang w:val="en-US"/>
        </w:rPr>
        <w:tab/>
      </w:r>
    </w:p>
    <w:p w:rsidR="009F6469" w:rsidRDefault="009F6469" w:rsidP="009F6469">
      <w:pPr>
        <w:spacing w:after="0" w:line="240" w:lineRule="auto"/>
        <w:rPr>
          <w:rFonts w:ascii="Times New Roman" w:eastAsia="Calibri" w:hAnsi="Times New Roman" w:cs="Times New Roman"/>
          <w:szCs w:val="20"/>
          <w:lang w:val="en-US"/>
        </w:rPr>
      </w:pPr>
      <w:r w:rsidRPr="009F6469">
        <w:rPr>
          <w:rFonts w:ascii="Times New Roman" w:eastAsia="Calibri" w:hAnsi="Times New Roman" w:cs="Times New Roman"/>
          <w:szCs w:val="20"/>
          <w:lang w:val="en-US"/>
        </w:rPr>
        <w:t>Sequencing, mapping and classifying statistics of the sequences study samples divided by septic (S) and postoperative (P) patients.</w:t>
      </w:r>
    </w:p>
    <w:p w:rsidR="00682900" w:rsidRDefault="00682900" w:rsidP="00682900">
      <w:pPr>
        <w:spacing w:after="0" w:line="240" w:lineRule="auto"/>
        <w:rPr>
          <w:rFonts w:ascii="Times New Roman" w:eastAsia="Calibri" w:hAnsi="Times New Roman" w:cs="Times New Roman"/>
          <w:b/>
          <w:szCs w:val="20"/>
          <w:lang w:val="en-US"/>
        </w:rPr>
      </w:pPr>
    </w:p>
    <w:p w:rsidR="00682900" w:rsidRPr="00682900" w:rsidRDefault="00682900" w:rsidP="00682900">
      <w:pPr>
        <w:spacing w:after="0" w:line="240" w:lineRule="auto"/>
        <w:rPr>
          <w:rFonts w:ascii="Times New Roman" w:eastAsia="Calibri" w:hAnsi="Times New Roman" w:cs="Times New Roman"/>
          <w:b/>
          <w:szCs w:val="20"/>
          <w:lang w:val="en-US"/>
        </w:rPr>
      </w:pPr>
      <w:r w:rsidRPr="00682900">
        <w:rPr>
          <w:rFonts w:ascii="Times New Roman" w:eastAsia="Calibri" w:hAnsi="Times New Roman" w:cs="Times New Roman"/>
          <w:b/>
          <w:szCs w:val="20"/>
          <w:lang w:val="en-US"/>
        </w:rPr>
        <w:t>Figure S</w:t>
      </w:r>
      <w:r w:rsidR="00A84365">
        <w:rPr>
          <w:rFonts w:ascii="Times New Roman" w:eastAsia="Calibri" w:hAnsi="Times New Roman" w:cs="Times New Roman"/>
          <w:b/>
          <w:szCs w:val="20"/>
          <w:lang w:val="en-US"/>
        </w:rPr>
        <w:t>7</w:t>
      </w:r>
      <w:r w:rsidRPr="00682900">
        <w:rPr>
          <w:rFonts w:ascii="Times New Roman" w:eastAsia="Calibri" w:hAnsi="Times New Roman" w:cs="Times New Roman"/>
          <w:b/>
          <w:szCs w:val="20"/>
          <w:lang w:val="en-US"/>
        </w:rPr>
        <w:t xml:space="preserve"> </w:t>
      </w:r>
    </w:p>
    <w:p w:rsidR="00682900" w:rsidRPr="00682900" w:rsidRDefault="00682900" w:rsidP="00682900">
      <w:pPr>
        <w:spacing w:after="0" w:line="240" w:lineRule="auto"/>
        <w:rPr>
          <w:rFonts w:ascii="Times New Roman" w:eastAsia="Calibri" w:hAnsi="Times New Roman" w:cs="Times New Roman"/>
          <w:szCs w:val="20"/>
          <w:lang w:val="en-US"/>
        </w:rPr>
      </w:pPr>
      <w:r w:rsidRPr="00682900">
        <w:rPr>
          <w:rFonts w:ascii="Times New Roman" w:eastAsia="Calibri" w:hAnsi="Times New Roman" w:cs="Times New Roman"/>
          <w:szCs w:val="20"/>
          <w:lang w:val="en-US"/>
        </w:rPr>
        <w:t>Normalized read distribution for the top ten species identified by BC or NGS</w:t>
      </w:r>
    </w:p>
    <w:p w:rsidR="00682900" w:rsidRDefault="00682900" w:rsidP="009F6469">
      <w:pPr>
        <w:spacing w:after="0" w:line="240" w:lineRule="auto"/>
        <w:rPr>
          <w:rFonts w:ascii="Times New Roman" w:hAnsi="Times New Roman" w:cs="Times New Roman"/>
          <w:b/>
          <w:lang w:val="en-US"/>
        </w:rPr>
      </w:pPr>
    </w:p>
    <w:p w:rsidR="00611D0A" w:rsidRDefault="00611D0A" w:rsidP="009F6469">
      <w:pPr>
        <w:spacing w:after="0" w:line="240" w:lineRule="auto"/>
        <w:rPr>
          <w:rFonts w:ascii="Times New Roman" w:hAnsi="Times New Roman" w:cs="Times New Roman"/>
          <w:b/>
          <w:lang w:val="en-US"/>
        </w:rPr>
      </w:pPr>
      <w:r w:rsidRPr="003D5C33">
        <w:rPr>
          <w:rFonts w:ascii="Times New Roman" w:hAnsi="Times New Roman" w:cs="Times New Roman"/>
          <w:b/>
          <w:lang w:val="en-US"/>
        </w:rPr>
        <w:t>Figure S</w:t>
      </w:r>
      <w:r w:rsidR="00A84365">
        <w:rPr>
          <w:rFonts w:ascii="Times New Roman" w:hAnsi="Times New Roman" w:cs="Times New Roman"/>
          <w:b/>
          <w:lang w:val="en-US"/>
        </w:rPr>
        <w:t>8</w:t>
      </w:r>
      <w:r w:rsidRPr="003D5C33">
        <w:rPr>
          <w:rFonts w:ascii="Times New Roman" w:hAnsi="Times New Roman" w:cs="Times New Roman"/>
          <w:b/>
          <w:lang w:val="en-US"/>
        </w:rPr>
        <w:t xml:space="preserve"> </w:t>
      </w:r>
    </w:p>
    <w:p w:rsidR="00611D0A" w:rsidRDefault="00611D0A" w:rsidP="009F6469">
      <w:pPr>
        <w:spacing w:after="0" w:line="240" w:lineRule="auto"/>
        <w:rPr>
          <w:rFonts w:ascii="Times New Roman" w:hAnsi="Times New Roman" w:cs="Times New Roman"/>
          <w:lang w:val="en-US"/>
        </w:rPr>
      </w:pPr>
      <w:r w:rsidRPr="00611D0A">
        <w:rPr>
          <w:rFonts w:ascii="Times New Roman" w:hAnsi="Times New Roman" w:cs="Times New Roman"/>
          <w:lang w:val="en-US"/>
        </w:rPr>
        <w:t>Species comparison between positive BC and SIQ results and contingency table.</w:t>
      </w:r>
    </w:p>
    <w:p w:rsidR="00611D0A" w:rsidRDefault="00611D0A" w:rsidP="00611D0A">
      <w:pPr>
        <w:spacing w:after="0" w:line="240" w:lineRule="auto"/>
        <w:rPr>
          <w:rFonts w:ascii="Times New Roman" w:hAnsi="Times New Roman" w:cs="Times New Roman"/>
          <w:b/>
          <w:lang w:val="en-US"/>
        </w:rPr>
      </w:pPr>
    </w:p>
    <w:p w:rsidR="00682900" w:rsidRPr="0083417A" w:rsidRDefault="00682900" w:rsidP="00682900">
      <w:pPr>
        <w:spacing w:after="0" w:line="240" w:lineRule="auto"/>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Figure </w:t>
      </w:r>
      <w:r>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9</w:t>
      </w:r>
      <w:r w:rsidRPr="0083417A">
        <w:rPr>
          <w:rFonts w:ascii="Times New Roman" w:eastAsia="Calibri" w:hAnsi="Times New Roman" w:cs="Times New Roman"/>
          <w:b/>
          <w:szCs w:val="20"/>
          <w:lang w:val="en-US"/>
        </w:rPr>
        <w:tab/>
      </w:r>
      <w:r w:rsidRPr="0083417A">
        <w:rPr>
          <w:rFonts w:ascii="Times New Roman" w:eastAsia="Calibri" w:hAnsi="Times New Roman" w:cs="Times New Roman"/>
          <w:b/>
          <w:szCs w:val="20"/>
          <w:lang w:val="en-US"/>
        </w:rPr>
        <w:tab/>
      </w:r>
    </w:p>
    <w:p w:rsidR="00682900" w:rsidRDefault="00682900" w:rsidP="00682900">
      <w:pPr>
        <w:spacing w:after="0" w:line="240" w:lineRule="auto"/>
        <w:rPr>
          <w:rFonts w:ascii="Times New Roman" w:eastAsia="Calibri" w:hAnsi="Times New Roman" w:cs="Times New Roman"/>
          <w:szCs w:val="20"/>
          <w:lang w:val="en-US"/>
        </w:rPr>
      </w:pPr>
      <w:r w:rsidRPr="00BB37BB">
        <w:rPr>
          <w:rFonts w:ascii="Times New Roman" w:eastAsia="Calibri" w:hAnsi="Times New Roman" w:cs="Times New Roman"/>
          <w:szCs w:val="20"/>
          <w:lang w:val="en-US"/>
        </w:rPr>
        <w:t>Results of the expert evaluation on plausibility and therapy change based on NGS findings.</w:t>
      </w:r>
    </w:p>
    <w:p w:rsidR="00682900" w:rsidRDefault="00682900" w:rsidP="00682900">
      <w:pPr>
        <w:spacing w:after="0" w:line="240" w:lineRule="auto"/>
        <w:rPr>
          <w:rFonts w:ascii="Times New Roman" w:eastAsia="Calibri" w:hAnsi="Times New Roman" w:cs="Times New Roman"/>
          <w:szCs w:val="20"/>
          <w:lang w:val="en-US"/>
        </w:rPr>
      </w:pPr>
    </w:p>
    <w:p w:rsidR="00682900" w:rsidRPr="0083417A" w:rsidRDefault="00682900" w:rsidP="00682900">
      <w:pPr>
        <w:spacing w:after="0" w:line="240" w:lineRule="auto"/>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Figure </w:t>
      </w:r>
      <w:r>
        <w:rPr>
          <w:rFonts w:ascii="Times New Roman" w:eastAsia="Calibri" w:hAnsi="Times New Roman" w:cs="Times New Roman"/>
          <w:b/>
          <w:szCs w:val="20"/>
          <w:lang w:val="en-US"/>
        </w:rPr>
        <w:t>S</w:t>
      </w:r>
      <w:r w:rsidR="00A84365">
        <w:rPr>
          <w:rFonts w:ascii="Times New Roman" w:eastAsia="Calibri" w:hAnsi="Times New Roman" w:cs="Times New Roman"/>
          <w:b/>
          <w:szCs w:val="20"/>
          <w:lang w:val="en-US"/>
        </w:rPr>
        <w:t>10</w:t>
      </w:r>
      <w:r w:rsidRPr="0083417A">
        <w:rPr>
          <w:rFonts w:ascii="Times New Roman" w:eastAsia="Calibri" w:hAnsi="Times New Roman" w:cs="Times New Roman"/>
          <w:b/>
          <w:szCs w:val="20"/>
          <w:lang w:val="en-US"/>
        </w:rPr>
        <w:tab/>
      </w:r>
      <w:r w:rsidRPr="0083417A">
        <w:rPr>
          <w:rFonts w:ascii="Times New Roman" w:eastAsia="Calibri" w:hAnsi="Times New Roman" w:cs="Times New Roman"/>
          <w:b/>
          <w:szCs w:val="20"/>
          <w:lang w:val="en-US"/>
        </w:rPr>
        <w:tab/>
      </w:r>
    </w:p>
    <w:p w:rsidR="00682900" w:rsidRDefault="00682900" w:rsidP="00682900">
      <w:pPr>
        <w:spacing w:after="0" w:line="240" w:lineRule="auto"/>
        <w:rPr>
          <w:rFonts w:ascii="Times New Roman" w:eastAsia="Calibri" w:hAnsi="Times New Roman" w:cs="Times New Roman"/>
          <w:szCs w:val="20"/>
          <w:lang w:val="en-US"/>
        </w:rPr>
      </w:pPr>
      <w:r w:rsidRPr="00682900">
        <w:rPr>
          <w:rFonts w:ascii="Times New Roman" w:eastAsia="Calibri" w:hAnsi="Times New Roman" w:cs="Times New Roman"/>
          <w:szCs w:val="20"/>
          <w:lang w:val="en-US"/>
        </w:rPr>
        <w:t>Inter-rater agreement statistics calculated by Fleiss’s Kappa for the expert evaluation.</w:t>
      </w:r>
    </w:p>
    <w:p w:rsidR="00682900" w:rsidRDefault="00682900" w:rsidP="00682900">
      <w:pPr>
        <w:spacing w:after="0" w:line="240" w:lineRule="auto"/>
        <w:rPr>
          <w:rFonts w:ascii="Times New Roman" w:eastAsia="Calibri" w:hAnsi="Times New Roman" w:cs="Times New Roman"/>
          <w:szCs w:val="20"/>
          <w:lang w:val="en-US"/>
        </w:rPr>
      </w:pPr>
    </w:p>
    <w:p w:rsidR="00682900" w:rsidRDefault="00682900" w:rsidP="00682900">
      <w:pPr>
        <w:spacing w:after="0" w:line="240" w:lineRule="auto"/>
        <w:rPr>
          <w:rFonts w:ascii="Times New Roman" w:hAnsi="Times New Roman" w:cs="Times New Roman"/>
          <w:b/>
          <w:lang w:val="en-US"/>
        </w:rPr>
      </w:pPr>
      <w:r w:rsidRPr="003D5C33">
        <w:rPr>
          <w:rFonts w:ascii="Times New Roman" w:hAnsi="Times New Roman" w:cs="Times New Roman"/>
          <w:b/>
          <w:lang w:val="en-US"/>
        </w:rPr>
        <w:t>Figure S</w:t>
      </w:r>
      <w:r>
        <w:rPr>
          <w:rFonts w:ascii="Times New Roman" w:hAnsi="Times New Roman" w:cs="Times New Roman"/>
          <w:b/>
          <w:lang w:val="en-US"/>
        </w:rPr>
        <w:t>1</w:t>
      </w:r>
      <w:r w:rsidR="00857315">
        <w:rPr>
          <w:rFonts w:ascii="Times New Roman" w:hAnsi="Times New Roman" w:cs="Times New Roman"/>
          <w:b/>
          <w:lang w:val="en-US"/>
        </w:rPr>
        <w:t>1</w:t>
      </w:r>
      <w:r w:rsidRPr="003D5C33">
        <w:rPr>
          <w:rFonts w:ascii="Times New Roman" w:hAnsi="Times New Roman" w:cs="Times New Roman"/>
          <w:b/>
          <w:lang w:val="en-US"/>
        </w:rPr>
        <w:t xml:space="preserve"> </w:t>
      </w:r>
    </w:p>
    <w:p w:rsidR="00682900" w:rsidRDefault="00682900" w:rsidP="00682900">
      <w:pPr>
        <w:spacing w:after="0" w:line="240" w:lineRule="auto"/>
        <w:rPr>
          <w:rFonts w:ascii="Times New Roman" w:hAnsi="Times New Roman" w:cs="Times New Roman"/>
          <w:lang w:val="en-US"/>
        </w:rPr>
      </w:pPr>
      <w:r w:rsidRPr="00611D0A">
        <w:rPr>
          <w:rFonts w:ascii="Times New Roman" w:hAnsi="Times New Roman" w:cs="Times New Roman"/>
          <w:lang w:val="en-US"/>
        </w:rPr>
        <w:t>Heat map of integrated NGS and clinical microbiology results for patient S3 over the course of the study.</w:t>
      </w:r>
    </w:p>
    <w:p w:rsidR="00682900" w:rsidRPr="00611D0A" w:rsidRDefault="00682900" w:rsidP="00682900">
      <w:pPr>
        <w:spacing w:after="0" w:line="240" w:lineRule="auto"/>
        <w:rPr>
          <w:rFonts w:ascii="Times New Roman" w:hAnsi="Times New Roman" w:cs="Times New Roman"/>
          <w:lang w:val="en-US"/>
        </w:rPr>
      </w:pPr>
    </w:p>
    <w:p w:rsidR="00C77E69" w:rsidRDefault="00C77E69" w:rsidP="00C77E69">
      <w:pPr>
        <w:spacing w:after="0" w:line="240" w:lineRule="auto"/>
        <w:rPr>
          <w:rFonts w:ascii="Times New Roman" w:eastAsia="Calibri" w:hAnsi="Times New Roman" w:cs="Times New Roman"/>
          <w:szCs w:val="20"/>
          <w:lang w:val="en-US"/>
        </w:rPr>
      </w:pPr>
      <w:r w:rsidRPr="0083417A">
        <w:rPr>
          <w:rFonts w:ascii="Times New Roman" w:eastAsia="Calibri" w:hAnsi="Times New Roman" w:cs="Times New Roman"/>
          <w:b/>
          <w:szCs w:val="20"/>
          <w:lang w:val="en-US"/>
        </w:rPr>
        <w:t xml:space="preserve">Table </w:t>
      </w:r>
      <w:r>
        <w:rPr>
          <w:rFonts w:ascii="Times New Roman" w:eastAsia="Calibri" w:hAnsi="Times New Roman" w:cs="Times New Roman"/>
          <w:b/>
          <w:szCs w:val="20"/>
          <w:lang w:val="en-US"/>
        </w:rPr>
        <w:t>S</w:t>
      </w:r>
      <w:r w:rsidR="00F2746A">
        <w:rPr>
          <w:rFonts w:ascii="Times New Roman" w:eastAsia="Calibri" w:hAnsi="Times New Roman" w:cs="Times New Roman"/>
          <w:b/>
          <w:szCs w:val="20"/>
          <w:lang w:val="en-US"/>
        </w:rPr>
        <w:t>1</w:t>
      </w:r>
      <w:r w:rsidRPr="0083417A">
        <w:rPr>
          <w:rFonts w:ascii="Times New Roman" w:eastAsia="Calibri" w:hAnsi="Times New Roman" w:cs="Times New Roman"/>
          <w:szCs w:val="20"/>
          <w:lang w:val="en-US"/>
        </w:rPr>
        <w:tab/>
      </w:r>
      <w:r w:rsidRPr="0083417A">
        <w:rPr>
          <w:rFonts w:ascii="Times New Roman" w:eastAsia="Calibri" w:hAnsi="Times New Roman" w:cs="Times New Roman"/>
          <w:szCs w:val="20"/>
          <w:lang w:val="en-US"/>
        </w:rPr>
        <w:tab/>
      </w:r>
    </w:p>
    <w:p w:rsidR="00C77E69" w:rsidRDefault="00C77E69" w:rsidP="00C77E69">
      <w:pPr>
        <w:spacing w:after="0" w:line="240" w:lineRule="auto"/>
        <w:rPr>
          <w:rFonts w:ascii="Times New Roman" w:eastAsia="Calibri" w:hAnsi="Times New Roman" w:cs="Times New Roman"/>
          <w:szCs w:val="20"/>
          <w:lang w:val="en-US"/>
        </w:rPr>
      </w:pPr>
      <w:r w:rsidRPr="00BB37BB">
        <w:rPr>
          <w:rFonts w:ascii="Times New Roman" w:eastAsia="Calibri" w:hAnsi="Times New Roman" w:cs="Times New Roman"/>
          <w:szCs w:val="20"/>
          <w:lang w:val="en-US"/>
        </w:rPr>
        <w:t>Complete list of species, SIQ scores, normalized abundance of reads sorted by patient and time point after application of the decision tree exclusion of species.</w:t>
      </w:r>
    </w:p>
    <w:p w:rsidR="00C77E69" w:rsidRDefault="00C77E69" w:rsidP="00C77E69">
      <w:pPr>
        <w:spacing w:after="0" w:line="240" w:lineRule="auto"/>
        <w:rPr>
          <w:rFonts w:ascii="Times New Roman" w:eastAsia="Calibri" w:hAnsi="Times New Roman" w:cs="Times New Roman"/>
          <w:szCs w:val="20"/>
          <w:lang w:val="en-US"/>
        </w:rPr>
      </w:pPr>
    </w:p>
    <w:p w:rsidR="009F6469" w:rsidRPr="0083417A" w:rsidRDefault="009F6469" w:rsidP="009F6469">
      <w:pPr>
        <w:spacing w:after="0" w:line="240" w:lineRule="auto"/>
        <w:ind w:left="1416" w:hanging="1416"/>
        <w:rPr>
          <w:rFonts w:ascii="Times New Roman" w:eastAsia="Calibri" w:hAnsi="Times New Roman" w:cs="Times New Roman"/>
          <w:b/>
          <w:szCs w:val="20"/>
          <w:lang w:val="en-US"/>
        </w:rPr>
      </w:pPr>
      <w:r w:rsidRPr="0083417A">
        <w:rPr>
          <w:rFonts w:ascii="Times New Roman" w:eastAsia="Calibri" w:hAnsi="Times New Roman" w:cs="Times New Roman"/>
          <w:b/>
          <w:szCs w:val="20"/>
          <w:lang w:val="en-US"/>
        </w:rPr>
        <w:t xml:space="preserve">Table </w:t>
      </w:r>
      <w:r w:rsidR="00BB37BB">
        <w:rPr>
          <w:rFonts w:ascii="Times New Roman" w:eastAsia="Calibri" w:hAnsi="Times New Roman" w:cs="Times New Roman"/>
          <w:b/>
          <w:szCs w:val="20"/>
          <w:lang w:val="en-US"/>
        </w:rPr>
        <w:t>S</w:t>
      </w:r>
      <w:r w:rsidR="00F2746A">
        <w:rPr>
          <w:rFonts w:ascii="Times New Roman" w:eastAsia="Calibri" w:hAnsi="Times New Roman" w:cs="Times New Roman"/>
          <w:b/>
          <w:szCs w:val="20"/>
          <w:lang w:val="en-US"/>
        </w:rPr>
        <w:t>2</w:t>
      </w:r>
      <w:r w:rsidRPr="0083417A">
        <w:rPr>
          <w:rFonts w:ascii="Times New Roman" w:eastAsia="Calibri" w:hAnsi="Times New Roman" w:cs="Times New Roman"/>
          <w:b/>
          <w:szCs w:val="20"/>
          <w:lang w:val="en-US"/>
        </w:rPr>
        <w:tab/>
      </w:r>
      <w:r w:rsidRPr="0083417A">
        <w:rPr>
          <w:rFonts w:ascii="Times New Roman" w:eastAsia="Calibri" w:hAnsi="Times New Roman" w:cs="Times New Roman"/>
          <w:b/>
          <w:szCs w:val="20"/>
          <w:lang w:val="en-US"/>
        </w:rPr>
        <w:tab/>
      </w:r>
    </w:p>
    <w:p w:rsidR="009F6469" w:rsidRDefault="00BB37BB" w:rsidP="009F6469">
      <w:pPr>
        <w:spacing w:after="0" w:line="240" w:lineRule="auto"/>
        <w:ind w:left="1416" w:hanging="1416"/>
        <w:rPr>
          <w:rFonts w:ascii="Times New Roman" w:eastAsia="Calibri" w:hAnsi="Times New Roman" w:cs="Times New Roman"/>
          <w:szCs w:val="20"/>
          <w:lang w:val="en-US"/>
        </w:rPr>
      </w:pPr>
      <w:r w:rsidRPr="00BB37BB">
        <w:rPr>
          <w:rFonts w:ascii="Times New Roman" w:eastAsia="Calibri" w:hAnsi="Times New Roman" w:cs="Times New Roman"/>
          <w:szCs w:val="20"/>
          <w:lang w:val="en-US"/>
        </w:rPr>
        <w:t>Complete list of species found by NGS in the dataset of sequenced samples after decision tree filtering.</w:t>
      </w:r>
    </w:p>
    <w:p w:rsidR="00C77E69" w:rsidRDefault="00C77E69" w:rsidP="009F6469">
      <w:pPr>
        <w:spacing w:after="0" w:line="240" w:lineRule="auto"/>
        <w:ind w:left="1416" w:hanging="1416"/>
        <w:rPr>
          <w:rFonts w:ascii="Times New Roman" w:eastAsia="Calibri" w:hAnsi="Times New Roman" w:cs="Times New Roman"/>
          <w:szCs w:val="20"/>
          <w:lang w:val="en-US"/>
        </w:rPr>
      </w:pPr>
    </w:p>
    <w:p w:rsidR="00C77E69" w:rsidRPr="0008406D" w:rsidRDefault="00C77E69" w:rsidP="009F6469">
      <w:pPr>
        <w:spacing w:after="0" w:line="240" w:lineRule="auto"/>
        <w:ind w:left="1416" w:hanging="1416"/>
        <w:rPr>
          <w:rFonts w:ascii="Times New Roman" w:eastAsia="Calibri" w:hAnsi="Times New Roman" w:cs="Times New Roman"/>
          <w:b/>
          <w:szCs w:val="20"/>
          <w:lang w:val="en-US"/>
        </w:rPr>
      </w:pPr>
      <w:r w:rsidRPr="0008406D">
        <w:rPr>
          <w:rFonts w:ascii="Times New Roman" w:eastAsia="Calibri" w:hAnsi="Times New Roman" w:cs="Times New Roman"/>
          <w:b/>
          <w:szCs w:val="20"/>
          <w:lang w:val="en-US"/>
        </w:rPr>
        <w:t>Table S</w:t>
      </w:r>
      <w:r w:rsidR="00F2746A">
        <w:rPr>
          <w:rFonts w:ascii="Times New Roman" w:eastAsia="Calibri" w:hAnsi="Times New Roman" w:cs="Times New Roman"/>
          <w:b/>
          <w:szCs w:val="20"/>
          <w:lang w:val="en-US"/>
        </w:rPr>
        <w:t>3</w:t>
      </w:r>
    </w:p>
    <w:p w:rsidR="0008406D" w:rsidRPr="0008406D" w:rsidRDefault="0008406D" w:rsidP="0008406D">
      <w:pPr>
        <w:spacing w:after="0" w:line="240" w:lineRule="auto"/>
        <w:ind w:firstLine="2"/>
        <w:rPr>
          <w:rFonts w:ascii="Times New Roman" w:eastAsia="Calibri" w:hAnsi="Times New Roman" w:cs="Times New Roman"/>
          <w:szCs w:val="20"/>
          <w:lang w:val="en-US"/>
        </w:rPr>
      </w:pPr>
      <w:r w:rsidRPr="0008406D">
        <w:rPr>
          <w:rFonts w:ascii="Times New Roman" w:eastAsia="Calibri" w:hAnsi="Times New Roman" w:cs="Times New Roman"/>
          <w:szCs w:val="20"/>
          <w:lang w:val="en-US"/>
        </w:rPr>
        <w:t>Clinical data for patients with appropriate antibiosis (group1, n=24) or inappropriate antibiosis (group 2, n=14)</w:t>
      </w:r>
      <w:r>
        <w:rPr>
          <w:rFonts w:ascii="Times New Roman" w:eastAsia="Calibri" w:hAnsi="Times New Roman" w:cs="Times New Roman"/>
          <w:szCs w:val="20"/>
          <w:lang w:val="en-US"/>
        </w:rPr>
        <w:t>, b</w:t>
      </w:r>
      <w:r w:rsidRPr="0008406D">
        <w:rPr>
          <w:rFonts w:ascii="Times New Roman" w:eastAsia="Calibri" w:hAnsi="Times New Roman" w:cs="Times New Roman"/>
          <w:szCs w:val="20"/>
          <w:lang w:val="en-US"/>
        </w:rPr>
        <w:t>ased on the expert evaluation</w:t>
      </w:r>
    </w:p>
    <w:p w:rsidR="0008406D" w:rsidRDefault="0008406D" w:rsidP="009F6469">
      <w:pPr>
        <w:spacing w:after="0" w:line="240" w:lineRule="auto"/>
        <w:ind w:left="1416" w:hanging="1416"/>
        <w:rPr>
          <w:rFonts w:ascii="Times New Roman" w:eastAsia="Calibri" w:hAnsi="Times New Roman" w:cs="Times New Roman"/>
          <w:szCs w:val="20"/>
          <w:lang w:val="en-US"/>
        </w:rPr>
      </w:pPr>
    </w:p>
    <w:p w:rsidR="00261536" w:rsidRDefault="00857315" w:rsidP="00261536">
      <w:pPr>
        <w:spacing w:after="0" w:line="240" w:lineRule="auto"/>
        <w:ind w:right="1239"/>
        <w:jc w:val="both"/>
        <w:rPr>
          <w:rFonts w:ascii="Times New Roman" w:hAnsi="Times New Roman" w:cs="Times New Roman"/>
          <w:b/>
          <w:lang w:val="en-US"/>
        </w:rPr>
      </w:pPr>
      <w:r>
        <w:rPr>
          <w:rFonts w:ascii="Times New Roman" w:hAnsi="Times New Roman" w:cs="Times New Roman"/>
          <w:b/>
          <w:lang w:val="en-US"/>
        </w:rPr>
        <w:t>Table S4</w:t>
      </w:r>
    </w:p>
    <w:p w:rsidR="00BB37BB" w:rsidRDefault="00261536" w:rsidP="00A84365">
      <w:pPr>
        <w:spacing w:after="0" w:line="240" w:lineRule="auto"/>
        <w:ind w:right="1239"/>
        <w:jc w:val="both"/>
        <w:rPr>
          <w:lang w:val="en-US"/>
        </w:rPr>
      </w:pPr>
      <w:r w:rsidRPr="00261536">
        <w:rPr>
          <w:rFonts w:ascii="Times New Roman" w:eastAsia="Calibri" w:hAnsi="Times New Roman" w:cs="Times New Roman"/>
          <w:szCs w:val="20"/>
          <w:lang w:val="en-US"/>
        </w:rPr>
        <w:t xml:space="preserve">Detailed overview of samples ruled as implausible </w:t>
      </w:r>
      <w:r w:rsidR="00DC7396">
        <w:rPr>
          <w:rFonts w:ascii="Times New Roman" w:eastAsia="Calibri" w:hAnsi="Times New Roman" w:cs="Times New Roman"/>
          <w:szCs w:val="20"/>
          <w:lang w:val="en-US"/>
        </w:rPr>
        <w:t>by</w:t>
      </w:r>
      <w:r w:rsidRPr="00261536">
        <w:rPr>
          <w:rFonts w:ascii="Times New Roman" w:eastAsia="Calibri" w:hAnsi="Times New Roman" w:cs="Times New Roman"/>
          <w:szCs w:val="20"/>
          <w:lang w:val="en-US"/>
        </w:rPr>
        <w:t xml:space="preserve"> expert evaluation.</w:t>
      </w:r>
      <w:r w:rsidR="00BB37BB">
        <w:rPr>
          <w:lang w:val="en-US"/>
        </w:rPr>
        <w:br w:type="page"/>
      </w:r>
    </w:p>
    <w:p w:rsidR="00A84365" w:rsidRPr="00A84365" w:rsidRDefault="00A84365" w:rsidP="00A84365">
      <w:pPr>
        <w:spacing w:line="240" w:lineRule="auto"/>
        <w:rPr>
          <w:rFonts w:ascii="Times New Roman" w:hAnsi="Times New Roman" w:cs="Times New Roman"/>
          <w:b/>
          <w:lang w:val="en-US"/>
        </w:rPr>
      </w:pPr>
      <w:r w:rsidRPr="00A84365">
        <w:rPr>
          <w:rFonts w:ascii="Times New Roman" w:hAnsi="Times New Roman" w:cs="Times New Roman"/>
          <w:b/>
          <w:lang w:val="en-US"/>
        </w:rPr>
        <w:lastRenderedPageBreak/>
        <w:t>Figure S1</w:t>
      </w:r>
      <w:r w:rsidR="00491F10">
        <w:rPr>
          <w:rFonts w:ascii="Times New Roman" w:hAnsi="Times New Roman" w:cs="Times New Roman"/>
          <w:b/>
          <w:lang w:val="en-US"/>
        </w:rPr>
        <w:t>.</w:t>
      </w:r>
      <w:r w:rsidRPr="00A84365">
        <w:rPr>
          <w:rFonts w:ascii="Times New Roman" w:hAnsi="Times New Roman" w:cs="Times New Roman"/>
          <w:b/>
          <w:lang w:val="en-US"/>
        </w:rPr>
        <w:t xml:space="preserve"> Workflow diagram for NGS diagnostics in context with clinical microbiology results</w:t>
      </w:r>
      <w:r>
        <w:rPr>
          <w:rFonts w:ascii="Times New Roman" w:hAnsi="Times New Roman" w:cs="Times New Roman"/>
          <w:b/>
          <w:lang w:val="en-US"/>
        </w:rPr>
        <w:t>.</w:t>
      </w:r>
      <w:r w:rsidRPr="00A84365">
        <w:rPr>
          <w:rFonts w:ascii="Times New Roman" w:hAnsi="Times New Roman" w:cs="Times New Roman"/>
          <w:b/>
          <w:lang w:val="en-US"/>
        </w:rPr>
        <w:t xml:space="preserve"> </w:t>
      </w:r>
    </w:p>
    <w:p w:rsidR="00A84365" w:rsidRDefault="001E48A6" w:rsidP="00B2296C">
      <w:pPr>
        <w:spacing w:line="240" w:lineRule="auto"/>
        <w:rPr>
          <w:rFonts w:ascii="Times New Roman" w:hAnsi="Times New Roman" w:cs="Times New Roman"/>
          <w:b/>
          <w:lang w:val="en-US"/>
        </w:rPr>
      </w:pPr>
      <w:r>
        <w:rPr>
          <w:rFonts w:ascii="Times New Roman" w:hAnsi="Times New Roman" w:cs="Times New Roman"/>
          <w:b/>
          <w:noProof/>
          <w:lang w:eastAsia="de-DE"/>
        </w:rPr>
        <w:drawing>
          <wp:inline distT="0" distB="0" distL="0" distR="0">
            <wp:extent cx="5972810" cy="6038215"/>
            <wp:effectExtent l="0" t="0" r="8890" b="63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kflow Comparison_RevIII.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6038215"/>
                    </a:xfrm>
                    <a:prstGeom prst="rect">
                      <a:avLst/>
                    </a:prstGeom>
                  </pic:spPr>
                </pic:pic>
              </a:graphicData>
            </a:graphic>
          </wp:inline>
        </w:drawing>
      </w:r>
    </w:p>
    <w:p w:rsidR="00A84365" w:rsidRDefault="00A84365" w:rsidP="00B2296C">
      <w:pPr>
        <w:spacing w:line="240" w:lineRule="auto"/>
        <w:rPr>
          <w:rFonts w:ascii="Times New Roman" w:hAnsi="Times New Roman" w:cs="Times New Roman"/>
          <w:b/>
          <w:lang w:val="en-US"/>
        </w:rPr>
      </w:pPr>
    </w:p>
    <w:p w:rsidR="00A84365" w:rsidRDefault="00A84365" w:rsidP="00B2296C">
      <w:pPr>
        <w:spacing w:line="240" w:lineRule="auto"/>
        <w:rPr>
          <w:rFonts w:ascii="Times New Roman" w:hAnsi="Times New Roman" w:cs="Times New Roman"/>
          <w:b/>
          <w:lang w:val="en-US"/>
        </w:rPr>
      </w:pPr>
    </w:p>
    <w:p w:rsidR="00A84365" w:rsidRDefault="00A84365" w:rsidP="00B2296C">
      <w:pPr>
        <w:spacing w:line="240" w:lineRule="auto"/>
        <w:rPr>
          <w:rFonts w:ascii="Times New Roman" w:hAnsi="Times New Roman" w:cs="Times New Roman"/>
          <w:b/>
          <w:lang w:val="en-US"/>
        </w:rPr>
      </w:pPr>
    </w:p>
    <w:p w:rsidR="00A84365" w:rsidRDefault="00A84365" w:rsidP="00B2296C">
      <w:pPr>
        <w:spacing w:line="240" w:lineRule="auto"/>
        <w:rPr>
          <w:rFonts w:ascii="Times New Roman" w:hAnsi="Times New Roman" w:cs="Times New Roman"/>
          <w:b/>
          <w:lang w:val="en-US"/>
        </w:rPr>
      </w:pPr>
    </w:p>
    <w:p w:rsidR="00A84365" w:rsidRDefault="00A84365" w:rsidP="00B2296C">
      <w:pPr>
        <w:spacing w:line="240" w:lineRule="auto"/>
        <w:rPr>
          <w:rFonts w:ascii="Times New Roman" w:hAnsi="Times New Roman" w:cs="Times New Roman"/>
          <w:b/>
          <w:lang w:val="en-US"/>
        </w:rPr>
      </w:pPr>
    </w:p>
    <w:p w:rsidR="00A84365" w:rsidRDefault="00A84365" w:rsidP="00B2296C">
      <w:pPr>
        <w:spacing w:line="240" w:lineRule="auto"/>
        <w:rPr>
          <w:rFonts w:ascii="Times New Roman" w:hAnsi="Times New Roman" w:cs="Times New Roman"/>
          <w:b/>
          <w:lang w:val="en-US"/>
        </w:rPr>
      </w:pPr>
    </w:p>
    <w:p w:rsidR="00A84365" w:rsidRDefault="00A84365" w:rsidP="00B2296C">
      <w:pPr>
        <w:spacing w:line="240" w:lineRule="auto"/>
        <w:rPr>
          <w:rFonts w:ascii="Times New Roman" w:hAnsi="Times New Roman" w:cs="Times New Roman"/>
          <w:b/>
          <w:lang w:val="en-US"/>
        </w:rPr>
      </w:pPr>
    </w:p>
    <w:p w:rsidR="00BB37BB" w:rsidRPr="00B2296C" w:rsidRDefault="0080215D" w:rsidP="00B2296C">
      <w:pPr>
        <w:spacing w:line="240" w:lineRule="auto"/>
        <w:rPr>
          <w:rFonts w:ascii="Times New Roman" w:hAnsi="Times New Roman" w:cs="Times New Roman"/>
          <w:lang w:val="en-US"/>
        </w:rPr>
      </w:pPr>
      <w:r>
        <w:rPr>
          <w:rFonts w:ascii="Times New Roman" w:hAnsi="Times New Roman" w:cs="Times New Roman"/>
          <w:b/>
          <w:lang w:val="en-US"/>
        </w:rPr>
        <w:lastRenderedPageBreak/>
        <w:t>Data</w:t>
      </w:r>
      <w:r w:rsidR="00B2296C" w:rsidRPr="00B2296C">
        <w:rPr>
          <w:rFonts w:ascii="Times New Roman" w:hAnsi="Times New Roman" w:cs="Times New Roman"/>
          <w:b/>
          <w:lang w:val="en-US"/>
        </w:rPr>
        <w:t xml:space="preserve"> S</w:t>
      </w:r>
      <w:r w:rsidR="00491F10">
        <w:rPr>
          <w:rFonts w:ascii="Times New Roman" w:hAnsi="Times New Roman" w:cs="Times New Roman"/>
          <w:b/>
          <w:lang w:val="en-US"/>
        </w:rPr>
        <w:t>2</w:t>
      </w:r>
      <w:r w:rsidR="00316A76">
        <w:rPr>
          <w:rFonts w:ascii="Times New Roman" w:hAnsi="Times New Roman" w:cs="Times New Roman"/>
          <w:b/>
          <w:lang w:val="en-US"/>
        </w:rPr>
        <w:t>.</w:t>
      </w:r>
      <w:r w:rsidR="00857315">
        <w:rPr>
          <w:rFonts w:ascii="Times New Roman" w:hAnsi="Times New Roman" w:cs="Times New Roman"/>
          <w:b/>
          <w:lang w:val="en-US"/>
        </w:rPr>
        <w:t xml:space="preserve"> </w:t>
      </w:r>
      <w:r>
        <w:rPr>
          <w:rFonts w:ascii="Times New Roman" w:hAnsi="Times New Roman" w:cs="Times New Roman"/>
          <w:b/>
          <w:lang w:val="en-US"/>
        </w:rPr>
        <w:t xml:space="preserve">Overview of patients, groups, samples and results in this study. </w:t>
      </w:r>
      <w:r w:rsidR="00B2296C" w:rsidRPr="00B2296C">
        <w:rPr>
          <w:rFonts w:ascii="Times New Roman" w:hAnsi="Times New Roman" w:cs="Times New Roman"/>
          <w:lang w:val="en-US"/>
        </w:rPr>
        <w:t xml:space="preserve"> </w:t>
      </w:r>
    </w:p>
    <w:p w:rsidR="0080215D" w:rsidRDefault="0080215D" w:rsidP="0080215D">
      <w:pPr>
        <w:numPr>
          <w:ilvl w:val="0"/>
          <w:numId w:val="1"/>
        </w:numPr>
        <w:spacing w:after="0" w:line="240" w:lineRule="auto"/>
        <w:ind w:hanging="284"/>
        <w:contextualSpacing/>
        <w:jc w:val="both"/>
        <w:rPr>
          <w:rFonts w:ascii="Arial" w:eastAsia="Calibri" w:hAnsi="Arial" w:cs="Arial"/>
          <w:b/>
          <w:sz w:val="22"/>
          <w:lang w:val="en-US"/>
        </w:rPr>
      </w:pPr>
      <w:r w:rsidRPr="0030675F">
        <w:rPr>
          <w:rFonts w:ascii="Arial" w:eastAsia="Calibri" w:hAnsi="Arial" w:cs="Arial"/>
          <w:b/>
          <w:sz w:val="22"/>
          <w:lang w:val="en-US"/>
        </w:rPr>
        <w:t>Study cohort</w:t>
      </w:r>
    </w:p>
    <w:p w:rsidR="0091386D" w:rsidRPr="0030675F" w:rsidRDefault="0091386D" w:rsidP="0091386D">
      <w:pPr>
        <w:spacing w:after="0" w:line="240" w:lineRule="auto"/>
        <w:ind w:left="720"/>
        <w:contextualSpacing/>
        <w:jc w:val="both"/>
        <w:rPr>
          <w:rFonts w:ascii="Arial" w:eastAsia="Calibri" w:hAnsi="Arial" w:cs="Arial"/>
          <w:b/>
          <w:sz w:val="22"/>
          <w:lang w:val="en-US"/>
        </w:rPr>
      </w:pPr>
    </w:p>
    <w:tbl>
      <w:tblPr>
        <w:tblW w:w="83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5"/>
        <w:gridCol w:w="1191"/>
        <w:gridCol w:w="2891"/>
        <w:gridCol w:w="1417"/>
      </w:tblGrid>
      <w:tr w:rsidR="0080215D" w:rsidRPr="0030675F" w:rsidTr="0067644C">
        <w:trPr>
          <w:trHeight w:val="567"/>
        </w:trPr>
        <w:tc>
          <w:tcPr>
            <w:tcW w:w="2835"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Group</w:t>
            </w:r>
          </w:p>
        </w:tc>
        <w:tc>
          <w:tcPr>
            <w:tcW w:w="1191"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Number of patients</w:t>
            </w:r>
          </w:p>
        </w:tc>
        <w:tc>
          <w:tcPr>
            <w:tcW w:w="2891"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Timepoints</w:t>
            </w:r>
          </w:p>
        </w:tc>
        <w:tc>
          <w:tcPr>
            <w:tcW w:w="1417"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Total number of samples</w:t>
            </w:r>
          </w:p>
        </w:tc>
      </w:tr>
      <w:tr w:rsidR="0080215D" w:rsidRPr="0030675F" w:rsidTr="0067644C">
        <w:trPr>
          <w:trHeight w:val="340"/>
        </w:trPr>
        <w:tc>
          <w:tcPr>
            <w:tcW w:w="2835"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Septic Patients (S)</w:t>
            </w:r>
          </w:p>
        </w:tc>
        <w:tc>
          <w:tcPr>
            <w:tcW w:w="1191"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48</w:t>
            </w:r>
          </w:p>
        </w:tc>
        <w:tc>
          <w:tcPr>
            <w:tcW w:w="2891"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T0, T1, T2, T3, T4, T5, T6</w:t>
            </w:r>
          </w:p>
        </w:tc>
        <w:tc>
          <w:tcPr>
            <w:tcW w:w="1417"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256</w:t>
            </w:r>
          </w:p>
        </w:tc>
      </w:tr>
      <w:tr w:rsidR="0080215D" w:rsidRPr="0030675F" w:rsidTr="0067644C">
        <w:trPr>
          <w:trHeight w:val="340"/>
        </w:trPr>
        <w:tc>
          <w:tcPr>
            <w:tcW w:w="2835"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Postoperative Controls (P)</w:t>
            </w:r>
          </w:p>
        </w:tc>
        <w:tc>
          <w:tcPr>
            <w:tcW w:w="1191"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17</w:t>
            </w:r>
          </w:p>
        </w:tc>
        <w:tc>
          <w:tcPr>
            <w:tcW w:w="2891"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T0, T1, T2</w:t>
            </w:r>
          </w:p>
        </w:tc>
        <w:tc>
          <w:tcPr>
            <w:tcW w:w="1417"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51</w:t>
            </w:r>
          </w:p>
        </w:tc>
      </w:tr>
    </w:tbl>
    <w:p w:rsidR="0080215D" w:rsidRPr="0030675F" w:rsidRDefault="0080215D" w:rsidP="0080215D">
      <w:pPr>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 xml:space="preserve">Group S: </w:t>
      </w:r>
    </w:p>
    <w:p w:rsidR="0080215D" w:rsidRPr="0030675F" w:rsidRDefault="0080215D" w:rsidP="0080215D">
      <w:pPr>
        <w:spacing w:after="0" w:line="240" w:lineRule="auto"/>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 xml:space="preserve">Originally </w:t>
      </w:r>
      <w:r w:rsidRPr="0030675F">
        <w:rPr>
          <w:rFonts w:ascii="Arial" w:eastAsia="Calibri" w:hAnsi="Arial" w:cs="Arial"/>
          <w:b/>
          <w:sz w:val="22"/>
          <w:lang w:val="en-US"/>
        </w:rPr>
        <w:t>50</w:t>
      </w:r>
      <w:r w:rsidRPr="0030675F">
        <w:rPr>
          <w:rFonts w:ascii="Arial" w:eastAsia="Calibri" w:hAnsi="Arial" w:cs="Arial"/>
          <w:sz w:val="22"/>
          <w:lang w:val="en-US"/>
        </w:rPr>
        <w:t xml:space="preserve"> septic patients were included in a previously published, prospective observational clinical study of our workgroup (see Methods). Two of them had to be excluded retrospectively from this secondary analysis due to technical reasons. Therefore, 48 patients with up to 7 timepoints were part of this secondary study = 256 blood samples for blood culture, for 239 plasma samples NGS after QC (see </w:t>
      </w:r>
      <w:r w:rsidRPr="00143ED5">
        <w:rPr>
          <w:rFonts w:ascii="Arial" w:eastAsia="Calibri" w:hAnsi="Arial" w:cs="Arial"/>
          <w:sz w:val="22"/>
          <w:lang w:val="en-US"/>
        </w:rPr>
        <w:t>Figure</w:t>
      </w:r>
      <w:r w:rsidRPr="0030675F">
        <w:rPr>
          <w:rFonts w:ascii="Arial" w:eastAsia="Calibri" w:hAnsi="Arial" w:cs="Arial"/>
          <w:b/>
          <w:sz w:val="22"/>
          <w:lang w:val="en-US"/>
        </w:rPr>
        <w:t xml:space="preserve"> </w:t>
      </w:r>
      <w:r w:rsidRPr="0030675F">
        <w:rPr>
          <w:rFonts w:ascii="Arial" w:eastAsia="Calibri" w:hAnsi="Arial" w:cs="Arial"/>
          <w:sz w:val="22"/>
          <w:lang w:val="en-US"/>
        </w:rPr>
        <w:t>below).</w:t>
      </w:r>
    </w:p>
    <w:p w:rsidR="0080215D" w:rsidRPr="0030675F" w:rsidRDefault="0080215D" w:rsidP="0080215D">
      <w:pPr>
        <w:spacing w:after="0" w:line="240" w:lineRule="auto"/>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 xml:space="preserve">Group P: </w:t>
      </w:r>
    </w:p>
    <w:p w:rsidR="0080215D" w:rsidRPr="0030675F" w:rsidRDefault="0080215D" w:rsidP="0080215D">
      <w:pPr>
        <w:spacing w:after="0" w:line="240" w:lineRule="auto"/>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 xml:space="preserve">Originally, </w:t>
      </w:r>
      <w:r w:rsidRPr="0030675F">
        <w:rPr>
          <w:rFonts w:ascii="Arial" w:eastAsia="Calibri" w:hAnsi="Arial" w:cs="Arial"/>
          <w:b/>
          <w:sz w:val="22"/>
          <w:lang w:val="en-US"/>
        </w:rPr>
        <w:t>20</w:t>
      </w:r>
      <w:r w:rsidRPr="0030675F">
        <w:rPr>
          <w:rFonts w:ascii="Arial" w:eastAsia="Calibri" w:hAnsi="Arial" w:cs="Arial"/>
          <w:sz w:val="22"/>
          <w:lang w:val="en-US"/>
        </w:rPr>
        <w:t xml:space="preserve"> patients scheduled for elective surgery were included in the study, 3 were retrospectively excluded so that 17 patients with elective major abdominal surgery with up to 3 time points remained in the study</w:t>
      </w:r>
      <w:r w:rsidR="00143ED5">
        <w:rPr>
          <w:rFonts w:ascii="Arial" w:eastAsia="Calibri" w:hAnsi="Arial" w:cs="Arial"/>
          <w:sz w:val="22"/>
          <w:lang w:val="en-US"/>
        </w:rPr>
        <w:t xml:space="preserve"> </w:t>
      </w:r>
      <w:r w:rsidRPr="0030675F">
        <w:rPr>
          <w:rFonts w:ascii="Arial" w:eastAsia="Calibri" w:hAnsi="Arial" w:cs="Arial"/>
          <w:sz w:val="22"/>
          <w:lang w:val="en-US"/>
        </w:rPr>
        <w:t>(</w:t>
      </w:r>
      <w:r w:rsidR="0091386D" w:rsidRPr="0030675F">
        <w:rPr>
          <w:rFonts w:ascii="Arial" w:eastAsia="Calibri" w:hAnsi="Arial" w:cs="Arial"/>
          <w:sz w:val="22"/>
          <w:lang w:val="en-US"/>
        </w:rPr>
        <w:t xml:space="preserve">see </w:t>
      </w:r>
      <w:r w:rsidR="0091386D" w:rsidRPr="00143ED5">
        <w:rPr>
          <w:rFonts w:ascii="Arial" w:eastAsia="Calibri" w:hAnsi="Arial" w:cs="Arial"/>
          <w:sz w:val="22"/>
          <w:lang w:val="en-US"/>
        </w:rPr>
        <w:t>Figure</w:t>
      </w:r>
      <w:r w:rsidR="0091386D" w:rsidRPr="0030675F">
        <w:rPr>
          <w:rFonts w:ascii="Arial" w:eastAsia="Calibri" w:hAnsi="Arial" w:cs="Arial"/>
          <w:b/>
          <w:sz w:val="22"/>
          <w:lang w:val="en-US"/>
        </w:rPr>
        <w:t xml:space="preserve"> </w:t>
      </w:r>
      <w:r w:rsidR="0091386D" w:rsidRPr="0030675F">
        <w:rPr>
          <w:rFonts w:ascii="Arial" w:eastAsia="Calibri" w:hAnsi="Arial" w:cs="Arial"/>
          <w:sz w:val="22"/>
          <w:lang w:val="en-US"/>
        </w:rPr>
        <w:t>below</w:t>
      </w:r>
      <w:r w:rsidRPr="0030675F">
        <w:rPr>
          <w:rFonts w:ascii="Arial" w:eastAsia="Calibri" w:hAnsi="Arial" w:cs="Arial"/>
          <w:sz w:val="22"/>
          <w:lang w:val="en-US"/>
        </w:rPr>
        <w:t>) = 51 samples, for NGS after QC 34 samples (</w:t>
      </w:r>
      <w:r w:rsidR="0091386D" w:rsidRPr="0030675F">
        <w:rPr>
          <w:rFonts w:ascii="Arial" w:eastAsia="Calibri" w:hAnsi="Arial" w:cs="Arial"/>
          <w:sz w:val="22"/>
          <w:lang w:val="en-US"/>
        </w:rPr>
        <w:t xml:space="preserve">see </w:t>
      </w:r>
      <w:r w:rsidR="0091386D" w:rsidRPr="00143ED5">
        <w:rPr>
          <w:rFonts w:ascii="Arial" w:eastAsia="Calibri" w:hAnsi="Arial" w:cs="Arial"/>
          <w:sz w:val="22"/>
          <w:lang w:val="en-US"/>
        </w:rPr>
        <w:t>Figure</w:t>
      </w:r>
      <w:r w:rsidR="0091386D" w:rsidRPr="0030675F">
        <w:rPr>
          <w:rFonts w:ascii="Arial" w:eastAsia="Calibri" w:hAnsi="Arial" w:cs="Arial"/>
          <w:b/>
          <w:sz w:val="22"/>
          <w:lang w:val="en-US"/>
        </w:rPr>
        <w:t xml:space="preserve"> </w:t>
      </w:r>
      <w:r w:rsidR="0091386D" w:rsidRPr="0030675F">
        <w:rPr>
          <w:rFonts w:ascii="Arial" w:eastAsia="Calibri" w:hAnsi="Arial" w:cs="Arial"/>
          <w:sz w:val="22"/>
          <w:lang w:val="en-US"/>
        </w:rPr>
        <w:t>below</w:t>
      </w:r>
      <w:r w:rsidRPr="0030675F">
        <w:rPr>
          <w:rFonts w:ascii="Arial" w:eastAsia="Calibri" w:hAnsi="Arial" w:cs="Arial"/>
          <w:sz w:val="22"/>
          <w:lang w:val="en-US"/>
        </w:rPr>
        <w:t>).</w:t>
      </w:r>
    </w:p>
    <w:p w:rsidR="0080215D" w:rsidRPr="0030675F" w:rsidRDefault="0080215D" w:rsidP="0080215D">
      <w:pPr>
        <w:spacing w:after="0" w:line="240" w:lineRule="auto"/>
        <w:jc w:val="both"/>
        <w:rPr>
          <w:rFonts w:ascii="Arial" w:eastAsia="Calibri" w:hAnsi="Arial" w:cs="Arial"/>
          <w:sz w:val="22"/>
          <w:lang w:val="en-US"/>
        </w:rPr>
      </w:pPr>
    </w:p>
    <w:p w:rsidR="0080215D" w:rsidRPr="0030675F" w:rsidRDefault="0080215D" w:rsidP="0080215D">
      <w:pPr>
        <w:numPr>
          <w:ilvl w:val="0"/>
          <w:numId w:val="1"/>
        </w:numPr>
        <w:spacing w:after="0" w:line="240" w:lineRule="auto"/>
        <w:ind w:hanging="284"/>
        <w:contextualSpacing/>
        <w:jc w:val="both"/>
        <w:rPr>
          <w:rFonts w:ascii="Arial" w:eastAsia="Calibri" w:hAnsi="Arial" w:cs="Arial"/>
          <w:b/>
          <w:sz w:val="22"/>
          <w:lang w:val="en-US"/>
        </w:rPr>
      </w:pPr>
      <w:r w:rsidRPr="0030675F">
        <w:rPr>
          <w:rFonts w:ascii="Arial" w:eastAsia="Calibri" w:hAnsi="Arial" w:cs="Arial"/>
          <w:b/>
          <w:sz w:val="22"/>
          <w:lang w:val="en-US"/>
        </w:rPr>
        <w:t xml:space="preserve">Samples before and after QC for NGS </w:t>
      </w:r>
    </w:p>
    <w:p w:rsidR="0080215D" w:rsidRDefault="0080215D" w:rsidP="0080215D">
      <w:pPr>
        <w:jc w:val="both"/>
        <w:rPr>
          <w:rFonts w:ascii="Arial" w:eastAsia="Calibri" w:hAnsi="Arial" w:cs="Arial"/>
          <w:sz w:val="22"/>
          <w:lang w:val="en-US"/>
        </w:rPr>
      </w:pPr>
      <w:r w:rsidRPr="0030675F">
        <w:rPr>
          <w:rFonts w:ascii="Arial" w:eastAsia="Calibri" w:hAnsi="Arial" w:cs="Arial"/>
          <w:noProof/>
          <w:lang w:eastAsia="de-DE"/>
        </w:rPr>
        <w:drawing>
          <wp:inline distT="0" distB="0" distL="0" distR="0" wp14:anchorId="48AE9DEB" wp14:editId="6DED182F">
            <wp:extent cx="3369961" cy="3923820"/>
            <wp:effectExtent l="0" t="0" r="190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63" cy="3940822"/>
                    </a:xfrm>
                    <a:prstGeom prst="rect">
                      <a:avLst/>
                    </a:prstGeom>
                    <a:noFill/>
                    <a:ln>
                      <a:noFill/>
                    </a:ln>
                  </pic:spPr>
                </pic:pic>
              </a:graphicData>
            </a:graphic>
          </wp:inline>
        </w:drawing>
      </w:r>
    </w:p>
    <w:p w:rsidR="00143ED5" w:rsidRPr="00B2296C" w:rsidRDefault="0080215D" w:rsidP="00143ED5">
      <w:pPr>
        <w:spacing w:after="0" w:line="240" w:lineRule="auto"/>
        <w:rPr>
          <w:rFonts w:ascii="Times New Roman" w:hAnsi="Times New Roman" w:cs="Times New Roman"/>
          <w:lang w:val="en-US"/>
        </w:rPr>
      </w:pPr>
      <w:r w:rsidRPr="009F6469">
        <w:rPr>
          <w:rFonts w:ascii="Times New Roman" w:eastAsia="Calibri" w:hAnsi="Times New Roman" w:cs="Times New Roman"/>
          <w:szCs w:val="20"/>
          <w:lang w:val="en-US"/>
        </w:rPr>
        <w:lastRenderedPageBreak/>
        <w:t>Initial and final samples of the two groups of septic patients (S) and postoperative patients (P).</w:t>
      </w:r>
      <w:r w:rsidR="00143ED5">
        <w:rPr>
          <w:rFonts w:ascii="Times New Roman" w:eastAsia="Calibri" w:hAnsi="Times New Roman" w:cs="Times New Roman"/>
          <w:szCs w:val="20"/>
          <w:lang w:val="en-US"/>
        </w:rPr>
        <w:t xml:space="preserve"> </w:t>
      </w:r>
      <w:r w:rsidR="00143ED5" w:rsidRPr="00B2296C">
        <w:rPr>
          <w:rFonts w:ascii="Times New Roman" w:hAnsi="Times New Roman" w:cs="Times New Roman"/>
          <w:lang w:val="en-US"/>
        </w:rPr>
        <w:t xml:space="preserve">The exclusion of samples according to different quality control steps in the work flow is illustrated in this chart. The number of samples still available of the total samples of this group after the respective quality control step are shown in boxes. </w:t>
      </w:r>
    </w:p>
    <w:p w:rsidR="00143ED5" w:rsidRDefault="00143ED5" w:rsidP="0080215D">
      <w:pPr>
        <w:spacing w:after="0" w:line="240" w:lineRule="auto"/>
        <w:rPr>
          <w:rFonts w:ascii="Times New Roman" w:eastAsia="Calibri" w:hAnsi="Times New Roman" w:cs="Times New Roman"/>
          <w:szCs w:val="20"/>
          <w:lang w:val="en-US"/>
        </w:rPr>
      </w:pPr>
    </w:p>
    <w:p w:rsidR="0080215D" w:rsidRPr="0030675F" w:rsidRDefault="0080215D" w:rsidP="0080215D">
      <w:pPr>
        <w:jc w:val="both"/>
        <w:rPr>
          <w:rFonts w:ascii="Arial" w:eastAsia="Calibri" w:hAnsi="Arial" w:cs="Arial"/>
          <w:sz w:val="22"/>
          <w:lang w:val="en-US"/>
        </w:rPr>
      </w:pPr>
    </w:p>
    <w:p w:rsidR="0080215D" w:rsidRPr="0030675F" w:rsidRDefault="0080215D" w:rsidP="0080215D">
      <w:pPr>
        <w:numPr>
          <w:ilvl w:val="0"/>
          <w:numId w:val="1"/>
        </w:numPr>
        <w:spacing w:after="0" w:line="240" w:lineRule="auto"/>
        <w:contextualSpacing/>
        <w:jc w:val="both"/>
        <w:rPr>
          <w:rFonts w:ascii="Arial" w:eastAsia="Calibri" w:hAnsi="Arial" w:cs="Arial"/>
          <w:b/>
          <w:sz w:val="22"/>
          <w:lang w:val="en-US"/>
        </w:rPr>
      </w:pPr>
      <w:r w:rsidRPr="0030675F">
        <w:rPr>
          <w:rFonts w:ascii="Arial" w:eastAsia="Calibri" w:hAnsi="Arial" w:cs="Arial"/>
          <w:b/>
          <w:sz w:val="22"/>
          <w:lang w:val="en-US"/>
        </w:rPr>
        <w:t>Contingency tables and evaluation statistics</w:t>
      </w:r>
    </w:p>
    <w:p w:rsidR="0080215D" w:rsidRPr="0030675F" w:rsidRDefault="0080215D" w:rsidP="0080215D">
      <w:pPr>
        <w:jc w:val="both"/>
        <w:rPr>
          <w:rFonts w:ascii="Arial" w:eastAsia="Calibri" w:hAnsi="Arial" w:cs="Arial"/>
          <w:sz w:val="22"/>
          <w:lang w:val="en-US"/>
        </w:rPr>
      </w:pPr>
      <w:r w:rsidRPr="0030675F">
        <w:rPr>
          <w:rFonts w:ascii="Arial" w:eastAsia="Calibri" w:hAnsi="Arial" w:cs="Arial"/>
          <w:sz w:val="22"/>
          <w:lang w:val="en-US"/>
        </w:rPr>
        <w:t>Contingency table of BC and NGS positive results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80215D" w:rsidRPr="0030675F" w:rsidTr="0067644C">
        <w:trPr>
          <w:trHeight w:val="340"/>
        </w:trPr>
        <w:tc>
          <w:tcPr>
            <w:tcW w:w="1200" w:type="dxa"/>
            <w:tcBorders>
              <w:top w:val="single" w:sz="4" w:space="0" w:color="auto"/>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val="en-US" w:eastAsia="de-DE"/>
              </w:rPr>
            </w:pPr>
            <w:r w:rsidRPr="0030675F">
              <w:rPr>
                <w:rFonts w:ascii="Arial" w:eastAsia="Times New Roman" w:hAnsi="Arial" w:cs="Arial"/>
                <w:b/>
                <w:bCs/>
                <w:color w:val="000000"/>
                <w:sz w:val="22"/>
                <w:szCs w:val="24"/>
                <w:lang w:val="en-US" w:eastAsia="de-DE"/>
              </w:rPr>
              <w:t> </w:t>
            </w:r>
          </w:p>
        </w:tc>
        <w:tc>
          <w:tcPr>
            <w:tcW w:w="1200" w:type="dxa"/>
            <w:tcBorders>
              <w:top w:val="single" w:sz="4" w:space="0" w:color="auto"/>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BC +</w:t>
            </w:r>
          </w:p>
        </w:tc>
        <w:tc>
          <w:tcPr>
            <w:tcW w:w="1200" w:type="dxa"/>
            <w:tcBorders>
              <w:top w:val="single" w:sz="4" w:space="0" w:color="auto"/>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BC -</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Σ</w:t>
            </w:r>
          </w:p>
        </w:tc>
      </w:tr>
      <w:tr w:rsidR="0080215D" w:rsidRPr="0030675F" w:rsidTr="0067644C">
        <w:trPr>
          <w:trHeight w:val="340"/>
        </w:trPr>
        <w:tc>
          <w:tcPr>
            <w:tcW w:w="1200" w:type="dxa"/>
            <w:tcBorders>
              <w:top w:val="nil"/>
              <w:left w:val="single" w:sz="4" w:space="0" w:color="auto"/>
              <w:bottom w:val="nil"/>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SIQ +</w:t>
            </w:r>
          </w:p>
        </w:tc>
        <w:tc>
          <w:tcPr>
            <w:tcW w:w="1200" w:type="dxa"/>
            <w:tcBorders>
              <w:top w:val="nil"/>
              <w:left w:val="nil"/>
              <w:bottom w:val="nil"/>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17</w:t>
            </w:r>
          </w:p>
        </w:tc>
        <w:tc>
          <w:tcPr>
            <w:tcW w:w="1200" w:type="dxa"/>
            <w:tcBorders>
              <w:top w:val="nil"/>
              <w:left w:val="nil"/>
              <w:bottom w:val="nil"/>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152</w:t>
            </w:r>
          </w:p>
        </w:tc>
        <w:tc>
          <w:tcPr>
            <w:tcW w:w="1200" w:type="dxa"/>
            <w:tcBorders>
              <w:top w:val="nil"/>
              <w:left w:val="nil"/>
              <w:bottom w:val="nil"/>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169</w:t>
            </w:r>
          </w:p>
        </w:tc>
      </w:tr>
      <w:tr w:rsidR="0080215D" w:rsidRPr="0030675F" w:rsidTr="0067644C">
        <w:trPr>
          <w:trHeight w:val="340"/>
        </w:trPr>
        <w:tc>
          <w:tcPr>
            <w:tcW w:w="1200" w:type="dxa"/>
            <w:tcBorders>
              <w:top w:val="nil"/>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SIQ -</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10</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60</w:t>
            </w:r>
          </w:p>
        </w:tc>
        <w:tc>
          <w:tcPr>
            <w:tcW w:w="1200" w:type="dxa"/>
            <w:tcBorders>
              <w:top w:val="nil"/>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70</w:t>
            </w:r>
          </w:p>
        </w:tc>
      </w:tr>
      <w:tr w:rsidR="0080215D" w:rsidRPr="0030675F" w:rsidTr="0067644C">
        <w:trPr>
          <w:trHeight w:val="340"/>
        </w:trPr>
        <w:tc>
          <w:tcPr>
            <w:tcW w:w="1200" w:type="dxa"/>
            <w:tcBorders>
              <w:top w:val="nil"/>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SIQ n.d.</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15</w:t>
            </w:r>
          </w:p>
        </w:tc>
        <w:tc>
          <w:tcPr>
            <w:tcW w:w="1200" w:type="dxa"/>
            <w:tcBorders>
              <w:top w:val="nil"/>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17</w:t>
            </w:r>
          </w:p>
        </w:tc>
      </w:tr>
      <w:tr w:rsidR="0080215D" w:rsidRPr="0030675F" w:rsidTr="0067644C">
        <w:trPr>
          <w:trHeight w:val="340"/>
        </w:trPr>
        <w:tc>
          <w:tcPr>
            <w:tcW w:w="1200" w:type="dxa"/>
            <w:tcBorders>
              <w:top w:val="nil"/>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Σ</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27 / 29</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212 / 226</w:t>
            </w:r>
          </w:p>
        </w:tc>
        <w:tc>
          <w:tcPr>
            <w:tcW w:w="1200" w:type="dxa"/>
            <w:tcBorders>
              <w:top w:val="nil"/>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239 / 256</w:t>
            </w:r>
          </w:p>
        </w:tc>
      </w:tr>
    </w:tbl>
    <w:p w:rsidR="0080215D" w:rsidRPr="0030675F" w:rsidRDefault="0080215D" w:rsidP="0080215D">
      <w:pPr>
        <w:spacing w:after="0" w:line="240" w:lineRule="auto"/>
        <w:rPr>
          <w:rFonts w:ascii="Frutiger 45 Light" w:eastAsia="Times New Roman" w:hAnsi="Frutiger 45 Light" w:cs="Times New Roman"/>
          <w:vanish/>
          <w:sz w:val="22"/>
          <w:szCs w:val="20"/>
          <w:lang w:eastAsia="de-DE"/>
        </w:rPr>
      </w:pPr>
    </w:p>
    <w:tbl>
      <w:tblPr>
        <w:tblpPr w:leftFromText="141" w:rightFromText="141" w:vertAnchor="text" w:horzAnchor="page" w:tblpX="7089" w:tblpY="-172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1"/>
        <w:gridCol w:w="1276"/>
      </w:tblGrid>
      <w:tr w:rsidR="0080215D" w:rsidRPr="0030675F" w:rsidTr="0067644C">
        <w:trPr>
          <w:trHeight w:val="340"/>
        </w:trPr>
        <w:tc>
          <w:tcPr>
            <w:tcW w:w="1271"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Statistic</w:t>
            </w:r>
          </w:p>
        </w:tc>
        <w:tc>
          <w:tcPr>
            <w:tcW w:w="1276"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Value [%]</w:t>
            </w:r>
          </w:p>
        </w:tc>
      </w:tr>
      <w:tr w:rsidR="0080215D" w:rsidRPr="0030675F" w:rsidTr="0067644C">
        <w:trPr>
          <w:trHeight w:val="340"/>
        </w:trPr>
        <w:tc>
          <w:tcPr>
            <w:tcW w:w="1271"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Sensitivity</w:t>
            </w:r>
          </w:p>
        </w:tc>
        <w:tc>
          <w:tcPr>
            <w:tcW w:w="1276"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62.96</w:t>
            </w:r>
          </w:p>
        </w:tc>
      </w:tr>
      <w:tr w:rsidR="0080215D" w:rsidRPr="0030675F" w:rsidTr="0067644C">
        <w:trPr>
          <w:trHeight w:val="340"/>
        </w:trPr>
        <w:tc>
          <w:tcPr>
            <w:tcW w:w="1271"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Specificity</w:t>
            </w:r>
          </w:p>
        </w:tc>
        <w:tc>
          <w:tcPr>
            <w:tcW w:w="1276"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27.83</w:t>
            </w:r>
          </w:p>
        </w:tc>
      </w:tr>
      <w:tr w:rsidR="0080215D" w:rsidRPr="0030675F" w:rsidTr="0067644C">
        <w:trPr>
          <w:trHeight w:val="340"/>
        </w:trPr>
        <w:tc>
          <w:tcPr>
            <w:tcW w:w="1271"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PPV</w:t>
            </w:r>
          </w:p>
        </w:tc>
        <w:tc>
          <w:tcPr>
            <w:tcW w:w="1276"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10.00</w:t>
            </w:r>
          </w:p>
        </w:tc>
      </w:tr>
      <w:tr w:rsidR="0080215D" w:rsidRPr="0030675F" w:rsidTr="0067644C">
        <w:trPr>
          <w:trHeight w:val="340"/>
        </w:trPr>
        <w:tc>
          <w:tcPr>
            <w:tcW w:w="1271"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NPV</w:t>
            </w:r>
          </w:p>
        </w:tc>
        <w:tc>
          <w:tcPr>
            <w:tcW w:w="1276"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85.51</w:t>
            </w:r>
          </w:p>
        </w:tc>
      </w:tr>
    </w:tbl>
    <w:p w:rsidR="0080215D" w:rsidRPr="0030675F" w:rsidRDefault="0080215D" w:rsidP="0080215D">
      <w:pPr>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BC positivity: 29 out of 256 = 11%</w:t>
      </w:r>
    </w:p>
    <w:p w:rsidR="0080215D" w:rsidRPr="0030675F" w:rsidRDefault="0080215D" w:rsidP="0080215D">
      <w:pPr>
        <w:spacing w:after="0" w:line="240" w:lineRule="auto"/>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 xml:space="preserve">NGS positivity 169 out of 239 = 71% </w:t>
      </w:r>
    </w:p>
    <w:p w:rsidR="0080215D" w:rsidRPr="0030675F" w:rsidRDefault="0080215D" w:rsidP="0080215D">
      <w:pPr>
        <w:spacing w:after="0" w:line="240" w:lineRule="auto"/>
        <w:jc w:val="both"/>
        <w:rPr>
          <w:rFonts w:ascii="Arial" w:eastAsia="Calibri" w:hAnsi="Arial" w:cs="Arial"/>
          <w:sz w:val="22"/>
          <w:lang w:val="en-US"/>
        </w:rPr>
      </w:pPr>
    </w:p>
    <w:p w:rsidR="0080215D" w:rsidRPr="0030675F" w:rsidRDefault="0080215D" w:rsidP="0080215D">
      <w:pPr>
        <w:spacing w:after="0" w:line="240" w:lineRule="auto"/>
        <w:jc w:val="both"/>
        <w:rPr>
          <w:rFonts w:ascii="Arial" w:eastAsia="Calibri" w:hAnsi="Arial" w:cs="Arial"/>
          <w:sz w:val="22"/>
          <w:lang w:val="en-US"/>
        </w:rPr>
      </w:pPr>
      <w:r w:rsidRPr="0030675F">
        <w:rPr>
          <w:rFonts w:ascii="Arial" w:eastAsia="Calibri" w:hAnsi="Arial" w:cs="Arial"/>
          <w:sz w:val="22"/>
          <w:lang w:val="en-US"/>
        </w:rPr>
        <w:t>Out of 29 total positive BCs, 2 were excluded from further comparisons because the corresponding NGS sample failed QC, leading to 27 positive BC samples with a corresponding NGS sample. 17 of these were likewise positive by BC and NGS (7/17 CoNS or Propionibacteria by BC). 10 were only positive by BC and negative by NGS (6/10 CoNS or Propionibacteria by BC).</w:t>
      </w:r>
    </w:p>
    <w:p w:rsidR="0080215D" w:rsidRPr="0030675F" w:rsidRDefault="0080215D" w:rsidP="0080215D">
      <w:pPr>
        <w:jc w:val="both"/>
        <w:rPr>
          <w:rFonts w:ascii="Arial" w:eastAsia="Calibri" w:hAnsi="Arial" w:cs="Arial"/>
          <w:sz w:val="22"/>
          <w:lang w:val="en-US"/>
        </w:rPr>
      </w:pPr>
    </w:p>
    <w:p w:rsidR="0080215D" w:rsidRPr="0030675F" w:rsidRDefault="0080215D" w:rsidP="0080215D">
      <w:pPr>
        <w:jc w:val="both"/>
        <w:rPr>
          <w:rFonts w:ascii="Arial" w:eastAsia="Calibri" w:hAnsi="Arial" w:cs="Arial"/>
          <w:sz w:val="22"/>
          <w:lang w:val="en-US"/>
        </w:rPr>
      </w:pPr>
      <w:r w:rsidRPr="0030675F">
        <w:rPr>
          <w:rFonts w:ascii="Arial" w:eastAsia="Calibri" w:hAnsi="Arial" w:cs="Arial"/>
          <w:sz w:val="22"/>
          <w:lang w:val="en-US"/>
        </w:rPr>
        <w:t>Contingency table of BC and NGS positive results without BC contaminants*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80215D" w:rsidRPr="0030675F" w:rsidTr="0067644C">
        <w:trPr>
          <w:trHeight w:val="340"/>
        </w:trPr>
        <w:tc>
          <w:tcPr>
            <w:tcW w:w="1200" w:type="dxa"/>
            <w:tcBorders>
              <w:top w:val="single" w:sz="4" w:space="0" w:color="auto"/>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val="en-US" w:eastAsia="de-DE"/>
              </w:rPr>
            </w:pPr>
            <w:r w:rsidRPr="0030675F">
              <w:rPr>
                <w:rFonts w:ascii="Arial" w:eastAsia="Times New Roman" w:hAnsi="Arial" w:cs="Arial"/>
                <w:b/>
                <w:bCs/>
                <w:color w:val="000000"/>
                <w:sz w:val="22"/>
                <w:szCs w:val="24"/>
                <w:lang w:val="en-US" w:eastAsia="de-DE"/>
              </w:rPr>
              <w:t> </w:t>
            </w:r>
          </w:p>
        </w:tc>
        <w:tc>
          <w:tcPr>
            <w:tcW w:w="1200" w:type="dxa"/>
            <w:tcBorders>
              <w:top w:val="single" w:sz="4" w:space="0" w:color="auto"/>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BC +</w:t>
            </w:r>
          </w:p>
        </w:tc>
        <w:tc>
          <w:tcPr>
            <w:tcW w:w="1200" w:type="dxa"/>
            <w:tcBorders>
              <w:top w:val="single" w:sz="4" w:space="0" w:color="auto"/>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BC -</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Σ</w:t>
            </w:r>
          </w:p>
        </w:tc>
      </w:tr>
      <w:tr w:rsidR="0080215D" w:rsidRPr="0030675F" w:rsidTr="0067644C">
        <w:trPr>
          <w:trHeight w:val="340"/>
        </w:trPr>
        <w:tc>
          <w:tcPr>
            <w:tcW w:w="1200" w:type="dxa"/>
            <w:tcBorders>
              <w:top w:val="nil"/>
              <w:left w:val="single" w:sz="4" w:space="0" w:color="auto"/>
              <w:bottom w:val="nil"/>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SIQ +</w:t>
            </w:r>
          </w:p>
        </w:tc>
        <w:tc>
          <w:tcPr>
            <w:tcW w:w="1200" w:type="dxa"/>
            <w:tcBorders>
              <w:top w:val="nil"/>
              <w:left w:val="nil"/>
              <w:bottom w:val="nil"/>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10</w:t>
            </w:r>
          </w:p>
        </w:tc>
        <w:tc>
          <w:tcPr>
            <w:tcW w:w="1200" w:type="dxa"/>
            <w:tcBorders>
              <w:top w:val="nil"/>
              <w:left w:val="nil"/>
              <w:bottom w:val="nil"/>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159</w:t>
            </w:r>
          </w:p>
        </w:tc>
        <w:tc>
          <w:tcPr>
            <w:tcW w:w="1200" w:type="dxa"/>
            <w:tcBorders>
              <w:top w:val="nil"/>
              <w:left w:val="nil"/>
              <w:bottom w:val="nil"/>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169</w:t>
            </w:r>
          </w:p>
        </w:tc>
      </w:tr>
      <w:tr w:rsidR="0080215D" w:rsidRPr="0030675F" w:rsidTr="0067644C">
        <w:trPr>
          <w:trHeight w:val="340"/>
        </w:trPr>
        <w:tc>
          <w:tcPr>
            <w:tcW w:w="1200" w:type="dxa"/>
            <w:tcBorders>
              <w:top w:val="nil"/>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SIQ -</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4</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66</w:t>
            </w:r>
          </w:p>
        </w:tc>
        <w:tc>
          <w:tcPr>
            <w:tcW w:w="1200" w:type="dxa"/>
            <w:tcBorders>
              <w:top w:val="nil"/>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70</w:t>
            </w:r>
          </w:p>
        </w:tc>
      </w:tr>
      <w:tr w:rsidR="0080215D" w:rsidRPr="0030675F" w:rsidTr="0067644C">
        <w:trPr>
          <w:trHeight w:val="340"/>
        </w:trPr>
        <w:tc>
          <w:tcPr>
            <w:tcW w:w="1200" w:type="dxa"/>
            <w:tcBorders>
              <w:top w:val="nil"/>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SIQ n.d.</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15</w:t>
            </w:r>
          </w:p>
        </w:tc>
        <w:tc>
          <w:tcPr>
            <w:tcW w:w="1200" w:type="dxa"/>
            <w:tcBorders>
              <w:top w:val="nil"/>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17</w:t>
            </w:r>
          </w:p>
        </w:tc>
      </w:tr>
      <w:tr w:rsidR="0080215D" w:rsidRPr="0030675F" w:rsidTr="0067644C">
        <w:trPr>
          <w:trHeight w:val="340"/>
        </w:trPr>
        <w:tc>
          <w:tcPr>
            <w:tcW w:w="1200" w:type="dxa"/>
            <w:tcBorders>
              <w:top w:val="nil"/>
              <w:left w:val="single" w:sz="4" w:space="0" w:color="auto"/>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b/>
                <w:bCs/>
                <w:color w:val="000000"/>
                <w:sz w:val="22"/>
                <w:szCs w:val="24"/>
                <w:lang w:eastAsia="de-DE"/>
              </w:rPr>
            </w:pPr>
            <w:r w:rsidRPr="0030675F">
              <w:rPr>
                <w:rFonts w:ascii="Arial" w:eastAsia="Times New Roman" w:hAnsi="Arial" w:cs="Arial"/>
                <w:b/>
                <w:bCs/>
                <w:color w:val="000000"/>
                <w:sz w:val="22"/>
                <w:szCs w:val="24"/>
                <w:lang w:eastAsia="de-DE"/>
              </w:rPr>
              <w:t>Σ</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14 / 29</w:t>
            </w:r>
          </w:p>
        </w:tc>
        <w:tc>
          <w:tcPr>
            <w:tcW w:w="1200" w:type="dxa"/>
            <w:tcBorders>
              <w:top w:val="nil"/>
              <w:left w:val="nil"/>
              <w:bottom w:val="single" w:sz="4" w:space="0" w:color="auto"/>
              <w:right w:val="nil"/>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225 / 240</w:t>
            </w:r>
          </w:p>
        </w:tc>
        <w:tc>
          <w:tcPr>
            <w:tcW w:w="1200" w:type="dxa"/>
            <w:tcBorders>
              <w:top w:val="nil"/>
              <w:left w:val="nil"/>
              <w:bottom w:val="single" w:sz="4" w:space="0" w:color="auto"/>
              <w:right w:val="single" w:sz="4" w:space="0" w:color="auto"/>
            </w:tcBorders>
            <w:shd w:val="clear" w:color="000000" w:fill="FFFFFF"/>
            <w:noWrap/>
            <w:vAlign w:val="center"/>
            <w:hideMark/>
          </w:tcPr>
          <w:p w:rsidR="0080215D" w:rsidRPr="0030675F" w:rsidRDefault="0080215D" w:rsidP="0067644C">
            <w:pPr>
              <w:spacing w:after="0" w:line="240" w:lineRule="auto"/>
              <w:jc w:val="both"/>
              <w:rPr>
                <w:rFonts w:ascii="Arial" w:eastAsia="Times New Roman" w:hAnsi="Arial" w:cs="Arial"/>
                <w:color w:val="000000"/>
                <w:sz w:val="22"/>
                <w:szCs w:val="24"/>
                <w:lang w:eastAsia="de-DE"/>
              </w:rPr>
            </w:pPr>
            <w:r w:rsidRPr="0030675F">
              <w:rPr>
                <w:rFonts w:ascii="Arial" w:eastAsia="Times New Roman" w:hAnsi="Arial" w:cs="Arial"/>
                <w:color w:val="000000"/>
                <w:sz w:val="22"/>
                <w:szCs w:val="24"/>
                <w:lang w:eastAsia="de-DE"/>
              </w:rPr>
              <w:t>239 / 256</w:t>
            </w:r>
          </w:p>
        </w:tc>
      </w:tr>
    </w:tbl>
    <w:p w:rsidR="0080215D" w:rsidRPr="0030675F" w:rsidRDefault="0080215D" w:rsidP="0080215D">
      <w:pPr>
        <w:spacing w:after="0" w:line="240" w:lineRule="auto"/>
        <w:rPr>
          <w:rFonts w:ascii="Frutiger 45 Light" w:eastAsia="Times New Roman" w:hAnsi="Frutiger 45 Light" w:cs="Times New Roman"/>
          <w:b/>
          <w:vanish/>
          <w:sz w:val="18"/>
          <w:szCs w:val="20"/>
          <w:lang w:eastAsia="de-DE"/>
        </w:rPr>
      </w:pPr>
    </w:p>
    <w:tbl>
      <w:tblPr>
        <w:tblpPr w:leftFromText="141" w:rightFromText="141" w:vertAnchor="text" w:horzAnchor="page" w:tblpX="7033" w:tblpY="-1707"/>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7"/>
        <w:gridCol w:w="1276"/>
      </w:tblGrid>
      <w:tr w:rsidR="0080215D" w:rsidRPr="0030675F" w:rsidTr="0067644C">
        <w:trPr>
          <w:trHeight w:val="340"/>
        </w:trPr>
        <w:tc>
          <w:tcPr>
            <w:tcW w:w="1317"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Statistic</w:t>
            </w:r>
          </w:p>
        </w:tc>
        <w:tc>
          <w:tcPr>
            <w:tcW w:w="1276" w:type="dxa"/>
            <w:tcBorders>
              <w:top w:val="single" w:sz="4" w:space="0" w:color="auto"/>
              <w:bottom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b/>
                <w:sz w:val="22"/>
                <w:lang w:val="en-US"/>
              </w:rPr>
            </w:pPr>
            <w:r w:rsidRPr="0030675F">
              <w:rPr>
                <w:rFonts w:ascii="Arial" w:eastAsia="Calibri" w:hAnsi="Arial" w:cs="Arial"/>
                <w:b/>
                <w:sz w:val="22"/>
                <w:lang w:val="en-US"/>
              </w:rPr>
              <w:t>Value [%]</w:t>
            </w:r>
          </w:p>
        </w:tc>
      </w:tr>
      <w:tr w:rsidR="0080215D" w:rsidRPr="0030675F" w:rsidTr="0067644C">
        <w:trPr>
          <w:trHeight w:val="340"/>
        </w:trPr>
        <w:tc>
          <w:tcPr>
            <w:tcW w:w="1317"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Sensitivity</w:t>
            </w:r>
          </w:p>
        </w:tc>
        <w:tc>
          <w:tcPr>
            <w:tcW w:w="1276" w:type="dxa"/>
            <w:tcBorders>
              <w:top w:val="single" w:sz="4" w:space="0" w:color="auto"/>
            </w:tcBorders>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71.43</w:t>
            </w:r>
          </w:p>
        </w:tc>
      </w:tr>
      <w:tr w:rsidR="0080215D" w:rsidRPr="0030675F" w:rsidTr="0067644C">
        <w:trPr>
          <w:trHeight w:val="340"/>
        </w:trPr>
        <w:tc>
          <w:tcPr>
            <w:tcW w:w="1317"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Specificity</w:t>
            </w:r>
          </w:p>
        </w:tc>
        <w:tc>
          <w:tcPr>
            <w:tcW w:w="1276"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28.89</w:t>
            </w:r>
          </w:p>
        </w:tc>
      </w:tr>
      <w:tr w:rsidR="0080215D" w:rsidRPr="0030675F" w:rsidTr="0067644C">
        <w:trPr>
          <w:trHeight w:val="340"/>
        </w:trPr>
        <w:tc>
          <w:tcPr>
            <w:tcW w:w="1317"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PPV</w:t>
            </w:r>
          </w:p>
        </w:tc>
        <w:tc>
          <w:tcPr>
            <w:tcW w:w="1276"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5.88</w:t>
            </w:r>
          </w:p>
        </w:tc>
      </w:tr>
      <w:tr w:rsidR="0080215D" w:rsidRPr="0030675F" w:rsidTr="0067644C">
        <w:trPr>
          <w:trHeight w:val="340"/>
        </w:trPr>
        <w:tc>
          <w:tcPr>
            <w:tcW w:w="1317"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NPV</w:t>
            </w:r>
          </w:p>
        </w:tc>
        <w:tc>
          <w:tcPr>
            <w:tcW w:w="1276" w:type="dxa"/>
            <w:shd w:val="clear" w:color="auto" w:fill="auto"/>
            <w:vAlign w:val="center"/>
          </w:tcPr>
          <w:p w:rsidR="0080215D" w:rsidRPr="0030675F" w:rsidRDefault="0080215D" w:rsidP="0067644C">
            <w:pPr>
              <w:spacing w:after="0" w:line="240" w:lineRule="auto"/>
              <w:jc w:val="both"/>
              <w:rPr>
                <w:rFonts w:ascii="Arial" w:eastAsia="Calibri" w:hAnsi="Arial" w:cs="Arial"/>
                <w:sz w:val="22"/>
                <w:lang w:val="en-US"/>
              </w:rPr>
            </w:pPr>
            <w:r w:rsidRPr="0030675F">
              <w:rPr>
                <w:rFonts w:ascii="Arial" w:eastAsia="Calibri" w:hAnsi="Arial" w:cs="Arial"/>
                <w:sz w:val="22"/>
                <w:lang w:val="en-US"/>
              </w:rPr>
              <w:t>94.20</w:t>
            </w:r>
          </w:p>
        </w:tc>
      </w:tr>
    </w:tbl>
    <w:p w:rsidR="0080215D" w:rsidRPr="0030675F" w:rsidRDefault="0080215D" w:rsidP="0080215D">
      <w:pPr>
        <w:jc w:val="both"/>
        <w:rPr>
          <w:rFonts w:ascii="Arial" w:eastAsia="Calibri" w:hAnsi="Arial" w:cs="Arial"/>
          <w:sz w:val="22"/>
          <w:lang w:val="en-US"/>
        </w:rPr>
      </w:pPr>
    </w:p>
    <w:p w:rsidR="0080215D" w:rsidRPr="0030675F" w:rsidRDefault="0080215D" w:rsidP="0080215D">
      <w:pPr>
        <w:jc w:val="both"/>
        <w:rPr>
          <w:rFonts w:ascii="Arial" w:eastAsia="Calibri" w:hAnsi="Arial" w:cs="Arial"/>
          <w:b/>
          <w:sz w:val="22"/>
          <w:lang w:val="en-US"/>
        </w:rPr>
      </w:pPr>
      <w:r w:rsidRPr="0030675F">
        <w:rPr>
          <w:rFonts w:ascii="Arial" w:eastAsia="Calibri" w:hAnsi="Arial" w:cs="Arial"/>
          <w:sz w:val="22"/>
          <w:lang w:val="en-US"/>
        </w:rPr>
        <w:t>* BC results for frequent contaminants as CoNS and Propionibacteria were counted as BC negative in this calculation.</w:t>
      </w:r>
    </w:p>
    <w:p w:rsidR="0091386D" w:rsidRDefault="0091386D">
      <w:pPr>
        <w:rPr>
          <w:rFonts w:ascii="Arial" w:hAnsi="Arial" w:cs="Arial"/>
          <w:lang w:val="en-US"/>
        </w:rPr>
      </w:pPr>
      <w:r>
        <w:rPr>
          <w:rFonts w:ascii="Arial" w:hAnsi="Arial" w:cs="Arial"/>
          <w:lang w:val="en-US"/>
        </w:rPr>
        <w:br w:type="page"/>
      </w:r>
    </w:p>
    <w:p w:rsidR="00BB37BB" w:rsidRPr="00B26037" w:rsidRDefault="00B2296C" w:rsidP="00BB37BB">
      <w:pPr>
        <w:spacing w:line="480" w:lineRule="auto"/>
        <w:rPr>
          <w:rFonts w:ascii="Arial" w:hAnsi="Arial" w:cs="Arial"/>
          <w:lang w:val="en-US"/>
        </w:rPr>
      </w:pPr>
      <w:r w:rsidRPr="00B2296C">
        <w:rPr>
          <w:rFonts w:ascii="Times New Roman" w:hAnsi="Times New Roman" w:cs="Times New Roman"/>
          <w:b/>
          <w:lang w:val="en-US"/>
        </w:rPr>
        <w:lastRenderedPageBreak/>
        <w:t>Figure S</w:t>
      </w:r>
      <w:r w:rsidR="00491F10">
        <w:rPr>
          <w:rFonts w:ascii="Times New Roman" w:hAnsi="Times New Roman" w:cs="Times New Roman"/>
          <w:b/>
          <w:lang w:val="en-US"/>
        </w:rPr>
        <w:t>3</w:t>
      </w:r>
      <w:r w:rsidR="00316A76">
        <w:rPr>
          <w:rFonts w:ascii="Times New Roman" w:hAnsi="Times New Roman" w:cs="Times New Roman"/>
          <w:b/>
          <w:lang w:val="en-US"/>
        </w:rPr>
        <w:t>.</w:t>
      </w:r>
      <w:r w:rsidRPr="00B2296C">
        <w:rPr>
          <w:rFonts w:ascii="Times New Roman" w:hAnsi="Times New Roman" w:cs="Times New Roman"/>
          <w:b/>
          <w:lang w:val="en-US"/>
        </w:rPr>
        <w:t xml:space="preserve"> Decision tree for species hit inclusion following SIQ score calculation</w:t>
      </w:r>
      <w:r>
        <w:rPr>
          <w:rFonts w:ascii="Times New Roman" w:hAnsi="Times New Roman" w:cs="Times New Roman"/>
          <w:b/>
          <w:lang w:val="en-US"/>
        </w:rPr>
        <w:t>.</w:t>
      </w:r>
      <w:r w:rsidR="00B26037">
        <w:rPr>
          <w:rFonts w:ascii="Arial" w:hAnsi="Arial" w:cs="Arial"/>
          <w:noProof/>
          <w:lang w:eastAsia="de-DE"/>
        </w:rPr>
        <w:drawing>
          <wp:inline distT="0" distB="0" distL="0" distR="0">
            <wp:extent cx="4269851" cy="6964779"/>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 rev.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1874" cy="6968079"/>
                    </a:xfrm>
                    <a:prstGeom prst="rect">
                      <a:avLst/>
                    </a:prstGeom>
                  </pic:spPr>
                </pic:pic>
              </a:graphicData>
            </a:graphic>
          </wp:inline>
        </w:drawing>
      </w:r>
    </w:p>
    <w:p w:rsidR="003D5C33" w:rsidRDefault="00BB37BB" w:rsidP="00B2296C">
      <w:pPr>
        <w:spacing w:line="240" w:lineRule="auto"/>
        <w:jc w:val="both"/>
        <w:rPr>
          <w:rFonts w:ascii="Times New Roman" w:hAnsi="Times New Roman" w:cs="Times New Roman"/>
          <w:lang w:val="en-US"/>
        </w:rPr>
      </w:pPr>
      <w:r w:rsidRPr="00B2296C">
        <w:rPr>
          <w:rFonts w:ascii="Times New Roman" w:hAnsi="Times New Roman" w:cs="Times New Roman"/>
          <w:lang w:val="en-US"/>
        </w:rPr>
        <w:t>The decision tree was exercised for each species found in the dataset. The squares contain the questions “The species is/has…”. If the answer is “no”, the diamond shape contains the action “exclude”. If the answer to the question is “yes”, the action is to proceed to the next step in the tree, with the final result of inclusion, if the tested species passed all filters.</w:t>
      </w:r>
    </w:p>
    <w:p w:rsidR="003D5C33" w:rsidRDefault="003D5C33" w:rsidP="00B2296C">
      <w:pPr>
        <w:spacing w:line="240" w:lineRule="auto"/>
        <w:jc w:val="both"/>
        <w:rPr>
          <w:rFonts w:ascii="Times New Roman" w:hAnsi="Times New Roman" w:cs="Times New Roman"/>
          <w:lang w:val="en-US"/>
        </w:rPr>
      </w:pPr>
    </w:p>
    <w:p w:rsidR="003D5C33" w:rsidRDefault="003D5C33">
      <w:pPr>
        <w:rPr>
          <w:rFonts w:ascii="Times New Roman" w:hAnsi="Times New Roman" w:cs="Times New Roman"/>
          <w:lang w:val="en-US"/>
        </w:rPr>
        <w:sectPr w:rsidR="003D5C33" w:rsidSect="00BB37BB">
          <w:pgSz w:w="12240" w:h="15840" w:code="1"/>
          <w:pgMar w:top="1417" w:right="1417" w:bottom="1134" w:left="1417" w:header="708" w:footer="708" w:gutter="0"/>
          <w:cols w:space="708"/>
          <w:docGrid w:linePitch="360"/>
        </w:sectPr>
      </w:pPr>
    </w:p>
    <w:p w:rsidR="00BB37BB" w:rsidRPr="00B2296C" w:rsidRDefault="00316A76" w:rsidP="00BB37BB">
      <w:pPr>
        <w:spacing w:line="480" w:lineRule="auto"/>
        <w:rPr>
          <w:rFonts w:ascii="Times New Roman" w:hAnsi="Times New Roman" w:cs="Times New Roman"/>
          <w:lang w:val="en-US"/>
        </w:rPr>
      </w:pPr>
      <w:r>
        <w:rPr>
          <w:rFonts w:ascii="Times New Roman" w:hAnsi="Times New Roman" w:cs="Times New Roman"/>
          <w:b/>
          <w:lang w:val="en-US"/>
        </w:rPr>
        <w:lastRenderedPageBreak/>
        <w:t>Figure S</w:t>
      </w:r>
      <w:r w:rsidR="00491F10">
        <w:rPr>
          <w:rFonts w:ascii="Times New Roman" w:hAnsi="Times New Roman" w:cs="Times New Roman"/>
          <w:b/>
          <w:lang w:val="en-US"/>
        </w:rPr>
        <w:t>4</w:t>
      </w:r>
      <w:r>
        <w:rPr>
          <w:rFonts w:ascii="Times New Roman" w:hAnsi="Times New Roman" w:cs="Times New Roman"/>
          <w:b/>
          <w:lang w:val="en-US"/>
        </w:rPr>
        <w:t>.</w:t>
      </w:r>
      <w:r w:rsidR="00B2296C" w:rsidRPr="00B2296C">
        <w:rPr>
          <w:rFonts w:ascii="Times New Roman" w:hAnsi="Times New Roman" w:cs="Times New Roman"/>
          <w:b/>
          <w:lang w:val="en-US"/>
        </w:rPr>
        <w:t xml:space="preserve"> Questionnaire for the expert evaluation.</w:t>
      </w:r>
    </w:p>
    <w:p w:rsidR="00BB37BB" w:rsidRDefault="00BB37BB" w:rsidP="00BB37BB">
      <w:pPr>
        <w:spacing w:line="480" w:lineRule="auto"/>
        <w:rPr>
          <w:rFonts w:ascii="Arial" w:hAnsi="Arial" w:cs="Arial"/>
          <w:lang w:val="en-US"/>
        </w:rPr>
      </w:pPr>
      <w:r w:rsidRPr="003B426D">
        <w:rPr>
          <w:rFonts w:ascii="Arial" w:hAnsi="Arial" w:cs="Arial"/>
          <w:noProof/>
          <w:lang w:eastAsia="de-DE"/>
        </w:rPr>
        <w:drawing>
          <wp:inline distT="0" distB="0" distL="0" distR="0" wp14:anchorId="61143BF3" wp14:editId="604CC03A">
            <wp:extent cx="5972810" cy="3140710"/>
            <wp:effectExtent l="0" t="0" r="889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72810" cy="3140710"/>
                    </a:xfrm>
                    <a:prstGeom prst="rect">
                      <a:avLst/>
                    </a:prstGeom>
                  </pic:spPr>
                </pic:pic>
              </a:graphicData>
            </a:graphic>
          </wp:inline>
        </w:drawing>
      </w:r>
    </w:p>
    <w:p w:rsidR="00BB37BB" w:rsidRPr="00B2296C" w:rsidRDefault="00BB37BB" w:rsidP="00B2296C">
      <w:pPr>
        <w:spacing w:line="240" w:lineRule="auto"/>
        <w:jc w:val="both"/>
        <w:rPr>
          <w:rFonts w:ascii="Times New Roman" w:hAnsi="Times New Roman" w:cs="Times New Roman"/>
          <w:lang w:val="en-US"/>
        </w:rPr>
      </w:pPr>
      <w:r w:rsidRPr="00B2296C">
        <w:rPr>
          <w:rFonts w:ascii="Times New Roman" w:hAnsi="Times New Roman" w:cs="Times New Roman"/>
          <w:lang w:val="en-US"/>
        </w:rPr>
        <w:t>The questionnaire was answered individually by each reviewer and patient-wise. The answers to question one were divided by time point, with the option of yes, no or neither (“not specified”). If question two was answered with “yes”, question three was omitted. If the answer to question two was “no”, question three with sub-questions a-c was asked.</w:t>
      </w:r>
      <w:r w:rsidR="00231860">
        <w:rPr>
          <w:rFonts w:ascii="Times New Roman" w:hAnsi="Times New Roman" w:cs="Times New Roman"/>
          <w:lang w:val="en-US"/>
        </w:rPr>
        <w:t xml:space="preserve"> </w:t>
      </w:r>
      <w:r w:rsidR="00231860" w:rsidRPr="00231860">
        <w:rPr>
          <w:rFonts w:ascii="Times New Roman" w:hAnsi="Times New Roman" w:cs="Times New Roman"/>
          <w:lang w:val="en-US"/>
        </w:rPr>
        <w:t>Only unambiguous answers were included in the analysis. A majority decision for “yes” was reached, when votes for “yes” exceeded votes for “no” and at least two votes for “yes” were recorded. Decisions for “no” were likewise reached. If votes for “yes” or “no” were equal, no majority was reached. Majority votes were recorded for „yes“, „no“, „not specified“, and regarding change in antibiotic therapy. If the majority vote for question 1 (Figure S3) was „not specified“, the patients/time points were excluded.</w:t>
      </w:r>
    </w:p>
    <w:p w:rsidR="00BB37BB" w:rsidRDefault="00BB37BB" w:rsidP="00BB37BB">
      <w:pPr>
        <w:spacing w:line="480" w:lineRule="auto"/>
        <w:rPr>
          <w:rFonts w:ascii="Arial" w:hAnsi="Arial" w:cs="Arial"/>
          <w:lang w:val="en-US"/>
        </w:rPr>
      </w:pPr>
      <w:r>
        <w:rPr>
          <w:rFonts w:ascii="Arial" w:hAnsi="Arial" w:cs="Arial"/>
          <w:lang w:val="en-US"/>
        </w:rPr>
        <w:br w:type="page"/>
      </w:r>
    </w:p>
    <w:p w:rsidR="00BB37BB" w:rsidRPr="00B2296C" w:rsidRDefault="00B2296C" w:rsidP="00B2296C">
      <w:pPr>
        <w:spacing w:line="240" w:lineRule="auto"/>
        <w:rPr>
          <w:rFonts w:ascii="Times New Roman" w:hAnsi="Times New Roman" w:cs="Times New Roman"/>
          <w:lang w:val="en-US"/>
        </w:rPr>
      </w:pPr>
      <w:r w:rsidRPr="00B2296C">
        <w:rPr>
          <w:rFonts w:ascii="Times New Roman" w:hAnsi="Times New Roman" w:cs="Times New Roman"/>
          <w:b/>
          <w:lang w:val="en-US"/>
        </w:rPr>
        <w:lastRenderedPageBreak/>
        <w:t>Figure S</w:t>
      </w:r>
      <w:r w:rsidR="00491F10">
        <w:rPr>
          <w:rFonts w:ascii="Times New Roman" w:hAnsi="Times New Roman" w:cs="Times New Roman"/>
          <w:b/>
          <w:lang w:val="en-US"/>
        </w:rPr>
        <w:t>5</w:t>
      </w:r>
      <w:r w:rsidRPr="00B2296C">
        <w:rPr>
          <w:rFonts w:ascii="Times New Roman" w:hAnsi="Times New Roman" w:cs="Times New Roman"/>
          <w:b/>
          <w:lang w:val="en-US"/>
        </w:rPr>
        <w:t>. cfDNA concentrations are displayed for the groups of septic (S) and postoperative (P) patients, for individual time points.</w:t>
      </w:r>
    </w:p>
    <w:p w:rsidR="00BB37BB" w:rsidRDefault="003B6FDE" w:rsidP="00BB37BB">
      <w:pPr>
        <w:spacing w:line="480" w:lineRule="auto"/>
        <w:rPr>
          <w:rFonts w:ascii="Arial" w:hAnsi="Arial" w:cs="Arial"/>
          <w:lang w:val="en-US"/>
        </w:rPr>
      </w:pPr>
      <w:r>
        <w:rPr>
          <w:rFonts w:ascii="Arial" w:hAnsi="Arial" w:cs="Arial"/>
          <w:noProof/>
          <w:lang w:eastAsia="de-DE"/>
        </w:rPr>
        <w:drawing>
          <wp:inline distT="0" distB="0" distL="0" distR="0">
            <wp:extent cx="7048500" cy="472874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fDNA concentration27081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55299" cy="4733302"/>
                    </a:xfrm>
                    <a:prstGeom prst="rect">
                      <a:avLst/>
                    </a:prstGeom>
                  </pic:spPr>
                </pic:pic>
              </a:graphicData>
            </a:graphic>
          </wp:inline>
        </w:drawing>
      </w:r>
    </w:p>
    <w:p w:rsidR="00BB37BB" w:rsidRPr="00B2296C" w:rsidRDefault="00231860" w:rsidP="00B2296C">
      <w:pPr>
        <w:spacing w:line="240" w:lineRule="auto"/>
        <w:rPr>
          <w:rFonts w:ascii="Times New Roman" w:hAnsi="Times New Roman" w:cs="Times New Roman"/>
          <w:lang w:val="en-US"/>
        </w:rPr>
      </w:pPr>
      <w:r w:rsidRPr="00231860">
        <w:rPr>
          <w:rFonts w:ascii="Times New Roman" w:hAnsi="Times New Roman" w:cs="Times New Roman"/>
          <w:lang w:val="en-US"/>
        </w:rPr>
        <w:t>Median cfDNA levels in control patients before elective surgery were low (P T0=11.4ng/ml)</w:t>
      </w:r>
      <w:r>
        <w:rPr>
          <w:rFonts w:ascii="Times New Roman" w:hAnsi="Times New Roman" w:cs="Times New Roman"/>
          <w:lang w:val="en-US"/>
        </w:rPr>
        <w:t>.</w:t>
      </w:r>
      <w:r w:rsidRPr="00231860">
        <w:rPr>
          <w:rFonts w:ascii="Times New Roman" w:hAnsi="Times New Roman" w:cs="Times New Roman"/>
          <w:lang w:val="en-US"/>
        </w:rPr>
        <w:t xml:space="preserve"> Major abdominal surgery in the control cohort resulted in a four-fold increase in cfDNA levels (P T1-T2= 43.74 ng/ml). In contrast, cfDNA levels were considerably increased in septic patients (S=90.62 ng/ml), especially at sepsis onset (S T0=119.10 ng/ml and T1=123.6 ng/ml)</w:t>
      </w:r>
      <w:r>
        <w:rPr>
          <w:rFonts w:ascii="Times New Roman" w:hAnsi="Times New Roman" w:cs="Times New Roman"/>
          <w:lang w:val="en-US"/>
        </w:rPr>
        <w:t xml:space="preserve">. </w:t>
      </w:r>
      <w:r w:rsidR="00BB37BB" w:rsidRPr="00B2296C">
        <w:rPr>
          <w:rFonts w:ascii="Times New Roman" w:hAnsi="Times New Roman" w:cs="Times New Roman"/>
          <w:lang w:val="en-US"/>
        </w:rPr>
        <w:t xml:space="preserve">Additionally, the </w:t>
      </w:r>
      <w:r w:rsidR="0036461B">
        <w:rPr>
          <w:rFonts w:ascii="Times New Roman" w:hAnsi="Times New Roman" w:cs="Times New Roman"/>
          <w:lang w:val="en-US"/>
        </w:rPr>
        <w:t>median</w:t>
      </w:r>
      <w:r w:rsidR="00BB37BB" w:rsidRPr="00B2296C">
        <w:rPr>
          <w:rFonts w:ascii="Times New Roman" w:hAnsi="Times New Roman" w:cs="Times New Roman"/>
          <w:lang w:val="en-US"/>
        </w:rPr>
        <w:t xml:space="preserve"> PCT concentration is plotted in orange as a dynamic surrogate marker for severity of infection.</w:t>
      </w:r>
    </w:p>
    <w:p w:rsidR="00BB37BB" w:rsidRDefault="00B2296C" w:rsidP="00B2296C">
      <w:pPr>
        <w:spacing w:line="240" w:lineRule="auto"/>
        <w:rPr>
          <w:rFonts w:ascii="Arial" w:hAnsi="Arial" w:cs="Arial"/>
          <w:lang w:val="en-US"/>
        </w:rPr>
      </w:pPr>
      <w:r w:rsidRPr="00B2296C">
        <w:rPr>
          <w:rFonts w:ascii="Times New Roman" w:hAnsi="Times New Roman" w:cs="Times New Roman"/>
          <w:b/>
          <w:lang w:val="en-US"/>
        </w:rPr>
        <w:lastRenderedPageBreak/>
        <w:t>Figure S</w:t>
      </w:r>
      <w:r w:rsidR="00491F10">
        <w:rPr>
          <w:rFonts w:ascii="Times New Roman" w:hAnsi="Times New Roman" w:cs="Times New Roman"/>
          <w:b/>
          <w:lang w:val="en-US"/>
        </w:rPr>
        <w:t>6</w:t>
      </w:r>
      <w:r w:rsidRPr="00B2296C">
        <w:rPr>
          <w:rFonts w:ascii="Times New Roman" w:hAnsi="Times New Roman" w:cs="Times New Roman"/>
          <w:b/>
          <w:lang w:val="en-US"/>
        </w:rPr>
        <w:t>. Sequencing, mapping and classifying statistics of the sequences study samples divided by septic (S) and postoperative (P) patients.</w:t>
      </w:r>
      <w:r w:rsidR="00BB37BB">
        <w:rPr>
          <w:rFonts w:ascii="Arial" w:hAnsi="Arial" w:cs="Arial"/>
          <w:noProof/>
          <w:lang w:eastAsia="de-DE"/>
        </w:rPr>
        <w:drawing>
          <wp:inline distT="0" distB="0" distL="0" distR="0" wp14:anchorId="6E80FEAB" wp14:editId="65B6D5C3">
            <wp:extent cx="6590529" cy="3349917"/>
            <wp:effectExtent l="0" t="0" r="127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q_Stats_Mea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4692" cy="3362199"/>
                    </a:xfrm>
                    <a:prstGeom prst="rect">
                      <a:avLst/>
                    </a:prstGeom>
                  </pic:spPr>
                </pic:pic>
              </a:graphicData>
            </a:graphic>
          </wp:inline>
        </w:drawing>
      </w:r>
    </w:p>
    <w:p w:rsidR="003D5C33" w:rsidRDefault="00BB37BB" w:rsidP="00B2296C">
      <w:pPr>
        <w:spacing w:line="240" w:lineRule="auto"/>
        <w:rPr>
          <w:rFonts w:ascii="Arial" w:hAnsi="Arial" w:cs="Arial"/>
          <w:lang w:val="en-US"/>
        </w:rPr>
      </w:pPr>
      <w:r w:rsidRPr="00B2296C">
        <w:rPr>
          <w:rFonts w:ascii="Times New Roman" w:hAnsi="Times New Roman" w:cs="Times New Roman"/>
          <w:lang w:val="en-US"/>
        </w:rPr>
        <w:t>The group of septic patients is further subdivided by the seven time points (T0 to T6) and the group of postoperative patients is subdivided by the three sampled time points (T0-T2). The right column contains the average library size of each subgroup and the bars indicate the percentage of mapped human reads (grey), unmapped reads (blue) and reads classified to any taxonomic order other than human by Kraken (orange).</w:t>
      </w:r>
      <w:r>
        <w:rPr>
          <w:rFonts w:ascii="Arial" w:hAnsi="Arial" w:cs="Arial"/>
          <w:lang w:val="en-US"/>
        </w:rPr>
        <w:br w:type="page"/>
      </w:r>
    </w:p>
    <w:p w:rsidR="0038301F" w:rsidRPr="0038301F" w:rsidRDefault="0038301F" w:rsidP="0038301F">
      <w:pPr>
        <w:rPr>
          <w:rFonts w:ascii="Times New Roman" w:hAnsi="Times New Roman" w:cs="Times New Roman"/>
          <w:b/>
          <w:lang w:val="en-US"/>
        </w:rPr>
      </w:pPr>
      <w:r w:rsidRPr="00517B65">
        <w:rPr>
          <w:rFonts w:ascii="Times New Roman" w:hAnsi="Times New Roman" w:cs="Times New Roman"/>
          <w:b/>
          <w:lang w:val="en-US"/>
        </w:rPr>
        <w:lastRenderedPageBreak/>
        <w:t>Figure S</w:t>
      </w:r>
      <w:r w:rsidR="00491F10">
        <w:rPr>
          <w:rFonts w:ascii="Times New Roman" w:hAnsi="Times New Roman" w:cs="Times New Roman"/>
          <w:b/>
          <w:lang w:val="en-US"/>
        </w:rPr>
        <w:t>7.</w:t>
      </w:r>
      <w:r w:rsidRPr="00517B65">
        <w:rPr>
          <w:rFonts w:ascii="Times New Roman" w:hAnsi="Times New Roman" w:cs="Times New Roman"/>
          <w:b/>
          <w:lang w:val="en-US"/>
        </w:rPr>
        <w:t xml:space="preserve"> Normalized read distribution for the top ten species identified by BC or NGS</w:t>
      </w:r>
    </w:p>
    <w:p w:rsidR="0038301F" w:rsidRPr="0038301F" w:rsidRDefault="0038301F" w:rsidP="0038301F">
      <w:pPr>
        <w:rPr>
          <w:lang w:val="en-US"/>
        </w:rPr>
      </w:pPr>
      <w:r w:rsidRPr="00A73250">
        <w:rPr>
          <w:noProof/>
          <w:lang w:eastAsia="de-DE"/>
        </w:rPr>
        <w:drawing>
          <wp:inline distT="0" distB="0" distL="0" distR="0" wp14:anchorId="23FF2385" wp14:editId="0E027ABD">
            <wp:extent cx="1620000" cy="1615357"/>
            <wp:effectExtent l="0" t="0" r="0" b="444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0000" cy="1615357"/>
                    </a:xfrm>
                    <a:prstGeom prst="rect">
                      <a:avLst/>
                    </a:prstGeom>
                  </pic:spPr>
                </pic:pic>
              </a:graphicData>
            </a:graphic>
          </wp:inline>
        </w:drawing>
      </w:r>
      <w:r w:rsidRPr="00A73250">
        <w:rPr>
          <w:noProof/>
          <w:lang w:eastAsia="de-DE"/>
        </w:rPr>
        <w:drawing>
          <wp:inline distT="0" distB="0" distL="0" distR="0" wp14:anchorId="102B5AD6" wp14:editId="6A4883BB">
            <wp:extent cx="1620000" cy="1629286"/>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0000" cy="1629286"/>
                    </a:xfrm>
                    <a:prstGeom prst="rect">
                      <a:avLst/>
                    </a:prstGeom>
                  </pic:spPr>
                </pic:pic>
              </a:graphicData>
            </a:graphic>
          </wp:inline>
        </w:drawing>
      </w:r>
      <w:r w:rsidRPr="0038301F">
        <w:rPr>
          <w:noProof/>
          <w:lang w:val="en-US" w:eastAsia="de-DE"/>
        </w:rPr>
        <w:t xml:space="preserve"> </w:t>
      </w:r>
      <w:r w:rsidRPr="00A73250">
        <w:rPr>
          <w:noProof/>
          <w:lang w:eastAsia="de-DE"/>
        </w:rPr>
        <w:drawing>
          <wp:inline distT="0" distB="0" distL="0" distR="0" wp14:anchorId="7AF27B6A" wp14:editId="43759395">
            <wp:extent cx="1620000" cy="1615000"/>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000" cy="1615000"/>
                    </a:xfrm>
                    <a:prstGeom prst="rect">
                      <a:avLst/>
                    </a:prstGeom>
                  </pic:spPr>
                </pic:pic>
              </a:graphicData>
            </a:graphic>
          </wp:inline>
        </w:drawing>
      </w:r>
      <w:r w:rsidRPr="0038301F">
        <w:rPr>
          <w:noProof/>
          <w:lang w:val="en-US" w:eastAsia="de-DE"/>
        </w:rPr>
        <w:t xml:space="preserve"> </w:t>
      </w:r>
      <w:r w:rsidRPr="00220685">
        <w:rPr>
          <w:noProof/>
          <w:lang w:eastAsia="de-DE"/>
        </w:rPr>
        <w:drawing>
          <wp:inline distT="0" distB="0" distL="0" distR="0" wp14:anchorId="10ABA18F" wp14:editId="2361AA0A">
            <wp:extent cx="1620000" cy="162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0000" cy="1620000"/>
                    </a:xfrm>
                    <a:prstGeom prst="rect">
                      <a:avLst/>
                    </a:prstGeom>
                  </pic:spPr>
                </pic:pic>
              </a:graphicData>
            </a:graphic>
          </wp:inline>
        </w:drawing>
      </w:r>
      <w:r w:rsidRPr="00220685">
        <w:rPr>
          <w:noProof/>
          <w:lang w:eastAsia="de-DE"/>
        </w:rPr>
        <w:drawing>
          <wp:inline distT="0" distB="0" distL="0" distR="0" wp14:anchorId="74C51939" wp14:editId="48658682">
            <wp:extent cx="1620000" cy="1622143"/>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0000" cy="1622143"/>
                    </a:xfrm>
                    <a:prstGeom prst="rect">
                      <a:avLst/>
                    </a:prstGeom>
                  </pic:spPr>
                </pic:pic>
              </a:graphicData>
            </a:graphic>
          </wp:inline>
        </w:drawing>
      </w:r>
      <w:r w:rsidRPr="00220685">
        <w:rPr>
          <w:noProof/>
          <w:lang w:eastAsia="de-DE"/>
        </w:rPr>
        <w:drawing>
          <wp:inline distT="0" distB="0" distL="0" distR="0" wp14:anchorId="79E60B28" wp14:editId="0946E6E2">
            <wp:extent cx="1620000" cy="1613750"/>
            <wp:effectExtent l="0" t="0" r="0" b="571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0000" cy="1613750"/>
                    </a:xfrm>
                    <a:prstGeom prst="rect">
                      <a:avLst/>
                    </a:prstGeom>
                  </pic:spPr>
                </pic:pic>
              </a:graphicData>
            </a:graphic>
          </wp:inline>
        </w:drawing>
      </w:r>
      <w:r w:rsidRPr="009B244A">
        <w:rPr>
          <w:noProof/>
          <w:lang w:eastAsia="de-DE"/>
        </w:rPr>
        <w:drawing>
          <wp:inline distT="0" distB="0" distL="0" distR="0" wp14:anchorId="00142E91" wp14:editId="214B2893">
            <wp:extent cx="1620000" cy="1622321"/>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0000" cy="1622321"/>
                    </a:xfrm>
                    <a:prstGeom prst="rect">
                      <a:avLst/>
                    </a:prstGeom>
                  </pic:spPr>
                </pic:pic>
              </a:graphicData>
            </a:graphic>
          </wp:inline>
        </w:drawing>
      </w:r>
      <w:r w:rsidRPr="009B244A">
        <w:rPr>
          <w:noProof/>
          <w:lang w:eastAsia="de-DE"/>
        </w:rPr>
        <w:drawing>
          <wp:inline distT="0" distB="0" distL="0" distR="0" wp14:anchorId="5B605636" wp14:editId="19D82FAF">
            <wp:extent cx="1620000" cy="1620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0000" cy="1620000"/>
                    </a:xfrm>
                    <a:prstGeom prst="rect">
                      <a:avLst/>
                    </a:prstGeom>
                  </pic:spPr>
                </pic:pic>
              </a:graphicData>
            </a:graphic>
          </wp:inline>
        </w:drawing>
      </w:r>
      <w:r w:rsidRPr="00220685">
        <w:rPr>
          <w:noProof/>
          <w:lang w:eastAsia="de-DE"/>
        </w:rPr>
        <w:drawing>
          <wp:inline distT="0" distB="0" distL="0" distR="0" wp14:anchorId="15AA0CCA" wp14:editId="37B96E69">
            <wp:extent cx="1620000" cy="1618393"/>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0000" cy="1618393"/>
                    </a:xfrm>
                    <a:prstGeom prst="rect">
                      <a:avLst/>
                    </a:prstGeom>
                  </pic:spPr>
                </pic:pic>
              </a:graphicData>
            </a:graphic>
          </wp:inline>
        </w:drawing>
      </w:r>
      <w:r w:rsidRPr="00220685">
        <w:rPr>
          <w:noProof/>
          <w:lang w:eastAsia="de-DE"/>
        </w:rPr>
        <w:drawing>
          <wp:inline distT="0" distB="0" distL="0" distR="0" wp14:anchorId="5FCD817E" wp14:editId="69EDA652">
            <wp:extent cx="1620000" cy="1615357"/>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0000" cy="1615357"/>
                    </a:xfrm>
                    <a:prstGeom prst="rect">
                      <a:avLst/>
                    </a:prstGeom>
                  </pic:spPr>
                </pic:pic>
              </a:graphicData>
            </a:graphic>
          </wp:inline>
        </w:drawing>
      </w:r>
      <w:r w:rsidRPr="00220685">
        <w:rPr>
          <w:noProof/>
          <w:lang w:eastAsia="de-DE"/>
        </w:rPr>
        <w:drawing>
          <wp:inline distT="0" distB="0" distL="0" distR="0" wp14:anchorId="5D12990A" wp14:editId="2D85FB23">
            <wp:extent cx="1620000" cy="1616786"/>
            <wp:effectExtent l="0" t="0" r="0" b="254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0000" cy="1616786"/>
                    </a:xfrm>
                    <a:prstGeom prst="rect">
                      <a:avLst/>
                    </a:prstGeom>
                  </pic:spPr>
                </pic:pic>
              </a:graphicData>
            </a:graphic>
          </wp:inline>
        </w:drawing>
      </w:r>
      <w:r w:rsidRPr="009B244A">
        <w:rPr>
          <w:noProof/>
          <w:lang w:eastAsia="de-DE"/>
        </w:rPr>
        <w:drawing>
          <wp:inline distT="0" distB="0" distL="0" distR="0" wp14:anchorId="080033C7" wp14:editId="0ACF0667">
            <wp:extent cx="1620000" cy="1622321"/>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0000" cy="1622321"/>
                    </a:xfrm>
                    <a:prstGeom prst="rect">
                      <a:avLst/>
                    </a:prstGeom>
                  </pic:spPr>
                </pic:pic>
              </a:graphicData>
            </a:graphic>
          </wp:inline>
        </w:drawing>
      </w:r>
      <w:r w:rsidRPr="009B244A">
        <w:rPr>
          <w:noProof/>
          <w:lang w:eastAsia="de-DE"/>
        </w:rPr>
        <w:drawing>
          <wp:inline distT="0" distB="0" distL="0" distR="0" wp14:anchorId="43355E3B" wp14:editId="716CDBD7">
            <wp:extent cx="1620000" cy="1617679"/>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0000" cy="1617679"/>
                    </a:xfrm>
                    <a:prstGeom prst="rect">
                      <a:avLst/>
                    </a:prstGeom>
                  </pic:spPr>
                </pic:pic>
              </a:graphicData>
            </a:graphic>
          </wp:inline>
        </w:drawing>
      </w:r>
      <w:r w:rsidRPr="000E6757">
        <w:rPr>
          <w:noProof/>
          <w:lang w:eastAsia="de-DE"/>
        </w:rPr>
        <w:drawing>
          <wp:inline distT="0" distB="0" distL="0" distR="0" wp14:anchorId="783AC236" wp14:editId="01397C3F">
            <wp:extent cx="1620000" cy="1626964"/>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000" cy="1626964"/>
                    </a:xfrm>
                    <a:prstGeom prst="rect">
                      <a:avLst/>
                    </a:prstGeom>
                  </pic:spPr>
                </pic:pic>
              </a:graphicData>
            </a:graphic>
          </wp:inline>
        </w:drawing>
      </w:r>
      <w:r w:rsidRPr="000E6757">
        <w:rPr>
          <w:noProof/>
          <w:lang w:eastAsia="de-DE"/>
        </w:rPr>
        <w:drawing>
          <wp:inline distT="0" distB="0" distL="0" distR="0" wp14:anchorId="15601C49" wp14:editId="2329D41F">
            <wp:extent cx="1620000" cy="162232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000" cy="1622321"/>
                    </a:xfrm>
                    <a:prstGeom prst="rect">
                      <a:avLst/>
                    </a:prstGeom>
                  </pic:spPr>
                </pic:pic>
              </a:graphicData>
            </a:graphic>
          </wp:inline>
        </w:drawing>
      </w:r>
    </w:p>
    <w:p w:rsidR="0038301F" w:rsidRPr="0038301F" w:rsidRDefault="0038301F" w:rsidP="00B2296C">
      <w:pPr>
        <w:spacing w:line="240" w:lineRule="auto"/>
        <w:rPr>
          <w:rFonts w:ascii="Times New Roman" w:hAnsi="Times New Roman" w:cs="Times New Roman"/>
          <w:lang w:val="en-US"/>
        </w:rPr>
      </w:pPr>
      <w:r w:rsidRPr="0038301F">
        <w:rPr>
          <w:rFonts w:ascii="Times New Roman" w:hAnsi="Times New Roman" w:cs="Times New Roman"/>
          <w:lang w:val="en-US"/>
        </w:rPr>
        <w:t xml:space="preserve">Normalized read counts are shown here for individual species for the patients (red dots) and the postoperative controls (blue dots). </w:t>
      </w:r>
    </w:p>
    <w:p w:rsidR="00AA6134" w:rsidRDefault="00AA6134" w:rsidP="003D5C33">
      <w:pPr>
        <w:rPr>
          <w:rFonts w:ascii="Times New Roman" w:hAnsi="Times New Roman" w:cs="Times New Roman"/>
          <w:b/>
          <w:lang w:val="en-US"/>
        </w:rPr>
      </w:pPr>
    </w:p>
    <w:p w:rsidR="003D5C33" w:rsidRDefault="003D5C33" w:rsidP="003D5C33">
      <w:pPr>
        <w:rPr>
          <w:rFonts w:ascii="Times New Roman" w:hAnsi="Times New Roman" w:cs="Times New Roman"/>
          <w:b/>
          <w:lang w:val="en-US"/>
        </w:rPr>
      </w:pPr>
      <w:r w:rsidRPr="003D5C33">
        <w:rPr>
          <w:rFonts w:ascii="Times New Roman" w:hAnsi="Times New Roman" w:cs="Times New Roman"/>
          <w:b/>
          <w:lang w:val="en-US"/>
        </w:rPr>
        <w:lastRenderedPageBreak/>
        <w:t>Figure S</w:t>
      </w:r>
      <w:r w:rsidR="00491F10">
        <w:rPr>
          <w:rFonts w:ascii="Times New Roman" w:hAnsi="Times New Roman" w:cs="Times New Roman"/>
          <w:b/>
          <w:lang w:val="en-US"/>
        </w:rPr>
        <w:t>8</w:t>
      </w:r>
      <w:r w:rsidRPr="003D5C33">
        <w:rPr>
          <w:rFonts w:ascii="Times New Roman" w:hAnsi="Times New Roman" w:cs="Times New Roman"/>
          <w:b/>
          <w:lang w:val="en-US"/>
        </w:rPr>
        <w:t xml:space="preserve">. Species comparison between positive BC and SIQ results and contingency table. </w:t>
      </w:r>
    </w:p>
    <w:p w:rsidR="00A7110C" w:rsidRDefault="00A7110C" w:rsidP="003D5C33">
      <w:pPr>
        <w:rPr>
          <w:rFonts w:ascii="Times New Roman" w:hAnsi="Times New Roman" w:cs="Times New Roman"/>
          <w:b/>
          <w:lang w:val="en-US"/>
        </w:rPr>
      </w:pPr>
      <w:r>
        <w:rPr>
          <w:rFonts w:ascii="Times New Roman" w:hAnsi="Times New Roman" w:cs="Times New Roman"/>
          <w:b/>
          <w:noProof/>
          <w:lang w:eastAsia="de-DE"/>
        </w:rPr>
        <w:drawing>
          <wp:inline distT="0" distB="0" distL="0" distR="0">
            <wp:extent cx="9000000" cy="3159611"/>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rison species BC SIQ_121118.tif"/>
                    <pic:cNvPicPr/>
                  </pic:nvPicPr>
                  <pic:blipFill rotWithShape="1">
                    <a:blip r:embed="rId28" cstate="print">
                      <a:extLst>
                        <a:ext uri="{28A0092B-C50C-407E-A947-70E740481C1C}">
                          <a14:useLocalDpi xmlns:a14="http://schemas.microsoft.com/office/drawing/2010/main" val="0"/>
                        </a:ext>
                      </a:extLst>
                    </a:blip>
                    <a:srcRect b="33443"/>
                    <a:stretch/>
                  </pic:blipFill>
                  <pic:spPr bwMode="auto">
                    <a:xfrm>
                      <a:off x="0" y="0"/>
                      <a:ext cx="9000000" cy="3159611"/>
                    </a:xfrm>
                    <a:prstGeom prst="rect">
                      <a:avLst/>
                    </a:prstGeom>
                    <a:ln>
                      <a:noFill/>
                    </a:ln>
                    <a:extLst>
                      <a:ext uri="{53640926-AAD7-44D8-BBD7-CCE9431645EC}">
                        <a14:shadowObscured xmlns:a14="http://schemas.microsoft.com/office/drawing/2010/main"/>
                      </a:ext>
                    </a:extLst>
                  </pic:spPr>
                </pic:pic>
              </a:graphicData>
            </a:graphic>
          </wp:inline>
        </w:drawing>
      </w:r>
    </w:p>
    <w:p w:rsidR="003D5C33" w:rsidRDefault="003D5C33" w:rsidP="003D5C33">
      <w:pPr>
        <w:rPr>
          <w:rFonts w:ascii="Times New Roman" w:hAnsi="Times New Roman" w:cs="Times New Roman"/>
          <w:lang w:val="en-US"/>
        </w:rPr>
      </w:pPr>
      <w:r w:rsidRPr="003D5C33">
        <w:rPr>
          <w:rFonts w:ascii="Times New Roman" w:hAnsi="Times New Roman" w:cs="Times New Roman"/>
          <w:lang w:val="en-US"/>
        </w:rPr>
        <w:t>(</w:t>
      </w:r>
      <w:r w:rsidRPr="003D5C33">
        <w:rPr>
          <w:rFonts w:ascii="Times New Roman" w:hAnsi="Times New Roman" w:cs="Times New Roman"/>
          <w:b/>
          <w:lang w:val="en-US"/>
        </w:rPr>
        <w:t>A</w:t>
      </w:r>
      <w:r w:rsidRPr="003D5C33">
        <w:rPr>
          <w:rFonts w:ascii="Times New Roman" w:hAnsi="Times New Roman" w:cs="Times New Roman"/>
          <w:lang w:val="en-US"/>
        </w:rPr>
        <w:t>) Sample-wise comparison of species detected by BC and NGS. Species detected in BC are surrounded by a blue square, potential skin contaminants are displayed in grey. Species with a relevant SIQ score are surrounded by an orange square and the shared overlap between both methods is displayed in the middle. (</w:t>
      </w:r>
      <w:r w:rsidRPr="003D5C33">
        <w:rPr>
          <w:rFonts w:ascii="Times New Roman" w:hAnsi="Times New Roman" w:cs="Times New Roman"/>
          <w:b/>
          <w:lang w:val="en-US"/>
        </w:rPr>
        <w:t>B</w:t>
      </w:r>
      <w:r w:rsidRPr="003D5C33">
        <w:rPr>
          <w:rFonts w:ascii="Times New Roman" w:hAnsi="Times New Roman" w:cs="Times New Roman"/>
          <w:lang w:val="en-US"/>
        </w:rPr>
        <w:t>) Table displaying positive, negative and total results from BC and NGS (SIQ). Two positive and 15 negative BC results had to be excluded from the comparison, as the corresponding plasma samples did not pass quality control thresholds for NGS analysis.</w:t>
      </w:r>
      <w:r>
        <w:rPr>
          <w:rFonts w:ascii="Times New Roman" w:hAnsi="Times New Roman" w:cs="Times New Roman"/>
          <w:lang w:val="en-US"/>
        </w:rPr>
        <w:br w:type="page"/>
      </w:r>
    </w:p>
    <w:p w:rsidR="003D5C33" w:rsidRDefault="003D5C33" w:rsidP="003D5C33">
      <w:pPr>
        <w:spacing w:line="480" w:lineRule="auto"/>
        <w:rPr>
          <w:rFonts w:ascii="Times New Roman" w:hAnsi="Times New Roman" w:cs="Times New Roman"/>
          <w:b/>
          <w:lang w:val="en-US"/>
        </w:rPr>
        <w:sectPr w:rsidR="003D5C33" w:rsidSect="003D5C33">
          <w:pgSz w:w="15840" w:h="12240" w:orient="landscape" w:code="1"/>
          <w:pgMar w:top="1418" w:right="1418" w:bottom="1418" w:left="1134" w:header="709" w:footer="709" w:gutter="0"/>
          <w:cols w:space="708"/>
          <w:docGrid w:linePitch="360"/>
        </w:sectPr>
      </w:pPr>
    </w:p>
    <w:p w:rsidR="00897673" w:rsidRDefault="00897673" w:rsidP="00897673">
      <w:pPr>
        <w:spacing w:line="240" w:lineRule="auto"/>
        <w:rPr>
          <w:rFonts w:ascii="Times New Roman" w:hAnsi="Times New Roman" w:cs="Times New Roman"/>
          <w:lang w:val="en-US"/>
        </w:rPr>
      </w:pPr>
      <w:r w:rsidRPr="00897673">
        <w:rPr>
          <w:rFonts w:ascii="Times New Roman" w:hAnsi="Times New Roman" w:cs="Times New Roman"/>
          <w:b/>
          <w:lang w:val="en-US"/>
        </w:rPr>
        <w:lastRenderedPageBreak/>
        <w:t>Figure S</w:t>
      </w:r>
      <w:r w:rsidR="00491F10">
        <w:rPr>
          <w:rFonts w:ascii="Times New Roman" w:hAnsi="Times New Roman" w:cs="Times New Roman"/>
          <w:b/>
          <w:lang w:val="en-US"/>
        </w:rPr>
        <w:t>9</w:t>
      </w:r>
      <w:r w:rsidRPr="00897673">
        <w:rPr>
          <w:rFonts w:ascii="Times New Roman" w:hAnsi="Times New Roman" w:cs="Times New Roman"/>
          <w:b/>
          <w:lang w:val="en-US"/>
        </w:rPr>
        <w:t>. Results of the expert evaluation on plausibility and therapy change based on NGS findings.</w:t>
      </w:r>
      <w:r w:rsidRPr="00B2296C">
        <w:rPr>
          <w:rFonts w:ascii="Times New Roman" w:hAnsi="Times New Roman" w:cs="Times New Roman"/>
          <w:lang w:val="en-US"/>
        </w:rPr>
        <w:t xml:space="preserve"> </w:t>
      </w:r>
    </w:p>
    <w:p w:rsidR="00897673" w:rsidRPr="00EC5CC1" w:rsidRDefault="00EC5CC1" w:rsidP="00897673">
      <w:pPr>
        <w:spacing w:line="240" w:lineRule="auto"/>
        <w:rPr>
          <w:rFonts w:ascii="Arial" w:hAnsi="Arial" w:cs="Arial"/>
          <w:lang w:val="en-US"/>
        </w:rPr>
      </w:pPr>
      <w:r w:rsidRPr="00EC5CC1">
        <w:rPr>
          <w:noProof/>
          <w:lang w:eastAsia="de-DE"/>
        </w:rPr>
        <w:drawing>
          <wp:inline distT="0" distB="0" distL="0" distR="0">
            <wp:extent cx="5638800" cy="5667375"/>
            <wp:effectExtent l="0" t="0" r="0"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638800" cy="5667375"/>
                    </a:xfrm>
                    <a:prstGeom prst="rect">
                      <a:avLst/>
                    </a:prstGeom>
                    <a:noFill/>
                    <a:ln>
                      <a:noFill/>
                    </a:ln>
                  </pic:spPr>
                </pic:pic>
              </a:graphicData>
            </a:graphic>
          </wp:inline>
        </w:drawing>
      </w:r>
    </w:p>
    <w:p w:rsidR="00897673" w:rsidRPr="00B2296C" w:rsidRDefault="00897673" w:rsidP="00897673">
      <w:pPr>
        <w:spacing w:line="480" w:lineRule="auto"/>
        <w:jc w:val="both"/>
        <w:rPr>
          <w:rFonts w:ascii="Times New Roman" w:hAnsi="Times New Roman" w:cs="Times New Roman"/>
          <w:lang w:val="en-US"/>
        </w:rPr>
      </w:pPr>
      <w:r w:rsidRPr="00B2296C">
        <w:rPr>
          <w:rFonts w:ascii="Times New Roman" w:hAnsi="Times New Roman" w:cs="Times New Roman"/>
          <w:lang w:val="en-US"/>
        </w:rPr>
        <w:t>Positive SIQ results are abbreviated as SIQ+, whereas negative SIQ results are abbreviated as SIQ-.</w:t>
      </w:r>
    </w:p>
    <w:p w:rsidR="00897673" w:rsidRDefault="00897673" w:rsidP="00897673">
      <w:pPr>
        <w:spacing w:line="480" w:lineRule="auto"/>
        <w:rPr>
          <w:rFonts w:ascii="Arial" w:hAnsi="Arial" w:cs="Arial"/>
          <w:b/>
          <w:lang w:val="en-US"/>
        </w:rPr>
      </w:pPr>
      <w:r>
        <w:rPr>
          <w:rFonts w:ascii="Arial" w:hAnsi="Arial" w:cs="Arial"/>
          <w:b/>
          <w:lang w:val="en-US"/>
        </w:rPr>
        <w:br w:type="page"/>
      </w:r>
    </w:p>
    <w:p w:rsidR="00897673" w:rsidRDefault="00897673" w:rsidP="00897673">
      <w:pPr>
        <w:spacing w:line="240" w:lineRule="auto"/>
        <w:rPr>
          <w:rFonts w:ascii="Times New Roman" w:hAnsi="Times New Roman" w:cs="Times New Roman"/>
          <w:b/>
          <w:lang w:val="en-US"/>
        </w:rPr>
      </w:pPr>
      <w:r w:rsidRPr="00517B65">
        <w:rPr>
          <w:rFonts w:ascii="Times New Roman" w:hAnsi="Times New Roman" w:cs="Times New Roman"/>
          <w:b/>
          <w:lang w:val="en-US"/>
        </w:rPr>
        <w:lastRenderedPageBreak/>
        <w:t>Figure S</w:t>
      </w:r>
      <w:r w:rsidR="00491F10">
        <w:rPr>
          <w:rFonts w:ascii="Times New Roman" w:hAnsi="Times New Roman" w:cs="Times New Roman"/>
          <w:b/>
          <w:lang w:val="en-US"/>
        </w:rPr>
        <w:t>10</w:t>
      </w:r>
      <w:r w:rsidRPr="00517B65">
        <w:rPr>
          <w:rFonts w:ascii="Times New Roman" w:hAnsi="Times New Roman" w:cs="Times New Roman"/>
          <w:b/>
          <w:lang w:val="en-US"/>
        </w:rPr>
        <w:t>. Inter-rater agreement statistics calculated by Fleiss’s Kappa for the expert evaluation.</w:t>
      </w:r>
    </w:p>
    <w:p w:rsidR="00897673" w:rsidRDefault="00897673" w:rsidP="00897673">
      <w:pPr>
        <w:spacing w:line="240" w:lineRule="auto"/>
        <w:rPr>
          <w:rFonts w:ascii="Times New Roman" w:hAnsi="Times New Roman" w:cs="Times New Roman"/>
          <w:b/>
          <w:lang w:val="en-US"/>
        </w:rPr>
      </w:pPr>
      <w:r w:rsidRPr="00437342">
        <w:rPr>
          <w:noProof/>
          <w:lang w:eastAsia="de-DE"/>
        </w:rPr>
        <w:drawing>
          <wp:inline distT="0" distB="0" distL="0" distR="0" wp14:anchorId="656E17B0" wp14:editId="4B8FA4F6">
            <wp:extent cx="4581034" cy="41243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7479"/>
                    <a:stretch/>
                  </pic:blipFill>
                  <pic:spPr bwMode="auto">
                    <a:xfrm>
                      <a:off x="0" y="0"/>
                      <a:ext cx="4615156" cy="4155045"/>
                    </a:xfrm>
                    <a:prstGeom prst="rect">
                      <a:avLst/>
                    </a:prstGeom>
                    <a:noFill/>
                    <a:ln>
                      <a:noFill/>
                    </a:ln>
                    <a:extLst>
                      <a:ext uri="{53640926-AAD7-44D8-BBD7-CCE9431645EC}">
                        <a14:shadowObscured xmlns:a14="http://schemas.microsoft.com/office/drawing/2010/main"/>
                      </a:ext>
                    </a:extLst>
                  </pic:spPr>
                </pic:pic>
              </a:graphicData>
            </a:graphic>
          </wp:inline>
        </w:drawing>
      </w:r>
    </w:p>
    <w:p w:rsidR="00897673" w:rsidRPr="00981825" w:rsidRDefault="00897673" w:rsidP="00897673">
      <w:pPr>
        <w:spacing w:line="240" w:lineRule="auto"/>
        <w:rPr>
          <w:rFonts w:ascii="Times New Roman" w:hAnsi="Times New Roman" w:cs="Times New Roman"/>
          <w:lang w:val="en-US"/>
        </w:rPr>
      </w:pPr>
      <w:r w:rsidRPr="00981825">
        <w:rPr>
          <w:rFonts w:ascii="Times New Roman" w:hAnsi="Times New Roman" w:cs="Times New Roman"/>
          <w:lang w:val="en-US"/>
        </w:rPr>
        <w:t xml:space="preserve">Inter-rater agreement statistics regarding the expert’s votings (Raters, n=8) for all patients (n=45) calculated for the individual questions of the questionnaire by Fleiss’s Kappa. </w:t>
      </w:r>
    </w:p>
    <w:p w:rsidR="00897673" w:rsidRPr="00517B65" w:rsidRDefault="00897673" w:rsidP="00897673">
      <w:pPr>
        <w:rPr>
          <w:rFonts w:ascii="Arial" w:hAnsi="Arial" w:cs="Arial"/>
          <w:b/>
          <w:lang w:val="en-US"/>
        </w:rPr>
      </w:pPr>
      <w:r>
        <w:rPr>
          <w:rFonts w:ascii="Times New Roman" w:hAnsi="Times New Roman" w:cs="Times New Roman"/>
          <w:b/>
          <w:lang w:val="en-US"/>
        </w:rPr>
        <w:br w:type="page"/>
      </w:r>
    </w:p>
    <w:p w:rsidR="00897673" w:rsidRDefault="00897673" w:rsidP="00611D0A">
      <w:pPr>
        <w:spacing w:line="480" w:lineRule="auto"/>
        <w:rPr>
          <w:rFonts w:ascii="Times New Roman" w:hAnsi="Times New Roman" w:cs="Times New Roman"/>
          <w:b/>
          <w:lang w:val="en-US"/>
        </w:rPr>
        <w:sectPr w:rsidR="00897673" w:rsidSect="00897673">
          <w:pgSz w:w="12240" w:h="15840" w:code="1"/>
          <w:pgMar w:top="1418" w:right="1418" w:bottom="1134" w:left="1418" w:header="709" w:footer="709" w:gutter="0"/>
          <w:cols w:space="708"/>
          <w:docGrid w:linePitch="360"/>
        </w:sectPr>
      </w:pPr>
    </w:p>
    <w:p w:rsidR="00611D0A" w:rsidRDefault="00611D0A" w:rsidP="00611D0A">
      <w:pPr>
        <w:spacing w:line="480" w:lineRule="auto"/>
        <w:rPr>
          <w:rFonts w:ascii="Times New Roman" w:hAnsi="Times New Roman" w:cs="Times New Roman"/>
          <w:lang w:val="en-US"/>
        </w:rPr>
      </w:pPr>
      <w:r w:rsidRPr="00611D0A">
        <w:rPr>
          <w:rFonts w:ascii="Times New Roman" w:hAnsi="Times New Roman" w:cs="Times New Roman"/>
          <w:b/>
          <w:lang w:val="en-US"/>
        </w:rPr>
        <w:lastRenderedPageBreak/>
        <w:t xml:space="preserve">Figure </w:t>
      </w:r>
      <w:r>
        <w:rPr>
          <w:rFonts w:ascii="Times New Roman" w:hAnsi="Times New Roman" w:cs="Times New Roman"/>
          <w:b/>
          <w:lang w:val="en-US"/>
        </w:rPr>
        <w:t>S</w:t>
      </w:r>
      <w:r w:rsidR="00897673">
        <w:rPr>
          <w:rFonts w:ascii="Times New Roman" w:hAnsi="Times New Roman" w:cs="Times New Roman"/>
          <w:b/>
          <w:lang w:val="en-US"/>
        </w:rPr>
        <w:t>1</w:t>
      </w:r>
      <w:r w:rsidR="00857315">
        <w:rPr>
          <w:rFonts w:ascii="Times New Roman" w:hAnsi="Times New Roman" w:cs="Times New Roman"/>
          <w:b/>
          <w:lang w:val="en-US"/>
        </w:rPr>
        <w:t>1</w:t>
      </w:r>
      <w:r w:rsidRPr="00611D0A">
        <w:rPr>
          <w:rFonts w:ascii="Times New Roman" w:hAnsi="Times New Roman" w:cs="Times New Roman"/>
          <w:b/>
          <w:lang w:val="en-US"/>
        </w:rPr>
        <w:t>.</w:t>
      </w:r>
      <w:r w:rsidRPr="00611D0A">
        <w:rPr>
          <w:rFonts w:ascii="Times New Roman" w:hAnsi="Times New Roman" w:cs="Times New Roman"/>
          <w:lang w:val="en-US"/>
        </w:rPr>
        <w:t xml:space="preserve"> </w:t>
      </w:r>
      <w:r w:rsidRPr="00611D0A">
        <w:rPr>
          <w:rFonts w:ascii="Times New Roman" w:hAnsi="Times New Roman" w:cs="Times New Roman"/>
          <w:b/>
          <w:lang w:val="en-US"/>
        </w:rPr>
        <w:t>Heat map of integrated NGS and clinical microbiology results for patient S3 over the course of the study.</w:t>
      </w:r>
      <w:r w:rsidRPr="00611D0A">
        <w:rPr>
          <w:rFonts w:ascii="Times New Roman" w:hAnsi="Times New Roman" w:cs="Times New Roman"/>
          <w:lang w:val="en-US"/>
        </w:rPr>
        <w:t xml:space="preserve"> </w:t>
      </w:r>
    </w:p>
    <w:p w:rsidR="00611D0A" w:rsidRDefault="00611D0A" w:rsidP="00611D0A">
      <w:pPr>
        <w:spacing w:line="480" w:lineRule="auto"/>
        <w:rPr>
          <w:rFonts w:ascii="Times New Roman" w:hAnsi="Times New Roman" w:cs="Times New Roman"/>
          <w:lang w:val="en-US"/>
        </w:rPr>
      </w:pPr>
      <w:r>
        <w:rPr>
          <w:rFonts w:ascii="Times New Roman" w:hAnsi="Times New Roman" w:cs="Times New Roman"/>
          <w:noProof/>
          <w:lang w:eastAsia="de-DE"/>
        </w:rPr>
        <w:drawing>
          <wp:inline distT="0" distB="0" distL="0" distR="0">
            <wp:extent cx="8437880" cy="41529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png"/>
                    <pic:cNvPicPr/>
                  </pic:nvPicPr>
                  <pic:blipFill rotWithShape="1">
                    <a:blip r:embed="rId31">
                      <a:extLst>
                        <a:ext uri="{28A0092B-C50C-407E-A947-70E740481C1C}">
                          <a14:useLocalDpi xmlns:a14="http://schemas.microsoft.com/office/drawing/2010/main" val="0"/>
                        </a:ext>
                      </a:extLst>
                    </a:blip>
                    <a:srcRect b="23482"/>
                    <a:stretch/>
                  </pic:blipFill>
                  <pic:spPr bwMode="auto">
                    <a:xfrm>
                      <a:off x="0" y="0"/>
                      <a:ext cx="8437880" cy="4152900"/>
                    </a:xfrm>
                    <a:prstGeom prst="rect">
                      <a:avLst/>
                    </a:prstGeom>
                    <a:ln>
                      <a:noFill/>
                    </a:ln>
                    <a:extLst>
                      <a:ext uri="{53640926-AAD7-44D8-BBD7-CCE9431645EC}">
                        <a14:shadowObscured xmlns:a14="http://schemas.microsoft.com/office/drawing/2010/main"/>
                      </a:ext>
                    </a:extLst>
                  </pic:spPr>
                </pic:pic>
              </a:graphicData>
            </a:graphic>
          </wp:inline>
        </w:drawing>
      </w:r>
    </w:p>
    <w:p w:rsidR="00611D0A" w:rsidRPr="00611D0A" w:rsidRDefault="00611D0A" w:rsidP="00611D0A">
      <w:pPr>
        <w:spacing w:after="0" w:line="240" w:lineRule="auto"/>
        <w:rPr>
          <w:rFonts w:ascii="Times New Roman" w:hAnsi="Times New Roman" w:cs="Times New Roman"/>
          <w:lang w:val="en-US"/>
        </w:rPr>
      </w:pPr>
      <w:r w:rsidRPr="00611D0A">
        <w:rPr>
          <w:rFonts w:ascii="Times New Roman" w:hAnsi="Times New Roman" w:cs="Times New Roman"/>
          <w:lang w:val="en-US"/>
        </w:rPr>
        <w:t xml:space="preserve">A 71-year-old male patient underwent gastric resection and cholecystectomy for a gastric cancer. The patient recovered and was discharged from the hospital 19 days after the initial operation. Two months later the patient was readmitted to the hospital with a septic arrosion hemorrhage of the splenic artery. He underwent an immediate surgical focus control but subsequently worsened to septic shock. Meropenem was used as an empiric antibiotic monotherapy. Apart from </w:t>
      </w:r>
      <w:r w:rsidRPr="00611D0A">
        <w:rPr>
          <w:rFonts w:ascii="Times New Roman" w:hAnsi="Times New Roman" w:cs="Times New Roman"/>
          <w:i/>
          <w:lang w:val="en-US"/>
        </w:rPr>
        <w:t>Staphylococcus epidermidis</w:t>
      </w:r>
      <w:r w:rsidRPr="00611D0A">
        <w:rPr>
          <w:rFonts w:ascii="Times New Roman" w:hAnsi="Times New Roman" w:cs="Times New Roman"/>
          <w:lang w:val="en-US"/>
        </w:rPr>
        <w:t>,</w:t>
      </w:r>
      <w:r w:rsidRPr="00611D0A">
        <w:rPr>
          <w:rFonts w:ascii="Times New Roman" w:hAnsi="Times New Roman" w:cs="Times New Roman"/>
          <w:i/>
          <w:lang w:val="en-US"/>
        </w:rPr>
        <w:t xml:space="preserve"> </w:t>
      </w:r>
      <w:r w:rsidRPr="00611D0A">
        <w:rPr>
          <w:rFonts w:ascii="Times New Roman" w:hAnsi="Times New Roman" w:cs="Times New Roman"/>
          <w:lang w:val="en-US"/>
        </w:rPr>
        <w:t xml:space="preserve">which was defined as a potential contamination, no further pathogens were found by culture-based microbiological testings at sepsis onset. Two days later, the patient underwent another surgical revision, and fresh drainage fluid revealed cultural growth of </w:t>
      </w:r>
      <w:r w:rsidRPr="00611D0A">
        <w:rPr>
          <w:rFonts w:ascii="Times New Roman" w:hAnsi="Times New Roman" w:cs="Times New Roman"/>
          <w:i/>
          <w:lang w:val="en-US"/>
        </w:rPr>
        <w:t xml:space="preserve">Enterococcus faecium </w:t>
      </w:r>
      <w:r w:rsidRPr="00611D0A">
        <w:rPr>
          <w:rFonts w:ascii="Times New Roman" w:hAnsi="Times New Roman" w:cs="Times New Roman"/>
          <w:lang w:val="en-US"/>
        </w:rPr>
        <w:t xml:space="preserve">as the only pathogen. Accordingly, vancomycin was added to meropenem in terms of a targeted therapy at day three following sepsis onset. However, NGS-based diagnostics could have led to this antibiotic adjustment three days earlier, since </w:t>
      </w:r>
      <w:r w:rsidRPr="00611D0A">
        <w:rPr>
          <w:rFonts w:ascii="Times New Roman" w:hAnsi="Times New Roman" w:cs="Times New Roman"/>
          <w:i/>
          <w:lang w:val="en-US"/>
        </w:rPr>
        <w:t>Enterococcus faecium</w:t>
      </w:r>
      <w:r w:rsidRPr="00611D0A">
        <w:rPr>
          <w:rFonts w:ascii="Times New Roman" w:hAnsi="Times New Roman" w:cs="Times New Roman"/>
          <w:lang w:val="en-US"/>
        </w:rPr>
        <w:t xml:space="preserve"> was ident</w:t>
      </w:r>
      <w:r w:rsidR="00195A3B">
        <w:rPr>
          <w:rFonts w:ascii="Times New Roman" w:hAnsi="Times New Roman" w:cs="Times New Roman"/>
          <w:lang w:val="en-US"/>
        </w:rPr>
        <w:t>i</w:t>
      </w:r>
      <w:r w:rsidRPr="00611D0A">
        <w:rPr>
          <w:rFonts w:ascii="Times New Roman" w:hAnsi="Times New Roman" w:cs="Times New Roman"/>
          <w:lang w:val="en-US"/>
        </w:rPr>
        <w:t xml:space="preserve">fied already at sepsis onset. Furthermore, blood cultures remained negative for </w:t>
      </w:r>
      <w:r w:rsidRPr="00611D0A">
        <w:rPr>
          <w:rFonts w:ascii="Times New Roman" w:hAnsi="Times New Roman" w:cs="Times New Roman"/>
          <w:i/>
          <w:lang w:val="en-US"/>
        </w:rPr>
        <w:lastRenderedPageBreak/>
        <w:t xml:space="preserve">Enterococcus faecium </w:t>
      </w:r>
      <w:r w:rsidRPr="00611D0A">
        <w:rPr>
          <w:rFonts w:ascii="Times New Roman" w:hAnsi="Times New Roman" w:cs="Times New Roman"/>
          <w:lang w:val="en-US"/>
        </w:rPr>
        <w:t>or any other pathogen</w:t>
      </w:r>
      <w:r w:rsidRPr="00611D0A">
        <w:rPr>
          <w:rFonts w:ascii="Times New Roman" w:hAnsi="Times New Roman" w:cs="Times New Roman"/>
          <w:i/>
          <w:lang w:val="en-US"/>
        </w:rPr>
        <w:t xml:space="preserve"> </w:t>
      </w:r>
      <w:r w:rsidRPr="00611D0A">
        <w:rPr>
          <w:rFonts w:ascii="Times New Roman" w:hAnsi="Times New Roman" w:cs="Times New Roman"/>
          <w:lang w:val="en-US"/>
        </w:rPr>
        <w:t xml:space="preserve">at all time points. The patient recovered well and antibiotic therapy was stopped on day 6 (meropenem) and day 8 (vancomycin) after sepsis onset. Concerning further microbiological findings, </w:t>
      </w:r>
      <w:r w:rsidRPr="00611D0A">
        <w:rPr>
          <w:rFonts w:ascii="Times New Roman" w:hAnsi="Times New Roman" w:cs="Times New Roman"/>
          <w:i/>
          <w:lang w:val="en-US"/>
        </w:rPr>
        <w:t>Candida albicans</w:t>
      </w:r>
      <w:r w:rsidRPr="00611D0A">
        <w:rPr>
          <w:rFonts w:ascii="Times New Roman" w:hAnsi="Times New Roman" w:cs="Times New Roman"/>
          <w:lang w:val="en-US"/>
        </w:rPr>
        <w:t xml:space="preserve"> could be isolated from urine 13 days after sepsis onset. Since no further cultural growth of </w:t>
      </w:r>
      <w:r w:rsidRPr="00611D0A">
        <w:rPr>
          <w:rFonts w:ascii="Times New Roman" w:hAnsi="Times New Roman" w:cs="Times New Roman"/>
          <w:i/>
          <w:lang w:val="en-US"/>
        </w:rPr>
        <w:t>Candida</w:t>
      </w:r>
      <w:r w:rsidRPr="00611D0A">
        <w:rPr>
          <w:rFonts w:ascii="Times New Roman" w:hAnsi="Times New Roman" w:cs="Times New Roman"/>
          <w:lang w:val="en-US"/>
        </w:rPr>
        <w:t xml:space="preserve"> spp. could be observed after removal of the still indwelling urine catheter, this finding was defined to be fungal colonization; accordingly no antifungals were administered. The patient was discharged from the ICU in stable condition at 21 days after sepsis onset and was able to leave the hospital in healthy condition at 58 days after sepsis onset.</w:t>
      </w:r>
    </w:p>
    <w:p w:rsidR="00897673" w:rsidRDefault="00897673">
      <w:pPr>
        <w:rPr>
          <w:rFonts w:ascii="Arial" w:hAnsi="Arial" w:cs="Arial"/>
          <w:lang w:val="en-US"/>
        </w:rPr>
        <w:sectPr w:rsidR="00897673" w:rsidSect="00897673">
          <w:pgSz w:w="15840" w:h="12240" w:orient="landscape" w:code="1"/>
          <w:pgMar w:top="1418" w:right="1418" w:bottom="1418" w:left="1134" w:header="709" w:footer="709" w:gutter="0"/>
          <w:cols w:space="708"/>
          <w:docGrid w:linePitch="360"/>
        </w:sectPr>
      </w:pPr>
    </w:p>
    <w:p w:rsidR="00BB37BB" w:rsidRPr="00B2296C" w:rsidRDefault="00BB37BB" w:rsidP="00B2296C">
      <w:pPr>
        <w:spacing w:line="240" w:lineRule="auto"/>
        <w:rPr>
          <w:rFonts w:ascii="Times New Roman" w:hAnsi="Times New Roman" w:cs="Times New Roman"/>
          <w:b/>
          <w:lang w:val="en-US"/>
        </w:rPr>
      </w:pPr>
      <w:bookmarkStart w:id="0" w:name="_GoBack"/>
      <w:bookmarkEnd w:id="0"/>
      <w:r w:rsidRPr="00B2296C">
        <w:rPr>
          <w:rFonts w:ascii="Times New Roman" w:hAnsi="Times New Roman" w:cs="Times New Roman"/>
          <w:b/>
          <w:lang w:val="en-US"/>
        </w:rPr>
        <w:lastRenderedPageBreak/>
        <w:t>Table S</w:t>
      </w:r>
      <w:r w:rsidR="00F2746A">
        <w:rPr>
          <w:rFonts w:ascii="Times New Roman" w:hAnsi="Times New Roman" w:cs="Times New Roman"/>
          <w:b/>
          <w:lang w:val="en-US"/>
        </w:rPr>
        <w:t>1</w:t>
      </w:r>
      <w:r w:rsidR="00316A76">
        <w:rPr>
          <w:rFonts w:ascii="Times New Roman" w:hAnsi="Times New Roman" w:cs="Times New Roman"/>
          <w:b/>
          <w:lang w:val="en-US"/>
        </w:rPr>
        <w:t>.</w:t>
      </w:r>
      <w:r w:rsidRPr="00B2296C">
        <w:rPr>
          <w:rFonts w:ascii="Times New Roman" w:hAnsi="Times New Roman" w:cs="Times New Roman"/>
          <w:b/>
          <w:lang w:val="en-US"/>
        </w:rPr>
        <w:t xml:space="preserve"> Complete list of species, SIQ scores, normalized abundance of reads sorted by patient and time point after application of the decision tree exclusion of species.</w:t>
      </w:r>
    </w:p>
    <w:tbl>
      <w:tblPr>
        <w:tblW w:w="10434" w:type="dxa"/>
        <w:tblCellMar>
          <w:left w:w="70" w:type="dxa"/>
          <w:right w:w="70" w:type="dxa"/>
        </w:tblCellMar>
        <w:tblLook w:val="04A0" w:firstRow="1" w:lastRow="0" w:firstColumn="1" w:lastColumn="0" w:noHBand="0" w:noVBand="1"/>
      </w:tblPr>
      <w:tblGrid>
        <w:gridCol w:w="1160"/>
        <w:gridCol w:w="1160"/>
        <w:gridCol w:w="4600"/>
        <w:gridCol w:w="1160"/>
        <w:gridCol w:w="1194"/>
        <w:gridCol w:w="1160"/>
      </w:tblGrid>
      <w:tr w:rsidR="00BB37BB" w:rsidRPr="00316A76" w:rsidTr="00C77E69">
        <w:trPr>
          <w:trHeight w:val="375"/>
        </w:trPr>
        <w:tc>
          <w:tcPr>
            <w:tcW w:w="1160" w:type="dxa"/>
            <w:tcBorders>
              <w:top w:val="nil"/>
              <w:left w:val="nil"/>
              <w:bottom w:val="single" w:sz="4" w:space="0" w:color="auto"/>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b/>
                <w:bCs/>
                <w:color w:val="000000"/>
                <w:sz w:val="22"/>
                <w:lang w:val="en-US" w:eastAsia="de-DE"/>
              </w:rPr>
            </w:pPr>
            <w:r w:rsidRPr="00316A76">
              <w:rPr>
                <w:rFonts w:ascii="Calibri" w:eastAsia="Times New Roman" w:hAnsi="Calibri" w:cs="Calibri"/>
                <w:b/>
                <w:bCs/>
                <w:color w:val="000000"/>
                <w:sz w:val="22"/>
                <w:lang w:val="en-US" w:eastAsia="de-DE"/>
              </w:rPr>
              <w:t>Remark</w:t>
            </w:r>
          </w:p>
        </w:tc>
        <w:tc>
          <w:tcPr>
            <w:tcW w:w="1160" w:type="dxa"/>
            <w:tcBorders>
              <w:top w:val="nil"/>
              <w:left w:val="nil"/>
              <w:bottom w:val="single" w:sz="4" w:space="0" w:color="auto"/>
              <w:right w:val="nil"/>
            </w:tcBorders>
            <w:shd w:val="clear" w:color="000000" w:fill="FFFFFF"/>
            <w:noWrap/>
            <w:vAlign w:val="bottom"/>
            <w:hideMark/>
          </w:tcPr>
          <w:p w:rsidR="00BB37BB" w:rsidRPr="00316A76" w:rsidRDefault="00BB37BB" w:rsidP="00231860">
            <w:pPr>
              <w:spacing w:after="0" w:line="240" w:lineRule="auto"/>
              <w:rPr>
                <w:rFonts w:ascii="Calibri" w:eastAsia="Times New Roman" w:hAnsi="Calibri" w:cs="Calibri"/>
                <w:b/>
                <w:bCs/>
                <w:color w:val="000000"/>
                <w:sz w:val="22"/>
                <w:lang w:val="en-US" w:eastAsia="de-DE"/>
              </w:rPr>
            </w:pPr>
            <w:r w:rsidRPr="00316A76">
              <w:rPr>
                <w:rFonts w:ascii="Calibri" w:eastAsia="Times New Roman" w:hAnsi="Calibri" w:cs="Calibri"/>
                <w:b/>
                <w:bCs/>
                <w:color w:val="000000"/>
                <w:sz w:val="22"/>
                <w:lang w:val="en-US" w:eastAsia="de-DE"/>
              </w:rPr>
              <w:t>Patient</w:t>
            </w:r>
          </w:p>
        </w:tc>
        <w:tc>
          <w:tcPr>
            <w:tcW w:w="4600" w:type="dxa"/>
            <w:tcBorders>
              <w:top w:val="nil"/>
              <w:left w:val="nil"/>
              <w:bottom w:val="single" w:sz="4" w:space="0" w:color="auto"/>
              <w:right w:val="nil"/>
            </w:tcBorders>
            <w:shd w:val="clear" w:color="000000" w:fill="FFFFFF"/>
            <w:noWrap/>
            <w:vAlign w:val="bottom"/>
            <w:hideMark/>
          </w:tcPr>
          <w:p w:rsidR="00BB37BB" w:rsidRPr="00316A76" w:rsidRDefault="00BB37BB" w:rsidP="00231860">
            <w:pPr>
              <w:spacing w:after="0" w:line="240" w:lineRule="auto"/>
              <w:rPr>
                <w:rFonts w:ascii="Calibri" w:eastAsia="Times New Roman" w:hAnsi="Calibri" w:cs="Calibri"/>
                <w:b/>
                <w:bCs/>
                <w:color w:val="000000"/>
                <w:sz w:val="22"/>
                <w:lang w:val="en-US" w:eastAsia="de-DE"/>
              </w:rPr>
            </w:pPr>
            <w:r w:rsidRPr="00316A76">
              <w:rPr>
                <w:rFonts w:ascii="Calibri" w:eastAsia="Times New Roman" w:hAnsi="Calibri" w:cs="Calibri"/>
                <w:b/>
                <w:bCs/>
                <w:color w:val="000000"/>
                <w:sz w:val="22"/>
                <w:lang w:val="en-US" w:eastAsia="de-DE"/>
              </w:rPr>
              <w:t>Species</w:t>
            </w:r>
          </w:p>
        </w:tc>
        <w:tc>
          <w:tcPr>
            <w:tcW w:w="1160" w:type="dxa"/>
            <w:tcBorders>
              <w:top w:val="nil"/>
              <w:left w:val="nil"/>
              <w:bottom w:val="single" w:sz="4" w:space="0" w:color="auto"/>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b/>
                <w:bCs/>
                <w:color w:val="000000"/>
                <w:sz w:val="22"/>
                <w:lang w:val="en-US" w:eastAsia="de-DE"/>
              </w:rPr>
            </w:pPr>
            <w:r w:rsidRPr="00316A76">
              <w:rPr>
                <w:rFonts w:ascii="Calibri" w:eastAsia="Times New Roman" w:hAnsi="Calibri" w:cs="Calibri"/>
                <w:b/>
                <w:bCs/>
                <w:color w:val="000000"/>
                <w:sz w:val="22"/>
                <w:lang w:val="en-US" w:eastAsia="de-DE"/>
              </w:rPr>
              <w:t>SIQ score</w:t>
            </w:r>
          </w:p>
        </w:tc>
        <w:tc>
          <w:tcPr>
            <w:tcW w:w="1194" w:type="dxa"/>
            <w:tcBorders>
              <w:top w:val="nil"/>
              <w:left w:val="nil"/>
              <w:bottom w:val="single" w:sz="4" w:space="0" w:color="auto"/>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b/>
                <w:bCs/>
                <w:color w:val="000000"/>
                <w:sz w:val="22"/>
                <w:lang w:val="en-US" w:eastAsia="de-DE"/>
              </w:rPr>
            </w:pPr>
            <w:r w:rsidRPr="00316A76">
              <w:rPr>
                <w:rFonts w:ascii="Calibri" w:eastAsia="Times New Roman" w:hAnsi="Calibri" w:cs="Calibri"/>
                <w:b/>
                <w:bCs/>
                <w:color w:val="000000"/>
                <w:sz w:val="22"/>
                <w:lang w:val="en-US" w:eastAsia="de-DE"/>
              </w:rPr>
              <w:t>Normalized Reads</w:t>
            </w:r>
          </w:p>
        </w:tc>
        <w:tc>
          <w:tcPr>
            <w:tcW w:w="1160" w:type="dxa"/>
            <w:tcBorders>
              <w:top w:val="nil"/>
              <w:left w:val="nil"/>
              <w:bottom w:val="single" w:sz="4" w:space="0" w:color="auto"/>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b/>
                <w:bCs/>
                <w:color w:val="000000"/>
                <w:sz w:val="22"/>
                <w:lang w:val="en-US" w:eastAsia="de-DE"/>
              </w:rPr>
            </w:pPr>
            <w:r w:rsidRPr="00316A76">
              <w:rPr>
                <w:rFonts w:ascii="Calibri" w:eastAsia="Times New Roman" w:hAnsi="Calibri" w:cs="Calibri"/>
                <w:b/>
                <w:bCs/>
                <w:color w:val="000000"/>
                <w:sz w:val="22"/>
                <w:lang w:val="en-US" w:eastAsia="de-DE"/>
              </w:rPr>
              <w:t>P-value</w:t>
            </w:r>
          </w:p>
        </w:tc>
      </w:tr>
      <w:tr w:rsidR="00BB37BB" w:rsidRPr="00316A76" w:rsidTr="00C77E69">
        <w:trPr>
          <w:trHeight w:val="300"/>
        </w:trPr>
        <w:tc>
          <w:tcPr>
            <w:tcW w:w="116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a, b</w:t>
            </w:r>
          </w:p>
        </w:tc>
        <w:tc>
          <w:tcPr>
            <w:tcW w:w="116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S01_T1</w:t>
            </w:r>
          </w:p>
        </w:tc>
        <w:tc>
          <w:tcPr>
            <w:tcW w:w="460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rPr>
                <w:rFonts w:ascii="Calibri" w:eastAsia="Times New Roman" w:hAnsi="Calibri" w:cs="Calibri"/>
                <w:i/>
                <w:iCs/>
                <w:color w:val="000000"/>
                <w:sz w:val="22"/>
                <w:lang w:val="en-US" w:eastAsia="de-DE"/>
              </w:rPr>
            </w:pPr>
            <w:r w:rsidRPr="00316A76">
              <w:rPr>
                <w:rFonts w:ascii="Calibri" w:eastAsia="Times New Roman" w:hAnsi="Calibri" w:cs="Calibri"/>
                <w:i/>
                <w:iCs/>
                <w:color w:val="000000"/>
                <w:sz w:val="22"/>
                <w:lang w:val="en-US" w:eastAsia="de-DE"/>
              </w:rPr>
              <w:t>Pseudomonas stutzeri</w:t>
            </w:r>
          </w:p>
        </w:tc>
        <w:tc>
          <w:tcPr>
            <w:tcW w:w="116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25919</w:t>
            </w:r>
          </w:p>
        </w:tc>
        <w:tc>
          <w:tcPr>
            <w:tcW w:w="1194"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266</w:t>
            </w:r>
          </w:p>
        </w:tc>
        <w:tc>
          <w:tcPr>
            <w:tcW w:w="116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4.79E-98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jc w:val="center"/>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a, b</w:t>
            </w:r>
          </w:p>
        </w:tc>
        <w:tc>
          <w:tcPr>
            <w:tcW w:w="1160" w:type="dxa"/>
            <w:tcBorders>
              <w:top w:val="nil"/>
              <w:left w:val="nil"/>
              <w:bottom w:val="nil"/>
              <w:right w:val="nil"/>
            </w:tcBorders>
            <w:shd w:val="clear" w:color="000000" w:fill="FFFFFF"/>
            <w:noWrap/>
            <w:vAlign w:val="bottom"/>
            <w:hideMark/>
          </w:tcPr>
          <w:p w:rsidR="00BB37BB" w:rsidRPr="00316A76" w:rsidRDefault="00BB37BB" w:rsidP="00231860">
            <w:pPr>
              <w:spacing w:after="0" w:line="240" w:lineRule="auto"/>
              <w:rPr>
                <w:rFonts w:ascii="Calibri" w:eastAsia="Times New Roman" w:hAnsi="Calibri" w:cs="Calibri"/>
                <w:color w:val="000000"/>
                <w:sz w:val="22"/>
                <w:lang w:val="en-US" w:eastAsia="de-DE"/>
              </w:rPr>
            </w:pPr>
            <w:r w:rsidRPr="00316A76">
              <w:rPr>
                <w:rFonts w:ascii="Calibri" w:eastAsia="Times New Roman" w:hAnsi="Calibri" w:cs="Calibri"/>
                <w:color w:val="000000"/>
                <w:sz w:val="22"/>
                <w:lang w:val="en-US" w:eastAsia="de-DE"/>
              </w:rPr>
              <w:t>S01_T3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316A76">
              <w:rPr>
                <w:rFonts w:ascii="Calibri" w:eastAsia="Times New Roman" w:hAnsi="Calibri" w:cs="Calibri"/>
                <w:i/>
                <w:iCs/>
                <w:color w:val="000000"/>
                <w:sz w:val="22"/>
                <w:lang w:val="en-US" w:eastAsia="de-DE"/>
              </w:rPr>
              <w:t>Esc</w:t>
            </w:r>
            <w:r w:rsidRPr="00D23C4B">
              <w:rPr>
                <w:rFonts w:ascii="Calibri" w:eastAsia="Times New Roman" w:hAnsi="Calibri" w:cs="Calibri"/>
                <w:i/>
                <w:iCs/>
                <w:color w:val="000000"/>
                <w:sz w:val="22"/>
                <w:lang w:eastAsia="de-DE"/>
              </w:rPr>
              <w:t>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4.68E-15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S01_T4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13534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1.41E-104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S01_T5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39384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3.50E-196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S01_T6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14837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1.45E-110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S01_T6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Gordonia bronchialis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883</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5.42E-32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28193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3.92E-161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6173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3.69E-65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4.10E-30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Candida albicans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4.55E-03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1183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4.02E-39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Micrococcus luteus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5391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2.44E-61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1730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2.24E-45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1428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3.79E-33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Corynebacterium jeikeium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1246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1.57E-52</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S02_T6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1425</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8.43E-41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7.05E-26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2605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2.55E-79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139591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Micrococcus luteus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4761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4.07E-57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10111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2.39E-162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40838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6336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1.98E-136</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S03_T4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546</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1.13E-23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911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5.72E-49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3575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53612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Anaerococcus prevotii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1.54E-30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129282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12534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76070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261357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850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994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1.33E-42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579015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1882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1.38E-29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1081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7.22E-35</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S05_T4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705</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1.09E-21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S06_T0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Raoultella ornithinolytica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47496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4.78E-296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S06_T1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Raoultella ornithinolytica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15585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5.48E-160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S06_T1</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885</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1.11E-24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Streptococcus intermedius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1.56E-105</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S07_T2</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Veillonella parvula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415</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8.14E-20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S08_T6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1364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2.05E-42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S08_T6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2.04E-33</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S08_T6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aureus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270</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3.24E-17</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S09_T4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1225</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7.53E-53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S10_T0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349453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1136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S10_T1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294390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S10_T2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552735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1797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S10_T3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38260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S10_T4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13443</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1.89E-189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S11_T2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1.39E-23</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S11_T3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97630</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317</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1323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7.45E-61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4135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9.74E-98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2312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9.27E-36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3.14E-28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S12_T2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6B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7.16E-15</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S12_T6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207</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2.51E-21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11470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2.49E-174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72000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5030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14007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1.31E-208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27916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88444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4147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Acidaminococcus intestini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128870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70086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36820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3342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3.96E-98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9011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S13_T6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3554</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4.68E-93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5267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3368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3.56E-70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3.72E-43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3452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4.69E-42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47290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8.73E-302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4.34E-29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4.69E-42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749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3.03E-40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21598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1.13E-195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790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4.73E-46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2.36E-35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4014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1.53E-77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31950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Odoribacter splanchnicus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3883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S14_T5</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2054</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4.01E-76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9903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3.43E-174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5.20E-22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1491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7.12E-64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7894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S15_T3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30313</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99</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casseliflavus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4080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6.03E-104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3411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1.21E-92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4158304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13516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Citrobacter koseri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3711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3.34E-90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casseliflavus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7786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9.48E-147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8295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4.03E-148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6154524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20005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casseliflavus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915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8.94E-47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1146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1.02E-51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3001395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9756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67127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Candida albicans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3897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7.50E-56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2649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2.55E-79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6281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3.36E-137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Candida albicans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5.72E-13</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S16_T6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cloacae</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10417</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2.06E-61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1.92E-37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Prevotella denticola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3.32E-21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2.75E-40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S17_T4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4471</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84</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7.88E-54</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S20_T3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3953</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7.38E-50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120058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4.78E-10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1458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3.79E-33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9957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4.09E-87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Methylobacterium radiotolerans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8477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2.92E-149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7343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1.17E-72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9.33E-28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9.37E-20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49057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1.00E-222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2276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1.28E-71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8347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4.57E-158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aerogenes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68717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1608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8.05E-29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Acinetobacter baumannii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836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6.46E-14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2489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1.31E-76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1818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6.35E-47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1137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7.87E-29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7552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9.59E-74</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S21_T6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591</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5.10E-25</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S22_T1</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271</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1.39E-23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1246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7.47E-58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8.70E-33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343494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Odoribacter splanchnicus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5369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Tannerella forsythia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2.99E-23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26438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2.72E-289</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S23_T2</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326</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1.61E-28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cloacae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37753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2.14E-140</w:t>
            </w:r>
          </w:p>
        </w:tc>
      </w:tr>
      <w:tr w:rsidR="00BB37BB" w:rsidRPr="00D23C4B" w:rsidTr="00C77E69">
        <w:trPr>
          <w:trHeight w:val="300"/>
        </w:trPr>
        <w:tc>
          <w:tcPr>
            <w:tcW w:w="1160" w:type="dxa"/>
            <w:tcBorders>
              <w:top w:val="nil"/>
              <w:left w:val="nil"/>
              <w:bottom w:val="nil"/>
              <w:right w:val="nil"/>
            </w:tcBorders>
            <w:shd w:val="clear" w:color="auto" w:fill="auto"/>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auto" w:fill="auto"/>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S24_T2</w:t>
            </w:r>
          </w:p>
        </w:tc>
        <w:tc>
          <w:tcPr>
            <w:tcW w:w="4600" w:type="dxa"/>
            <w:tcBorders>
              <w:top w:val="nil"/>
              <w:left w:val="nil"/>
              <w:bottom w:val="nil"/>
              <w:right w:val="nil"/>
            </w:tcBorders>
            <w:shd w:val="clear" w:color="auto" w:fill="auto"/>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cloacae</w:t>
            </w:r>
          </w:p>
        </w:tc>
        <w:tc>
          <w:tcPr>
            <w:tcW w:w="1160" w:type="dxa"/>
            <w:tcBorders>
              <w:top w:val="nil"/>
              <w:left w:val="nil"/>
              <w:bottom w:val="nil"/>
              <w:right w:val="nil"/>
            </w:tcBorders>
            <w:shd w:val="clear" w:color="auto" w:fill="auto"/>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14122</w:t>
            </w:r>
          </w:p>
        </w:tc>
        <w:tc>
          <w:tcPr>
            <w:tcW w:w="1194" w:type="dxa"/>
            <w:tcBorders>
              <w:top w:val="nil"/>
              <w:left w:val="nil"/>
              <w:bottom w:val="nil"/>
              <w:right w:val="nil"/>
            </w:tcBorders>
            <w:shd w:val="clear" w:color="auto" w:fill="auto"/>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190</w:t>
            </w:r>
          </w:p>
        </w:tc>
        <w:tc>
          <w:tcPr>
            <w:tcW w:w="1160" w:type="dxa"/>
            <w:tcBorders>
              <w:top w:val="nil"/>
              <w:left w:val="nil"/>
              <w:bottom w:val="nil"/>
              <w:right w:val="nil"/>
            </w:tcBorders>
            <w:shd w:val="clear" w:color="auto" w:fill="auto"/>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5.32E-75</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S24_T3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991</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9.49E-48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1.38E-29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gasseri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5.03E-36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795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2.32E-38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840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1.48E-30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1067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9.42E-45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Comamonas testosteroni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2.69E-13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Gordonia bronchialis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3.00E-26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1760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3.73E-49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gasseri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2477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1.54E-82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2289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3.23E-53</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S25_T3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548</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8.29E-19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S26_T0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26174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1.41E-154</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S26_T1</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6B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114</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4.90E-12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108909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31301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9.45E-172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1.48E-30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932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1.06E-25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41127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1391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2.45E-26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78458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2882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3.07E-41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1174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2.48E-36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haemolyticus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6.69E-09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52692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842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2.53E-19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12389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9.25E-195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8607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1.26E-160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S27_T6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379</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7.66E-32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4.30E-26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1.61E-28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55134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3.38E-37</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S29_T0</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10479</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5.72E-49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159398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1.26E-34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117077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191274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156229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80580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3347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5.16E-45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55737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664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2.22E-26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57177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10632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1.53E-90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S30_T5</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333</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6.83E-29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105725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59177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1.59E-248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851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1.48E-30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1931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4.90E-73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2781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2.60E-40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4.83E-25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1123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3.90E-23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1.54E-26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772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3.78E-29</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S32_T3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548</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8.29E-19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Akkermansia muciniphila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233619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Alistipes finegoldii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9093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2.07E-147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48178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5018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46422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31116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adolescentis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79045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bifidum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36888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longum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12725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6.14E-165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Clostridium saccharolyticum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5270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1288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3.31E-59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38143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Roseburia hominis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6775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aureus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1.37E-14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epidermidis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174901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haemolyticus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3.91E-11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Akkermansia muciniphila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340575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1107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Alistipes finegoldii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21244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1.36E-233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89598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5396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59642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36432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adolescentis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124409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bifidum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60721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longum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46686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Candidatus Methanomassiliicoccus intestinalis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6208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Clostridium saccharolyticum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5938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Eggerthella lenta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4316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1.31E-47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70166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Roseburia hominis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11875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Akkermansia muciniphila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333868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1085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Alistipes finegoldii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7.11E-104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60961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4630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48615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26297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2.72E-289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adolescentis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117806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bifidum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76907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longum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48098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Candidatus Methanomassiliicoccus intestinalis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4372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Clostridium saccharolyticum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3344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Eggerthella lenta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4889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440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1.26E-33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64047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Roseburia hominis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10802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Akkermansia muciniphila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8171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adolescentis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4914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5.37E-121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longum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3.31E-24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7541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46166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S33_T4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Micrococcus luteus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538</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5.29E-15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8.70E-33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1.94E-16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Eggerthella lenta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29804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2.01E-166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Parabacteroides distasonis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9463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S34_T4</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epidermidis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11125</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170</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2.76E-66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25034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1.73E-31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1700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4.20E-68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38054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17890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7700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3.91E-142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10143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2.39E-162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964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1.77E-50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29355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1.53E-306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Lactococcus lactis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3.93E-04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14629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6530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2.96E-130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9807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2.28E-159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Faecalibacterium prausnitzii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6.53E-31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16669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2.34E-228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140139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1.60E-29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3219364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10464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Rothia dentocariosa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78728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Rothia mucilaginosa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2.22E-08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lugdunensis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6.55E-24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2083021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6771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825789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2684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S35_T6</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aeruginosa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5328</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271</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2.04E-20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2.27E-31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parainfluenzae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810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2.10E-31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brevis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8820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delbrueckii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3706288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12047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plantarum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2.49E-52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Lactococcus lactis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711961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Rothia mucilaginosa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1698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5.41E-44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aureus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223780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727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pasteuri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1.96E-13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Streptococcus mitis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2.03E-60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S37_T3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Acidianus bottle-shaped virus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589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1.08E-25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S38_T1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2800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4.81E-82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S38_T2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1.87E-118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S38_T3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8.69E-38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3057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8.91E-67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335455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1090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95843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xylanisolvens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41933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111512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Odoribacter splanchnicus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3224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aeruginosa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9583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8.73E-32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1482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7.12E-64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aeruginosa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20780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3.44E-56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794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4.73E-46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aeruginosa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30966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7.44E-75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Acinetobacter baumannii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5.84E-13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17738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1.32E-236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3.83E-32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Burkholderia multivorans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1.74E-29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cloacae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3047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4.30E-27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1079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1.70E-37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1621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7.71E-44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S39_T3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821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1.14E-23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Acidianus bottle-shaped virus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2.54E-11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190280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2.27E-31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4846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4.68E-15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20785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S41_T3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40890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animalis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6156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6.08E-33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2899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3.07E-41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4817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2.56E-85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fermentum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2.26E-35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warneri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5.33E-10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16469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animalis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21822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3755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7.74E-96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14306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3.68E-108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42996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2.67E-286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Lactobacillus fermentum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1.00E-29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Veillonella parvula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6.40E-25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Bifidobacterium animalis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32885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425641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1384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572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3.83E-32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1.97E-101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2.22E-26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749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1.13E-22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S42_T6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Rothia dentocariosa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2.18E-05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S43_T0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152571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S43_T1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24822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2.24E-149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Acidianus bottle-shaped virus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8.09E-19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157201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parainfluenzae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1.46E-22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807579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2625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parainfluenzae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10283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9.80E-129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1336769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4345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parainfluenzae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1301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8.07E-41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4.17E-64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19691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1.21E-229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707306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2299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52326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13019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3.34E-102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5462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3.97E-115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epidermidis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6534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7.96E-47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fragilis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481962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1567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129269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4380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3.03E-104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Haemophilus influenzae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7552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9.16E-138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S44_T6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42687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S45_T1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9.37E-20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S45_T2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1.14E-23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S45_T3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Serratia liquefaciens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7.27E-28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2483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1.46E-37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80579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2.54E-297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Lactococcus lactis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8.13E-03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43013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1858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2.27E-31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63592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207</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60399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1.99E-251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Gordonia bronchialis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4175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8.27E-76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1.03E-20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Achromobacter xylosoxidans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4.96E-02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Enterococcus faecium</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3372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2.76E-90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5224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6.58E-59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Gardnerella vaginalis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3496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3.58E-76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Kocuria rhizophila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16202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1.47E-160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S46_T6</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Micrococcus luteus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99793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10503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1064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2.35E-22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Serratia liquefaciens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7.27E-28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Akkermansia muciniphila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5418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16256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2.69E-28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2120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5.53E-34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Serratia liquefaciens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2.36E-19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Akkermansia muciniphila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5467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thetaiotaomicron</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14687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S47_T2</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338</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4.30E-26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aerogenes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5081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1.37E-105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Serratia liquefaciens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2.36E-19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Acinetobacter baumannii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1031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6.59E-16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Bordetella petrii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663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3.40E-34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Enterobacter aerogenes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2.55E-36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4013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3.96E-107</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2277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3.23E-53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S48_T4</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766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1.13E-22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1185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2.3E-29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Acinetobacter baumannii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507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8.9E-10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S48_T5</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1086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2.6E-54</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S48_T5</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1141</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6.9E-36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170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1.3E-13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7810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1.5E-111</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1106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1.5E-22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3672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3.6E-73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S49_T1</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58051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189</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817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8.3E-19</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oxytoca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4325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1.5E-80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15155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1.6E-160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Serratia liquefaciens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460</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7.6E-30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aureus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139</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6.6E-12</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Streptococcus anginosus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1493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26</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3.2E-58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Klebsiella pneumoniae</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511</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9.6E-25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525</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2.3E-23</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S49_T3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Salmonella enterica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863</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3.2E-24</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S50_T0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Bacteroides vulgatus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1606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1.3E-58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S50_T0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1984</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2.3E-32</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S50_T0</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Proteus mirabilis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3710</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12</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S51_T0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Proteus mirabilis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4166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14</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S51_T1</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Proteus mirabilis</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6538</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21</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0.0E+00</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Alistipes finegoldii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327</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13</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2.50E-25</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S52_T0</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Methanosaeta concilii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232</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6.4E-23</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S52_T2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Staphylococcus aureus</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308</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18</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2.49E-18</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 </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S52_T3</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Human herpesvirus 1</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323583</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1052</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0.0E+00</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S52_T3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Pseudomonas mendocina</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641</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4.9E-26</w:t>
            </w:r>
          </w:p>
        </w:tc>
      </w:tr>
      <w:tr w:rsidR="00BB37BB" w:rsidRPr="00D23C4B" w:rsidTr="00C77E69">
        <w:trPr>
          <w:trHeight w:val="300"/>
        </w:trPr>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lastRenderedPageBreak/>
              <w:t>a, b</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S53_T2</w:t>
            </w:r>
          </w:p>
        </w:tc>
        <w:tc>
          <w:tcPr>
            <w:tcW w:w="460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3176</w:t>
            </w:r>
          </w:p>
        </w:tc>
        <w:tc>
          <w:tcPr>
            <w:tcW w:w="1194"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75</w:t>
            </w:r>
          </w:p>
        </w:tc>
        <w:tc>
          <w:tcPr>
            <w:tcW w:w="1160" w:type="dxa"/>
            <w:tcBorders>
              <w:top w:val="nil"/>
              <w:left w:val="nil"/>
              <w:bottom w:val="nil"/>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3.8E-43</w:t>
            </w:r>
          </w:p>
        </w:tc>
      </w:tr>
      <w:tr w:rsidR="00BB37BB" w:rsidRPr="00D23C4B" w:rsidTr="00C77E69">
        <w:trPr>
          <w:trHeight w:val="300"/>
        </w:trPr>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a, b</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S53_T3</w:t>
            </w:r>
          </w:p>
        </w:tc>
        <w:tc>
          <w:tcPr>
            <w:tcW w:w="460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rPr>
                <w:rFonts w:ascii="Calibri" w:eastAsia="Times New Roman" w:hAnsi="Calibri" w:cs="Calibri"/>
                <w:i/>
                <w:iCs/>
                <w:color w:val="000000"/>
                <w:sz w:val="22"/>
                <w:lang w:eastAsia="de-DE"/>
              </w:rPr>
            </w:pPr>
            <w:r w:rsidRPr="00D23C4B">
              <w:rPr>
                <w:rFonts w:ascii="Calibri" w:eastAsia="Times New Roman" w:hAnsi="Calibri" w:cs="Calibri"/>
                <w:i/>
                <w:iCs/>
                <w:color w:val="000000"/>
                <w:sz w:val="22"/>
                <w:lang w:eastAsia="de-DE"/>
              </w:rPr>
              <w:t>Escherichia coli</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37137</w:t>
            </w:r>
          </w:p>
        </w:tc>
        <w:tc>
          <w:tcPr>
            <w:tcW w:w="1194"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197</w:t>
            </w:r>
          </w:p>
        </w:tc>
        <w:tc>
          <w:tcPr>
            <w:tcW w:w="1160" w:type="dxa"/>
            <w:tcBorders>
              <w:top w:val="nil"/>
              <w:left w:val="nil"/>
              <w:bottom w:val="single" w:sz="4" w:space="0" w:color="auto"/>
              <w:right w:val="nil"/>
            </w:tcBorders>
            <w:shd w:val="clear" w:color="000000" w:fill="FFFFFF"/>
            <w:noWrap/>
            <w:vAlign w:val="bottom"/>
            <w:hideMark/>
          </w:tcPr>
          <w:p w:rsidR="00BB37BB" w:rsidRPr="00D23C4B" w:rsidRDefault="00BB37BB" w:rsidP="00231860">
            <w:pPr>
              <w:spacing w:after="0" w:line="240" w:lineRule="auto"/>
              <w:jc w:val="center"/>
              <w:rPr>
                <w:rFonts w:ascii="Calibri" w:eastAsia="Times New Roman" w:hAnsi="Calibri" w:cs="Calibri"/>
                <w:color w:val="000000"/>
                <w:sz w:val="22"/>
                <w:lang w:eastAsia="de-DE"/>
              </w:rPr>
            </w:pPr>
            <w:r w:rsidRPr="00D23C4B">
              <w:rPr>
                <w:rFonts w:ascii="Calibri" w:eastAsia="Times New Roman" w:hAnsi="Calibri" w:cs="Calibri"/>
                <w:color w:val="000000"/>
                <w:sz w:val="22"/>
                <w:lang w:eastAsia="de-DE"/>
              </w:rPr>
              <w:t>2.5E-189</w:t>
            </w:r>
          </w:p>
        </w:tc>
      </w:tr>
    </w:tbl>
    <w:p w:rsidR="00C77E69" w:rsidRDefault="00C77E69" w:rsidP="00C77E69">
      <w:pPr>
        <w:spacing w:line="240" w:lineRule="auto"/>
        <w:rPr>
          <w:rFonts w:ascii="Times New Roman" w:hAnsi="Times New Roman" w:cs="Times New Roman"/>
          <w:b/>
          <w:lang w:val="en-US"/>
        </w:rPr>
      </w:pPr>
    </w:p>
    <w:p w:rsidR="00C77E69" w:rsidRDefault="00C77E69">
      <w:pPr>
        <w:rPr>
          <w:rFonts w:ascii="Times New Roman" w:hAnsi="Times New Roman" w:cs="Times New Roman"/>
          <w:b/>
          <w:lang w:val="en-US"/>
        </w:rPr>
      </w:pPr>
      <w:r>
        <w:rPr>
          <w:rFonts w:ascii="Times New Roman" w:hAnsi="Times New Roman" w:cs="Times New Roman"/>
          <w:b/>
          <w:lang w:val="en-US"/>
        </w:rPr>
        <w:br w:type="page"/>
      </w:r>
    </w:p>
    <w:p w:rsidR="00C77E69" w:rsidRDefault="00C77E69" w:rsidP="00C77E69">
      <w:pPr>
        <w:spacing w:line="240" w:lineRule="auto"/>
        <w:rPr>
          <w:rFonts w:ascii="Times New Roman" w:hAnsi="Times New Roman" w:cs="Times New Roman"/>
          <w:b/>
          <w:lang w:val="en-US"/>
        </w:rPr>
      </w:pPr>
      <w:r w:rsidRPr="00B2296C">
        <w:rPr>
          <w:rFonts w:ascii="Times New Roman" w:hAnsi="Times New Roman" w:cs="Times New Roman"/>
          <w:b/>
          <w:lang w:val="en-US"/>
        </w:rPr>
        <w:lastRenderedPageBreak/>
        <w:t>Table S</w:t>
      </w:r>
      <w:r w:rsidR="00F2746A">
        <w:rPr>
          <w:rFonts w:ascii="Times New Roman" w:hAnsi="Times New Roman" w:cs="Times New Roman"/>
          <w:b/>
          <w:lang w:val="en-US"/>
        </w:rPr>
        <w:t>2</w:t>
      </w:r>
      <w:r w:rsidR="00316A76">
        <w:rPr>
          <w:rFonts w:ascii="Times New Roman" w:hAnsi="Times New Roman" w:cs="Times New Roman"/>
          <w:b/>
          <w:lang w:val="en-US"/>
        </w:rPr>
        <w:t>.</w:t>
      </w:r>
      <w:r w:rsidRPr="00B2296C">
        <w:rPr>
          <w:rFonts w:ascii="Times New Roman" w:hAnsi="Times New Roman" w:cs="Times New Roman"/>
          <w:b/>
          <w:lang w:val="en-US"/>
        </w:rPr>
        <w:t xml:space="preserve"> Complete list of species found by NGS in the dataset of sequenced samples after decision tree</w:t>
      </w:r>
      <w:r>
        <w:rPr>
          <w:rFonts w:ascii="Times New Roman" w:hAnsi="Times New Roman" w:cs="Times New Roman"/>
          <w:b/>
          <w:lang w:val="en-US"/>
        </w:rPr>
        <w:t xml:space="preserve"> </w:t>
      </w:r>
      <w:r w:rsidRPr="00B2296C">
        <w:rPr>
          <w:rFonts w:ascii="Times New Roman" w:hAnsi="Times New Roman" w:cs="Times New Roman"/>
          <w:b/>
          <w:lang w:val="en-US"/>
        </w:rPr>
        <w:t>filtering</w:t>
      </w:r>
      <w:r w:rsidR="00316A76">
        <w:rPr>
          <w:rFonts w:ascii="Times New Roman" w:hAnsi="Times New Roman" w:cs="Times New Roman"/>
          <w:b/>
          <w:lang w:val="en-US"/>
        </w:rPr>
        <w:t>.</w:t>
      </w:r>
    </w:p>
    <w:p w:rsidR="00C77E69" w:rsidRPr="00B2296C" w:rsidRDefault="00C77E69" w:rsidP="00C77E69">
      <w:pPr>
        <w:spacing w:line="240" w:lineRule="auto"/>
        <w:rPr>
          <w:rFonts w:ascii="Times New Roman" w:hAnsi="Times New Roman" w:cs="Times New Roman"/>
          <w:b/>
          <w:lang w:val="en-US"/>
        </w:rPr>
      </w:pPr>
      <w:r w:rsidRPr="00B2296C">
        <w:rPr>
          <w:rFonts w:ascii="Times New Roman" w:hAnsi="Times New Roman" w:cs="Times New Roman"/>
          <w:b/>
          <w:lang w:val="en-US"/>
        </w:rPr>
        <w:t>.</w:t>
      </w:r>
      <w:r w:rsidRPr="00B2296C">
        <w:rPr>
          <w:rFonts w:ascii="Times New Roman" w:hAnsi="Times New Roman" w:cs="Times New Roman"/>
          <w:noProof/>
          <w:lang w:eastAsia="de-DE"/>
        </w:rPr>
        <w:drawing>
          <wp:inline distT="0" distB="0" distL="0" distR="0" wp14:anchorId="7214113D" wp14:editId="06E64095">
            <wp:extent cx="4350363" cy="65722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8114" cy="6583960"/>
                    </a:xfrm>
                    <a:prstGeom prst="rect">
                      <a:avLst/>
                    </a:prstGeom>
                    <a:noFill/>
                    <a:ln>
                      <a:noFill/>
                    </a:ln>
                  </pic:spPr>
                </pic:pic>
              </a:graphicData>
            </a:graphic>
          </wp:inline>
        </w:drawing>
      </w:r>
    </w:p>
    <w:p w:rsidR="00C77E69" w:rsidRPr="00B2296C" w:rsidRDefault="00C77E69" w:rsidP="00C77E69">
      <w:pPr>
        <w:spacing w:line="240" w:lineRule="auto"/>
        <w:jc w:val="both"/>
        <w:rPr>
          <w:rFonts w:ascii="Times New Roman" w:hAnsi="Times New Roman" w:cs="Times New Roman"/>
          <w:szCs w:val="20"/>
          <w:lang w:val="en-US"/>
        </w:rPr>
      </w:pPr>
      <w:r w:rsidRPr="00B2296C">
        <w:rPr>
          <w:rFonts w:ascii="Times New Roman" w:hAnsi="Times New Roman" w:cs="Times New Roman"/>
          <w:szCs w:val="20"/>
          <w:lang w:val="en-US"/>
        </w:rPr>
        <w:t xml:space="preserve">NGS analysis of the complete dataset including the postoperative controls yielded 712 species. By stringent decision processes and filtering we extracted 169 samples with positive SIQ scores. In these 169 samples, 438 organisms were identified comprising 90.9% (n= 398) bacteria, 14.3% viruses (n=34), 0.7% archae (n=3) and fungi 0.7% (n=3). The 438 organisms contained 74 unique species. Most of them (n=67) were bacteria and viruses (n=4), but also archae (n=2) and the fungus </w:t>
      </w:r>
      <w:r w:rsidRPr="00B2296C">
        <w:rPr>
          <w:rFonts w:ascii="Times New Roman" w:hAnsi="Times New Roman" w:cs="Times New Roman"/>
          <w:i/>
          <w:szCs w:val="20"/>
          <w:lang w:val="en-US"/>
        </w:rPr>
        <w:t>Candida albicans</w:t>
      </w:r>
      <w:r w:rsidRPr="00B2296C">
        <w:rPr>
          <w:rFonts w:ascii="Times New Roman" w:hAnsi="Times New Roman" w:cs="Times New Roman"/>
          <w:szCs w:val="20"/>
          <w:lang w:val="en-US"/>
        </w:rPr>
        <w:t xml:space="preserve"> (n=1). Of the bacteria, 52% were gram-negative and 48% gram—positive and the predominant phyla were Firmicutes and Proteobacteria, as for BC (36% and 31%, respectively). </w:t>
      </w:r>
    </w:p>
    <w:p w:rsidR="00C77E69" w:rsidRDefault="00C77E69">
      <w:pPr>
        <w:rPr>
          <w:lang w:val="en-US"/>
        </w:rPr>
      </w:pPr>
      <w:r>
        <w:rPr>
          <w:lang w:val="en-US"/>
        </w:rPr>
        <w:br w:type="page"/>
      </w:r>
    </w:p>
    <w:p w:rsidR="00A3176A" w:rsidRDefault="00316A76" w:rsidP="00C77E69">
      <w:pPr>
        <w:spacing w:line="240" w:lineRule="auto"/>
        <w:rPr>
          <w:rFonts w:ascii="Times New Roman" w:hAnsi="Times New Roman" w:cs="Times New Roman"/>
          <w:b/>
          <w:lang w:val="en-US"/>
        </w:rPr>
      </w:pPr>
      <w:r>
        <w:rPr>
          <w:rFonts w:ascii="Times New Roman" w:hAnsi="Times New Roman" w:cs="Times New Roman"/>
          <w:b/>
          <w:lang w:val="en-US"/>
        </w:rPr>
        <w:lastRenderedPageBreak/>
        <w:t>Table S</w:t>
      </w:r>
      <w:r w:rsidR="00F2746A">
        <w:rPr>
          <w:rFonts w:ascii="Times New Roman" w:hAnsi="Times New Roman" w:cs="Times New Roman"/>
          <w:b/>
          <w:lang w:val="en-US"/>
        </w:rPr>
        <w:t>3</w:t>
      </w:r>
      <w:r>
        <w:rPr>
          <w:rFonts w:ascii="Times New Roman" w:hAnsi="Times New Roman" w:cs="Times New Roman"/>
          <w:b/>
          <w:lang w:val="en-US"/>
        </w:rPr>
        <w:t>.</w:t>
      </w:r>
      <w:r w:rsidR="0008406D">
        <w:rPr>
          <w:rFonts w:ascii="Times New Roman" w:hAnsi="Times New Roman" w:cs="Times New Roman"/>
          <w:b/>
          <w:lang w:val="en-US"/>
        </w:rPr>
        <w:t xml:space="preserve"> </w:t>
      </w:r>
      <w:r w:rsidR="00C77E69" w:rsidRPr="00C77E69">
        <w:rPr>
          <w:rFonts w:ascii="Times New Roman" w:hAnsi="Times New Roman" w:cs="Times New Roman"/>
          <w:b/>
          <w:lang w:val="en-US"/>
        </w:rPr>
        <w:t xml:space="preserve">Clinical data for patients with </w:t>
      </w:r>
      <w:r w:rsidR="00F0449D">
        <w:rPr>
          <w:rFonts w:ascii="Times New Roman" w:hAnsi="Times New Roman" w:cs="Times New Roman"/>
          <w:b/>
          <w:lang w:val="en-US"/>
        </w:rPr>
        <w:t>in</w:t>
      </w:r>
      <w:r w:rsidR="00C77E69" w:rsidRPr="00C77E69">
        <w:rPr>
          <w:rFonts w:ascii="Times New Roman" w:hAnsi="Times New Roman" w:cs="Times New Roman"/>
          <w:b/>
          <w:lang w:val="en-US"/>
        </w:rPr>
        <w:t xml:space="preserve">appropriate </w:t>
      </w:r>
      <w:r w:rsidR="0061507E">
        <w:rPr>
          <w:rFonts w:ascii="Times New Roman" w:hAnsi="Times New Roman" w:cs="Times New Roman"/>
          <w:b/>
          <w:lang w:val="en-US"/>
        </w:rPr>
        <w:t>antimicrobial therapy</w:t>
      </w:r>
      <w:r w:rsidR="00F0449D">
        <w:rPr>
          <w:rFonts w:ascii="Times New Roman" w:hAnsi="Times New Roman" w:cs="Times New Roman"/>
          <w:b/>
          <w:lang w:val="en-US"/>
        </w:rPr>
        <w:t xml:space="preserve"> (group1, n=24) or </w:t>
      </w:r>
      <w:r w:rsidR="00C77E69" w:rsidRPr="00C77E69">
        <w:rPr>
          <w:rFonts w:ascii="Times New Roman" w:hAnsi="Times New Roman" w:cs="Times New Roman"/>
          <w:b/>
          <w:lang w:val="en-US"/>
        </w:rPr>
        <w:t xml:space="preserve">appropriate </w:t>
      </w:r>
      <w:r w:rsidR="0061507E">
        <w:rPr>
          <w:rFonts w:ascii="Times New Roman" w:hAnsi="Times New Roman" w:cs="Times New Roman"/>
          <w:b/>
          <w:lang w:val="en-US"/>
        </w:rPr>
        <w:t>antimicrobial therapy</w:t>
      </w:r>
      <w:r w:rsidR="00C77E69" w:rsidRPr="00C77E69">
        <w:rPr>
          <w:rFonts w:ascii="Times New Roman" w:hAnsi="Times New Roman" w:cs="Times New Roman"/>
          <w:b/>
          <w:lang w:val="en-US"/>
        </w:rPr>
        <w:t xml:space="preserve"> (group 2, n=1</w:t>
      </w:r>
      <w:r w:rsidR="00F0449D">
        <w:rPr>
          <w:rFonts w:ascii="Times New Roman" w:hAnsi="Times New Roman" w:cs="Times New Roman"/>
          <w:b/>
          <w:lang w:val="en-US"/>
        </w:rPr>
        <w:t>7</w:t>
      </w:r>
      <w:r w:rsidR="00C77E69" w:rsidRPr="00C77E69">
        <w:rPr>
          <w:rFonts w:ascii="Times New Roman" w:hAnsi="Times New Roman" w:cs="Times New Roman"/>
          <w:b/>
          <w:lang w:val="en-US"/>
        </w:rPr>
        <w:t>), based on the expert evaluation</w:t>
      </w:r>
      <w:r>
        <w:rPr>
          <w:rFonts w:ascii="Times New Roman" w:hAnsi="Times New Roman" w:cs="Times New Roman"/>
          <w:b/>
          <w:lang w:val="en-US"/>
        </w:rPr>
        <w:t>.</w:t>
      </w:r>
    </w:p>
    <w:tbl>
      <w:tblPr>
        <w:tblW w:w="9760" w:type="dxa"/>
        <w:tblCellMar>
          <w:left w:w="70" w:type="dxa"/>
          <w:right w:w="70" w:type="dxa"/>
        </w:tblCellMar>
        <w:tblLook w:val="04A0" w:firstRow="1" w:lastRow="0" w:firstColumn="1" w:lastColumn="0" w:noHBand="0" w:noVBand="1"/>
      </w:tblPr>
      <w:tblGrid>
        <w:gridCol w:w="3747"/>
        <w:gridCol w:w="1623"/>
        <w:gridCol w:w="1623"/>
        <w:gridCol w:w="1623"/>
        <w:gridCol w:w="1144"/>
      </w:tblGrid>
      <w:tr w:rsidR="004F5547" w:rsidRPr="00316A76" w:rsidTr="004F5547">
        <w:trPr>
          <w:trHeight w:val="645"/>
        </w:trPr>
        <w:tc>
          <w:tcPr>
            <w:tcW w:w="3747" w:type="dxa"/>
            <w:tcBorders>
              <w:top w:val="single" w:sz="4" w:space="0" w:color="auto"/>
              <w:left w:val="nil"/>
              <w:bottom w:val="single" w:sz="4" w:space="0" w:color="auto"/>
              <w:right w:val="nil"/>
            </w:tcBorders>
            <w:shd w:val="clear" w:color="auto" w:fill="auto"/>
            <w:noWrap/>
            <w:vAlign w:val="bottom"/>
            <w:hideMark/>
          </w:tcPr>
          <w:p w:rsidR="004F5547" w:rsidRPr="004852A4" w:rsidRDefault="004F5547" w:rsidP="004F5547">
            <w:pPr>
              <w:spacing w:after="0" w:line="240" w:lineRule="auto"/>
              <w:rPr>
                <w:rFonts w:ascii="Arial" w:eastAsia="Times New Roman" w:hAnsi="Arial" w:cs="Arial"/>
                <w:color w:val="000000"/>
                <w:sz w:val="18"/>
                <w:szCs w:val="18"/>
                <w:lang w:val="en-US" w:eastAsia="de-DE"/>
              </w:rPr>
            </w:pPr>
            <w:r w:rsidRPr="004852A4">
              <w:rPr>
                <w:rFonts w:ascii="Arial" w:eastAsia="Times New Roman" w:hAnsi="Arial" w:cs="Arial"/>
                <w:color w:val="000000"/>
                <w:sz w:val="18"/>
                <w:szCs w:val="18"/>
                <w:lang w:val="en-US" w:eastAsia="de-DE"/>
              </w:rPr>
              <w:t> </w:t>
            </w:r>
          </w:p>
        </w:tc>
        <w:tc>
          <w:tcPr>
            <w:tcW w:w="1623" w:type="dxa"/>
            <w:tcBorders>
              <w:top w:val="single" w:sz="4" w:space="0" w:color="auto"/>
              <w:left w:val="nil"/>
              <w:bottom w:val="single" w:sz="4" w:space="0" w:color="auto"/>
              <w:right w:val="nil"/>
            </w:tcBorders>
            <w:shd w:val="clear" w:color="auto" w:fill="auto"/>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All patients (n=41)</w:t>
            </w:r>
          </w:p>
        </w:tc>
        <w:tc>
          <w:tcPr>
            <w:tcW w:w="1623" w:type="dxa"/>
            <w:tcBorders>
              <w:top w:val="single" w:sz="4" w:space="0" w:color="auto"/>
              <w:left w:val="nil"/>
              <w:bottom w:val="single" w:sz="4" w:space="0" w:color="auto"/>
              <w:right w:val="nil"/>
            </w:tcBorders>
            <w:shd w:val="clear" w:color="auto" w:fill="auto"/>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Group 1 (n=24)</w:t>
            </w:r>
          </w:p>
        </w:tc>
        <w:tc>
          <w:tcPr>
            <w:tcW w:w="1623" w:type="dxa"/>
            <w:tcBorders>
              <w:top w:val="single" w:sz="4" w:space="0" w:color="auto"/>
              <w:left w:val="nil"/>
              <w:bottom w:val="single" w:sz="4" w:space="0" w:color="auto"/>
              <w:right w:val="nil"/>
            </w:tcBorders>
            <w:shd w:val="clear" w:color="auto" w:fill="auto"/>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Group 2 (n=17)</w:t>
            </w:r>
          </w:p>
        </w:tc>
        <w:tc>
          <w:tcPr>
            <w:tcW w:w="1144" w:type="dxa"/>
            <w:tcBorders>
              <w:top w:val="single" w:sz="4" w:space="0" w:color="auto"/>
              <w:left w:val="nil"/>
              <w:bottom w:val="single" w:sz="4" w:space="0" w:color="auto"/>
              <w:right w:val="nil"/>
            </w:tcBorders>
            <w:shd w:val="clear" w:color="auto" w:fill="auto"/>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p-value (*&lt;0.05)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316A76" w:rsidRDefault="004F5547" w:rsidP="004F5547">
            <w:pPr>
              <w:spacing w:after="0" w:line="240" w:lineRule="auto"/>
              <w:ind w:firstLineChars="200" w:firstLine="360"/>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Gender male [n]</w:t>
            </w:r>
          </w:p>
        </w:tc>
        <w:tc>
          <w:tcPr>
            <w:tcW w:w="1623" w:type="dxa"/>
            <w:tcBorders>
              <w:top w:val="nil"/>
              <w:left w:val="nil"/>
              <w:bottom w:val="nil"/>
              <w:right w:val="nil"/>
            </w:tcBorders>
            <w:shd w:val="clear" w:color="auto" w:fill="auto"/>
            <w:noWrap/>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31 (75.6%)</w:t>
            </w:r>
          </w:p>
        </w:tc>
        <w:tc>
          <w:tcPr>
            <w:tcW w:w="1623" w:type="dxa"/>
            <w:tcBorders>
              <w:top w:val="nil"/>
              <w:left w:val="nil"/>
              <w:bottom w:val="nil"/>
              <w:right w:val="nil"/>
            </w:tcBorders>
            <w:shd w:val="clear" w:color="auto" w:fill="auto"/>
            <w:noWrap/>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19 (79.2%)</w:t>
            </w:r>
          </w:p>
        </w:tc>
        <w:tc>
          <w:tcPr>
            <w:tcW w:w="1623" w:type="dxa"/>
            <w:tcBorders>
              <w:top w:val="nil"/>
              <w:left w:val="nil"/>
              <w:bottom w:val="nil"/>
              <w:right w:val="nil"/>
            </w:tcBorders>
            <w:shd w:val="clear" w:color="auto" w:fill="auto"/>
            <w:noWrap/>
            <w:vAlign w:val="bottom"/>
            <w:hideMark/>
          </w:tcPr>
          <w:p w:rsidR="004F5547" w:rsidRPr="00316A76" w:rsidRDefault="004F5547" w:rsidP="004F5547">
            <w:pPr>
              <w:spacing w:after="0" w:line="240" w:lineRule="auto"/>
              <w:jc w:val="center"/>
              <w:rPr>
                <w:rFonts w:ascii="Arial" w:eastAsia="Times New Roman" w:hAnsi="Arial" w:cs="Arial"/>
                <w:color w:val="000000"/>
                <w:sz w:val="18"/>
                <w:szCs w:val="18"/>
                <w:lang w:val="en-US" w:eastAsia="de-DE"/>
              </w:rPr>
            </w:pPr>
            <w:r w:rsidRPr="00316A76">
              <w:rPr>
                <w:rFonts w:ascii="Arial" w:eastAsia="Times New Roman" w:hAnsi="Arial" w:cs="Arial"/>
                <w:color w:val="000000"/>
                <w:sz w:val="18"/>
                <w:szCs w:val="18"/>
                <w:lang w:val="en-US" w:eastAsia="de-DE"/>
              </w:rPr>
              <w:t>12 (70.6%)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0.394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Age [years]</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66 (59-74)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65.5 (56.3-73.3)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66 (64-74)</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0.751</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BMI [kg/m</w:t>
            </w:r>
            <w:r w:rsidRPr="004F5547">
              <w:rPr>
                <w:rFonts w:ascii="Arial" w:eastAsia="Times New Roman" w:hAnsi="Arial" w:cs="Arial"/>
                <w:color w:val="000000"/>
                <w:sz w:val="18"/>
                <w:szCs w:val="18"/>
                <w:vertAlign w:val="superscript"/>
                <w:lang w:eastAsia="de-DE"/>
              </w:rPr>
              <w:t>2</w:t>
            </w:r>
            <w:r w:rsidRPr="004F5547">
              <w:rPr>
                <w:rFonts w:ascii="Arial" w:eastAsia="Times New Roman" w:hAnsi="Arial" w:cs="Arial"/>
                <w:color w:val="000000"/>
                <w:sz w:val="18"/>
                <w:szCs w:val="18"/>
                <w:lang w:eastAsia="de-DE"/>
              </w:rPr>
              <w:t>]</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26.9 (24.3-30.9)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26.5 (22.7-31.8)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27.3 (24.3-30.9)</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0.832</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Postoperatively peritonitis</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27 (65.9%)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20 (83.3%)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7 (41.2%)</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b/>
                <w:bCs/>
                <w:color w:val="000000"/>
                <w:sz w:val="18"/>
                <w:szCs w:val="18"/>
                <w:lang w:eastAsia="de-DE"/>
              </w:rPr>
            </w:pPr>
            <w:r w:rsidRPr="004F5547">
              <w:rPr>
                <w:rFonts w:ascii="Arial" w:eastAsia="Times New Roman" w:hAnsi="Arial" w:cs="Arial"/>
                <w:b/>
                <w:bCs/>
                <w:color w:val="000000"/>
                <w:sz w:val="18"/>
                <w:szCs w:val="18"/>
                <w:lang w:eastAsia="de-DE"/>
              </w:rPr>
              <w:t>0.007*</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b/>
                <w:bCs/>
                <w:color w:val="000000"/>
                <w:sz w:val="18"/>
                <w:szCs w:val="18"/>
                <w:lang w:eastAsia="de-DE"/>
              </w:rPr>
            </w:pPr>
            <w:r w:rsidRPr="004F5547">
              <w:rPr>
                <w:rFonts w:ascii="Arial" w:eastAsia="Times New Roman" w:hAnsi="Arial" w:cs="Arial"/>
                <w:b/>
                <w:bCs/>
                <w:color w:val="000000"/>
                <w:sz w:val="18"/>
                <w:szCs w:val="18"/>
                <w:lang w:eastAsia="de-DE"/>
              </w:rPr>
              <w:t>Intial operation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b/>
                <w:bCs/>
                <w:color w:val="000000"/>
                <w:sz w:val="18"/>
                <w:szCs w:val="18"/>
                <w:lang w:eastAsia="de-DE"/>
              </w:rPr>
            </w:pP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Times New Roman" w:eastAsia="Times New Roman" w:hAnsi="Times New Roman" w:cs="Times New Roman"/>
                <w:szCs w:val="20"/>
                <w:lang w:eastAsia="de-DE"/>
              </w:rPr>
            </w:pP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Times New Roman" w:eastAsia="Times New Roman" w:hAnsi="Times New Roman" w:cs="Times New Roman"/>
                <w:szCs w:val="20"/>
                <w:lang w:eastAsia="de-DE"/>
              </w:rPr>
            </w:pP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Times New Roman" w:eastAsia="Times New Roman" w:hAnsi="Times New Roman" w:cs="Times New Roman"/>
                <w:szCs w:val="20"/>
                <w:lang w:eastAsia="de-DE"/>
              </w:rPr>
            </w:pP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Kidney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(4.9%)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 (0%)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(11.8%)</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0.166</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Liver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9 (21.9%)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 (25%)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(17.6%)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0.435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Pancreas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(4.9%)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(4.2%)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(5.9%)</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0.663</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GIT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32 (78%)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20 (83.3%)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(70.6%)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0.276</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VAS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(4.9%)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 (0%)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(11.8%)</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0.166</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Others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10 (24.4%)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 (25%)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 (23.5%)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0.606</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val="en-US" w:eastAsia="de-DE"/>
              </w:rPr>
            </w:pPr>
            <w:r w:rsidRPr="004F5547">
              <w:rPr>
                <w:rFonts w:ascii="Arial" w:eastAsia="Times New Roman" w:hAnsi="Arial" w:cs="Arial"/>
                <w:color w:val="000000"/>
                <w:sz w:val="18"/>
                <w:szCs w:val="18"/>
                <w:lang w:val="en-US" w:eastAsia="de-DE"/>
              </w:rPr>
              <w:t>≥ 48 h after hospital admission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18 (46.1%)</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12 (50%)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 xml:space="preserve">6 (35.3%)  </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0.283</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NYHA 0-I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33 (80.5%)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19 (79.2%)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 xml:space="preserve">14 (82.4%) </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0.563</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Diabetes mellitus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(31.7%)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10 (41.7%)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(17.6%)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0.098</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Arterial hypertension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26 (63.4%)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(54.1%)</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(76.5%)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0.129</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Coronary heart disease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 (14.6%)</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(8.3%)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 (23.5%)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0.182</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val="en-US" w:eastAsia="de-DE"/>
              </w:rPr>
            </w:pPr>
            <w:r w:rsidRPr="004F5547">
              <w:rPr>
                <w:rFonts w:ascii="Arial" w:eastAsia="Times New Roman" w:hAnsi="Arial" w:cs="Arial"/>
                <w:color w:val="000000"/>
                <w:sz w:val="18"/>
                <w:szCs w:val="18"/>
                <w:lang w:val="en-US" w:eastAsia="de-DE"/>
              </w:rPr>
              <w:t>Chronic obstructive lung disease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9 (21.9%)</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 (16.7%)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 (29.4%)</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0.276</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Renal insufficiency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7 (17.1%)</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 (20.4%)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(11.8%)</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0.374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Renal replacement therapy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14 (34.1%)</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11 (45.8%)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(17.6%)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0.060</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Liver cirrhosis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10 (24.4%)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 (20.8%)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 xml:space="preserve">5 (29.4%) </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0.394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Oncological disease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26 (63.4%)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16 (66.7%)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10 (58.8%)</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0.425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APACHE II</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30 (28-35)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30 (28.8-35.3)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29 (25-32)</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0.282</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SOFA</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11 (10-14)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12.5 (10-14)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11 (9-12)</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0.357</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SAPS</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60 (48-72)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61 (50.3-70.5)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59 (41-73)</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0.569</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Cumulative APACHE*</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25.7 (22.2-30.3)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26.9 (22.3-32)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23.8 (10-29)</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0.131</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Cumulative SOFA*</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10 (7.6-12)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10.7 (9.3-12)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9 (7.4-11.25)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0.244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Cumulative SAPS</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54.5 (42-64.7)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 xml:space="preserve"> 55 (43.8-65.1)</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51 (39.8-63.5)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0.517</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val="en-US" w:eastAsia="de-DE"/>
              </w:rPr>
            </w:pPr>
            <w:r w:rsidRPr="004F5547">
              <w:rPr>
                <w:rFonts w:ascii="Arial" w:eastAsia="Times New Roman" w:hAnsi="Arial" w:cs="Arial"/>
                <w:color w:val="000000"/>
                <w:sz w:val="18"/>
                <w:szCs w:val="18"/>
                <w:lang w:val="en-US" w:eastAsia="de-DE"/>
              </w:rPr>
              <w:t>Duration of mechanical ventilation [h]</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146 (69-475)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188 (76-506.3)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145 (53-390)</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0.412</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Acute kidney failure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21 (12-46)</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22.5 (12.8-46)</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20 (12-46)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0.605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ARDS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51 (26-73)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57 (28.3-78.5)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43 (24-70)</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0.321</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val="en-US" w:eastAsia="de-DE"/>
              </w:rPr>
            </w:pPr>
            <w:r w:rsidRPr="004F5547">
              <w:rPr>
                <w:rFonts w:ascii="Arial" w:eastAsia="Times New Roman" w:hAnsi="Arial" w:cs="Arial"/>
                <w:color w:val="000000"/>
                <w:sz w:val="18"/>
                <w:szCs w:val="18"/>
                <w:lang w:val="en-US" w:eastAsia="de-DE"/>
              </w:rPr>
              <w:t>ICU length of stay [d]</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26 (63.4%)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15 (62.5%)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11 (64.7%)</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0.575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val="en-US" w:eastAsia="de-DE"/>
              </w:rPr>
            </w:pPr>
            <w:r w:rsidRPr="004F5547">
              <w:rPr>
                <w:rFonts w:ascii="Arial" w:eastAsia="Times New Roman" w:hAnsi="Arial" w:cs="Arial"/>
                <w:color w:val="000000"/>
                <w:sz w:val="18"/>
                <w:szCs w:val="18"/>
                <w:lang w:val="en-US" w:eastAsia="de-DE"/>
              </w:rPr>
              <w:t>Hosptial length of stay [d]</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24 (58.5%)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16 (66.7%)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8 (47.1%)</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0.175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Tracheotomy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(31.7%)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9 (37.5%)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 (23.5%)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0.274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Anastomosis leakage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20 (48.8%)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12 (50%)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8 (47.1%)</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0.552</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Fascia dehiscence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11 (26.8%)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8 (33.3%)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(17.6%)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0.226</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852A4" w:rsidP="004F5547">
            <w:pPr>
              <w:spacing w:after="0" w:line="240" w:lineRule="auto"/>
              <w:ind w:firstLineChars="200" w:firstLine="360"/>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90-</w:t>
            </w:r>
            <w:r w:rsidR="004F5547" w:rsidRPr="004F5547">
              <w:rPr>
                <w:rFonts w:ascii="Arial" w:eastAsia="Times New Roman" w:hAnsi="Arial" w:cs="Arial"/>
                <w:color w:val="000000"/>
                <w:sz w:val="18"/>
                <w:szCs w:val="18"/>
                <w:lang w:eastAsia="de-DE"/>
              </w:rPr>
              <w:t>day mortality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(31.7%)</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9 (37.5%)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 (23.5%)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0.285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852A4" w:rsidP="004F5547">
            <w:pPr>
              <w:spacing w:after="0" w:line="240" w:lineRule="auto"/>
              <w:ind w:firstLineChars="200" w:firstLine="360"/>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28-</w:t>
            </w:r>
            <w:r w:rsidR="004F5547" w:rsidRPr="004F5547">
              <w:rPr>
                <w:rFonts w:ascii="Arial" w:eastAsia="Times New Roman" w:hAnsi="Arial" w:cs="Arial"/>
                <w:color w:val="000000"/>
                <w:sz w:val="18"/>
                <w:szCs w:val="18"/>
                <w:lang w:eastAsia="de-DE"/>
              </w:rPr>
              <w:t>day mortality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8 (19.5%)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6 (25%)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 (11.8%)</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0.261</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100" w:firstLine="180"/>
              <w:rPr>
                <w:rFonts w:ascii="Arial" w:eastAsia="Times New Roman" w:hAnsi="Arial" w:cs="Arial"/>
                <w:b/>
                <w:bCs/>
                <w:color w:val="000000"/>
                <w:sz w:val="18"/>
                <w:szCs w:val="18"/>
                <w:lang w:eastAsia="de-DE"/>
              </w:rPr>
            </w:pPr>
            <w:r w:rsidRPr="004F5547">
              <w:rPr>
                <w:rFonts w:ascii="Arial" w:eastAsia="Times New Roman" w:hAnsi="Arial" w:cs="Arial"/>
                <w:b/>
                <w:bCs/>
                <w:color w:val="000000"/>
                <w:sz w:val="18"/>
                <w:szCs w:val="18"/>
                <w:lang w:eastAsia="de-DE"/>
              </w:rPr>
              <w:t>Septic focus</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100" w:firstLine="180"/>
              <w:rPr>
                <w:rFonts w:ascii="Arial" w:eastAsia="Times New Roman" w:hAnsi="Arial" w:cs="Arial"/>
                <w:b/>
                <w:bCs/>
                <w:color w:val="000000"/>
                <w:sz w:val="18"/>
                <w:szCs w:val="18"/>
                <w:lang w:eastAsia="de-DE"/>
              </w:rPr>
            </w:pP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Times New Roman" w:eastAsia="Times New Roman" w:hAnsi="Times New Roman" w:cs="Times New Roman"/>
                <w:szCs w:val="20"/>
                <w:lang w:eastAsia="de-DE"/>
              </w:rPr>
            </w:pP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Times New Roman" w:eastAsia="Times New Roman" w:hAnsi="Times New Roman" w:cs="Times New Roman"/>
                <w:szCs w:val="20"/>
                <w:lang w:eastAsia="de-DE"/>
              </w:rPr>
            </w:pP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Times New Roman" w:eastAsia="Times New Roman" w:hAnsi="Times New Roman" w:cs="Times New Roman"/>
                <w:szCs w:val="20"/>
                <w:lang w:eastAsia="de-DE"/>
              </w:rPr>
            </w:pP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Abdomen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37 (90.2%)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24 (100%)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13 (76.5%)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b/>
                <w:bCs/>
                <w:color w:val="000000"/>
                <w:sz w:val="18"/>
                <w:szCs w:val="18"/>
                <w:lang w:eastAsia="de-DE"/>
              </w:rPr>
            </w:pPr>
            <w:r w:rsidRPr="004F5547">
              <w:rPr>
                <w:rFonts w:ascii="Arial" w:eastAsia="Times New Roman" w:hAnsi="Arial" w:cs="Arial"/>
                <w:b/>
                <w:bCs/>
                <w:color w:val="000000"/>
                <w:sz w:val="18"/>
                <w:szCs w:val="18"/>
                <w:lang w:eastAsia="de-DE"/>
              </w:rPr>
              <w:t>0.024*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lastRenderedPageBreak/>
              <w:t>Lung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(7.3%)</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 (0%)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(17,6%)</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0.064</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500" w:firstLine="90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UGI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(2.5%)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 (0%)</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(5.9%)</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0.415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Cumulative Antimicrobials **</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25 (15-38)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30 (20-43.5)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19 (9-25.5)</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b/>
                <w:bCs/>
                <w:color w:val="000000"/>
                <w:sz w:val="18"/>
                <w:szCs w:val="18"/>
                <w:lang w:eastAsia="de-DE"/>
              </w:rPr>
            </w:pPr>
            <w:r w:rsidRPr="004F5547">
              <w:rPr>
                <w:rFonts w:ascii="Arial" w:eastAsia="Times New Roman" w:hAnsi="Arial" w:cs="Arial"/>
                <w:b/>
                <w:bCs/>
                <w:color w:val="000000"/>
                <w:sz w:val="18"/>
                <w:szCs w:val="18"/>
                <w:lang w:eastAsia="de-DE"/>
              </w:rPr>
              <w:t>0.020*</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VRE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4 (9.8%)</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3 (12.5%)</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(5.9%)</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0.445</w:t>
            </w:r>
          </w:p>
        </w:tc>
      </w:tr>
      <w:tr w:rsidR="004F5547" w:rsidRPr="004F5547" w:rsidTr="004F5547">
        <w:trPr>
          <w:trHeight w:val="300"/>
        </w:trPr>
        <w:tc>
          <w:tcPr>
            <w:tcW w:w="3747"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 xml:space="preserve">4-MRGN </w:t>
            </w:r>
            <w:r w:rsidRPr="00953C43">
              <w:rPr>
                <w:rFonts w:ascii="Arial" w:eastAsia="Times New Roman" w:hAnsi="Arial" w:cs="Arial"/>
                <w:i/>
                <w:color w:val="000000"/>
                <w:sz w:val="18"/>
                <w:szCs w:val="18"/>
                <w:lang w:eastAsia="de-DE"/>
              </w:rPr>
              <w:t>Enterobacter cloacae</w:t>
            </w:r>
            <w:r w:rsidRPr="004F5547">
              <w:rPr>
                <w:rFonts w:ascii="Arial" w:eastAsia="Times New Roman" w:hAnsi="Arial" w:cs="Arial"/>
                <w:color w:val="000000"/>
                <w:sz w:val="18"/>
                <w:szCs w:val="18"/>
                <w:lang w:eastAsia="de-DE"/>
              </w:rPr>
              <w:t xml:space="preserve"> [n]</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(2.4%)</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(4.2%)</w:t>
            </w:r>
          </w:p>
        </w:tc>
        <w:tc>
          <w:tcPr>
            <w:tcW w:w="1623"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 (0%)</w:t>
            </w:r>
          </w:p>
        </w:tc>
        <w:tc>
          <w:tcPr>
            <w:tcW w:w="1144" w:type="dxa"/>
            <w:tcBorders>
              <w:top w:val="nil"/>
              <w:left w:val="nil"/>
              <w:bottom w:val="nil"/>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0.585</w:t>
            </w:r>
          </w:p>
        </w:tc>
      </w:tr>
      <w:tr w:rsidR="004F5547" w:rsidRPr="004F5547" w:rsidTr="004F5547">
        <w:trPr>
          <w:trHeight w:val="300"/>
        </w:trPr>
        <w:tc>
          <w:tcPr>
            <w:tcW w:w="3747" w:type="dxa"/>
            <w:tcBorders>
              <w:top w:val="nil"/>
              <w:left w:val="nil"/>
              <w:bottom w:val="single" w:sz="4" w:space="0" w:color="auto"/>
              <w:right w:val="nil"/>
            </w:tcBorders>
            <w:shd w:val="clear" w:color="auto" w:fill="auto"/>
            <w:noWrap/>
            <w:vAlign w:val="bottom"/>
            <w:hideMark/>
          </w:tcPr>
          <w:p w:rsidR="004F5547" w:rsidRPr="004F5547" w:rsidRDefault="004F5547" w:rsidP="004F5547">
            <w:pPr>
              <w:spacing w:after="0" w:line="240" w:lineRule="auto"/>
              <w:ind w:firstLineChars="200" w:firstLine="360"/>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 xml:space="preserve">4-MRGN </w:t>
            </w:r>
            <w:r w:rsidRPr="00953C43">
              <w:rPr>
                <w:rFonts w:ascii="Arial" w:eastAsia="Times New Roman" w:hAnsi="Arial" w:cs="Arial"/>
                <w:i/>
                <w:color w:val="000000"/>
                <w:sz w:val="18"/>
                <w:szCs w:val="18"/>
                <w:lang w:eastAsia="de-DE"/>
              </w:rPr>
              <w:t>Pseudomonas aeruginosa</w:t>
            </w:r>
            <w:r w:rsidRPr="004F5547">
              <w:rPr>
                <w:rFonts w:ascii="Arial" w:eastAsia="Times New Roman" w:hAnsi="Arial" w:cs="Arial"/>
                <w:color w:val="000000"/>
                <w:sz w:val="18"/>
                <w:szCs w:val="18"/>
                <w:lang w:eastAsia="de-DE"/>
              </w:rPr>
              <w:t xml:space="preserve"> [n]</w:t>
            </w:r>
          </w:p>
        </w:tc>
        <w:tc>
          <w:tcPr>
            <w:tcW w:w="1623" w:type="dxa"/>
            <w:tcBorders>
              <w:top w:val="nil"/>
              <w:left w:val="nil"/>
              <w:bottom w:val="single" w:sz="4" w:space="0" w:color="auto"/>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(2.4%)</w:t>
            </w:r>
          </w:p>
        </w:tc>
        <w:tc>
          <w:tcPr>
            <w:tcW w:w="1623" w:type="dxa"/>
            <w:tcBorders>
              <w:top w:val="nil"/>
              <w:left w:val="nil"/>
              <w:bottom w:val="single" w:sz="4" w:space="0" w:color="auto"/>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1 (4.2%)</w:t>
            </w:r>
          </w:p>
        </w:tc>
        <w:tc>
          <w:tcPr>
            <w:tcW w:w="1623" w:type="dxa"/>
            <w:tcBorders>
              <w:top w:val="nil"/>
              <w:left w:val="nil"/>
              <w:bottom w:val="single" w:sz="4" w:space="0" w:color="auto"/>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 (0%)</w:t>
            </w:r>
          </w:p>
        </w:tc>
        <w:tc>
          <w:tcPr>
            <w:tcW w:w="1144" w:type="dxa"/>
            <w:tcBorders>
              <w:top w:val="nil"/>
              <w:left w:val="nil"/>
              <w:bottom w:val="single" w:sz="4" w:space="0" w:color="auto"/>
              <w:right w:val="nil"/>
            </w:tcBorders>
            <w:shd w:val="clear" w:color="auto" w:fill="auto"/>
            <w:noWrap/>
            <w:vAlign w:val="bottom"/>
            <w:hideMark/>
          </w:tcPr>
          <w:p w:rsidR="004F5547" w:rsidRPr="004F5547" w:rsidRDefault="004F5547" w:rsidP="004F5547">
            <w:pPr>
              <w:spacing w:after="0" w:line="240" w:lineRule="auto"/>
              <w:jc w:val="center"/>
              <w:rPr>
                <w:rFonts w:ascii="Arial" w:eastAsia="Times New Roman" w:hAnsi="Arial" w:cs="Arial"/>
                <w:color w:val="000000"/>
                <w:sz w:val="18"/>
                <w:szCs w:val="18"/>
                <w:lang w:eastAsia="de-DE"/>
              </w:rPr>
            </w:pPr>
            <w:r w:rsidRPr="004F5547">
              <w:rPr>
                <w:rFonts w:ascii="Arial" w:eastAsia="Times New Roman" w:hAnsi="Arial" w:cs="Arial"/>
                <w:color w:val="000000"/>
                <w:sz w:val="18"/>
                <w:szCs w:val="18"/>
                <w:lang w:eastAsia="de-DE"/>
              </w:rPr>
              <w:t>0.585</w:t>
            </w:r>
          </w:p>
        </w:tc>
      </w:tr>
    </w:tbl>
    <w:p w:rsidR="004F5547" w:rsidRDefault="004F5547" w:rsidP="00C77E69">
      <w:pPr>
        <w:spacing w:line="240" w:lineRule="auto"/>
        <w:rPr>
          <w:rFonts w:ascii="Times New Roman" w:hAnsi="Times New Roman" w:cs="Times New Roman"/>
          <w:b/>
          <w:lang w:val="en-US"/>
        </w:rPr>
      </w:pPr>
    </w:p>
    <w:p w:rsidR="004F5547" w:rsidRDefault="004F5547" w:rsidP="004F5547">
      <w:pPr>
        <w:rPr>
          <w:rFonts w:ascii="Arial" w:eastAsia="Times New Roman" w:hAnsi="Arial" w:cs="Arial"/>
          <w:color w:val="000000"/>
          <w:sz w:val="22"/>
          <w:lang w:val="en-US" w:eastAsia="de-DE"/>
        </w:rPr>
      </w:pPr>
      <w:r w:rsidRPr="004F5547">
        <w:rPr>
          <w:rFonts w:ascii="Arial" w:eastAsia="Times New Roman" w:hAnsi="Arial" w:cs="Arial"/>
          <w:color w:val="000000"/>
          <w:sz w:val="22"/>
          <w:lang w:val="en-US" w:eastAsia="de-DE"/>
        </w:rPr>
        <w:t>Legend: BMI, Body mass index; NYHA, New York heart association classification; APACHE II, Acute Physiology and Chronic Health Evaluation II – Score; SOFA, Sepsis-related Organ Failure Assessment score; SAPS, Simplified Acute Physiology Score;* mortality associated cumulative Score over the period of 28 days; ARDS, acute respiratory distress syndrome; UGI, urogen</w:t>
      </w:r>
      <w:r w:rsidR="004852A4">
        <w:rPr>
          <w:rFonts w:ascii="Arial" w:eastAsia="Times New Roman" w:hAnsi="Arial" w:cs="Arial"/>
          <w:color w:val="000000"/>
          <w:sz w:val="22"/>
          <w:lang w:val="en-US" w:eastAsia="de-DE"/>
        </w:rPr>
        <w:t xml:space="preserve">itary infections; ** cumulated daily therapies of prescribed antimicrobials </w:t>
      </w:r>
      <w:r w:rsidRPr="004F5547">
        <w:rPr>
          <w:rFonts w:ascii="Arial" w:eastAsia="Times New Roman" w:hAnsi="Arial" w:cs="Arial"/>
          <w:color w:val="000000"/>
          <w:sz w:val="22"/>
          <w:lang w:val="en-US" w:eastAsia="de-DE"/>
        </w:rPr>
        <w:t>over the period of 28 days</w:t>
      </w:r>
      <w:r>
        <w:rPr>
          <w:rFonts w:ascii="Arial" w:eastAsia="Times New Roman" w:hAnsi="Arial" w:cs="Arial"/>
          <w:color w:val="000000"/>
          <w:sz w:val="22"/>
          <w:lang w:val="en-US" w:eastAsia="de-DE"/>
        </w:rPr>
        <w:t xml:space="preserve"> (</w:t>
      </w:r>
      <w:r w:rsidRPr="004F5547">
        <w:rPr>
          <w:rFonts w:ascii="Arial" w:eastAsia="Times New Roman" w:hAnsi="Arial" w:cs="Arial"/>
          <w:color w:val="000000"/>
          <w:sz w:val="22"/>
          <w:lang w:val="en-US" w:eastAsia="de-DE"/>
        </w:rPr>
        <w:t xml:space="preserve">Calculated by adding up the days a patient received at least one antibiotic drug. In patients receiving more than one antibiotic drug, the cumulative duration of use was calculated for each single antibiotic drug and then added up), VRE, vancomycin-resistant </w:t>
      </w:r>
      <w:r w:rsidRPr="00953C43">
        <w:rPr>
          <w:rFonts w:ascii="Arial" w:eastAsia="Times New Roman" w:hAnsi="Arial" w:cs="Arial"/>
          <w:i/>
          <w:color w:val="000000"/>
          <w:sz w:val="22"/>
          <w:lang w:val="en-US" w:eastAsia="de-DE"/>
        </w:rPr>
        <w:t>Enterococcus faecium</w:t>
      </w:r>
      <w:r w:rsidRPr="004F5547">
        <w:rPr>
          <w:rFonts w:ascii="Arial" w:eastAsia="Times New Roman" w:hAnsi="Arial" w:cs="Arial"/>
          <w:color w:val="000000"/>
          <w:sz w:val="22"/>
          <w:lang w:val="en-US" w:eastAsia="de-DE"/>
        </w:rPr>
        <w:t>; 4-MRGN, multi-resistant gram-negative bacteria with resistance against four main antibiotic drug classes; Concerning symbolism and higher orders of significance: * p &lt; 0.05:</w:t>
      </w:r>
    </w:p>
    <w:p w:rsidR="00406902" w:rsidRPr="004F5547" w:rsidRDefault="00406902" w:rsidP="004F5547">
      <w:pPr>
        <w:rPr>
          <w:rFonts w:ascii="Arial" w:eastAsia="Times New Roman" w:hAnsi="Arial" w:cs="Arial"/>
          <w:color w:val="000000"/>
          <w:sz w:val="22"/>
          <w:lang w:val="en-US" w:eastAsia="de-DE"/>
        </w:rPr>
      </w:pPr>
    </w:p>
    <w:p w:rsidR="00261536" w:rsidRDefault="00261536">
      <w:pPr>
        <w:rPr>
          <w:rFonts w:ascii="Times New Roman" w:hAnsi="Times New Roman" w:cs="Times New Roman"/>
          <w:b/>
          <w:lang w:val="en-US"/>
        </w:rPr>
      </w:pPr>
      <w:r>
        <w:rPr>
          <w:rFonts w:ascii="Times New Roman" w:hAnsi="Times New Roman" w:cs="Times New Roman"/>
          <w:b/>
          <w:lang w:val="en-US"/>
        </w:rPr>
        <w:br w:type="page"/>
      </w:r>
    </w:p>
    <w:p w:rsidR="00261536" w:rsidRDefault="00261536" w:rsidP="00C77E69">
      <w:pPr>
        <w:spacing w:line="240" w:lineRule="auto"/>
        <w:rPr>
          <w:rFonts w:ascii="Times New Roman" w:hAnsi="Times New Roman" w:cs="Times New Roman"/>
          <w:b/>
          <w:lang w:val="en-US"/>
        </w:rPr>
        <w:sectPr w:rsidR="00261536" w:rsidSect="00611D0A">
          <w:pgSz w:w="12240" w:h="15840" w:code="1"/>
          <w:pgMar w:top="1418" w:right="1418" w:bottom="1134" w:left="1418" w:header="709" w:footer="709" w:gutter="0"/>
          <w:cols w:space="708"/>
          <w:docGrid w:linePitch="360"/>
        </w:sectPr>
      </w:pPr>
    </w:p>
    <w:p w:rsidR="00261536" w:rsidRDefault="00261536" w:rsidP="00261536">
      <w:pPr>
        <w:spacing w:after="0" w:line="240" w:lineRule="auto"/>
        <w:ind w:right="1239"/>
        <w:jc w:val="both"/>
        <w:rPr>
          <w:rFonts w:ascii="Arial" w:eastAsia="Calibri" w:hAnsi="Arial" w:cs="Arial"/>
          <w:sz w:val="18"/>
          <w:szCs w:val="21"/>
          <w:lang w:val="en-US"/>
        </w:rPr>
      </w:pPr>
      <w:r>
        <w:rPr>
          <w:rFonts w:ascii="Times New Roman" w:hAnsi="Times New Roman" w:cs="Times New Roman"/>
          <w:b/>
          <w:lang w:val="en-US"/>
        </w:rPr>
        <w:lastRenderedPageBreak/>
        <w:t xml:space="preserve">Table S4. Detailed overview of samples ruled as implausible </w:t>
      </w:r>
      <w:r w:rsidR="00DC7396">
        <w:rPr>
          <w:rFonts w:ascii="Times New Roman" w:hAnsi="Times New Roman" w:cs="Times New Roman"/>
          <w:b/>
          <w:lang w:val="en-US"/>
        </w:rPr>
        <w:t>by</w:t>
      </w:r>
      <w:r>
        <w:rPr>
          <w:rFonts w:ascii="Times New Roman" w:hAnsi="Times New Roman" w:cs="Times New Roman"/>
          <w:b/>
          <w:lang w:val="en-US"/>
        </w:rPr>
        <w:t xml:space="preserve"> expert evaluation.</w:t>
      </w:r>
    </w:p>
    <w:p w:rsidR="00261536" w:rsidRDefault="00261536" w:rsidP="00261536">
      <w:pPr>
        <w:spacing w:after="0" w:line="240" w:lineRule="auto"/>
        <w:ind w:right="1239"/>
        <w:jc w:val="both"/>
        <w:rPr>
          <w:rFonts w:ascii="Arial" w:eastAsia="Calibri" w:hAnsi="Arial" w:cs="Arial"/>
          <w:sz w:val="18"/>
          <w:szCs w:val="21"/>
          <w:lang w:val="en-US"/>
        </w:rPr>
      </w:pPr>
    </w:p>
    <w:p w:rsidR="00261536" w:rsidRPr="00261536" w:rsidRDefault="00261536" w:rsidP="00261536">
      <w:pPr>
        <w:spacing w:after="0" w:line="240" w:lineRule="auto"/>
        <w:ind w:right="1239"/>
        <w:jc w:val="both"/>
        <w:rPr>
          <w:rFonts w:ascii="Arial" w:eastAsia="Calibri" w:hAnsi="Arial" w:cs="Arial"/>
          <w:sz w:val="18"/>
          <w:szCs w:val="21"/>
          <w:lang w:val="en-US"/>
        </w:rPr>
      </w:pPr>
      <w:r w:rsidRPr="00261536">
        <w:rPr>
          <w:rFonts w:ascii="Arial" w:eastAsia="Calibri" w:hAnsi="Arial" w:cs="Arial"/>
          <w:sz w:val="18"/>
          <w:szCs w:val="21"/>
          <w:lang w:val="en-US"/>
        </w:rPr>
        <w:t xml:space="preserve">There were11 NGS negative and 2 NGS positive samples that were ruled implausible by majority vote by the clinical experts: </w:t>
      </w:r>
    </w:p>
    <w:p w:rsidR="00261536" w:rsidRPr="00261536" w:rsidRDefault="00261536" w:rsidP="00261536">
      <w:pPr>
        <w:spacing w:after="0" w:line="240" w:lineRule="auto"/>
        <w:ind w:right="1239"/>
        <w:jc w:val="both"/>
        <w:rPr>
          <w:rFonts w:ascii="Arial" w:eastAsia="Calibri" w:hAnsi="Arial" w:cs="Arial"/>
          <w:sz w:val="18"/>
          <w:szCs w:val="21"/>
          <w:lang w:val="en-U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275"/>
        <w:gridCol w:w="2694"/>
        <w:gridCol w:w="7654"/>
      </w:tblGrid>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Sample</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NGS</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BC</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r w:rsidRPr="00261536">
              <w:rPr>
                <w:rFonts w:ascii="Arial" w:eastAsia="Calibri" w:hAnsi="Arial" w:cs="Arial"/>
                <w:sz w:val="18"/>
                <w:szCs w:val="21"/>
                <w:lang w:val="en-US"/>
              </w:rPr>
              <w:t>BC result</w:t>
            </w:r>
          </w:p>
        </w:tc>
        <w:tc>
          <w:tcPr>
            <w:tcW w:w="7654" w:type="dxa"/>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Comment</w:t>
            </w:r>
          </w:p>
        </w:tc>
      </w:tr>
      <w:tr w:rsidR="00261536" w:rsidRPr="00A7110C"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S04 T0</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positive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i/>
                <w:sz w:val="18"/>
                <w:szCs w:val="21"/>
                <w:lang w:val="en-US"/>
              </w:rPr>
            </w:pPr>
            <w:r w:rsidRPr="00261536">
              <w:rPr>
                <w:rFonts w:ascii="Arial" w:eastAsia="Calibri" w:hAnsi="Arial" w:cs="Arial"/>
                <w:i/>
                <w:sz w:val="18"/>
                <w:szCs w:val="21"/>
                <w:lang w:val="en-US"/>
              </w:rPr>
              <w:t>E. cloacae</w:t>
            </w:r>
          </w:p>
        </w:tc>
        <w:tc>
          <w:tcPr>
            <w:tcW w:w="7654" w:type="dxa"/>
            <w:vMerge w:val="restart"/>
            <w:shd w:val="clear" w:color="auto" w:fill="auto"/>
            <w:vAlign w:val="center"/>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 xml:space="preserve">Reads identified for </w:t>
            </w:r>
            <w:r w:rsidRPr="00261536">
              <w:rPr>
                <w:rFonts w:ascii="Arial" w:eastAsia="Calibri" w:hAnsi="Arial" w:cs="Arial"/>
                <w:i/>
                <w:sz w:val="18"/>
                <w:szCs w:val="21"/>
                <w:lang w:val="en-US"/>
              </w:rPr>
              <w:t>E. cloacae</w:t>
            </w:r>
            <w:r w:rsidRPr="00261536">
              <w:rPr>
                <w:rFonts w:ascii="Arial" w:eastAsia="Calibri" w:hAnsi="Arial" w:cs="Arial"/>
                <w:sz w:val="18"/>
                <w:szCs w:val="21"/>
                <w:lang w:val="en-US"/>
              </w:rPr>
              <w:t xml:space="preserve"> for all three samples, filtered out due to threshold settings</w:t>
            </w: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S04 T1</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S04 T2</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p>
        </w:tc>
      </w:tr>
      <w:tr w:rsidR="00261536" w:rsidRPr="00A7110C"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S08 T0</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positive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i/>
                <w:sz w:val="18"/>
                <w:szCs w:val="21"/>
                <w:lang w:val="en-US"/>
              </w:rPr>
            </w:pPr>
            <w:r w:rsidRPr="00261536">
              <w:rPr>
                <w:rFonts w:ascii="Arial" w:eastAsia="Calibri" w:hAnsi="Arial" w:cs="Arial"/>
                <w:i/>
                <w:sz w:val="18"/>
                <w:szCs w:val="21"/>
                <w:lang w:val="en-US"/>
              </w:rPr>
              <w:t>S. epidermidis</w:t>
            </w:r>
          </w:p>
        </w:tc>
        <w:tc>
          <w:tcPr>
            <w:tcW w:w="7654" w:type="dxa"/>
            <w:vMerge w:val="restart"/>
            <w:shd w:val="clear" w:color="auto" w:fill="auto"/>
            <w:vAlign w:val="center"/>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 xml:space="preserve">Repetitive identification of </w:t>
            </w:r>
            <w:r w:rsidRPr="00261536">
              <w:rPr>
                <w:rFonts w:ascii="Arial" w:eastAsia="Calibri" w:hAnsi="Arial" w:cs="Arial"/>
                <w:i/>
                <w:sz w:val="18"/>
                <w:szCs w:val="21"/>
                <w:lang w:val="en-US"/>
              </w:rPr>
              <w:t>S. epidermidis</w:t>
            </w:r>
            <w:r w:rsidRPr="00261536">
              <w:rPr>
                <w:rFonts w:ascii="Arial" w:eastAsia="Calibri" w:hAnsi="Arial" w:cs="Arial"/>
                <w:sz w:val="18"/>
                <w:szCs w:val="21"/>
                <w:lang w:val="en-US"/>
              </w:rPr>
              <w:t xml:space="preserve"> also in other specimens, no significant read counts for </w:t>
            </w:r>
            <w:r w:rsidRPr="00261536">
              <w:rPr>
                <w:rFonts w:ascii="Arial" w:eastAsia="Calibri" w:hAnsi="Arial" w:cs="Arial"/>
                <w:i/>
                <w:sz w:val="18"/>
                <w:szCs w:val="21"/>
                <w:lang w:val="en-US"/>
              </w:rPr>
              <w:t>S. epidermidis</w:t>
            </w:r>
            <w:r w:rsidRPr="00261536">
              <w:rPr>
                <w:rFonts w:ascii="Arial" w:eastAsia="Calibri" w:hAnsi="Arial" w:cs="Arial"/>
                <w:sz w:val="18"/>
                <w:szCs w:val="21"/>
                <w:lang w:val="en-US"/>
              </w:rPr>
              <w:t xml:space="preserve"> in the plasma samples. </w:t>
            </w: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S08 T1</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S08 T2</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p>
        </w:tc>
      </w:tr>
      <w:tr w:rsidR="00261536" w:rsidRPr="00A7110C"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S22 T0</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positive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i/>
                <w:sz w:val="18"/>
                <w:szCs w:val="21"/>
                <w:lang w:val="en-US"/>
              </w:rPr>
            </w:pPr>
            <w:r w:rsidRPr="00261536">
              <w:rPr>
                <w:rFonts w:ascii="Arial" w:eastAsia="Calibri" w:hAnsi="Arial" w:cs="Arial"/>
                <w:i/>
                <w:sz w:val="18"/>
                <w:szCs w:val="21"/>
                <w:lang w:val="en-US"/>
              </w:rPr>
              <w:t>E. faecium</w:t>
            </w:r>
          </w:p>
        </w:tc>
        <w:tc>
          <w:tcPr>
            <w:tcW w:w="7654" w:type="dxa"/>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Reads identified for E</w:t>
            </w:r>
            <w:r w:rsidRPr="00261536">
              <w:rPr>
                <w:rFonts w:ascii="Arial" w:eastAsia="Calibri" w:hAnsi="Arial" w:cs="Arial"/>
                <w:i/>
                <w:sz w:val="18"/>
                <w:szCs w:val="21"/>
                <w:lang w:val="en-US"/>
              </w:rPr>
              <w:t>. faecium</w:t>
            </w:r>
            <w:r w:rsidRPr="00261536">
              <w:rPr>
                <w:rFonts w:ascii="Arial" w:eastAsia="Calibri" w:hAnsi="Arial" w:cs="Arial"/>
                <w:sz w:val="18"/>
                <w:szCs w:val="21"/>
                <w:lang w:val="en-US"/>
              </w:rPr>
              <w:t>, filtered out due to threshold settings; patient died 2 days after study inclusion</w:t>
            </w: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S26 T2</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 xml:space="preserve">Reads were found in this sample for </w:t>
            </w:r>
            <w:r w:rsidRPr="00261536">
              <w:rPr>
                <w:rFonts w:ascii="Arial" w:eastAsia="Calibri" w:hAnsi="Arial" w:cs="Arial"/>
                <w:i/>
                <w:sz w:val="18"/>
                <w:szCs w:val="21"/>
                <w:lang w:val="en-US"/>
              </w:rPr>
              <w:t>E. coli</w:t>
            </w:r>
            <w:r w:rsidRPr="00261536">
              <w:rPr>
                <w:rFonts w:ascii="Arial" w:eastAsia="Calibri" w:hAnsi="Arial" w:cs="Arial"/>
                <w:sz w:val="18"/>
                <w:szCs w:val="21"/>
                <w:lang w:val="en-US"/>
              </w:rPr>
              <w:t xml:space="preserve"> and </w:t>
            </w:r>
            <w:r w:rsidRPr="00261536">
              <w:rPr>
                <w:rFonts w:ascii="Arial" w:eastAsia="Calibri" w:hAnsi="Arial" w:cs="Arial"/>
                <w:i/>
                <w:sz w:val="18"/>
                <w:szCs w:val="21"/>
                <w:lang w:val="en-US"/>
              </w:rPr>
              <w:t>Human herpesvirus 6B</w:t>
            </w:r>
            <w:r w:rsidRPr="00261536">
              <w:rPr>
                <w:rFonts w:ascii="Arial" w:eastAsia="Calibri" w:hAnsi="Arial" w:cs="Arial"/>
                <w:sz w:val="18"/>
                <w:szCs w:val="21"/>
                <w:lang w:val="en-US"/>
              </w:rPr>
              <w:t>, consistent with results for this patient for the previous samples. These species were however not called due to filter settings. The patient died 3 days after study inclusion.</w:t>
            </w:r>
          </w:p>
        </w:tc>
      </w:tr>
      <w:tr w:rsidR="00261536" w:rsidRPr="00A7110C"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S38 T0</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 xml:space="preserve">The following samples of this patient were positive for </w:t>
            </w:r>
            <w:r w:rsidRPr="00261536">
              <w:rPr>
                <w:rFonts w:ascii="Arial" w:eastAsia="Calibri" w:hAnsi="Arial" w:cs="Arial"/>
                <w:i/>
                <w:sz w:val="18"/>
                <w:szCs w:val="21"/>
                <w:lang w:val="en-US"/>
              </w:rPr>
              <w:t>E. faecium</w:t>
            </w:r>
            <w:r w:rsidRPr="00261536">
              <w:rPr>
                <w:rFonts w:ascii="Arial" w:eastAsia="Calibri" w:hAnsi="Arial" w:cs="Arial"/>
                <w:sz w:val="18"/>
                <w:szCs w:val="21"/>
                <w:lang w:val="en-US"/>
              </w:rPr>
              <w:t xml:space="preserve">, however no reads for </w:t>
            </w:r>
            <w:r w:rsidRPr="00261536">
              <w:rPr>
                <w:rFonts w:ascii="Arial" w:eastAsia="Calibri" w:hAnsi="Arial" w:cs="Arial"/>
                <w:i/>
                <w:sz w:val="18"/>
                <w:szCs w:val="21"/>
                <w:lang w:val="en-US"/>
              </w:rPr>
              <w:t>E. faecium</w:t>
            </w:r>
            <w:r w:rsidRPr="00261536">
              <w:rPr>
                <w:rFonts w:ascii="Arial" w:eastAsia="Calibri" w:hAnsi="Arial" w:cs="Arial"/>
                <w:sz w:val="18"/>
                <w:szCs w:val="21"/>
                <w:lang w:val="en-US"/>
              </w:rPr>
              <w:t xml:space="preserve"> were identified at onset.</w:t>
            </w:r>
          </w:p>
        </w:tc>
      </w:tr>
      <w:tr w:rsidR="00261536" w:rsidRPr="00A7110C"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S45 T1</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positive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val="restart"/>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 xml:space="preserve">For this patient, (low) read counts identified </w:t>
            </w:r>
            <w:r w:rsidRPr="00261536">
              <w:rPr>
                <w:rFonts w:ascii="Arial" w:eastAsia="Calibri" w:hAnsi="Arial" w:cs="Arial"/>
                <w:i/>
                <w:sz w:val="18"/>
                <w:szCs w:val="21"/>
                <w:lang w:val="en-US"/>
              </w:rPr>
              <w:t>S. enterica</w:t>
            </w:r>
            <w:r w:rsidRPr="00261536">
              <w:rPr>
                <w:rFonts w:ascii="Arial" w:eastAsia="Calibri" w:hAnsi="Arial" w:cs="Arial"/>
                <w:sz w:val="18"/>
                <w:szCs w:val="21"/>
                <w:lang w:val="en-US"/>
              </w:rPr>
              <w:t>, which seemed unlikely in the clinical context. There were however no results of BC or any other clinical specimens available up to day 4 after sepsis onset to compare the NGS results to.</w:t>
            </w: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S45 T2</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positive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p>
        </w:tc>
      </w:tr>
      <w:tr w:rsidR="00261536" w:rsidRPr="00A7110C"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S53 T0</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positive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i/>
                <w:sz w:val="18"/>
                <w:szCs w:val="21"/>
                <w:lang w:val="en-US"/>
              </w:rPr>
            </w:pPr>
            <w:r w:rsidRPr="00261536">
              <w:rPr>
                <w:rFonts w:ascii="Arial" w:eastAsia="Calibri" w:hAnsi="Arial" w:cs="Arial"/>
                <w:i/>
                <w:sz w:val="18"/>
                <w:szCs w:val="21"/>
                <w:lang w:val="en-US"/>
              </w:rPr>
              <w:t>E. faecium, E. coli, C. albicans</w:t>
            </w:r>
          </w:p>
        </w:tc>
        <w:tc>
          <w:tcPr>
            <w:tcW w:w="7654" w:type="dxa"/>
            <w:vMerge w:val="restart"/>
            <w:shd w:val="clear" w:color="auto" w:fill="auto"/>
            <w:vAlign w:val="center"/>
          </w:tcPr>
          <w:p w:rsidR="00261536" w:rsidRPr="00261536" w:rsidRDefault="00261536" w:rsidP="00261536">
            <w:pPr>
              <w:spacing w:after="0" w:line="240" w:lineRule="auto"/>
              <w:jc w:val="both"/>
              <w:rPr>
                <w:rFonts w:ascii="Arial" w:eastAsia="Calibri" w:hAnsi="Arial" w:cs="Arial"/>
                <w:sz w:val="18"/>
                <w:szCs w:val="21"/>
                <w:lang w:val="en-US"/>
              </w:rPr>
            </w:pPr>
            <w:r w:rsidRPr="00261536">
              <w:rPr>
                <w:rFonts w:ascii="Arial" w:eastAsia="Calibri" w:hAnsi="Arial" w:cs="Arial"/>
                <w:sz w:val="18"/>
                <w:szCs w:val="21"/>
                <w:lang w:val="en-US"/>
              </w:rPr>
              <w:t xml:space="preserve">No reads for </w:t>
            </w:r>
            <w:r w:rsidRPr="00261536">
              <w:rPr>
                <w:rFonts w:ascii="Arial" w:eastAsia="Calibri" w:hAnsi="Arial" w:cs="Arial"/>
                <w:i/>
                <w:sz w:val="18"/>
                <w:szCs w:val="21"/>
                <w:lang w:val="en-US"/>
              </w:rPr>
              <w:t>E. faecium</w:t>
            </w:r>
            <w:r w:rsidRPr="00261536">
              <w:rPr>
                <w:rFonts w:ascii="Arial" w:eastAsia="Calibri" w:hAnsi="Arial" w:cs="Arial"/>
                <w:sz w:val="18"/>
                <w:szCs w:val="21"/>
                <w:lang w:val="en-US"/>
              </w:rPr>
              <w:t xml:space="preserve"> or </w:t>
            </w:r>
            <w:r w:rsidRPr="00261536">
              <w:rPr>
                <w:rFonts w:ascii="Arial" w:eastAsia="Calibri" w:hAnsi="Arial" w:cs="Arial"/>
                <w:i/>
                <w:sz w:val="18"/>
                <w:szCs w:val="21"/>
                <w:lang w:val="en-US"/>
              </w:rPr>
              <w:t>C. albicans</w:t>
            </w:r>
            <w:r w:rsidRPr="00261536">
              <w:rPr>
                <w:rFonts w:ascii="Arial" w:eastAsia="Calibri" w:hAnsi="Arial" w:cs="Arial"/>
                <w:sz w:val="18"/>
                <w:szCs w:val="21"/>
                <w:lang w:val="en-US"/>
              </w:rPr>
              <w:t xml:space="preserve">, reads below filter settings for </w:t>
            </w:r>
            <w:r w:rsidRPr="00261536">
              <w:rPr>
                <w:rFonts w:ascii="Arial" w:eastAsia="Calibri" w:hAnsi="Arial" w:cs="Arial"/>
                <w:i/>
                <w:sz w:val="18"/>
                <w:szCs w:val="21"/>
                <w:lang w:val="en-US"/>
              </w:rPr>
              <w:t>E. coli</w:t>
            </w:r>
            <w:r w:rsidRPr="00261536">
              <w:rPr>
                <w:rFonts w:ascii="Arial" w:eastAsia="Calibri" w:hAnsi="Arial" w:cs="Arial"/>
                <w:sz w:val="18"/>
                <w:szCs w:val="21"/>
                <w:lang w:val="en-US"/>
              </w:rPr>
              <w:t xml:space="preserve">. Later time points T2 and T3 for this patient positive by NGS for </w:t>
            </w:r>
            <w:r w:rsidRPr="00261536">
              <w:rPr>
                <w:rFonts w:ascii="Arial" w:eastAsia="Calibri" w:hAnsi="Arial" w:cs="Arial"/>
                <w:i/>
                <w:sz w:val="18"/>
                <w:szCs w:val="21"/>
                <w:lang w:val="en-US"/>
              </w:rPr>
              <w:t>E. coli</w:t>
            </w:r>
            <w:r w:rsidRPr="00261536">
              <w:rPr>
                <w:rFonts w:ascii="Arial" w:eastAsia="Calibri" w:hAnsi="Arial" w:cs="Arial"/>
                <w:sz w:val="18"/>
                <w:szCs w:val="21"/>
                <w:lang w:val="en-US"/>
              </w:rPr>
              <w:t>.</w:t>
            </w:r>
          </w:p>
        </w:tc>
      </w:tr>
      <w:tr w:rsidR="00261536" w:rsidRPr="00261536" w:rsidTr="00261536">
        <w:tc>
          <w:tcPr>
            <w:tcW w:w="988" w:type="dxa"/>
            <w:shd w:val="clear" w:color="auto" w:fill="auto"/>
          </w:tcPr>
          <w:p w:rsidR="00261536" w:rsidRPr="00261536" w:rsidRDefault="00261536" w:rsidP="00261536">
            <w:pPr>
              <w:spacing w:after="0" w:line="240" w:lineRule="auto"/>
              <w:ind w:right="-22"/>
              <w:jc w:val="both"/>
              <w:rPr>
                <w:rFonts w:ascii="Arial" w:eastAsia="Calibri" w:hAnsi="Arial" w:cs="Arial"/>
                <w:sz w:val="18"/>
                <w:szCs w:val="21"/>
                <w:lang w:val="en-US"/>
              </w:rPr>
            </w:pPr>
            <w:r w:rsidRPr="00261536">
              <w:rPr>
                <w:rFonts w:ascii="Arial" w:eastAsia="Calibri" w:hAnsi="Arial" w:cs="Arial"/>
                <w:sz w:val="18"/>
                <w:szCs w:val="21"/>
                <w:lang w:val="en-US"/>
              </w:rPr>
              <w:t>S53 T1</w:t>
            </w:r>
          </w:p>
        </w:tc>
        <w:tc>
          <w:tcPr>
            <w:tcW w:w="1134"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1275" w:type="dxa"/>
            <w:shd w:val="clear" w:color="auto" w:fill="auto"/>
          </w:tcPr>
          <w:p w:rsidR="00261536" w:rsidRPr="00261536" w:rsidRDefault="00261536" w:rsidP="00261536">
            <w:pPr>
              <w:spacing w:after="0" w:line="240" w:lineRule="auto"/>
              <w:ind w:right="-98"/>
              <w:jc w:val="both"/>
              <w:rPr>
                <w:rFonts w:ascii="Arial" w:eastAsia="Calibri" w:hAnsi="Arial" w:cs="Arial"/>
                <w:sz w:val="18"/>
                <w:szCs w:val="21"/>
                <w:lang w:val="en-US"/>
              </w:rPr>
            </w:pPr>
            <w:r w:rsidRPr="00261536">
              <w:rPr>
                <w:rFonts w:ascii="Arial" w:eastAsia="Calibri" w:hAnsi="Arial" w:cs="Arial"/>
                <w:sz w:val="18"/>
                <w:szCs w:val="21"/>
                <w:lang w:val="en-US"/>
              </w:rPr>
              <w:t>negative</w:t>
            </w:r>
          </w:p>
        </w:tc>
        <w:tc>
          <w:tcPr>
            <w:tcW w:w="2694" w:type="dxa"/>
            <w:shd w:val="clear" w:color="auto" w:fill="auto"/>
          </w:tcPr>
          <w:p w:rsidR="00261536" w:rsidRPr="00261536" w:rsidRDefault="00261536" w:rsidP="00261536">
            <w:pPr>
              <w:spacing w:after="0" w:line="240" w:lineRule="auto"/>
              <w:ind w:right="-101"/>
              <w:jc w:val="both"/>
              <w:rPr>
                <w:rFonts w:ascii="Arial" w:eastAsia="Calibri" w:hAnsi="Arial" w:cs="Arial"/>
                <w:sz w:val="18"/>
                <w:szCs w:val="21"/>
                <w:lang w:val="en-US"/>
              </w:rPr>
            </w:pPr>
          </w:p>
        </w:tc>
        <w:tc>
          <w:tcPr>
            <w:tcW w:w="7654" w:type="dxa"/>
            <w:vMerge/>
            <w:shd w:val="clear" w:color="auto" w:fill="auto"/>
          </w:tcPr>
          <w:p w:rsidR="00261536" w:rsidRPr="00261536" w:rsidRDefault="00261536" w:rsidP="00261536">
            <w:pPr>
              <w:spacing w:after="0" w:line="240" w:lineRule="auto"/>
              <w:jc w:val="both"/>
              <w:rPr>
                <w:rFonts w:ascii="Arial" w:eastAsia="Calibri" w:hAnsi="Arial" w:cs="Arial"/>
                <w:sz w:val="18"/>
                <w:szCs w:val="21"/>
                <w:lang w:val="en-US"/>
              </w:rPr>
            </w:pPr>
          </w:p>
        </w:tc>
      </w:tr>
    </w:tbl>
    <w:p w:rsidR="00261536" w:rsidRPr="00261536" w:rsidRDefault="00261536" w:rsidP="00261536">
      <w:pPr>
        <w:spacing w:after="0" w:line="240" w:lineRule="auto"/>
        <w:ind w:right="1239"/>
        <w:jc w:val="both"/>
        <w:rPr>
          <w:rFonts w:ascii="Arial" w:eastAsia="Calibri" w:hAnsi="Arial" w:cs="Arial"/>
          <w:sz w:val="18"/>
          <w:szCs w:val="21"/>
          <w:lang w:val="en-US"/>
        </w:rPr>
      </w:pPr>
    </w:p>
    <w:p w:rsidR="00261536" w:rsidRPr="00261536" w:rsidRDefault="00261536" w:rsidP="00261536">
      <w:pPr>
        <w:spacing w:after="0" w:line="240" w:lineRule="auto"/>
        <w:ind w:right="1239"/>
        <w:jc w:val="both"/>
        <w:rPr>
          <w:rFonts w:ascii="Arial" w:eastAsia="Calibri" w:hAnsi="Arial" w:cs="Arial"/>
          <w:sz w:val="18"/>
          <w:szCs w:val="21"/>
          <w:lang w:val="en-US"/>
        </w:rPr>
      </w:pPr>
    </w:p>
    <w:p w:rsidR="00261536" w:rsidRPr="00261536" w:rsidRDefault="00261536" w:rsidP="00261536">
      <w:pPr>
        <w:ind w:right="1239"/>
        <w:jc w:val="both"/>
        <w:rPr>
          <w:rFonts w:ascii="Arial" w:eastAsia="Calibri" w:hAnsi="Arial" w:cs="Arial"/>
          <w:sz w:val="18"/>
          <w:szCs w:val="21"/>
          <w:lang w:val="en-US"/>
        </w:rPr>
      </w:pPr>
      <w:r w:rsidRPr="00261536">
        <w:rPr>
          <w:rFonts w:ascii="Arial" w:eastAsia="Calibri" w:hAnsi="Arial" w:cs="Arial"/>
          <w:sz w:val="18"/>
          <w:szCs w:val="21"/>
          <w:lang w:val="en-US"/>
        </w:rPr>
        <w:t>In summary, most of the samples were also negative by BC, in many cases there were also no further clinical specimens available. The expert’s votes were independent from each other and we can only assume that the votes of “implausibly negative” might reflect the feeling that the patients were severely ill and had signs of infection and that therefore a negative result of any test does not seem to accurately reflect the patient’s health state.</w:t>
      </w:r>
    </w:p>
    <w:p w:rsidR="006D44E7" w:rsidRDefault="006D44E7" w:rsidP="00C77E69">
      <w:pPr>
        <w:spacing w:line="240" w:lineRule="auto"/>
        <w:rPr>
          <w:rFonts w:ascii="Times New Roman" w:hAnsi="Times New Roman" w:cs="Times New Roman"/>
          <w:b/>
          <w:lang w:val="en-US"/>
        </w:rPr>
      </w:pPr>
    </w:p>
    <w:sectPr w:rsidR="006D44E7" w:rsidSect="00261536">
      <w:pgSz w:w="15840" w:h="12240" w:orient="landscape" w:code="1"/>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CE8" w:rsidRDefault="00D03CE8" w:rsidP="00D17EB9">
      <w:pPr>
        <w:spacing w:after="0" w:line="240" w:lineRule="auto"/>
      </w:pPr>
      <w:r>
        <w:separator/>
      </w:r>
    </w:p>
  </w:endnote>
  <w:endnote w:type="continuationSeparator" w:id="0">
    <w:p w:rsidR="00D03CE8" w:rsidRDefault="00D03CE8" w:rsidP="00D1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utiger 45 Light">
    <w:panose1 w:val="020B03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CE8" w:rsidRDefault="00D03CE8" w:rsidP="00D17EB9">
      <w:pPr>
        <w:spacing w:after="0" w:line="240" w:lineRule="auto"/>
      </w:pPr>
      <w:r>
        <w:separator/>
      </w:r>
    </w:p>
  </w:footnote>
  <w:footnote w:type="continuationSeparator" w:id="0">
    <w:p w:rsidR="00D03CE8" w:rsidRDefault="00D03CE8" w:rsidP="00D17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E3878"/>
    <w:multiLevelType w:val="hybridMultilevel"/>
    <w:tmpl w:val="3C6E9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469"/>
    <w:rsid w:val="00003E85"/>
    <w:rsid w:val="0008406D"/>
    <w:rsid w:val="00104327"/>
    <w:rsid w:val="00143ED5"/>
    <w:rsid w:val="00195A3B"/>
    <w:rsid w:val="001E48A6"/>
    <w:rsid w:val="00231860"/>
    <w:rsid w:val="00261536"/>
    <w:rsid w:val="00316A76"/>
    <w:rsid w:val="003600D5"/>
    <w:rsid w:val="0036461B"/>
    <w:rsid w:val="0038301F"/>
    <w:rsid w:val="003B6FDE"/>
    <w:rsid w:val="003D5C33"/>
    <w:rsid w:val="00406902"/>
    <w:rsid w:val="004852A4"/>
    <w:rsid w:val="00491F10"/>
    <w:rsid w:val="004F5547"/>
    <w:rsid w:val="00517B65"/>
    <w:rsid w:val="00524E90"/>
    <w:rsid w:val="00611D0A"/>
    <w:rsid w:val="00613284"/>
    <w:rsid w:val="0061507E"/>
    <w:rsid w:val="006335C8"/>
    <w:rsid w:val="0067644C"/>
    <w:rsid w:val="00682900"/>
    <w:rsid w:val="006D11F8"/>
    <w:rsid w:val="006D44E7"/>
    <w:rsid w:val="006F3CEB"/>
    <w:rsid w:val="0080215D"/>
    <w:rsid w:val="00857315"/>
    <w:rsid w:val="00864540"/>
    <w:rsid w:val="00897673"/>
    <w:rsid w:val="008B3F44"/>
    <w:rsid w:val="0091386D"/>
    <w:rsid w:val="00953C43"/>
    <w:rsid w:val="00981825"/>
    <w:rsid w:val="00985B1E"/>
    <w:rsid w:val="009B682A"/>
    <w:rsid w:val="009F6469"/>
    <w:rsid w:val="00A02B25"/>
    <w:rsid w:val="00A3176A"/>
    <w:rsid w:val="00A7110C"/>
    <w:rsid w:val="00A84365"/>
    <w:rsid w:val="00AA6134"/>
    <w:rsid w:val="00B2296C"/>
    <w:rsid w:val="00B26037"/>
    <w:rsid w:val="00BB37BB"/>
    <w:rsid w:val="00C15445"/>
    <w:rsid w:val="00C2144A"/>
    <w:rsid w:val="00C77E69"/>
    <w:rsid w:val="00D03CE8"/>
    <w:rsid w:val="00D17EB9"/>
    <w:rsid w:val="00DC7396"/>
    <w:rsid w:val="00E5497D"/>
    <w:rsid w:val="00EC5CC1"/>
    <w:rsid w:val="00F0449D"/>
    <w:rsid w:val="00F21F51"/>
    <w:rsid w:val="00F2746A"/>
    <w:rsid w:val="00F64F07"/>
    <w:rsid w:val="00F864D3"/>
    <w:rsid w:val="00FA1401"/>
    <w:rsid w:val="00FA5CA3"/>
    <w:rsid w:val="00FC29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6D36"/>
  <w15:chartTrackingRefBased/>
  <w15:docId w15:val="{CED6B96F-93E4-4016-953A-CBB4974A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utiger LT Com 45 Light" w:eastAsiaTheme="minorHAnsi" w:hAnsi="Frutiger LT Com 45 Light" w:cstheme="minorBidi"/>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F646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BB37BB"/>
  </w:style>
  <w:style w:type="character" w:styleId="Hyperlink">
    <w:name w:val="Hyperlink"/>
    <w:basedOn w:val="Absatz-Standardschriftart"/>
    <w:uiPriority w:val="99"/>
    <w:unhideWhenUsed/>
    <w:rsid w:val="00BB37BB"/>
    <w:rPr>
      <w:color w:val="0000FF" w:themeColor="hyperlink"/>
      <w:u w:val="single"/>
    </w:rPr>
  </w:style>
  <w:style w:type="character" w:customStyle="1" w:styleId="FormatvorlageArialBlockZeilenabstand15ZeilenZchn">
    <w:name w:val="Formatvorlage Arial Block Zeilenabstand:  15 Zeilen Zchn"/>
    <w:basedOn w:val="Absatz-Standardschriftart"/>
    <w:link w:val="FormatvorlageArialBlockZeilenabstand15Zeilen"/>
    <w:locked/>
    <w:rsid w:val="00BB37BB"/>
    <w:rPr>
      <w:rFonts w:ascii="Arial" w:eastAsia="Times New Roman" w:hAnsi="Arial" w:cs="Times New Roman"/>
      <w:sz w:val="22"/>
      <w:szCs w:val="20"/>
      <w:lang w:eastAsia="de-DE"/>
    </w:rPr>
  </w:style>
  <w:style w:type="paragraph" w:customStyle="1" w:styleId="FormatvorlageArialBlockZeilenabstand15Zeilen">
    <w:name w:val="Formatvorlage Arial Block Zeilenabstand:  15 Zeilen"/>
    <w:basedOn w:val="Standard"/>
    <w:link w:val="FormatvorlageArialBlockZeilenabstand15ZeilenZchn"/>
    <w:rsid w:val="00BB37BB"/>
    <w:pPr>
      <w:spacing w:after="0" w:line="360" w:lineRule="auto"/>
      <w:jc w:val="both"/>
    </w:pPr>
    <w:rPr>
      <w:rFonts w:ascii="Arial" w:eastAsia="Times New Roman" w:hAnsi="Arial" w:cs="Times New Roman"/>
      <w:sz w:val="22"/>
      <w:szCs w:val="20"/>
      <w:lang w:eastAsia="de-DE"/>
    </w:rPr>
  </w:style>
  <w:style w:type="character" w:styleId="Kommentarzeichen">
    <w:name w:val="annotation reference"/>
    <w:basedOn w:val="Absatz-Standardschriftart"/>
    <w:uiPriority w:val="99"/>
    <w:unhideWhenUsed/>
    <w:rsid w:val="00BB37BB"/>
    <w:rPr>
      <w:sz w:val="16"/>
      <w:szCs w:val="16"/>
    </w:rPr>
  </w:style>
  <w:style w:type="paragraph" w:styleId="Kommentartext">
    <w:name w:val="annotation text"/>
    <w:basedOn w:val="Standard"/>
    <w:link w:val="KommentartextZchn"/>
    <w:uiPriority w:val="99"/>
    <w:unhideWhenUsed/>
    <w:rsid w:val="00BB37BB"/>
    <w:pPr>
      <w:spacing w:line="240" w:lineRule="auto"/>
    </w:pPr>
    <w:rPr>
      <w:szCs w:val="20"/>
    </w:rPr>
  </w:style>
  <w:style w:type="character" w:customStyle="1" w:styleId="KommentartextZchn">
    <w:name w:val="Kommentartext Zchn"/>
    <w:basedOn w:val="Absatz-Standardschriftart"/>
    <w:link w:val="Kommentartext"/>
    <w:uiPriority w:val="99"/>
    <w:rsid w:val="00BB37BB"/>
    <w:rPr>
      <w:szCs w:val="20"/>
    </w:rPr>
  </w:style>
  <w:style w:type="paragraph" w:styleId="Kommentarthema">
    <w:name w:val="annotation subject"/>
    <w:basedOn w:val="Kommentartext"/>
    <w:next w:val="Kommentartext"/>
    <w:link w:val="KommentarthemaZchn"/>
    <w:uiPriority w:val="99"/>
    <w:semiHidden/>
    <w:unhideWhenUsed/>
    <w:rsid w:val="00BB37BB"/>
    <w:rPr>
      <w:b/>
      <w:bCs/>
    </w:rPr>
  </w:style>
  <w:style w:type="character" w:customStyle="1" w:styleId="KommentarthemaZchn">
    <w:name w:val="Kommentarthema Zchn"/>
    <w:basedOn w:val="KommentartextZchn"/>
    <w:link w:val="Kommentarthema"/>
    <w:uiPriority w:val="99"/>
    <w:semiHidden/>
    <w:rsid w:val="00BB37BB"/>
    <w:rPr>
      <w:b/>
      <w:bCs/>
      <w:szCs w:val="20"/>
    </w:rPr>
  </w:style>
  <w:style w:type="paragraph" w:styleId="Sprechblasentext">
    <w:name w:val="Balloon Text"/>
    <w:basedOn w:val="Standard"/>
    <w:link w:val="SprechblasentextZchn"/>
    <w:uiPriority w:val="99"/>
    <w:semiHidden/>
    <w:unhideWhenUsed/>
    <w:rsid w:val="00BB37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37BB"/>
    <w:rPr>
      <w:rFonts w:ascii="Segoe UI" w:hAnsi="Segoe UI" w:cs="Segoe UI"/>
      <w:sz w:val="18"/>
      <w:szCs w:val="18"/>
    </w:rPr>
  </w:style>
  <w:style w:type="paragraph" w:customStyle="1" w:styleId="EndNoteBibliographyTitle">
    <w:name w:val="EndNote Bibliography Title"/>
    <w:basedOn w:val="Standard"/>
    <w:link w:val="EndNoteBibliographyTitleZchn"/>
    <w:rsid w:val="00BB37BB"/>
    <w:pPr>
      <w:spacing w:after="0"/>
      <w:jc w:val="center"/>
    </w:pPr>
    <w:rPr>
      <w:noProof/>
      <w:lang w:val="en-US"/>
    </w:rPr>
  </w:style>
  <w:style w:type="character" w:customStyle="1" w:styleId="EndNoteBibliographyTitleZchn">
    <w:name w:val="EndNote Bibliography Title Zchn"/>
    <w:basedOn w:val="Absatz-Standardschriftart"/>
    <w:link w:val="EndNoteBibliographyTitle"/>
    <w:rsid w:val="00BB37BB"/>
    <w:rPr>
      <w:noProof/>
      <w:lang w:val="en-US"/>
    </w:rPr>
  </w:style>
  <w:style w:type="paragraph" w:customStyle="1" w:styleId="EndNoteBibliography">
    <w:name w:val="EndNote Bibliography"/>
    <w:basedOn w:val="Standard"/>
    <w:link w:val="EndNoteBibliographyZchn"/>
    <w:rsid w:val="00BB37BB"/>
    <w:pPr>
      <w:spacing w:line="240" w:lineRule="auto"/>
    </w:pPr>
    <w:rPr>
      <w:noProof/>
      <w:lang w:val="en-US"/>
    </w:rPr>
  </w:style>
  <w:style w:type="character" w:customStyle="1" w:styleId="EndNoteBibliographyZchn">
    <w:name w:val="EndNote Bibliography Zchn"/>
    <w:basedOn w:val="Absatz-Standardschriftart"/>
    <w:link w:val="EndNoteBibliography"/>
    <w:rsid w:val="00BB37BB"/>
    <w:rPr>
      <w:noProof/>
      <w:lang w:val="en-US"/>
    </w:rPr>
  </w:style>
  <w:style w:type="paragraph" w:customStyle="1" w:styleId="Mdeck2authorcorrespondence">
    <w:name w:val="M_deck_2_author_correspondence"/>
    <w:qFormat/>
    <w:rsid w:val="00BB37BB"/>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table" w:styleId="Tabellenraster">
    <w:name w:val="Table Grid"/>
    <w:basedOn w:val="NormaleTabelle"/>
    <w:uiPriority w:val="59"/>
    <w:rsid w:val="004F5547"/>
    <w:pPr>
      <w:spacing w:after="0" w:line="240" w:lineRule="auto"/>
    </w:pPr>
    <w:rPr>
      <w:rFonts w:ascii="Times New Roman" w:eastAsiaTheme="minorEastAsia" w:hAnsi="Times New Roman" w:cs="Times New Roman"/>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17E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7EB9"/>
  </w:style>
  <w:style w:type="paragraph" w:styleId="Fuzeile">
    <w:name w:val="footer"/>
    <w:basedOn w:val="Standard"/>
    <w:link w:val="FuzeileZchn"/>
    <w:uiPriority w:val="99"/>
    <w:unhideWhenUsed/>
    <w:rsid w:val="00D17E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7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0271">
      <w:bodyDiv w:val="1"/>
      <w:marLeft w:val="0"/>
      <w:marRight w:val="0"/>
      <w:marTop w:val="0"/>
      <w:marBottom w:val="0"/>
      <w:divBdr>
        <w:top w:val="none" w:sz="0" w:space="0" w:color="auto"/>
        <w:left w:val="none" w:sz="0" w:space="0" w:color="auto"/>
        <w:bottom w:val="none" w:sz="0" w:space="0" w:color="auto"/>
        <w:right w:val="none" w:sz="0" w:space="0" w:color="auto"/>
      </w:divBdr>
    </w:div>
    <w:div w:id="80611708">
      <w:bodyDiv w:val="1"/>
      <w:marLeft w:val="0"/>
      <w:marRight w:val="0"/>
      <w:marTop w:val="0"/>
      <w:marBottom w:val="0"/>
      <w:divBdr>
        <w:top w:val="none" w:sz="0" w:space="0" w:color="auto"/>
        <w:left w:val="none" w:sz="0" w:space="0" w:color="auto"/>
        <w:bottom w:val="none" w:sz="0" w:space="0" w:color="auto"/>
        <w:right w:val="none" w:sz="0" w:space="0" w:color="auto"/>
      </w:divBdr>
    </w:div>
    <w:div w:id="115098841">
      <w:bodyDiv w:val="1"/>
      <w:marLeft w:val="0"/>
      <w:marRight w:val="0"/>
      <w:marTop w:val="0"/>
      <w:marBottom w:val="0"/>
      <w:divBdr>
        <w:top w:val="none" w:sz="0" w:space="0" w:color="auto"/>
        <w:left w:val="none" w:sz="0" w:space="0" w:color="auto"/>
        <w:bottom w:val="none" w:sz="0" w:space="0" w:color="auto"/>
        <w:right w:val="none" w:sz="0" w:space="0" w:color="auto"/>
      </w:divBdr>
    </w:div>
    <w:div w:id="380786434">
      <w:bodyDiv w:val="1"/>
      <w:marLeft w:val="0"/>
      <w:marRight w:val="0"/>
      <w:marTop w:val="0"/>
      <w:marBottom w:val="0"/>
      <w:divBdr>
        <w:top w:val="none" w:sz="0" w:space="0" w:color="auto"/>
        <w:left w:val="none" w:sz="0" w:space="0" w:color="auto"/>
        <w:bottom w:val="none" w:sz="0" w:space="0" w:color="auto"/>
        <w:right w:val="none" w:sz="0" w:space="0" w:color="auto"/>
      </w:divBdr>
    </w:div>
    <w:div w:id="487015042">
      <w:bodyDiv w:val="1"/>
      <w:marLeft w:val="0"/>
      <w:marRight w:val="0"/>
      <w:marTop w:val="0"/>
      <w:marBottom w:val="0"/>
      <w:divBdr>
        <w:top w:val="none" w:sz="0" w:space="0" w:color="auto"/>
        <w:left w:val="none" w:sz="0" w:space="0" w:color="auto"/>
        <w:bottom w:val="none" w:sz="0" w:space="0" w:color="auto"/>
        <w:right w:val="none" w:sz="0" w:space="0" w:color="auto"/>
      </w:divBdr>
    </w:div>
    <w:div w:id="618142580">
      <w:bodyDiv w:val="1"/>
      <w:marLeft w:val="0"/>
      <w:marRight w:val="0"/>
      <w:marTop w:val="0"/>
      <w:marBottom w:val="0"/>
      <w:divBdr>
        <w:top w:val="none" w:sz="0" w:space="0" w:color="auto"/>
        <w:left w:val="none" w:sz="0" w:space="0" w:color="auto"/>
        <w:bottom w:val="none" w:sz="0" w:space="0" w:color="auto"/>
        <w:right w:val="none" w:sz="0" w:space="0" w:color="auto"/>
      </w:divBdr>
    </w:div>
    <w:div w:id="634871669">
      <w:bodyDiv w:val="1"/>
      <w:marLeft w:val="0"/>
      <w:marRight w:val="0"/>
      <w:marTop w:val="0"/>
      <w:marBottom w:val="0"/>
      <w:divBdr>
        <w:top w:val="none" w:sz="0" w:space="0" w:color="auto"/>
        <w:left w:val="none" w:sz="0" w:space="0" w:color="auto"/>
        <w:bottom w:val="none" w:sz="0" w:space="0" w:color="auto"/>
        <w:right w:val="none" w:sz="0" w:space="0" w:color="auto"/>
      </w:divBdr>
    </w:div>
    <w:div w:id="1602883082">
      <w:bodyDiv w:val="1"/>
      <w:marLeft w:val="0"/>
      <w:marRight w:val="0"/>
      <w:marTop w:val="0"/>
      <w:marBottom w:val="0"/>
      <w:divBdr>
        <w:top w:val="none" w:sz="0" w:space="0" w:color="auto"/>
        <w:left w:val="none" w:sz="0" w:space="0" w:color="auto"/>
        <w:bottom w:val="none" w:sz="0" w:space="0" w:color="auto"/>
        <w:right w:val="none" w:sz="0" w:space="0" w:color="auto"/>
      </w:divBdr>
    </w:div>
    <w:div w:id="211177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tif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5364</Words>
  <Characters>33794</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Grumaz, Silke</dc:creator>
  <cp:keywords/>
  <dc:description/>
  <cp:lastModifiedBy>Grumaz, Silke</cp:lastModifiedBy>
  <cp:revision>8</cp:revision>
  <cp:lastPrinted>2018-08-24T12:53:00Z</cp:lastPrinted>
  <dcterms:created xsi:type="dcterms:W3CDTF">2018-11-09T10:24:00Z</dcterms:created>
  <dcterms:modified xsi:type="dcterms:W3CDTF">2018-11-13T09:21:00Z</dcterms:modified>
</cp:coreProperties>
</file>