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E8F" w:rsidRDefault="00926E8F" w:rsidP="00926E8F">
      <w:pPr>
        <w:autoSpaceDE w:val="0"/>
        <w:autoSpaceDN w:val="0"/>
        <w:adjustRightInd w:val="0"/>
        <w:jc w:val="center"/>
        <w:rPr>
          <w:b/>
          <w:bCs/>
          <w:color w:val="000000"/>
          <w:sz w:val="28"/>
          <w:szCs w:val="28"/>
          <w:lang w:val="en-CA" w:eastAsia="en-CA"/>
        </w:rPr>
      </w:pPr>
      <w:r>
        <w:rPr>
          <w:b/>
          <w:bCs/>
          <w:color w:val="000000"/>
          <w:sz w:val="28"/>
          <w:szCs w:val="28"/>
          <w:lang w:val="en-CA" w:eastAsia="en-CA"/>
        </w:rPr>
        <w:t xml:space="preserve">Online Data Supplement </w:t>
      </w:r>
    </w:p>
    <w:p w:rsidR="00926E8F" w:rsidRDefault="00926E8F" w:rsidP="00926E8F">
      <w:pPr>
        <w:autoSpaceDE w:val="0"/>
        <w:autoSpaceDN w:val="0"/>
        <w:adjustRightInd w:val="0"/>
        <w:rPr>
          <w:b/>
          <w:bCs/>
          <w:color w:val="000000"/>
          <w:sz w:val="28"/>
          <w:szCs w:val="28"/>
          <w:lang w:val="en-CA" w:eastAsia="en-CA"/>
        </w:rPr>
      </w:pPr>
    </w:p>
    <w:p w:rsidR="0061611B" w:rsidRDefault="00687AC7" w:rsidP="00926E8F">
      <w:pPr>
        <w:autoSpaceDE w:val="0"/>
        <w:autoSpaceDN w:val="0"/>
        <w:adjustRightInd w:val="0"/>
        <w:rPr>
          <w:b/>
          <w:bCs/>
          <w:color w:val="000000"/>
          <w:sz w:val="28"/>
          <w:szCs w:val="28"/>
          <w:lang w:val="en-CA" w:eastAsia="en-CA"/>
        </w:rPr>
      </w:pPr>
      <w:r w:rsidRPr="00687AC7">
        <w:rPr>
          <w:b/>
          <w:bCs/>
          <w:color w:val="000000"/>
          <w:sz w:val="28"/>
          <w:szCs w:val="28"/>
          <w:lang w:val="en-CA" w:eastAsia="en-CA"/>
        </w:rPr>
        <w:t>Effects of Mesenchymal Stem Cell Treatment on Systemic Cytokine Levels in a Phase 1 Dose Escalation Safety Trial of Septic Shock Patients</w:t>
      </w:r>
    </w:p>
    <w:p w:rsidR="00687AC7" w:rsidRPr="00011718" w:rsidRDefault="00687AC7" w:rsidP="00926E8F">
      <w:pPr>
        <w:autoSpaceDE w:val="0"/>
        <w:autoSpaceDN w:val="0"/>
        <w:adjustRightInd w:val="0"/>
        <w:rPr>
          <w:b/>
          <w:bCs/>
          <w:color w:val="000000"/>
          <w:sz w:val="28"/>
          <w:szCs w:val="28"/>
          <w:lang w:val="en-CA" w:eastAsia="en-CA"/>
        </w:rPr>
      </w:pPr>
    </w:p>
    <w:p w:rsidR="00AD5659" w:rsidRPr="00B63A81" w:rsidRDefault="00AD5659" w:rsidP="00316F5B">
      <w:pPr>
        <w:autoSpaceDE w:val="0"/>
        <w:autoSpaceDN w:val="0"/>
        <w:adjustRightInd w:val="0"/>
        <w:rPr>
          <w:b/>
          <w:color w:val="000000"/>
          <w:lang w:val="en-CA" w:eastAsia="en-CA"/>
        </w:rPr>
      </w:pPr>
      <w:r w:rsidRPr="00B63A81">
        <w:rPr>
          <w:b/>
          <w:color w:val="000000"/>
          <w:lang w:val="en-CA" w:eastAsia="en-CA"/>
        </w:rPr>
        <w:t>Authors:</w:t>
      </w:r>
    </w:p>
    <w:p w:rsidR="00316F5B" w:rsidRPr="00011718" w:rsidRDefault="00316F5B" w:rsidP="00316F5B">
      <w:pPr>
        <w:autoSpaceDE w:val="0"/>
        <w:autoSpaceDN w:val="0"/>
        <w:adjustRightInd w:val="0"/>
        <w:rPr>
          <w:color w:val="000000"/>
          <w:lang w:val="en-CA" w:eastAsia="en-CA"/>
        </w:rPr>
      </w:pPr>
      <w:r w:rsidRPr="00011718">
        <w:rPr>
          <w:color w:val="000000"/>
          <w:lang w:val="en-CA" w:eastAsia="en-CA"/>
        </w:rPr>
        <w:t>Kenny Schlosser</w:t>
      </w:r>
      <w:r w:rsidRPr="00D22F03">
        <w:rPr>
          <w:color w:val="000000"/>
          <w:vertAlign w:val="superscript"/>
          <w:lang w:val="en-CA" w:eastAsia="en-CA"/>
        </w:rPr>
        <w:t>1</w:t>
      </w:r>
      <w:r w:rsidRPr="00011718">
        <w:rPr>
          <w:color w:val="000000"/>
          <w:lang w:val="en-CA" w:eastAsia="en-CA"/>
        </w:rPr>
        <w:t>, Jia</w:t>
      </w:r>
      <w:r>
        <w:rPr>
          <w:color w:val="000000"/>
          <w:lang w:val="en-CA" w:eastAsia="en-CA"/>
        </w:rPr>
        <w:t>-P</w:t>
      </w:r>
      <w:r w:rsidRPr="00011718">
        <w:rPr>
          <w:color w:val="000000"/>
          <w:lang w:val="en-CA" w:eastAsia="en-CA"/>
        </w:rPr>
        <w:t>ey Wang</w:t>
      </w:r>
      <w:r w:rsidRPr="00D22F03">
        <w:rPr>
          <w:color w:val="000000"/>
          <w:vertAlign w:val="superscript"/>
          <w:lang w:val="en-CA" w:eastAsia="en-CA"/>
        </w:rPr>
        <w:t>1</w:t>
      </w:r>
      <w:r w:rsidRPr="00011718">
        <w:rPr>
          <w:color w:val="000000"/>
          <w:lang w:val="en-CA" w:eastAsia="en-CA"/>
        </w:rPr>
        <w:t xml:space="preserve">, </w:t>
      </w:r>
      <w:r w:rsidRPr="00DF06E7">
        <w:rPr>
          <w:color w:val="000000"/>
          <w:lang w:val="en-CA" w:eastAsia="en-CA"/>
        </w:rPr>
        <w:t>Claudia dos Santos</w:t>
      </w:r>
      <w:r w:rsidRPr="005A247B">
        <w:rPr>
          <w:color w:val="000000"/>
          <w:vertAlign w:val="superscript"/>
          <w:lang w:val="en-CA" w:eastAsia="en-CA"/>
        </w:rPr>
        <w:t>2,</w:t>
      </w:r>
      <w:r>
        <w:rPr>
          <w:color w:val="000000"/>
          <w:vertAlign w:val="superscript"/>
          <w:lang w:val="en-CA" w:eastAsia="en-CA"/>
        </w:rPr>
        <w:t>3</w:t>
      </w:r>
      <w:r w:rsidRPr="00DF06E7">
        <w:rPr>
          <w:color w:val="000000"/>
          <w:lang w:val="en-CA" w:eastAsia="en-CA"/>
        </w:rPr>
        <w:t>, Keith R. Walley</w:t>
      </w:r>
      <w:r>
        <w:rPr>
          <w:color w:val="000000"/>
          <w:vertAlign w:val="superscript"/>
          <w:lang w:val="en-CA" w:eastAsia="en-CA"/>
        </w:rPr>
        <w:t>4</w:t>
      </w:r>
      <w:r w:rsidRPr="00DF06E7">
        <w:rPr>
          <w:color w:val="000000"/>
          <w:lang w:val="en-CA" w:eastAsia="en-CA"/>
        </w:rPr>
        <w:t>, John Marshall</w:t>
      </w:r>
      <w:r>
        <w:rPr>
          <w:color w:val="000000"/>
          <w:vertAlign w:val="superscript"/>
          <w:lang w:val="en-CA" w:eastAsia="en-CA"/>
        </w:rPr>
        <w:t>3</w:t>
      </w:r>
      <w:r w:rsidRPr="00DF06E7">
        <w:rPr>
          <w:color w:val="000000"/>
          <w:lang w:val="en-CA" w:eastAsia="en-CA"/>
        </w:rPr>
        <w:t>, Dean A. Fergusson</w:t>
      </w:r>
      <w:r>
        <w:rPr>
          <w:color w:val="000000"/>
          <w:vertAlign w:val="superscript"/>
          <w:lang w:val="en-CA" w:eastAsia="en-CA"/>
        </w:rPr>
        <w:t>5</w:t>
      </w:r>
      <w:r>
        <w:rPr>
          <w:color w:val="000000"/>
          <w:lang w:val="en-CA" w:eastAsia="en-CA"/>
        </w:rPr>
        <w:t>,</w:t>
      </w:r>
      <w:r w:rsidRPr="00DF06E7">
        <w:rPr>
          <w:color w:val="000000"/>
          <w:lang w:val="en-CA" w:eastAsia="en-CA"/>
        </w:rPr>
        <w:t xml:space="preserve"> Brent W. Winston</w:t>
      </w:r>
      <w:r>
        <w:rPr>
          <w:color w:val="000000"/>
          <w:vertAlign w:val="superscript"/>
          <w:lang w:val="en-CA" w:eastAsia="en-CA"/>
        </w:rPr>
        <w:t>6</w:t>
      </w:r>
      <w:r w:rsidRPr="00DF06E7">
        <w:rPr>
          <w:color w:val="000000"/>
          <w:lang w:val="en-CA" w:eastAsia="en-CA"/>
        </w:rPr>
        <w:t>, John Granton</w:t>
      </w:r>
      <w:r>
        <w:rPr>
          <w:color w:val="000000"/>
          <w:vertAlign w:val="superscript"/>
          <w:lang w:val="en-CA" w:eastAsia="en-CA"/>
        </w:rPr>
        <w:t>2</w:t>
      </w:r>
      <w:r w:rsidRPr="00DF06E7">
        <w:rPr>
          <w:color w:val="000000"/>
          <w:lang w:val="en-CA" w:eastAsia="en-CA"/>
        </w:rPr>
        <w:t xml:space="preserve">, </w:t>
      </w:r>
      <w:bookmarkStart w:id="0" w:name="_Hlk516646373"/>
      <w:r>
        <w:rPr>
          <w:color w:val="000000"/>
          <w:lang w:val="en-CA" w:eastAsia="en-CA"/>
        </w:rPr>
        <w:t>Irene Watpool</w:t>
      </w:r>
      <w:bookmarkEnd w:id="0"/>
      <w:r>
        <w:rPr>
          <w:color w:val="000000"/>
          <w:vertAlign w:val="superscript"/>
          <w:lang w:val="en-CA" w:eastAsia="en-CA"/>
        </w:rPr>
        <w:t>7</w:t>
      </w:r>
      <w:r>
        <w:rPr>
          <w:color w:val="000000"/>
          <w:lang w:val="en-CA" w:eastAsia="en-CA"/>
        </w:rPr>
        <w:t xml:space="preserve">, </w:t>
      </w:r>
      <w:r w:rsidRPr="00011718">
        <w:rPr>
          <w:color w:val="000000"/>
          <w:lang w:val="en-CA" w:eastAsia="en-CA"/>
        </w:rPr>
        <w:t>Duncan J. Stewart</w:t>
      </w:r>
      <w:r w:rsidRPr="00D22F03">
        <w:rPr>
          <w:color w:val="000000"/>
          <w:vertAlign w:val="superscript"/>
          <w:lang w:val="en-CA" w:eastAsia="en-CA"/>
        </w:rPr>
        <w:t>1,</w:t>
      </w:r>
      <w:r>
        <w:rPr>
          <w:color w:val="000000"/>
          <w:vertAlign w:val="superscript"/>
          <w:lang w:val="en-CA" w:eastAsia="en-CA"/>
        </w:rPr>
        <w:t>8#</w:t>
      </w:r>
      <w:r w:rsidRPr="00011718">
        <w:rPr>
          <w:color w:val="000000"/>
          <w:lang w:val="en-CA" w:eastAsia="en-CA"/>
        </w:rPr>
        <w:t>, Lauralyn A. McIntyre</w:t>
      </w:r>
      <w:r>
        <w:rPr>
          <w:color w:val="000000"/>
          <w:vertAlign w:val="superscript"/>
          <w:lang w:val="en-CA" w:eastAsia="en-CA"/>
        </w:rPr>
        <w:t>7#</w:t>
      </w:r>
      <w:r w:rsidRPr="00011718">
        <w:rPr>
          <w:color w:val="000000"/>
          <w:lang w:val="en-CA" w:eastAsia="en-CA"/>
        </w:rPr>
        <w:t>, Shirley H. J. Mei</w:t>
      </w:r>
      <w:r w:rsidRPr="00D22F03">
        <w:rPr>
          <w:color w:val="000000"/>
          <w:vertAlign w:val="superscript"/>
          <w:lang w:val="en-CA" w:eastAsia="en-CA"/>
        </w:rPr>
        <w:t>1</w:t>
      </w:r>
      <w:r>
        <w:rPr>
          <w:color w:val="000000"/>
          <w:lang w:val="en-CA" w:eastAsia="en-CA"/>
        </w:rPr>
        <w:t>*</w:t>
      </w:r>
      <w:r w:rsidRPr="004042BC">
        <w:rPr>
          <w:color w:val="000000"/>
          <w:vertAlign w:val="superscript"/>
          <w:lang w:val="en-CA" w:eastAsia="en-CA"/>
        </w:rPr>
        <w:t>#</w:t>
      </w:r>
      <w:r w:rsidRPr="00011718">
        <w:rPr>
          <w:color w:val="000000"/>
          <w:lang w:val="en-CA" w:eastAsia="en-CA"/>
        </w:rPr>
        <w:t xml:space="preserve"> </w:t>
      </w:r>
      <w:r>
        <w:rPr>
          <w:color w:val="000000"/>
          <w:lang w:val="en-CA" w:eastAsia="en-CA"/>
        </w:rPr>
        <w:t>on behalf of</w:t>
      </w:r>
      <w:r w:rsidRPr="00011718">
        <w:rPr>
          <w:color w:val="000000"/>
          <w:lang w:val="en-CA" w:eastAsia="en-CA"/>
        </w:rPr>
        <w:t xml:space="preserve"> the Canadian Critical Care Trials Group and the Canadian Critical Care Translational Biology Group</w:t>
      </w:r>
    </w:p>
    <w:p w:rsidR="00AD5659" w:rsidRPr="00011718" w:rsidRDefault="00AD5659" w:rsidP="00316F5B">
      <w:pPr>
        <w:autoSpaceDE w:val="0"/>
        <w:autoSpaceDN w:val="0"/>
        <w:adjustRightInd w:val="0"/>
        <w:rPr>
          <w:color w:val="000000"/>
          <w:lang w:val="en-CA" w:eastAsia="en-CA"/>
        </w:rPr>
      </w:pPr>
    </w:p>
    <w:p w:rsidR="00AD5659" w:rsidRPr="00B63A81" w:rsidRDefault="00AD5659" w:rsidP="00316F5B">
      <w:pPr>
        <w:autoSpaceDE w:val="0"/>
        <w:autoSpaceDN w:val="0"/>
        <w:adjustRightInd w:val="0"/>
        <w:rPr>
          <w:b/>
          <w:color w:val="000000"/>
          <w:lang w:val="en-CA" w:eastAsia="en-CA"/>
        </w:rPr>
      </w:pPr>
      <w:r w:rsidRPr="00B63A81">
        <w:rPr>
          <w:b/>
          <w:color w:val="000000"/>
          <w:lang w:val="en-CA" w:eastAsia="en-CA"/>
        </w:rPr>
        <w:t>Affiliations:</w:t>
      </w:r>
    </w:p>
    <w:p w:rsidR="00B00BF8" w:rsidRPr="00011718" w:rsidRDefault="00B00BF8" w:rsidP="00B00BF8">
      <w:pPr>
        <w:autoSpaceDE w:val="0"/>
        <w:autoSpaceDN w:val="0"/>
        <w:adjustRightInd w:val="0"/>
        <w:rPr>
          <w:color w:val="000000"/>
          <w:lang w:val="en-CA" w:eastAsia="en-CA"/>
        </w:rPr>
      </w:pPr>
      <w:r w:rsidRPr="00D22F03">
        <w:rPr>
          <w:color w:val="000000"/>
          <w:lang w:val="en-CA" w:eastAsia="en-CA"/>
        </w:rPr>
        <w:t xml:space="preserve">1. </w:t>
      </w:r>
      <w:r w:rsidRPr="00011718">
        <w:rPr>
          <w:color w:val="000000"/>
          <w:lang w:val="en-CA" w:eastAsia="en-CA"/>
        </w:rPr>
        <w:t>Sinclair Centre for Regenerative Medicine, Ottawa Hospital Research Institute, Ottawa, Ontario, Canada</w:t>
      </w:r>
    </w:p>
    <w:p w:rsidR="00B00BF8" w:rsidRPr="00DF06E7" w:rsidRDefault="00B00BF8" w:rsidP="00B00BF8">
      <w:pPr>
        <w:autoSpaceDE w:val="0"/>
        <w:autoSpaceDN w:val="0"/>
        <w:adjustRightInd w:val="0"/>
        <w:rPr>
          <w:color w:val="000000"/>
          <w:lang w:val="en-CA" w:eastAsia="en-CA"/>
        </w:rPr>
      </w:pPr>
      <w:r>
        <w:rPr>
          <w:color w:val="000000"/>
          <w:lang w:val="en-CA" w:eastAsia="en-CA"/>
        </w:rPr>
        <w:t xml:space="preserve">2. </w:t>
      </w:r>
      <w:r w:rsidRPr="00DF06E7">
        <w:rPr>
          <w:color w:val="000000"/>
          <w:lang w:val="en-CA" w:eastAsia="en-CA"/>
        </w:rPr>
        <w:t>Department of Medicine, University of Toronto, Toronto, Ontario, Canada</w:t>
      </w:r>
    </w:p>
    <w:p w:rsidR="00B00BF8" w:rsidRPr="00DF06E7" w:rsidRDefault="00B00BF8" w:rsidP="00B00BF8">
      <w:pPr>
        <w:autoSpaceDE w:val="0"/>
        <w:autoSpaceDN w:val="0"/>
        <w:adjustRightInd w:val="0"/>
        <w:rPr>
          <w:color w:val="000000"/>
          <w:lang w:val="en-CA" w:eastAsia="en-CA"/>
        </w:rPr>
      </w:pPr>
      <w:r>
        <w:rPr>
          <w:color w:val="000000"/>
          <w:lang w:val="en-CA" w:eastAsia="en-CA"/>
        </w:rPr>
        <w:t xml:space="preserve">3. </w:t>
      </w:r>
      <w:r w:rsidRPr="00DF06E7">
        <w:rPr>
          <w:color w:val="000000"/>
          <w:lang w:val="en-CA" w:eastAsia="en-CA"/>
        </w:rPr>
        <w:t xml:space="preserve">Department of Surgery and Critical Care Medicine, Keenan Research Centre of the Li Ka </w:t>
      </w:r>
      <w:proofErr w:type="spellStart"/>
      <w:r w:rsidRPr="00DF06E7">
        <w:rPr>
          <w:color w:val="000000"/>
          <w:lang w:val="en-CA" w:eastAsia="en-CA"/>
        </w:rPr>
        <w:t>Shing</w:t>
      </w:r>
      <w:proofErr w:type="spellEnd"/>
      <w:r w:rsidRPr="00DF06E7">
        <w:rPr>
          <w:color w:val="000000"/>
          <w:lang w:val="en-CA" w:eastAsia="en-CA"/>
        </w:rPr>
        <w:t xml:space="preserve"> Knowledge Institute, St. Michael’s Hospital, The University of Toronto, Toronto, Ontario, Canada</w:t>
      </w:r>
    </w:p>
    <w:p w:rsidR="00B00BF8" w:rsidRPr="00DF06E7" w:rsidRDefault="00B00BF8" w:rsidP="00B00BF8">
      <w:pPr>
        <w:autoSpaceDE w:val="0"/>
        <w:autoSpaceDN w:val="0"/>
        <w:adjustRightInd w:val="0"/>
        <w:rPr>
          <w:color w:val="000000"/>
          <w:lang w:val="en-CA" w:eastAsia="en-CA"/>
        </w:rPr>
      </w:pPr>
      <w:r>
        <w:rPr>
          <w:color w:val="000000"/>
          <w:lang w:val="en-CA" w:eastAsia="en-CA"/>
        </w:rPr>
        <w:t xml:space="preserve">4. </w:t>
      </w:r>
      <w:r w:rsidRPr="00DF06E7">
        <w:rPr>
          <w:color w:val="000000"/>
          <w:lang w:val="en-CA" w:eastAsia="en-CA"/>
        </w:rPr>
        <w:t>Centre for Heart Lung Innovation, University of British Columbia, British Columbia, Canada</w:t>
      </w:r>
    </w:p>
    <w:p w:rsidR="00B00BF8" w:rsidRDefault="00B00BF8" w:rsidP="00B00BF8">
      <w:pPr>
        <w:autoSpaceDE w:val="0"/>
        <w:autoSpaceDN w:val="0"/>
        <w:adjustRightInd w:val="0"/>
        <w:rPr>
          <w:color w:val="000000"/>
          <w:lang w:val="en-CA" w:eastAsia="en-CA"/>
        </w:rPr>
      </w:pPr>
      <w:r>
        <w:rPr>
          <w:color w:val="000000"/>
          <w:lang w:val="en-CA" w:eastAsia="en-CA"/>
        </w:rPr>
        <w:t xml:space="preserve">5. </w:t>
      </w:r>
      <w:r w:rsidRPr="00011718">
        <w:rPr>
          <w:color w:val="000000"/>
          <w:lang w:val="en-CA" w:eastAsia="en-CA"/>
        </w:rPr>
        <w:t>Department of Epidemiology and Community Medicine, University of Ottawa</w:t>
      </w:r>
      <w:r w:rsidRPr="00DF06E7">
        <w:rPr>
          <w:color w:val="000000"/>
          <w:lang w:val="en-CA" w:eastAsia="en-CA"/>
        </w:rPr>
        <w:t xml:space="preserve"> </w:t>
      </w:r>
    </w:p>
    <w:p w:rsidR="00B00BF8" w:rsidRDefault="00B00BF8" w:rsidP="00B00BF8">
      <w:pPr>
        <w:autoSpaceDE w:val="0"/>
        <w:autoSpaceDN w:val="0"/>
        <w:adjustRightInd w:val="0"/>
        <w:rPr>
          <w:color w:val="000000"/>
          <w:lang w:val="en-CA" w:eastAsia="en-CA"/>
        </w:rPr>
      </w:pPr>
      <w:r>
        <w:rPr>
          <w:color w:val="000000"/>
          <w:lang w:val="en-CA" w:eastAsia="en-CA"/>
        </w:rPr>
        <w:t xml:space="preserve">6. </w:t>
      </w:r>
      <w:r w:rsidRPr="00DF06E7">
        <w:rPr>
          <w:color w:val="000000"/>
          <w:lang w:val="en-CA" w:eastAsia="en-CA"/>
        </w:rPr>
        <w:t>Department of Critical Care Medicine, Biochemistry and Molecular Biology, Cumming School of Medicine, Univer</w:t>
      </w:r>
      <w:r>
        <w:rPr>
          <w:color w:val="000000"/>
          <w:lang w:val="en-CA" w:eastAsia="en-CA"/>
        </w:rPr>
        <w:t>si</w:t>
      </w:r>
      <w:r w:rsidRPr="00DF06E7">
        <w:rPr>
          <w:color w:val="000000"/>
          <w:lang w:val="en-CA" w:eastAsia="en-CA"/>
        </w:rPr>
        <w:t>ty of Calgary, Calgary, Alberta, Canada</w:t>
      </w:r>
    </w:p>
    <w:p w:rsidR="00B00BF8" w:rsidRPr="00011718" w:rsidRDefault="00B00BF8" w:rsidP="00B00BF8">
      <w:pPr>
        <w:autoSpaceDE w:val="0"/>
        <w:autoSpaceDN w:val="0"/>
        <w:adjustRightInd w:val="0"/>
        <w:rPr>
          <w:color w:val="000000"/>
          <w:lang w:val="en-CA" w:eastAsia="en-CA"/>
        </w:rPr>
      </w:pPr>
      <w:r>
        <w:rPr>
          <w:color w:val="000000"/>
          <w:lang w:val="en-CA" w:eastAsia="en-CA"/>
        </w:rPr>
        <w:t xml:space="preserve">7. </w:t>
      </w:r>
      <w:r w:rsidRPr="00011718">
        <w:rPr>
          <w:color w:val="000000"/>
          <w:lang w:val="en-CA" w:eastAsia="en-CA"/>
        </w:rPr>
        <w:t>Department of Medicine (Division of Critical Care), University of Ottawa, Ottawa, Ontario, Canada</w:t>
      </w:r>
    </w:p>
    <w:p w:rsidR="00B00BF8" w:rsidRPr="00011718" w:rsidRDefault="00B00BF8" w:rsidP="00B00BF8">
      <w:pPr>
        <w:autoSpaceDE w:val="0"/>
        <w:autoSpaceDN w:val="0"/>
        <w:adjustRightInd w:val="0"/>
        <w:rPr>
          <w:color w:val="000000"/>
          <w:lang w:val="en-CA" w:eastAsia="en-CA"/>
        </w:rPr>
      </w:pPr>
      <w:r>
        <w:rPr>
          <w:color w:val="000000"/>
          <w:lang w:val="en-CA" w:eastAsia="en-CA"/>
        </w:rPr>
        <w:t xml:space="preserve">8. </w:t>
      </w:r>
      <w:r w:rsidRPr="00011718">
        <w:rPr>
          <w:color w:val="000000"/>
          <w:lang w:val="en-CA" w:eastAsia="en-CA"/>
        </w:rPr>
        <w:t>Department of Cell and Molecular Medicine, University of Ottawa, Ottawa, Ontario, Canada</w:t>
      </w:r>
    </w:p>
    <w:p w:rsidR="00926E8F" w:rsidRPr="00011718" w:rsidRDefault="00926E8F" w:rsidP="00926E8F">
      <w:pPr>
        <w:autoSpaceDE w:val="0"/>
        <w:autoSpaceDN w:val="0"/>
        <w:adjustRightInd w:val="0"/>
        <w:rPr>
          <w:color w:val="000000"/>
          <w:lang w:val="en-CA" w:eastAsia="en-CA"/>
        </w:rPr>
      </w:pPr>
    </w:p>
    <w:p w:rsidR="00926E8F" w:rsidRPr="00011718" w:rsidRDefault="00926E8F" w:rsidP="00926E8F">
      <w:pPr>
        <w:autoSpaceDE w:val="0"/>
        <w:autoSpaceDN w:val="0"/>
        <w:adjustRightInd w:val="0"/>
        <w:rPr>
          <w:color w:val="000000"/>
          <w:lang w:val="en-CA" w:eastAsia="en-CA"/>
        </w:rPr>
      </w:pPr>
      <w:r w:rsidRPr="00D22F03">
        <w:rPr>
          <w:b/>
          <w:color w:val="000000"/>
          <w:lang w:val="en-CA" w:eastAsia="en-CA"/>
        </w:rPr>
        <w:t>Running Title:</w:t>
      </w:r>
      <w:r>
        <w:rPr>
          <w:color w:val="000000"/>
          <w:lang w:val="en-CA" w:eastAsia="en-CA"/>
        </w:rPr>
        <w:t xml:space="preserve"> Effects of MSCs on Plasma Cytokines in Septic Shock</w:t>
      </w:r>
    </w:p>
    <w:p w:rsidR="00926E8F" w:rsidRPr="00011718" w:rsidRDefault="00926E8F" w:rsidP="00926E8F">
      <w:pPr>
        <w:autoSpaceDE w:val="0"/>
        <w:autoSpaceDN w:val="0"/>
        <w:adjustRightInd w:val="0"/>
        <w:rPr>
          <w:color w:val="000000"/>
          <w:lang w:val="en-CA" w:eastAsia="en-CA"/>
        </w:rPr>
      </w:pPr>
    </w:p>
    <w:p w:rsidR="00926E8F" w:rsidRDefault="00926E8F" w:rsidP="00926E8F">
      <w:pPr>
        <w:autoSpaceDE w:val="0"/>
        <w:autoSpaceDN w:val="0"/>
        <w:adjustRightInd w:val="0"/>
        <w:rPr>
          <w:color w:val="000000"/>
          <w:lang w:val="en-CA" w:eastAsia="en-CA"/>
        </w:rPr>
      </w:pPr>
      <w:r>
        <w:rPr>
          <w:color w:val="000000"/>
          <w:lang w:val="en-CA" w:eastAsia="en-CA"/>
        </w:rPr>
        <w:t># Denotes co-senior authors.</w:t>
      </w:r>
    </w:p>
    <w:p w:rsidR="00926E8F" w:rsidRPr="00011718" w:rsidRDefault="00926E8F" w:rsidP="00926E8F">
      <w:pPr>
        <w:autoSpaceDE w:val="0"/>
        <w:autoSpaceDN w:val="0"/>
        <w:adjustRightInd w:val="0"/>
        <w:rPr>
          <w:color w:val="000000"/>
          <w:lang w:val="en-CA" w:eastAsia="en-CA"/>
        </w:rPr>
      </w:pPr>
    </w:p>
    <w:p w:rsidR="00926E8F" w:rsidRPr="00011718" w:rsidRDefault="00926E8F" w:rsidP="00926E8F">
      <w:pPr>
        <w:autoSpaceDE w:val="0"/>
        <w:autoSpaceDN w:val="0"/>
        <w:adjustRightInd w:val="0"/>
        <w:rPr>
          <w:color w:val="000000"/>
          <w:lang w:val="en-CA" w:eastAsia="en-CA"/>
        </w:rPr>
      </w:pPr>
      <w:r w:rsidRPr="00011718">
        <w:rPr>
          <w:color w:val="000000"/>
          <w:lang w:val="en-CA" w:eastAsia="en-CA"/>
        </w:rPr>
        <w:t>* Corresponding Author: Dr. Shirley HJ Mei, smei@ohri.ca, 501 Smyth Rd, Ottawa, ON K1H 8L6, Phone: +1-613-737-8899 x</w:t>
      </w:r>
      <w:r>
        <w:rPr>
          <w:color w:val="000000"/>
          <w:lang w:val="en-CA" w:eastAsia="en-CA"/>
        </w:rPr>
        <w:t>73278</w:t>
      </w:r>
    </w:p>
    <w:p w:rsidR="002D378B" w:rsidRDefault="002D378B"/>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p w:rsidR="00B82424" w:rsidRDefault="00B82424" w:rsidP="00B82424">
      <w:pPr>
        <w:rPr>
          <w:b/>
          <w:lang w:val="en-CA"/>
        </w:rPr>
      </w:pPr>
      <w:r w:rsidRPr="006D243D">
        <w:rPr>
          <w:b/>
          <w:lang w:val="en-CA"/>
        </w:rPr>
        <w:lastRenderedPageBreak/>
        <w:t>Methods</w:t>
      </w:r>
    </w:p>
    <w:p w:rsidR="00B82424" w:rsidRDefault="00B82424" w:rsidP="00B82424">
      <w:pPr>
        <w:rPr>
          <w:b/>
          <w:lang w:val="en-CA"/>
        </w:rPr>
      </w:pPr>
      <w:r>
        <w:rPr>
          <w:b/>
          <w:lang w:val="en-CA"/>
        </w:rPr>
        <w:t>CISS Cohorts and healthy normal subjects</w:t>
      </w:r>
    </w:p>
    <w:p w:rsidR="00B82424" w:rsidRPr="00204BC6" w:rsidRDefault="00B82424" w:rsidP="00CD6110">
      <w:pPr>
        <w:autoSpaceDE w:val="0"/>
        <w:autoSpaceDN w:val="0"/>
        <w:adjustRightInd w:val="0"/>
        <w:rPr>
          <w:sz w:val="32"/>
          <w:lang w:val="en-CA"/>
        </w:rPr>
      </w:pPr>
      <w:r w:rsidRPr="000F408E">
        <w:rPr>
          <w:lang w:val="en-CA" w:eastAsia="en-CA"/>
        </w:rPr>
        <w:t xml:space="preserve">The CISS trial was approved by Health Canada and the Ottawa Health Sciences Network Research Ethics Board (OHSN-REB </w:t>
      </w:r>
      <w:r>
        <w:rPr>
          <w:lang w:val="en-CA" w:eastAsia="en-CA"/>
        </w:rPr>
        <w:t>#</w:t>
      </w:r>
      <w:r w:rsidRPr="000F408E">
        <w:rPr>
          <w:lang w:val="en-CA" w:eastAsia="en-CA"/>
        </w:rPr>
        <w:t xml:space="preserve">: 20140809-01H).  </w:t>
      </w:r>
      <w:r>
        <w:rPr>
          <w:lang w:val="en-CA" w:eastAsia="en-CA"/>
        </w:rPr>
        <w:t>Details on t</w:t>
      </w:r>
      <w:r w:rsidRPr="000F408E">
        <w:rPr>
          <w:lang w:val="en-CA" w:eastAsia="en-CA"/>
        </w:rPr>
        <w:t>rial design</w:t>
      </w:r>
      <w:r>
        <w:rPr>
          <w:lang w:val="en-CA" w:eastAsia="en-CA"/>
        </w:rPr>
        <w:t xml:space="preserve"> and rationale</w:t>
      </w:r>
      <w:r w:rsidRPr="000F408E">
        <w:rPr>
          <w:lang w:val="en-CA" w:eastAsia="en-CA"/>
        </w:rPr>
        <w:t xml:space="preserve">, </w:t>
      </w:r>
      <w:r>
        <w:rPr>
          <w:lang w:val="en-CA" w:eastAsia="en-CA"/>
        </w:rPr>
        <w:t xml:space="preserve">participant </w:t>
      </w:r>
      <w:r w:rsidRPr="000F408E">
        <w:rPr>
          <w:lang w:val="en-CA" w:eastAsia="en-CA"/>
        </w:rPr>
        <w:t>recruitment</w:t>
      </w:r>
      <w:r>
        <w:rPr>
          <w:lang w:val="en-CA" w:eastAsia="en-CA"/>
        </w:rPr>
        <w:t xml:space="preserve">, MSC source and preparation, and trial </w:t>
      </w:r>
      <w:r w:rsidRPr="000F408E">
        <w:rPr>
          <w:lang w:val="en-CA" w:eastAsia="en-CA"/>
        </w:rPr>
        <w:t>outcomes have been described previously</w:t>
      </w:r>
      <w:r>
        <w:rPr>
          <w:lang w:val="en-CA" w:eastAsia="en-CA"/>
        </w:rPr>
        <w:t xml:space="preserve"> </w:t>
      </w:r>
      <w:r w:rsidR="009832F4">
        <w:rPr>
          <w:lang w:val="en-CA" w:eastAsia="en-CA"/>
        </w:rPr>
        <w:fldChar w:fldCharType="begin">
          <w:fldData xml:space="preserve">PEVuZE5vdGU+PENpdGU+PEF1dGhvcj5NY0ludHlyZTwvQXV0aG9yPjxZZWFyPjIwMTg8L1llYXI+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</w:fldData>
        </w:fldChar>
      </w:r>
      <w:r w:rsidR="00B1379D">
        <w:rPr>
          <w:lang w:val="en-CA" w:eastAsia="en-CA"/>
        </w:rPr>
        <w:instrText xml:space="preserve"> ADDIN EN.CITE </w:instrText>
      </w:r>
      <w:r w:rsidR="009832F4">
        <w:rPr>
          <w:lang w:val="en-CA" w:eastAsia="en-CA"/>
        </w:rPr>
        <w:fldChar w:fldCharType="begin">
          <w:fldData xml:space="preserve">PEVuZE5vdGU+PENpdGU+PEF1dGhvcj5NY0ludHlyZTwvQXV0aG9yPjxZZWFyPjIwMTg8L1llYXI+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</w:fldData>
        </w:fldChar>
      </w:r>
      <w:r w:rsidR="00B1379D">
        <w:rPr>
          <w:lang w:val="en-CA" w:eastAsia="en-CA"/>
        </w:rPr>
        <w:instrText xml:space="preserve"> ADDIN EN.CITE.DATA </w:instrText>
      </w:r>
      <w:r w:rsidR="009832F4">
        <w:rPr>
          <w:lang w:val="en-CA" w:eastAsia="en-CA"/>
        </w:rPr>
      </w:r>
      <w:r w:rsidR="009832F4">
        <w:rPr>
          <w:lang w:val="en-CA" w:eastAsia="en-CA"/>
        </w:rPr>
        <w:fldChar w:fldCharType="end"/>
      </w:r>
      <w:r w:rsidR="009832F4">
        <w:rPr>
          <w:lang w:val="en-CA" w:eastAsia="en-CA"/>
        </w:rPr>
      </w:r>
      <w:r w:rsidR="009832F4">
        <w:rPr>
          <w:lang w:val="en-CA" w:eastAsia="en-CA"/>
        </w:rPr>
        <w:fldChar w:fldCharType="separate"/>
      </w:r>
      <w:r w:rsidR="00B1379D">
        <w:rPr>
          <w:noProof/>
          <w:lang w:val="en-CA" w:eastAsia="en-CA"/>
        </w:rPr>
        <w:t>(1)</w:t>
      </w:r>
      <w:r w:rsidR="009832F4">
        <w:rPr>
          <w:lang w:val="en-CA" w:eastAsia="en-CA"/>
        </w:rPr>
        <w:fldChar w:fldCharType="end"/>
      </w:r>
      <w:r w:rsidRPr="000F408E">
        <w:rPr>
          <w:lang w:val="en-CA" w:eastAsia="en-CA"/>
        </w:rPr>
        <w:t xml:space="preserve">.   </w:t>
      </w:r>
      <w:r>
        <w:rPr>
          <w:lang w:val="en-CA" w:eastAsia="en-CA"/>
        </w:rPr>
        <w:t>Briefly,</w:t>
      </w:r>
      <w:r w:rsidRPr="00035993">
        <w:rPr>
          <w:rFonts w:ascii="Calibri" w:hAnsi="Calibri" w:cs="Calibri"/>
          <w:lang w:val="en-CA" w:eastAsia="en-CA"/>
        </w:rPr>
        <w:t xml:space="preserve"> </w:t>
      </w:r>
      <w:r>
        <w:rPr>
          <w:lang w:val="en-CA" w:eastAsia="en-CA"/>
        </w:rPr>
        <w:t xml:space="preserve">the </w:t>
      </w:r>
      <w:r w:rsidRPr="00035993">
        <w:rPr>
          <w:lang w:val="en-CA" w:eastAsia="en-CA"/>
        </w:rPr>
        <w:t xml:space="preserve">observational cohort consisted of 21 </w:t>
      </w:r>
      <w:r>
        <w:rPr>
          <w:lang w:val="en-CA" w:eastAsia="en-CA"/>
        </w:rPr>
        <w:t xml:space="preserve">septic shock </w:t>
      </w:r>
      <w:r w:rsidRPr="00035993">
        <w:rPr>
          <w:lang w:val="en-CA" w:eastAsia="en-CA"/>
        </w:rPr>
        <w:t xml:space="preserve">participants who met </w:t>
      </w:r>
      <w:r>
        <w:rPr>
          <w:lang w:val="en-CA" w:eastAsia="en-CA"/>
        </w:rPr>
        <w:t xml:space="preserve">CISS </w:t>
      </w:r>
      <w:r w:rsidRPr="00035993">
        <w:rPr>
          <w:lang w:val="en-CA" w:eastAsia="en-CA"/>
        </w:rPr>
        <w:t>eligibility criteria but did not</w:t>
      </w:r>
      <w:r>
        <w:rPr>
          <w:lang w:val="en-CA" w:eastAsia="en-CA"/>
        </w:rPr>
        <w:t xml:space="preserve"> </w:t>
      </w:r>
      <w:r w:rsidRPr="00035993">
        <w:rPr>
          <w:lang w:val="en-CA" w:eastAsia="en-CA"/>
        </w:rPr>
        <w:t>receive</w:t>
      </w:r>
      <w:r>
        <w:rPr>
          <w:lang w:val="en-CA" w:eastAsia="en-CA"/>
        </w:rPr>
        <w:t xml:space="preserve"> MSCs</w:t>
      </w:r>
      <w:r w:rsidR="00CD6110">
        <w:rPr>
          <w:lang w:val="en-CA" w:eastAsia="en-CA"/>
        </w:rPr>
        <w:t xml:space="preserve"> (collected from </w:t>
      </w:r>
      <w:r w:rsidR="00CD6110" w:rsidRPr="00CD6110">
        <w:rPr>
          <w:lang w:val="en-CA" w:eastAsia="en-CA"/>
        </w:rPr>
        <w:t>January 2013 to May</w:t>
      </w:r>
      <w:r w:rsidR="00CD6110">
        <w:rPr>
          <w:lang w:val="en-CA" w:eastAsia="en-CA"/>
        </w:rPr>
        <w:t xml:space="preserve"> </w:t>
      </w:r>
      <w:r w:rsidR="00CD6110" w:rsidRPr="00CD6110">
        <w:rPr>
          <w:lang w:val="en-CA" w:eastAsia="en-CA"/>
        </w:rPr>
        <w:t>2014</w:t>
      </w:r>
      <w:r w:rsidR="00CD6110">
        <w:rPr>
          <w:lang w:val="en-CA" w:eastAsia="en-CA"/>
        </w:rPr>
        <w:t>)</w:t>
      </w:r>
      <w:r>
        <w:rPr>
          <w:lang w:val="en-CA" w:eastAsia="en-CA"/>
        </w:rPr>
        <w:t>, and t</w:t>
      </w:r>
      <w:r w:rsidRPr="00035993">
        <w:rPr>
          <w:lang w:val="en-CA" w:eastAsia="en-CA"/>
        </w:rPr>
        <w:t xml:space="preserve">he interventional cohort </w:t>
      </w:r>
      <w:r>
        <w:rPr>
          <w:lang w:val="en-CA" w:eastAsia="en-CA"/>
        </w:rPr>
        <w:t>(n=9</w:t>
      </w:r>
      <w:r w:rsidR="00CD6110">
        <w:rPr>
          <w:lang w:val="en-CA" w:eastAsia="en-CA"/>
        </w:rPr>
        <w:t xml:space="preserve">; collected from April 2015 to </w:t>
      </w:r>
      <w:r w:rsidR="00CD6110" w:rsidRPr="00CD6110">
        <w:rPr>
          <w:lang w:val="en-CA" w:eastAsia="en-CA"/>
        </w:rPr>
        <w:t>June</w:t>
      </w:r>
      <w:r w:rsidR="00CD6110">
        <w:rPr>
          <w:lang w:val="en-CA" w:eastAsia="en-CA"/>
        </w:rPr>
        <w:t xml:space="preserve"> </w:t>
      </w:r>
      <w:r w:rsidR="00CD6110" w:rsidRPr="00CD6110">
        <w:rPr>
          <w:lang w:val="en-CA" w:eastAsia="en-CA"/>
        </w:rPr>
        <w:t>2016</w:t>
      </w:r>
      <w:r>
        <w:rPr>
          <w:lang w:val="en-CA" w:eastAsia="en-CA"/>
        </w:rPr>
        <w:t xml:space="preserve">) comprised </w:t>
      </w:r>
      <w:r w:rsidRPr="00035993">
        <w:rPr>
          <w:lang w:val="en-CA" w:eastAsia="en-CA"/>
        </w:rPr>
        <w:t xml:space="preserve">three MSC dose cohorts of three </w:t>
      </w:r>
      <w:r>
        <w:rPr>
          <w:lang w:val="en-CA" w:eastAsia="en-CA"/>
        </w:rPr>
        <w:t xml:space="preserve">septic shock </w:t>
      </w:r>
      <w:r w:rsidRPr="00035993">
        <w:rPr>
          <w:lang w:val="en-CA" w:eastAsia="en-CA"/>
        </w:rPr>
        <w:t>participants each receiving</w:t>
      </w:r>
      <w:r>
        <w:rPr>
          <w:lang w:val="en-CA" w:eastAsia="en-CA"/>
        </w:rPr>
        <w:t xml:space="preserve"> </w:t>
      </w:r>
      <w:r w:rsidRPr="00035993">
        <w:rPr>
          <w:lang w:val="en-CA" w:eastAsia="en-CA"/>
        </w:rPr>
        <w:t>0.3</w:t>
      </w:r>
      <w:r>
        <w:rPr>
          <w:lang w:val="en-CA" w:eastAsia="en-CA"/>
        </w:rPr>
        <w:t xml:space="preserve"> (low dose)</w:t>
      </w:r>
      <w:r w:rsidRPr="00035993">
        <w:rPr>
          <w:lang w:val="en-CA" w:eastAsia="en-CA"/>
        </w:rPr>
        <w:t>, 1.0</w:t>
      </w:r>
      <w:r>
        <w:rPr>
          <w:lang w:val="en-CA" w:eastAsia="en-CA"/>
        </w:rPr>
        <w:t xml:space="preserve"> (mid dose)</w:t>
      </w:r>
      <w:r w:rsidRPr="00035993">
        <w:rPr>
          <w:lang w:val="en-CA" w:eastAsia="en-CA"/>
        </w:rPr>
        <w:t xml:space="preserve">, </w:t>
      </w:r>
      <w:r>
        <w:rPr>
          <w:lang w:val="en-CA" w:eastAsia="en-CA"/>
        </w:rPr>
        <w:t>or</w:t>
      </w:r>
      <w:r w:rsidRPr="00035993">
        <w:rPr>
          <w:lang w:val="en-CA" w:eastAsia="en-CA"/>
        </w:rPr>
        <w:t xml:space="preserve"> 3.0 </w:t>
      </w:r>
      <w:r>
        <w:rPr>
          <w:lang w:val="en-CA" w:eastAsia="en-CA"/>
        </w:rPr>
        <w:t xml:space="preserve">(high dose) </w:t>
      </w:r>
      <w:r w:rsidRPr="00035993">
        <w:rPr>
          <w:lang w:val="en-CA" w:eastAsia="en-CA"/>
        </w:rPr>
        <w:t xml:space="preserve">million cells per kg to </w:t>
      </w:r>
      <w:r>
        <w:rPr>
          <w:lang w:val="en-CA" w:eastAsia="en-CA"/>
        </w:rPr>
        <w:t xml:space="preserve">a maximum of 300 million cells.  </w:t>
      </w:r>
      <w:r w:rsidRPr="00F46A73">
        <w:rPr>
          <w:lang w:val="en-CA" w:eastAsia="en-CA"/>
        </w:rPr>
        <w:t>The allogeneic freshly cultured MSCs were prepared from</w:t>
      </w:r>
      <w:r>
        <w:rPr>
          <w:lang w:val="en-CA" w:eastAsia="en-CA"/>
        </w:rPr>
        <w:t xml:space="preserve"> the bone marrow of one healthy </w:t>
      </w:r>
      <w:proofErr w:type="gramStart"/>
      <w:r w:rsidRPr="00F46A73">
        <w:rPr>
          <w:lang w:val="en-CA" w:eastAsia="en-CA"/>
        </w:rPr>
        <w:t>donor</w:t>
      </w:r>
      <w:r>
        <w:rPr>
          <w:lang w:val="en-CA" w:eastAsia="en-CA"/>
        </w:rPr>
        <w:t>, and</w:t>
      </w:r>
      <w:proofErr w:type="gramEnd"/>
      <w:r>
        <w:rPr>
          <w:lang w:val="en-CA" w:eastAsia="en-CA"/>
        </w:rPr>
        <w:t xml:space="preserve"> served as the source of </w:t>
      </w:r>
      <w:r w:rsidRPr="00F46A73">
        <w:rPr>
          <w:lang w:val="en-CA" w:eastAsia="en-CA"/>
        </w:rPr>
        <w:t>MSC</w:t>
      </w:r>
      <w:r>
        <w:rPr>
          <w:lang w:val="en-CA" w:eastAsia="en-CA"/>
        </w:rPr>
        <w:t>s</w:t>
      </w:r>
      <w:r w:rsidRPr="00F46A73">
        <w:rPr>
          <w:lang w:val="en-CA" w:eastAsia="en-CA"/>
        </w:rPr>
        <w:t xml:space="preserve"> </w:t>
      </w:r>
      <w:r>
        <w:rPr>
          <w:lang w:val="en-CA" w:eastAsia="en-CA"/>
        </w:rPr>
        <w:t xml:space="preserve">for all 9 participants in the interventional cohort.  </w:t>
      </w:r>
      <w:r w:rsidRPr="00F46A73">
        <w:rPr>
          <w:lang w:val="en-CA" w:eastAsia="en-CA"/>
        </w:rPr>
        <w:t xml:space="preserve"> </w:t>
      </w:r>
      <w:r>
        <w:rPr>
          <w:lang w:val="en-CA" w:eastAsia="en-CA"/>
        </w:rPr>
        <w:t xml:space="preserve">Actual MSC numbers delivered to patients ranged from 19-30 million (low dose), 80-86 million (mid dose) and 132-250 million cells (high dose).  Of note, one patient in the high dose group received an incomplete dose due to manufacturing issues (i.e., 250 of 300 million cells), as previously reported </w:t>
      </w:r>
      <w:r w:rsidR="009832F4">
        <w:rPr>
          <w:lang w:val="en-CA" w:eastAsia="en-CA"/>
        </w:rPr>
        <w:fldChar w:fldCharType="begin">
          <w:fldData xml:space="preserve">PEVuZE5vdGU+PENpdGU+PEF1dGhvcj5NY0ludHlyZTwvQXV0aG9yPjxZZWFyPjIwMTg8L1llYXI+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</w:fldData>
        </w:fldChar>
      </w:r>
      <w:r w:rsidR="00B1379D">
        <w:rPr>
          <w:lang w:val="en-CA" w:eastAsia="en-CA"/>
        </w:rPr>
        <w:instrText xml:space="preserve"> ADDIN EN.CITE </w:instrText>
      </w:r>
      <w:r w:rsidR="009832F4">
        <w:rPr>
          <w:lang w:val="en-CA" w:eastAsia="en-CA"/>
        </w:rPr>
        <w:fldChar w:fldCharType="begin">
          <w:fldData xml:space="preserve">PEVuZE5vdGU+PENpdGU+PEF1dGhvcj5NY0ludHlyZTwvQXV0aG9yPjxZZWFyPjIwMTg8L1llYXI+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</w:fldData>
        </w:fldChar>
      </w:r>
      <w:r w:rsidR="00B1379D">
        <w:rPr>
          <w:lang w:val="en-CA" w:eastAsia="en-CA"/>
        </w:rPr>
        <w:instrText xml:space="preserve"> ADDIN EN.CITE.DATA </w:instrText>
      </w:r>
      <w:r w:rsidR="009832F4">
        <w:rPr>
          <w:lang w:val="en-CA" w:eastAsia="en-CA"/>
        </w:rPr>
      </w:r>
      <w:r w:rsidR="009832F4">
        <w:rPr>
          <w:lang w:val="en-CA" w:eastAsia="en-CA"/>
        </w:rPr>
        <w:fldChar w:fldCharType="end"/>
      </w:r>
      <w:r w:rsidR="009832F4">
        <w:rPr>
          <w:lang w:val="en-CA" w:eastAsia="en-CA"/>
        </w:rPr>
      </w:r>
      <w:r w:rsidR="009832F4">
        <w:rPr>
          <w:lang w:val="en-CA" w:eastAsia="en-CA"/>
        </w:rPr>
        <w:fldChar w:fldCharType="separate"/>
      </w:r>
      <w:r w:rsidR="00B1379D">
        <w:rPr>
          <w:noProof/>
          <w:lang w:val="en-CA" w:eastAsia="en-CA"/>
        </w:rPr>
        <w:t>(1)</w:t>
      </w:r>
      <w:r w:rsidR="009832F4">
        <w:rPr>
          <w:lang w:val="en-CA" w:eastAsia="en-CA"/>
        </w:rPr>
        <w:fldChar w:fldCharType="end"/>
      </w:r>
      <w:r>
        <w:rPr>
          <w:lang w:val="en-CA" w:eastAsia="en-CA"/>
        </w:rPr>
        <w:t xml:space="preserve">.  </w:t>
      </w:r>
      <w:r w:rsidRPr="00204BC6">
        <w:rPr>
          <w:szCs w:val="20"/>
          <w:lang w:val="en-CA" w:eastAsia="en-CA"/>
        </w:rPr>
        <w:t xml:space="preserve">Peripheral blood samples from </w:t>
      </w:r>
      <w:r>
        <w:rPr>
          <w:szCs w:val="20"/>
          <w:lang w:val="en-CA" w:eastAsia="en-CA"/>
        </w:rPr>
        <w:t xml:space="preserve">apparently </w:t>
      </w:r>
      <w:r w:rsidRPr="00204BC6">
        <w:rPr>
          <w:szCs w:val="20"/>
          <w:lang w:val="en-CA" w:eastAsia="en-CA"/>
        </w:rPr>
        <w:t>healthy</w:t>
      </w:r>
      <w:r>
        <w:rPr>
          <w:szCs w:val="20"/>
          <w:lang w:val="en-CA" w:eastAsia="en-CA"/>
        </w:rPr>
        <w:t xml:space="preserve"> normal </w:t>
      </w:r>
      <w:r w:rsidRPr="00204BC6">
        <w:rPr>
          <w:szCs w:val="20"/>
          <w:lang w:val="en-CA" w:eastAsia="en-CA"/>
        </w:rPr>
        <w:t>participants were obtained with written informed consent</w:t>
      </w:r>
      <w:r>
        <w:rPr>
          <w:szCs w:val="20"/>
          <w:lang w:val="en-CA" w:eastAsia="en-CA"/>
        </w:rPr>
        <w:t xml:space="preserve"> from </w:t>
      </w:r>
      <w:r w:rsidRPr="00204BC6">
        <w:rPr>
          <w:szCs w:val="20"/>
          <w:lang w:val="en-CA" w:eastAsia="en-CA"/>
        </w:rPr>
        <w:t>2011–201</w:t>
      </w:r>
      <w:r>
        <w:rPr>
          <w:szCs w:val="20"/>
          <w:lang w:val="en-CA" w:eastAsia="en-CA"/>
        </w:rPr>
        <w:t>8</w:t>
      </w:r>
      <w:r w:rsidR="00D250F6">
        <w:rPr>
          <w:szCs w:val="20"/>
          <w:lang w:val="en-CA" w:eastAsia="en-CA"/>
        </w:rPr>
        <w:t xml:space="preserve"> at a single center, </w:t>
      </w:r>
      <w:r w:rsidRPr="00204BC6">
        <w:rPr>
          <w:szCs w:val="20"/>
          <w:lang w:val="en-CA" w:eastAsia="en-CA"/>
        </w:rPr>
        <w:t>in accordance with protocols, guidelines, and regulations</w:t>
      </w:r>
      <w:r>
        <w:rPr>
          <w:szCs w:val="20"/>
          <w:lang w:val="en-CA" w:eastAsia="en-CA"/>
        </w:rPr>
        <w:t xml:space="preserve"> </w:t>
      </w:r>
      <w:r w:rsidRPr="00204BC6">
        <w:rPr>
          <w:szCs w:val="20"/>
          <w:lang w:val="en-CA" w:eastAsia="en-CA"/>
        </w:rPr>
        <w:t xml:space="preserve">approved by the Ottawa </w:t>
      </w:r>
      <w:r w:rsidRPr="000F408E">
        <w:rPr>
          <w:lang w:val="en-CA" w:eastAsia="en-CA"/>
        </w:rPr>
        <w:t>Health Sciences Network Research Ethics Board</w:t>
      </w:r>
      <w:r w:rsidRPr="00204BC6">
        <w:rPr>
          <w:szCs w:val="20"/>
          <w:lang w:val="en-CA" w:eastAsia="en-CA"/>
        </w:rPr>
        <w:t xml:space="preserve"> (</w:t>
      </w:r>
      <w:r>
        <w:rPr>
          <w:szCs w:val="20"/>
          <w:lang w:val="en-CA" w:eastAsia="en-CA"/>
        </w:rPr>
        <w:t>OHSN-REB #:</w:t>
      </w:r>
      <w:r w:rsidRPr="00204BC6">
        <w:rPr>
          <w:szCs w:val="20"/>
          <w:lang w:val="en-CA" w:eastAsia="en-CA"/>
        </w:rPr>
        <w:t>2011470-01H).</w:t>
      </w:r>
      <w:r>
        <w:rPr>
          <w:szCs w:val="20"/>
          <w:lang w:val="en-CA" w:eastAsia="en-CA"/>
        </w:rPr>
        <w:t xml:space="preserve">  </w:t>
      </w:r>
      <w:r w:rsidRPr="00204BC6">
        <w:rPr>
          <w:szCs w:val="20"/>
          <w:lang w:val="en-CA" w:eastAsia="en-CA"/>
        </w:rPr>
        <w:t>Healthy participants were non-smokers</w:t>
      </w:r>
      <w:r>
        <w:rPr>
          <w:szCs w:val="20"/>
          <w:lang w:val="en-CA" w:eastAsia="en-CA"/>
        </w:rPr>
        <w:t xml:space="preserve"> </w:t>
      </w:r>
      <w:r w:rsidRPr="00204BC6">
        <w:rPr>
          <w:szCs w:val="20"/>
          <w:lang w:val="en-CA" w:eastAsia="en-CA"/>
        </w:rPr>
        <w:t>(or had quit smoking</w:t>
      </w:r>
      <w:r>
        <w:rPr>
          <w:szCs w:val="20"/>
          <w:lang w:val="en-CA" w:eastAsia="en-CA"/>
        </w:rPr>
        <w:t xml:space="preserve"> </w:t>
      </w:r>
      <w:r w:rsidRPr="00204BC6">
        <w:rPr>
          <w:szCs w:val="20"/>
          <w:lang w:val="en-CA" w:eastAsia="en-CA"/>
        </w:rPr>
        <w:t>6 months prior to screening)</w:t>
      </w:r>
      <w:r>
        <w:rPr>
          <w:szCs w:val="20"/>
          <w:lang w:val="en-CA" w:eastAsia="en-CA"/>
        </w:rPr>
        <w:t xml:space="preserve"> </w:t>
      </w:r>
      <w:r w:rsidRPr="00204BC6">
        <w:rPr>
          <w:szCs w:val="20"/>
          <w:lang w:val="en-CA" w:eastAsia="en-CA"/>
        </w:rPr>
        <w:t>and had no history of diabetes mellitus requiring medication</w:t>
      </w:r>
      <w:r>
        <w:rPr>
          <w:szCs w:val="20"/>
          <w:lang w:val="en-CA" w:eastAsia="en-CA"/>
        </w:rPr>
        <w:t xml:space="preserve"> (oral hypoglycemics </w:t>
      </w:r>
      <w:r w:rsidRPr="00204BC6">
        <w:rPr>
          <w:szCs w:val="20"/>
          <w:lang w:val="en-CA" w:eastAsia="en-CA"/>
        </w:rPr>
        <w:t>or insulin), systemic hypertension</w:t>
      </w:r>
      <w:r>
        <w:rPr>
          <w:szCs w:val="20"/>
          <w:lang w:val="en-CA" w:eastAsia="en-CA"/>
        </w:rPr>
        <w:t xml:space="preserve"> </w:t>
      </w:r>
      <w:r w:rsidRPr="00204BC6">
        <w:rPr>
          <w:szCs w:val="20"/>
          <w:lang w:val="en-CA" w:eastAsia="en-CA"/>
        </w:rPr>
        <w:t>requiring medication, hypercholesterolemia requiring medication,</w:t>
      </w:r>
      <w:r>
        <w:rPr>
          <w:szCs w:val="20"/>
          <w:lang w:val="en-CA" w:eastAsia="en-CA"/>
        </w:rPr>
        <w:t xml:space="preserve"> </w:t>
      </w:r>
      <w:r w:rsidRPr="00204BC6">
        <w:rPr>
          <w:szCs w:val="20"/>
          <w:lang w:val="en-CA" w:eastAsia="en-CA"/>
        </w:rPr>
        <w:t>chronic asthma or chronic obstructive pulmonary</w:t>
      </w:r>
      <w:r>
        <w:rPr>
          <w:szCs w:val="20"/>
          <w:lang w:val="en-CA" w:eastAsia="en-CA"/>
        </w:rPr>
        <w:t xml:space="preserve"> </w:t>
      </w:r>
      <w:r w:rsidRPr="00204BC6">
        <w:rPr>
          <w:szCs w:val="20"/>
          <w:lang w:val="en-CA" w:eastAsia="en-CA"/>
        </w:rPr>
        <w:t>disorders, scarring or fibrosis of the lung, or cancer in the</w:t>
      </w:r>
      <w:r>
        <w:rPr>
          <w:szCs w:val="20"/>
          <w:lang w:val="en-CA" w:eastAsia="en-CA"/>
        </w:rPr>
        <w:t xml:space="preserve"> </w:t>
      </w:r>
      <w:r w:rsidRPr="00204BC6">
        <w:rPr>
          <w:szCs w:val="20"/>
          <w:lang w:val="en-CA" w:eastAsia="en-CA"/>
        </w:rPr>
        <w:t>previous five years (excluding superficial skin cancer).</w:t>
      </w:r>
    </w:p>
    <w:p w:rsidR="00B82424" w:rsidRDefault="00B82424" w:rsidP="00B82424">
      <w:pPr>
        <w:rPr>
          <w:lang w:val="en-CA"/>
        </w:rPr>
      </w:pPr>
    </w:p>
    <w:p w:rsidR="00B82424" w:rsidRPr="005217B3" w:rsidRDefault="00B82424" w:rsidP="00B82424">
      <w:pPr>
        <w:rPr>
          <w:b/>
          <w:lang w:val="en-CA"/>
        </w:rPr>
      </w:pPr>
      <w:r w:rsidRPr="005217B3">
        <w:rPr>
          <w:b/>
          <w:lang w:val="en-CA"/>
        </w:rPr>
        <w:t xml:space="preserve">Plasma specimen collection </w:t>
      </w:r>
    </w:p>
    <w:p w:rsidR="00B82424" w:rsidRDefault="00B82424" w:rsidP="00B82424">
      <w:pPr>
        <w:rPr>
          <w:lang w:val="en-CA"/>
        </w:rPr>
      </w:pPr>
      <w:r>
        <w:rPr>
          <w:lang w:val="en-CA"/>
        </w:rPr>
        <w:t>Whole blood from CISS patients was collected in BD Vacutainers (blue top; citrate) and plasma was subsequently isolated by centrifugation at 1700 x g for 10 min at 4</w:t>
      </w:r>
      <w:r>
        <w:rPr>
          <w:rFonts w:ascii="Arial" w:hAnsi="Arial" w:cs="Arial"/>
          <w:lang w:val="en-CA"/>
        </w:rPr>
        <w:t>˚</w:t>
      </w:r>
      <w:r>
        <w:rPr>
          <w:lang w:val="en-CA"/>
        </w:rPr>
        <w:t xml:space="preserve">C.  Plasma samples were collected at study baseline (t=0 h) just prior to MSC infusion (and within 30 h of admission to the intensive care unit) and 1 h, 4 h, 12 h, 24 h and 72 h after MSC infusion and/or trial enrollment.  Complete plasma sampling could not be obtained at all time points.  In the observational cohort, </w:t>
      </w:r>
      <w:r w:rsidRPr="009E687E">
        <w:t xml:space="preserve">116 of 126 </w:t>
      </w:r>
      <w:r>
        <w:t>possible</w:t>
      </w:r>
      <w:r w:rsidRPr="009E687E">
        <w:t xml:space="preserve"> plasma specimens (92%)</w:t>
      </w:r>
      <w:r>
        <w:t xml:space="preserve"> were </w:t>
      </w:r>
      <w:r w:rsidRPr="009E687E">
        <w:t>available</w:t>
      </w:r>
      <w:r>
        <w:t xml:space="preserve"> with </w:t>
      </w:r>
      <w:r>
        <w:rPr>
          <w:lang w:val="en-CA"/>
        </w:rPr>
        <w:t xml:space="preserve">sample sizes ranging from n=15-21 (0 h, n=21; 1 h, n=21; 4 h, n=20; 12 h, n=19; 24 h, n=20; 72 h, n=15).  In the interventional cohort, </w:t>
      </w:r>
      <w:r w:rsidRPr="009E687E">
        <w:t xml:space="preserve">52 of 54 </w:t>
      </w:r>
      <w:r>
        <w:t xml:space="preserve">(96%) possible plasma specimens were available, with sample sizes ranging from </w:t>
      </w:r>
      <w:r>
        <w:rPr>
          <w:lang w:val="en-CA"/>
        </w:rPr>
        <w:t xml:space="preserve">n=8-9 (0 h, n=9; 4 h, n=8; 12 h, n=8; 24 h, n=9; 72 h, n=9).  Whole blood from healthy subjects was collected by venipuncture with BD blue top citrate Vacutainers, and plasma was isolated using two successive centrifugations steps comprised of </w:t>
      </w:r>
      <w:proofErr w:type="spellStart"/>
      <w:r>
        <w:rPr>
          <w:lang w:val="en-CA"/>
        </w:rPr>
        <w:t>i</w:t>
      </w:r>
      <w:proofErr w:type="spellEnd"/>
      <w:r>
        <w:rPr>
          <w:lang w:val="en-CA"/>
        </w:rPr>
        <w:t>) 1700 x g, 10 min at 4</w:t>
      </w:r>
      <w:r>
        <w:rPr>
          <w:rFonts w:ascii="Arial" w:hAnsi="Arial" w:cs="Arial"/>
          <w:lang w:val="en-CA"/>
        </w:rPr>
        <w:t>˚</w:t>
      </w:r>
      <w:r>
        <w:rPr>
          <w:lang w:val="en-CA"/>
        </w:rPr>
        <w:t>C and ii) 11,000 x g, 5 min at 4</w:t>
      </w:r>
      <w:r>
        <w:rPr>
          <w:rFonts w:ascii="Arial" w:hAnsi="Arial" w:cs="Arial"/>
          <w:lang w:val="en-CA"/>
        </w:rPr>
        <w:t>˚</w:t>
      </w:r>
      <w:r>
        <w:rPr>
          <w:lang w:val="en-CA"/>
        </w:rPr>
        <w:t>C.  All plasma specimens were stored at -70 to -80</w:t>
      </w:r>
      <w:r>
        <w:rPr>
          <w:rFonts w:ascii="Arial" w:hAnsi="Arial" w:cs="Arial"/>
          <w:lang w:val="en-CA"/>
        </w:rPr>
        <w:t>˚</w:t>
      </w:r>
      <w:r>
        <w:rPr>
          <w:lang w:val="en-CA"/>
        </w:rPr>
        <w:t xml:space="preserve">C until assayed.  </w:t>
      </w:r>
    </w:p>
    <w:p w:rsidR="00B82424" w:rsidRDefault="00B82424" w:rsidP="00B82424">
      <w:pPr>
        <w:rPr>
          <w:lang w:val="en-CA"/>
        </w:rPr>
      </w:pPr>
    </w:p>
    <w:p w:rsidR="00B82424" w:rsidRDefault="00B82424" w:rsidP="00B82424">
      <w:pPr>
        <w:rPr>
          <w:b/>
          <w:lang w:val="en-CA"/>
        </w:rPr>
      </w:pPr>
      <w:r w:rsidRPr="005217B3">
        <w:rPr>
          <w:b/>
          <w:lang w:val="en-CA"/>
        </w:rPr>
        <w:t xml:space="preserve">Single and </w:t>
      </w:r>
      <w:r>
        <w:rPr>
          <w:b/>
          <w:lang w:val="en-CA"/>
        </w:rPr>
        <w:t>M</w:t>
      </w:r>
      <w:r w:rsidRPr="005217B3">
        <w:rPr>
          <w:b/>
          <w:lang w:val="en-CA"/>
        </w:rPr>
        <w:t>ulti-</w:t>
      </w:r>
      <w:r>
        <w:rPr>
          <w:b/>
          <w:lang w:val="en-CA"/>
        </w:rPr>
        <w:t>A</w:t>
      </w:r>
      <w:r w:rsidRPr="005217B3">
        <w:rPr>
          <w:b/>
          <w:lang w:val="en-CA"/>
        </w:rPr>
        <w:t xml:space="preserve">nalyte </w:t>
      </w:r>
      <w:r>
        <w:rPr>
          <w:b/>
          <w:lang w:val="en-CA"/>
        </w:rPr>
        <w:t>Immunoassays</w:t>
      </w:r>
    </w:p>
    <w:p w:rsidR="00B82424" w:rsidRDefault="00B82424" w:rsidP="00B82424">
      <w:pPr>
        <w:rPr>
          <w:szCs w:val="20"/>
          <w:lang w:val="en-CA" w:eastAsia="en-CA"/>
        </w:rPr>
      </w:pPr>
      <w:r w:rsidRPr="00A02AF2">
        <w:rPr>
          <w:lang w:val="en-CA"/>
        </w:rPr>
        <w:t xml:space="preserve">All samples for the </w:t>
      </w:r>
      <w:r w:rsidR="00E53FDD">
        <w:rPr>
          <w:lang w:val="en-CA"/>
        </w:rPr>
        <w:t xml:space="preserve">CISS </w:t>
      </w:r>
      <w:r w:rsidRPr="00A02AF2">
        <w:rPr>
          <w:lang w:val="en-CA"/>
        </w:rPr>
        <w:t>interventional and observational groups were run on a single plate for a given time point, but different time points were run on separate plates</w:t>
      </w:r>
      <w:r>
        <w:rPr>
          <w:lang w:val="en-CA"/>
        </w:rPr>
        <w:t xml:space="preserve"> if necessary due to space restrictions</w:t>
      </w:r>
      <w:r w:rsidRPr="00A02AF2">
        <w:rPr>
          <w:lang w:val="en-CA"/>
        </w:rPr>
        <w:t xml:space="preserve">.  </w:t>
      </w:r>
      <w:r w:rsidR="001D55A5">
        <w:rPr>
          <w:lang w:val="en-CA"/>
        </w:rPr>
        <w:t>For CISS patient</w:t>
      </w:r>
      <w:r w:rsidR="00391721">
        <w:rPr>
          <w:lang w:val="en-CA"/>
        </w:rPr>
        <w:t xml:space="preserve"> specimens</w:t>
      </w:r>
      <w:r w:rsidR="001D55A5">
        <w:rPr>
          <w:lang w:val="en-CA"/>
        </w:rPr>
        <w:t>, all a</w:t>
      </w:r>
      <w:r w:rsidRPr="00A02AF2">
        <w:rPr>
          <w:lang w:val="en-CA"/>
        </w:rPr>
        <w:t xml:space="preserve">ssay plates for a given </w:t>
      </w:r>
      <w:r>
        <w:rPr>
          <w:lang w:val="en-CA"/>
        </w:rPr>
        <w:t>analyte</w:t>
      </w:r>
      <w:r w:rsidRPr="00A02AF2">
        <w:rPr>
          <w:lang w:val="en-CA"/>
        </w:rPr>
        <w:t xml:space="preserve"> were prepared on the same day using the same lot of </w:t>
      </w:r>
      <w:proofErr w:type="gramStart"/>
      <w:r w:rsidRPr="00A02AF2">
        <w:rPr>
          <w:lang w:val="en-CA"/>
        </w:rPr>
        <w:t>reagents</w:t>
      </w:r>
      <w:r w:rsidR="001D55A5">
        <w:rPr>
          <w:lang w:val="en-CA"/>
        </w:rPr>
        <w:t>, and</w:t>
      </w:r>
      <w:proofErr w:type="gramEnd"/>
      <w:r w:rsidR="001D55A5">
        <w:rPr>
          <w:lang w:val="en-CA"/>
        </w:rPr>
        <w:t xml:space="preserve"> run on the same day.  </w:t>
      </w:r>
      <w:r w:rsidR="00391721" w:rsidRPr="00C13EAD">
        <w:rPr>
          <w:lang w:val="en-CA"/>
        </w:rPr>
        <w:t xml:space="preserve">The coefficient of variation between </w:t>
      </w:r>
      <w:proofErr w:type="spellStart"/>
      <w:r w:rsidR="00391721" w:rsidRPr="00C13EAD">
        <w:rPr>
          <w:lang w:val="en-CA"/>
        </w:rPr>
        <w:t>interplate</w:t>
      </w:r>
      <w:proofErr w:type="spellEnd"/>
      <w:r w:rsidR="00391721" w:rsidRPr="00C13EAD">
        <w:rPr>
          <w:lang w:val="en-CA"/>
        </w:rPr>
        <w:t xml:space="preserve"> control assays prepared with the same lot of reagents and run on the same day was </w:t>
      </w:r>
      <w:r w:rsidR="00E53FDD">
        <w:rPr>
          <w:lang w:val="en-CA"/>
        </w:rPr>
        <w:t>9</w:t>
      </w:r>
      <w:r w:rsidR="00391721" w:rsidRPr="00C13EAD">
        <w:rPr>
          <w:lang w:val="en-CA"/>
        </w:rPr>
        <w:t xml:space="preserve">% (IQR; 5-16%).  </w:t>
      </w:r>
      <w:r w:rsidR="001D55A5">
        <w:rPr>
          <w:lang w:val="en-CA"/>
        </w:rPr>
        <w:t>In some cases, healthy subject</w:t>
      </w:r>
      <w:r w:rsidR="00391721">
        <w:rPr>
          <w:lang w:val="en-CA"/>
        </w:rPr>
        <w:t>s</w:t>
      </w:r>
      <w:r w:rsidR="001D55A5">
        <w:rPr>
          <w:lang w:val="en-CA"/>
        </w:rPr>
        <w:t xml:space="preserve"> were </w:t>
      </w:r>
      <w:r w:rsidR="00DD5B57">
        <w:rPr>
          <w:lang w:val="en-CA"/>
        </w:rPr>
        <w:t xml:space="preserve">assayed </w:t>
      </w:r>
      <w:r w:rsidR="001D55A5">
        <w:rPr>
          <w:lang w:val="en-CA"/>
        </w:rPr>
        <w:t xml:space="preserve">on </w:t>
      </w:r>
      <w:r w:rsidR="00DD5B57">
        <w:rPr>
          <w:lang w:val="en-CA"/>
        </w:rPr>
        <w:t xml:space="preserve">a </w:t>
      </w:r>
      <w:r w:rsidR="001D55A5">
        <w:rPr>
          <w:lang w:val="en-CA"/>
        </w:rPr>
        <w:t>separate day</w:t>
      </w:r>
      <w:r w:rsidR="00DD5B57">
        <w:rPr>
          <w:lang w:val="en-CA"/>
        </w:rPr>
        <w:t xml:space="preserve"> </w:t>
      </w:r>
      <w:r w:rsidR="00DD5B57">
        <w:rPr>
          <w:lang w:val="en-CA"/>
        </w:rPr>
        <w:lastRenderedPageBreak/>
        <w:t>with a different lot of reagents compared to CISS patients</w:t>
      </w:r>
      <w:r w:rsidR="001D55A5">
        <w:rPr>
          <w:lang w:val="en-CA"/>
        </w:rPr>
        <w:t xml:space="preserve">.  </w:t>
      </w:r>
      <w:r w:rsidR="00391721" w:rsidRPr="00C13EAD">
        <w:rPr>
          <w:lang w:val="en-CA"/>
        </w:rPr>
        <w:t>The coefficient of variation between inter</w:t>
      </w:r>
      <w:r w:rsidR="00C22A71">
        <w:rPr>
          <w:lang w:val="en-CA"/>
        </w:rPr>
        <w:t>-</w:t>
      </w:r>
      <w:r w:rsidR="00391721" w:rsidRPr="00C13EAD">
        <w:rPr>
          <w:lang w:val="en-CA"/>
        </w:rPr>
        <w:t>plate control</w:t>
      </w:r>
      <w:r w:rsidR="00DD5B57" w:rsidRPr="00C13EAD">
        <w:rPr>
          <w:lang w:val="en-CA"/>
        </w:rPr>
        <w:t xml:space="preserve"> assays under these circumstances was 39% (IQR; 18-70%).  </w:t>
      </w:r>
      <w:r w:rsidR="00B9041E">
        <w:rPr>
          <w:lang w:val="en-CA"/>
        </w:rPr>
        <w:t>T</w:t>
      </w:r>
      <w:r w:rsidR="00E53FDD">
        <w:rPr>
          <w:lang w:val="en-CA"/>
        </w:rPr>
        <w:t>he coefficient of variation between d</w:t>
      </w:r>
      <w:r w:rsidRPr="00C13EAD">
        <w:rPr>
          <w:lang w:val="en-CA"/>
        </w:rPr>
        <w:t xml:space="preserve">uplicate technical replicates </w:t>
      </w:r>
      <w:r w:rsidR="00B6049C">
        <w:rPr>
          <w:lang w:val="en-CA"/>
        </w:rPr>
        <w:t>(</w:t>
      </w:r>
      <w:r w:rsidR="00E53FDD">
        <w:rPr>
          <w:lang w:val="en-CA"/>
        </w:rPr>
        <w:t xml:space="preserve">run </w:t>
      </w:r>
      <w:r w:rsidR="00B6049C">
        <w:rPr>
          <w:lang w:val="en-CA"/>
        </w:rPr>
        <w:t xml:space="preserve">in parallel </w:t>
      </w:r>
      <w:r w:rsidR="00E53FDD">
        <w:rPr>
          <w:lang w:val="en-CA"/>
        </w:rPr>
        <w:t>on the same plate</w:t>
      </w:r>
      <w:r w:rsidR="00B6049C">
        <w:rPr>
          <w:lang w:val="en-CA"/>
        </w:rPr>
        <w:t>)</w:t>
      </w:r>
      <w:r w:rsidR="00E53FDD">
        <w:rPr>
          <w:lang w:val="en-CA"/>
        </w:rPr>
        <w:t xml:space="preserve"> was 5</w:t>
      </w:r>
      <w:r w:rsidRPr="00C13EAD">
        <w:rPr>
          <w:lang w:val="en-CA"/>
        </w:rPr>
        <w:t xml:space="preserve">% </w:t>
      </w:r>
      <w:r w:rsidR="00E53FDD">
        <w:rPr>
          <w:lang w:val="en-CA"/>
        </w:rPr>
        <w:t>(IQR; 2-10%)</w:t>
      </w:r>
      <w:r w:rsidRPr="00C13EAD">
        <w:rPr>
          <w:lang w:val="en-CA"/>
        </w:rPr>
        <w:t>.</w:t>
      </w:r>
      <w:r>
        <w:rPr>
          <w:lang w:val="en-CA"/>
        </w:rPr>
        <w:t xml:space="preserve">  Forty analytes were assayed using 4x diluted plasma with the Bio-Plex Pro Human Chemokine 40-plex Assay (</w:t>
      </w:r>
      <w:proofErr w:type="spellStart"/>
      <w:r>
        <w:rPr>
          <w:lang w:val="en-CA"/>
        </w:rPr>
        <w:t>Biorad</w:t>
      </w:r>
      <w:proofErr w:type="spellEnd"/>
      <w:r>
        <w:rPr>
          <w:lang w:val="en-CA"/>
        </w:rPr>
        <w:t xml:space="preserve">; catalog# </w:t>
      </w:r>
      <w:r w:rsidRPr="00A02AF2">
        <w:rPr>
          <w:lang w:val="en-CA"/>
        </w:rPr>
        <w:t>171AK99MR2</w:t>
      </w:r>
      <w:r>
        <w:rPr>
          <w:lang w:val="en-CA"/>
        </w:rPr>
        <w:t>).  A 5-plex including ANGPT1, AN</w:t>
      </w:r>
      <w:r w:rsidR="00BE7041">
        <w:rPr>
          <w:lang w:val="en-CA"/>
        </w:rPr>
        <w:t>GPT2, RAGE, IL-18 and vWF-A2 (2</w:t>
      </w:r>
      <w:r>
        <w:rPr>
          <w:lang w:val="en-CA"/>
        </w:rPr>
        <w:t>x diluted plasma), a 2-plex including PCT and IL-1ra (100x diluted plasma)</w:t>
      </w:r>
      <w:r w:rsidR="00FA7EF9">
        <w:rPr>
          <w:lang w:val="en-CA"/>
        </w:rPr>
        <w:t>,</w:t>
      </w:r>
      <w:r w:rsidRPr="002C42AF">
        <w:rPr>
          <w:lang w:val="en-CA"/>
        </w:rPr>
        <w:t xml:space="preserve"> </w:t>
      </w:r>
      <w:r>
        <w:rPr>
          <w:lang w:val="en-CA"/>
        </w:rPr>
        <w:t xml:space="preserve">and Cystatin C (100x diluted plasma) were measured using </w:t>
      </w:r>
      <w:r w:rsidR="00FA7EF9">
        <w:rPr>
          <w:lang w:val="en-CA"/>
        </w:rPr>
        <w:t xml:space="preserve">separate </w:t>
      </w:r>
      <w:r>
        <w:rPr>
          <w:lang w:val="en-CA"/>
        </w:rPr>
        <w:t>Magnetic Luminex assays from R&amp;D systems Bio-Techne (</w:t>
      </w:r>
      <w:proofErr w:type="spellStart"/>
      <w:r>
        <w:rPr>
          <w:lang w:val="en-CA"/>
        </w:rPr>
        <w:t>catalog#LXSAHM</w:t>
      </w:r>
      <w:proofErr w:type="spellEnd"/>
      <w:r>
        <w:rPr>
          <w:lang w:val="en-CA"/>
        </w:rPr>
        <w:t>).  LL-37 was measured using 20x diluted plasma with a human ELISA kit (</w:t>
      </w:r>
      <w:proofErr w:type="spellStart"/>
      <w:r>
        <w:rPr>
          <w:lang w:val="en-CA"/>
        </w:rPr>
        <w:t>HycultBiotech</w:t>
      </w:r>
      <w:proofErr w:type="spellEnd"/>
      <w:r>
        <w:rPr>
          <w:lang w:val="en-CA"/>
        </w:rPr>
        <w:t>; catalog# HK321-02).  All assays were performed according to manufacturer recommendations.  D</w:t>
      </w:r>
      <w:r>
        <w:rPr>
          <w:szCs w:val="20"/>
          <w:lang w:val="en-CA" w:eastAsia="en-CA"/>
        </w:rPr>
        <w:t>ata acquisition was conducted</w:t>
      </w:r>
      <w:r w:rsidRPr="00A02AF2">
        <w:rPr>
          <w:szCs w:val="20"/>
          <w:lang w:val="en-CA" w:eastAsia="en-CA"/>
        </w:rPr>
        <w:t xml:space="preserve"> on a </w:t>
      </w:r>
      <w:proofErr w:type="spellStart"/>
      <w:r w:rsidRPr="00A02AF2">
        <w:rPr>
          <w:szCs w:val="20"/>
          <w:lang w:val="en-CA" w:eastAsia="en-CA"/>
        </w:rPr>
        <w:t>Bioplex</w:t>
      </w:r>
      <w:proofErr w:type="spellEnd"/>
      <w:r w:rsidRPr="00A02AF2">
        <w:rPr>
          <w:szCs w:val="20"/>
          <w:lang w:val="en-CA" w:eastAsia="en-CA"/>
        </w:rPr>
        <w:t xml:space="preserve"> 200 system (</w:t>
      </w:r>
      <w:proofErr w:type="spellStart"/>
      <w:r w:rsidRPr="00A02AF2">
        <w:rPr>
          <w:szCs w:val="20"/>
          <w:lang w:val="en-CA" w:eastAsia="en-CA"/>
        </w:rPr>
        <w:t>Biorad</w:t>
      </w:r>
      <w:proofErr w:type="spellEnd"/>
      <w:r w:rsidRPr="00A02AF2">
        <w:rPr>
          <w:szCs w:val="20"/>
          <w:lang w:val="en-CA" w:eastAsia="en-CA"/>
        </w:rPr>
        <w:t>)</w:t>
      </w:r>
      <w:r>
        <w:rPr>
          <w:szCs w:val="20"/>
          <w:lang w:val="en-CA" w:eastAsia="en-CA"/>
        </w:rPr>
        <w:t xml:space="preserve"> or </w:t>
      </w:r>
      <w:proofErr w:type="spellStart"/>
      <w:r>
        <w:rPr>
          <w:szCs w:val="20"/>
          <w:lang w:val="en-CA" w:eastAsia="en-CA"/>
        </w:rPr>
        <w:t>Polarstar</w:t>
      </w:r>
      <w:proofErr w:type="spellEnd"/>
      <w:r>
        <w:rPr>
          <w:szCs w:val="20"/>
          <w:lang w:val="en-CA" w:eastAsia="en-CA"/>
        </w:rPr>
        <w:t xml:space="preserve"> Omega plate reader (BMG Labtech).  </w:t>
      </w:r>
      <w:r w:rsidRPr="00A02AF2">
        <w:rPr>
          <w:szCs w:val="20"/>
          <w:lang w:val="en-CA" w:eastAsia="en-CA"/>
        </w:rPr>
        <w:t>Data were fit to a</w:t>
      </w:r>
      <w:r>
        <w:rPr>
          <w:szCs w:val="20"/>
          <w:lang w:val="en-CA" w:eastAsia="en-CA"/>
        </w:rPr>
        <w:t>n optimized six- or</w:t>
      </w:r>
      <w:r w:rsidRPr="00A02AF2">
        <w:rPr>
          <w:szCs w:val="20"/>
          <w:lang w:val="en-CA" w:eastAsia="en-CA"/>
        </w:rPr>
        <w:t xml:space="preserve"> seven-point standard curve generated using five parameter logistic regression with </w:t>
      </w:r>
      <w:r>
        <w:rPr>
          <w:szCs w:val="20"/>
          <w:lang w:val="en-CA" w:eastAsia="en-CA"/>
        </w:rPr>
        <w:t xml:space="preserve">applicable </w:t>
      </w:r>
      <w:proofErr w:type="spellStart"/>
      <w:r w:rsidRPr="00A02AF2">
        <w:rPr>
          <w:szCs w:val="20"/>
          <w:lang w:val="en-CA" w:eastAsia="en-CA"/>
        </w:rPr>
        <w:t>Bioplex</w:t>
      </w:r>
      <w:proofErr w:type="spellEnd"/>
      <w:r w:rsidRPr="00A02AF2">
        <w:rPr>
          <w:szCs w:val="20"/>
          <w:lang w:val="en-CA" w:eastAsia="en-CA"/>
        </w:rPr>
        <w:t xml:space="preserve"> manager </w:t>
      </w:r>
      <w:r>
        <w:rPr>
          <w:szCs w:val="20"/>
          <w:lang w:val="en-CA" w:eastAsia="en-CA"/>
        </w:rPr>
        <w:t xml:space="preserve">or Omega </w:t>
      </w:r>
      <w:proofErr w:type="spellStart"/>
      <w:r>
        <w:rPr>
          <w:szCs w:val="20"/>
          <w:lang w:val="en-CA" w:eastAsia="en-CA"/>
        </w:rPr>
        <w:t>Polarstar</w:t>
      </w:r>
      <w:proofErr w:type="spellEnd"/>
      <w:r>
        <w:rPr>
          <w:szCs w:val="20"/>
          <w:lang w:val="en-CA" w:eastAsia="en-CA"/>
        </w:rPr>
        <w:t xml:space="preserve"> software.  </w:t>
      </w:r>
      <w:r w:rsidRPr="00A02AF2">
        <w:rPr>
          <w:szCs w:val="20"/>
          <w:lang w:val="en-CA" w:eastAsia="en-CA"/>
        </w:rPr>
        <w:t xml:space="preserve">Extrapolated values were used for samples that exhibited fluorescent signals above background (i.e., above blank samples) but below the standard curve range. Samples that </w:t>
      </w:r>
      <w:r>
        <w:rPr>
          <w:szCs w:val="20"/>
          <w:lang w:val="en-CA" w:eastAsia="en-CA"/>
        </w:rPr>
        <w:t xml:space="preserve">exhibited signals </w:t>
      </w:r>
      <w:r w:rsidRPr="00A02AF2">
        <w:rPr>
          <w:szCs w:val="20"/>
          <w:lang w:val="en-CA" w:eastAsia="en-CA"/>
        </w:rPr>
        <w:t>below the standard curve range and below</w:t>
      </w:r>
      <w:r>
        <w:rPr>
          <w:szCs w:val="20"/>
          <w:lang w:val="en-CA" w:eastAsia="en-CA"/>
        </w:rPr>
        <w:t xml:space="preserve"> </w:t>
      </w:r>
      <w:r w:rsidRPr="00A02AF2">
        <w:rPr>
          <w:szCs w:val="20"/>
          <w:lang w:val="en-CA" w:eastAsia="en-CA"/>
        </w:rPr>
        <w:t xml:space="preserve">background levels of fluorescence were set to the lowest extrapolated value observed among all samples in a given </w:t>
      </w:r>
      <w:r>
        <w:rPr>
          <w:szCs w:val="20"/>
          <w:lang w:val="en-CA" w:eastAsia="en-CA"/>
        </w:rPr>
        <w:t xml:space="preserve">analyte and </w:t>
      </w:r>
      <w:r w:rsidRPr="00A02AF2">
        <w:rPr>
          <w:szCs w:val="20"/>
          <w:lang w:val="en-CA" w:eastAsia="en-CA"/>
        </w:rPr>
        <w:t xml:space="preserve">assay run, or the manufacturer defined minimum detectable concentration, whichever was lower. </w:t>
      </w:r>
      <w:r>
        <w:rPr>
          <w:szCs w:val="20"/>
          <w:lang w:val="en-CA" w:eastAsia="en-CA"/>
        </w:rPr>
        <w:t xml:space="preserve">  Where applicable, i</w:t>
      </w:r>
      <w:r w:rsidRPr="00A02AF2">
        <w:rPr>
          <w:szCs w:val="20"/>
          <w:lang w:val="en-CA" w:eastAsia="en-CA"/>
        </w:rPr>
        <w:t>mmunoassays were confirmed to work within manufacturer’s specifications,</w:t>
      </w:r>
      <w:r>
        <w:rPr>
          <w:szCs w:val="20"/>
          <w:lang w:val="en-CA" w:eastAsia="en-CA"/>
        </w:rPr>
        <w:t xml:space="preserve"> as </w:t>
      </w:r>
      <w:r w:rsidRPr="00A02AF2">
        <w:rPr>
          <w:szCs w:val="20"/>
          <w:lang w:val="en-CA" w:eastAsia="en-CA"/>
        </w:rPr>
        <w:t>evidenced by positive internal quality control standards run in parallel with biologic samples</w:t>
      </w:r>
      <w:r>
        <w:rPr>
          <w:szCs w:val="20"/>
          <w:lang w:val="en-CA" w:eastAsia="en-CA"/>
        </w:rPr>
        <w:t xml:space="preserve"> (</w:t>
      </w:r>
      <w:proofErr w:type="spellStart"/>
      <w:r>
        <w:rPr>
          <w:szCs w:val="20"/>
          <w:lang w:val="en-CA" w:eastAsia="en-CA"/>
        </w:rPr>
        <w:t>Biorad</w:t>
      </w:r>
      <w:proofErr w:type="spellEnd"/>
      <w:r>
        <w:rPr>
          <w:szCs w:val="20"/>
          <w:lang w:val="en-CA" w:eastAsia="en-CA"/>
        </w:rPr>
        <w:t>)</w:t>
      </w:r>
      <w:r w:rsidR="00CD6110">
        <w:rPr>
          <w:szCs w:val="20"/>
          <w:lang w:val="en-CA" w:eastAsia="en-CA"/>
        </w:rPr>
        <w:t xml:space="preserve">.  </w:t>
      </w:r>
      <w:r w:rsidR="00EE567A">
        <w:rPr>
          <w:szCs w:val="20"/>
          <w:lang w:val="en-CA" w:eastAsia="en-CA"/>
        </w:rPr>
        <w:t>Plasma samples used for 45</w:t>
      </w:r>
      <w:r w:rsidR="00CD6110">
        <w:rPr>
          <w:szCs w:val="20"/>
          <w:lang w:val="en-CA" w:eastAsia="en-CA"/>
        </w:rPr>
        <w:t xml:space="preserve"> analytes </w:t>
      </w:r>
      <w:r w:rsidR="00EE567A">
        <w:rPr>
          <w:szCs w:val="20"/>
          <w:lang w:val="en-CA" w:eastAsia="en-CA"/>
        </w:rPr>
        <w:t>were</w:t>
      </w:r>
      <w:r w:rsidRPr="00A02AF2">
        <w:rPr>
          <w:szCs w:val="20"/>
          <w:lang w:val="en-CA" w:eastAsia="en-CA"/>
        </w:rPr>
        <w:t xml:space="preserve"> limited to </w:t>
      </w:r>
      <w:r w:rsidR="00EE567A">
        <w:rPr>
          <w:szCs w:val="20"/>
          <w:lang w:val="en-CA" w:eastAsia="en-CA"/>
        </w:rPr>
        <w:t>1-2</w:t>
      </w:r>
      <w:r>
        <w:rPr>
          <w:szCs w:val="20"/>
          <w:lang w:val="en-CA" w:eastAsia="en-CA"/>
        </w:rPr>
        <w:t xml:space="preserve"> freeze-thaw </w:t>
      </w:r>
      <w:r w:rsidRPr="00A02AF2">
        <w:rPr>
          <w:szCs w:val="20"/>
          <w:lang w:val="en-CA" w:eastAsia="en-CA"/>
        </w:rPr>
        <w:t>cycles at the time of measurement</w:t>
      </w:r>
      <w:r w:rsidR="00EE567A">
        <w:rPr>
          <w:szCs w:val="20"/>
          <w:lang w:val="en-CA" w:eastAsia="en-CA"/>
        </w:rPr>
        <w:t xml:space="preserve">.  Plasma samples used for PCT, IL-1ra, Cystatin C and LL-37 were subject to 4-6 freeze-thaw cycles at time of measurement.  </w:t>
      </w:r>
      <w:r w:rsidR="00CD6110">
        <w:rPr>
          <w:szCs w:val="20"/>
          <w:lang w:val="en-CA" w:eastAsia="en-CA"/>
        </w:rPr>
        <w:t xml:space="preserve"> </w:t>
      </w:r>
    </w:p>
    <w:p w:rsidR="00B82424" w:rsidRDefault="00B82424" w:rsidP="00B82424">
      <w:pPr>
        <w:rPr>
          <w:szCs w:val="20"/>
          <w:lang w:val="en-CA" w:eastAsia="en-CA"/>
        </w:rPr>
      </w:pPr>
    </w:p>
    <w:p w:rsidR="00B82424" w:rsidRPr="00C627DC" w:rsidRDefault="00B82424" w:rsidP="00B82424">
      <w:pPr>
        <w:rPr>
          <w:b/>
          <w:lang w:val="en-CA"/>
        </w:rPr>
      </w:pPr>
      <w:r>
        <w:rPr>
          <w:b/>
          <w:lang w:val="en-CA"/>
        </w:rPr>
        <w:t xml:space="preserve">Data Analysis and </w:t>
      </w:r>
      <w:r w:rsidRPr="00C627DC">
        <w:rPr>
          <w:b/>
          <w:lang w:val="en-CA"/>
        </w:rPr>
        <w:t>Statistics</w:t>
      </w:r>
    </w:p>
    <w:p w:rsidR="00B82424" w:rsidRPr="005C6F02" w:rsidRDefault="00853A47" w:rsidP="00B82424">
      <w:pPr>
        <w:rPr>
          <w:lang w:val="en-CA"/>
        </w:rPr>
      </w:pPr>
      <w:r>
        <w:rPr>
          <w:lang w:val="en-CA"/>
        </w:rPr>
        <w:t xml:space="preserve">To minimize potential biases, cytokine data that were unavailable due to missing plasma samples were not imputed and no patients were excluded from analysis.  </w:t>
      </w:r>
      <w:r w:rsidR="001F1DBC" w:rsidRPr="005C6F02">
        <w:rPr>
          <w:lang w:val="en-CA"/>
        </w:rPr>
        <w:t>Data are presented as concentrations (</w:t>
      </w:r>
      <w:proofErr w:type="spellStart"/>
      <w:r w:rsidR="001F1DBC" w:rsidRPr="005C6F02">
        <w:rPr>
          <w:lang w:val="en-CA"/>
        </w:rPr>
        <w:t>pg</w:t>
      </w:r>
      <w:proofErr w:type="spellEnd"/>
      <w:r w:rsidR="001F1DBC" w:rsidRPr="005C6F02">
        <w:rPr>
          <w:lang w:val="en-CA"/>
        </w:rPr>
        <w:t>/mL), fold change to study baseline time 0 h (calculated as paired measurements</w:t>
      </w:r>
      <w:r w:rsidR="001F1DBC">
        <w:rPr>
          <w:lang w:val="en-CA"/>
        </w:rPr>
        <w:t xml:space="preserve"> over time</w:t>
      </w:r>
      <w:r w:rsidR="001F1DBC" w:rsidRPr="005C6F02">
        <w:rPr>
          <w:lang w:val="en-CA"/>
        </w:rPr>
        <w:t xml:space="preserve">), or fold change </w:t>
      </w:r>
      <w:r w:rsidR="001F1DBC">
        <w:rPr>
          <w:lang w:val="en-CA"/>
        </w:rPr>
        <w:t xml:space="preserve">of MSC-treated participants </w:t>
      </w:r>
      <w:r w:rsidR="001F1DBC" w:rsidRPr="005C6F02">
        <w:rPr>
          <w:lang w:val="en-CA"/>
        </w:rPr>
        <w:t xml:space="preserve">to </w:t>
      </w:r>
      <w:r w:rsidR="001F1DBC">
        <w:rPr>
          <w:lang w:val="en-CA"/>
        </w:rPr>
        <w:t xml:space="preserve">median of </w:t>
      </w:r>
      <w:r w:rsidR="001F1DBC" w:rsidRPr="005C6F02">
        <w:rPr>
          <w:lang w:val="en-CA"/>
        </w:rPr>
        <w:t>observational co</w:t>
      </w:r>
      <w:r w:rsidR="001F1DBC">
        <w:rPr>
          <w:lang w:val="en-CA"/>
        </w:rPr>
        <w:t>hort</w:t>
      </w:r>
      <w:r w:rsidR="001F1DBC" w:rsidRPr="005C6F02">
        <w:rPr>
          <w:lang w:val="en-CA"/>
        </w:rPr>
        <w:t xml:space="preserve"> (after normalization </w:t>
      </w:r>
      <w:r w:rsidR="001F1DBC">
        <w:rPr>
          <w:lang w:val="en-CA"/>
        </w:rPr>
        <w:t xml:space="preserve">of data </w:t>
      </w:r>
      <w:r w:rsidR="001F1DBC" w:rsidRPr="005C6F02">
        <w:rPr>
          <w:lang w:val="en-CA"/>
        </w:rPr>
        <w:t>to study baseline time 0 h)</w:t>
      </w:r>
      <w:r w:rsidR="001F1DBC">
        <w:rPr>
          <w:lang w:val="en-CA"/>
        </w:rPr>
        <w:t xml:space="preserve"> with</w:t>
      </w:r>
      <w:r w:rsidR="001F1DBC" w:rsidRPr="005C6F02">
        <w:rPr>
          <w:lang w:val="en-CA"/>
        </w:rPr>
        <w:t xml:space="preserve"> medians and interquartile ranges unless otherwise specified in figure legends.  </w:t>
      </w:r>
      <w:r w:rsidR="001F1DBC">
        <w:rPr>
          <w:lang w:val="en-CA"/>
        </w:rPr>
        <w:t xml:space="preserve">Descriptive and inferential </w:t>
      </w:r>
      <w:r w:rsidR="001F1DBC">
        <w:rPr>
          <w:szCs w:val="20"/>
          <w:lang w:val="en-CA" w:eastAsia="en-CA"/>
        </w:rPr>
        <w:t>s</w:t>
      </w:r>
      <w:r w:rsidR="001F1DBC" w:rsidRPr="005C6F02">
        <w:rPr>
          <w:szCs w:val="20"/>
          <w:lang w:val="en-CA" w:eastAsia="en-CA"/>
        </w:rPr>
        <w:t>tatistic</w:t>
      </w:r>
      <w:r w:rsidR="001F1DBC">
        <w:rPr>
          <w:szCs w:val="20"/>
          <w:lang w:val="en-CA" w:eastAsia="en-CA"/>
        </w:rPr>
        <w:t>s</w:t>
      </w:r>
      <w:r w:rsidR="001F1DBC" w:rsidRPr="005C6F02">
        <w:rPr>
          <w:szCs w:val="20"/>
          <w:lang w:val="en-CA" w:eastAsia="en-CA"/>
        </w:rPr>
        <w:t xml:space="preserve"> were performed with </w:t>
      </w:r>
      <w:proofErr w:type="spellStart"/>
      <w:r w:rsidR="001F1DBC" w:rsidRPr="005C6F02">
        <w:rPr>
          <w:szCs w:val="20"/>
          <w:lang w:val="en-CA" w:eastAsia="en-CA"/>
        </w:rPr>
        <w:t>Graphpad</w:t>
      </w:r>
      <w:proofErr w:type="spellEnd"/>
      <w:r w:rsidR="001F1DBC" w:rsidRPr="005C6F02">
        <w:rPr>
          <w:szCs w:val="20"/>
          <w:lang w:val="en-CA" w:eastAsia="en-CA"/>
        </w:rPr>
        <w:t xml:space="preserve"> Prism V7.0</w:t>
      </w:r>
      <w:r w:rsidR="001F1DBC">
        <w:rPr>
          <w:szCs w:val="20"/>
          <w:lang w:val="en-CA" w:eastAsia="en-CA"/>
        </w:rPr>
        <w:t xml:space="preserve"> or </w:t>
      </w:r>
      <w:proofErr w:type="spellStart"/>
      <w:r w:rsidR="001F1DBC">
        <w:rPr>
          <w:szCs w:val="20"/>
          <w:lang w:val="en-CA" w:eastAsia="en-CA"/>
        </w:rPr>
        <w:t>Partek</w:t>
      </w:r>
      <w:proofErr w:type="spellEnd"/>
      <w:r w:rsidR="001F1DBC">
        <w:rPr>
          <w:szCs w:val="20"/>
          <w:lang w:val="en-CA" w:eastAsia="en-CA"/>
        </w:rPr>
        <w:t xml:space="preserve"> V7.0</w:t>
      </w:r>
      <w:r w:rsidR="001F1DBC" w:rsidRPr="005C6F02">
        <w:rPr>
          <w:szCs w:val="20"/>
          <w:lang w:val="en-CA" w:eastAsia="en-CA"/>
        </w:rPr>
        <w:t>, and</w:t>
      </w:r>
      <w:r w:rsidR="001F1DBC">
        <w:rPr>
          <w:szCs w:val="20"/>
          <w:lang w:val="en-CA" w:eastAsia="en-CA"/>
        </w:rPr>
        <w:t xml:space="preserve"> specific details</w:t>
      </w:r>
      <w:r w:rsidR="001F1DBC" w:rsidRPr="005C6F02">
        <w:rPr>
          <w:szCs w:val="20"/>
          <w:lang w:val="en-CA" w:eastAsia="en-CA"/>
        </w:rPr>
        <w:t xml:space="preserve"> are reported in each figure legend.  </w:t>
      </w:r>
      <w:r w:rsidR="002408A3">
        <w:rPr>
          <w:szCs w:val="20"/>
          <w:lang w:val="en-CA" w:eastAsia="en-CA"/>
        </w:rPr>
        <w:t xml:space="preserve">In some cases, no formal statistical tests were conducted due to limited sample sizes.  </w:t>
      </w:r>
      <w:r w:rsidR="00735E99">
        <w:rPr>
          <w:szCs w:val="20"/>
          <w:lang w:val="en-CA" w:eastAsia="en-CA"/>
        </w:rPr>
        <w:t>To mitigate potential type II (false negative) errors, all changes in plasma analyte levels were quantified and reported (irrespective of statistical significance</w:t>
      </w:r>
      <w:r w:rsidR="00D250F6">
        <w:rPr>
          <w:szCs w:val="20"/>
          <w:lang w:val="en-CA" w:eastAsia="en-CA"/>
        </w:rPr>
        <w:t xml:space="preserve"> level</w:t>
      </w:r>
      <w:r w:rsidR="00735E99">
        <w:rPr>
          <w:szCs w:val="20"/>
          <w:lang w:val="en-CA" w:eastAsia="en-CA"/>
        </w:rPr>
        <w:t xml:space="preserve">) in the manuscript or online data supplement.  </w:t>
      </w:r>
      <w:r w:rsidR="00B82424" w:rsidRPr="005C6F02">
        <w:rPr>
          <w:szCs w:val="20"/>
          <w:lang w:val="en-CA" w:eastAsia="en-CA"/>
        </w:rPr>
        <w:t xml:space="preserve">Principal Component Analysis (PCA) </w:t>
      </w:r>
      <w:r w:rsidR="00B82424">
        <w:rPr>
          <w:szCs w:val="20"/>
          <w:lang w:val="en-CA" w:eastAsia="en-CA"/>
        </w:rPr>
        <w:t xml:space="preserve">and hierarchical clustering (Euclidean distance and average linkage method) </w:t>
      </w:r>
      <w:r w:rsidR="00B82424" w:rsidRPr="005C6F02">
        <w:rPr>
          <w:szCs w:val="20"/>
          <w:lang w:val="en-CA" w:eastAsia="en-CA"/>
        </w:rPr>
        <w:t xml:space="preserve">was performed with </w:t>
      </w:r>
      <w:proofErr w:type="spellStart"/>
      <w:r w:rsidR="00B82424" w:rsidRPr="005C6F02">
        <w:rPr>
          <w:szCs w:val="20"/>
          <w:lang w:val="en-CA" w:eastAsia="en-CA"/>
        </w:rPr>
        <w:t>Partek</w:t>
      </w:r>
      <w:proofErr w:type="spellEnd"/>
      <w:r w:rsidR="00B82424" w:rsidRPr="005C6F02">
        <w:rPr>
          <w:szCs w:val="20"/>
          <w:lang w:val="en-CA" w:eastAsia="en-CA"/>
        </w:rPr>
        <w:t xml:space="preserve"> Genomics Suite V7.0.  </w:t>
      </w:r>
    </w:p>
    <w:p w:rsidR="00B82424" w:rsidRDefault="00B82424"/>
    <w:p w:rsidR="000101FD" w:rsidRDefault="000101FD">
      <w:pPr>
        <w:rPr>
          <w:b/>
        </w:rPr>
      </w:pPr>
    </w:p>
    <w:p w:rsidR="00AD5659" w:rsidRDefault="00AD5659">
      <w:pPr>
        <w:rPr>
          <w:b/>
        </w:rPr>
      </w:pPr>
    </w:p>
    <w:p w:rsidR="00AD5659" w:rsidRDefault="00AD5659">
      <w:pPr>
        <w:rPr>
          <w:b/>
        </w:rPr>
      </w:pPr>
    </w:p>
    <w:p w:rsidR="00AD5659" w:rsidRDefault="00AD5659">
      <w:pPr>
        <w:rPr>
          <w:b/>
        </w:rPr>
      </w:pPr>
    </w:p>
    <w:p w:rsidR="00AD5659" w:rsidRDefault="00AD5659">
      <w:pPr>
        <w:rPr>
          <w:b/>
        </w:rPr>
      </w:pPr>
    </w:p>
    <w:p w:rsidR="00AD5659" w:rsidRDefault="00AD5659">
      <w:pPr>
        <w:rPr>
          <w:b/>
        </w:rPr>
      </w:pPr>
    </w:p>
    <w:p w:rsidR="0081355C" w:rsidRDefault="0081355C">
      <w:pPr>
        <w:rPr>
          <w:b/>
        </w:rPr>
      </w:pPr>
    </w:p>
    <w:p w:rsidR="00855B3C" w:rsidRPr="00855B3C" w:rsidRDefault="00855B3C">
      <w:pPr>
        <w:rPr>
          <w:b/>
        </w:rPr>
      </w:pPr>
      <w:r w:rsidRPr="00855B3C">
        <w:rPr>
          <w:b/>
        </w:rPr>
        <w:lastRenderedPageBreak/>
        <w:t>Abbreviations and alternate names</w:t>
      </w:r>
    </w:p>
    <w:p w:rsidR="00855B3C" w:rsidRPr="00F506A9" w:rsidRDefault="00855B3C" w:rsidP="00855B3C">
      <w:pPr>
        <w:rPr>
          <w:sz w:val="20"/>
        </w:rPr>
      </w:pPr>
      <w:r w:rsidRPr="00F506A9">
        <w:rPr>
          <w:sz w:val="20"/>
        </w:rPr>
        <w:t>ANGPT1:  Angiopoietin-1</w:t>
      </w:r>
    </w:p>
    <w:p w:rsidR="00855B3C" w:rsidRPr="00F506A9" w:rsidRDefault="00855B3C" w:rsidP="00855B3C">
      <w:pPr>
        <w:rPr>
          <w:sz w:val="20"/>
        </w:rPr>
      </w:pPr>
      <w:r w:rsidRPr="00F506A9">
        <w:rPr>
          <w:sz w:val="20"/>
        </w:rPr>
        <w:t>ANGPT2:  Angiopoietin-2</w:t>
      </w:r>
    </w:p>
    <w:p w:rsidR="00855B3C" w:rsidRPr="00F506A9" w:rsidRDefault="00855B3C" w:rsidP="00855B3C">
      <w:pPr>
        <w:rPr>
          <w:sz w:val="20"/>
        </w:rPr>
      </w:pPr>
      <w:r w:rsidRPr="00F506A9">
        <w:rPr>
          <w:sz w:val="20"/>
        </w:rPr>
        <w:t>BCA-1 / CXCL13:  B cell-attracting chemokine 1/ chemokine (C-X-C motif) ligand 13</w:t>
      </w:r>
    </w:p>
    <w:p w:rsidR="00855B3C" w:rsidRPr="00F506A9" w:rsidRDefault="00855B3C" w:rsidP="00855B3C">
      <w:pPr>
        <w:rPr>
          <w:sz w:val="20"/>
        </w:rPr>
      </w:pPr>
      <w:r w:rsidRPr="00F506A9">
        <w:rPr>
          <w:sz w:val="20"/>
        </w:rPr>
        <w:t>6Ckine/ CCL21:  Chemokine (C-C motif) ligand 21</w:t>
      </w:r>
    </w:p>
    <w:p w:rsidR="00855B3C" w:rsidRPr="00F506A9" w:rsidRDefault="00855B3C" w:rsidP="00855B3C">
      <w:pPr>
        <w:rPr>
          <w:sz w:val="20"/>
        </w:rPr>
      </w:pPr>
      <w:r w:rsidRPr="00F506A9">
        <w:rPr>
          <w:sz w:val="20"/>
        </w:rPr>
        <w:t xml:space="preserve">CTACK / CCL27:  </w:t>
      </w:r>
      <w:proofErr w:type="spellStart"/>
      <w:r w:rsidRPr="00F506A9">
        <w:rPr>
          <w:sz w:val="20"/>
        </w:rPr>
        <w:t>Cutaneou</w:t>
      </w:r>
      <w:proofErr w:type="spellEnd"/>
      <w:r w:rsidRPr="00F506A9">
        <w:rPr>
          <w:sz w:val="20"/>
        </w:rPr>
        <w:t xml:space="preserve"> T-cell-attracting chemokine/ Chemokine (C-C motif) ligand 27</w:t>
      </w:r>
    </w:p>
    <w:p w:rsidR="00855B3C" w:rsidRPr="00F506A9" w:rsidRDefault="00855B3C" w:rsidP="00855B3C">
      <w:pPr>
        <w:rPr>
          <w:sz w:val="20"/>
        </w:rPr>
      </w:pPr>
      <w:r w:rsidRPr="00F506A9">
        <w:rPr>
          <w:sz w:val="20"/>
        </w:rPr>
        <w:t>Cystatin C</w:t>
      </w:r>
    </w:p>
    <w:p w:rsidR="00855B3C" w:rsidRPr="00F506A9" w:rsidRDefault="00855B3C" w:rsidP="00855B3C">
      <w:pPr>
        <w:rPr>
          <w:sz w:val="20"/>
        </w:rPr>
      </w:pPr>
      <w:r w:rsidRPr="00F506A9">
        <w:rPr>
          <w:sz w:val="20"/>
        </w:rPr>
        <w:t>ENA-78 / CXCL5:  Epithelial-derived neutrophil activating peptide 78/C-X-C motif chemokine 5</w:t>
      </w:r>
    </w:p>
    <w:p w:rsidR="00855B3C" w:rsidRPr="00F506A9" w:rsidRDefault="00855B3C" w:rsidP="00855B3C">
      <w:pPr>
        <w:rPr>
          <w:sz w:val="20"/>
        </w:rPr>
      </w:pPr>
      <w:proofErr w:type="spellStart"/>
      <w:r w:rsidRPr="00F506A9">
        <w:rPr>
          <w:sz w:val="20"/>
        </w:rPr>
        <w:t>Eotaxin</w:t>
      </w:r>
      <w:proofErr w:type="spellEnd"/>
      <w:r w:rsidRPr="00F506A9">
        <w:rPr>
          <w:sz w:val="20"/>
        </w:rPr>
        <w:t>:  eosinophil chemotactic protein</w:t>
      </w:r>
    </w:p>
    <w:p w:rsidR="00855B3C" w:rsidRPr="00F506A9" w:rsidRDefault="00855B3C" w:rsidP="00855B3C">
      <w:pPr>
        <w:rPr>
          <w:sz w:val="20"/>
        </w:rPr>
      </w:pPr>
      <w:r w:rsidRPr="00F506A9">
        <w:rPr>
          <w:sz w:val="20"/>
        </w:rPr>
        <w:t>Eotaxin-2 / CCL24:  eosinophil chemotactic protein 2/ Chemokine (C-C motif) ligand 24</w:t>
      </w:r>
    </w:p>
    <w:p w:rsidR="00855B3C" w:rsidRPr="00F506A9" w:rsidRDefault="00855B3C" w:rsidP="00855B3C">
      <w:pPr>
        <w:rPr>
          <w:sz w:val="20"/>
        </w:rPr>
      </w:pPr>
      <w:r w:rsidRPr="00F506A9">
        <w:rPr>
          <w:sz w:val="20"/>
        </w:rPr>
        <w:t>Eotaxin-3 / CCL26:  eosinophil chemotactic protein 3/ Chemokine (C-C motif) ligand 26</w:t>
      </w:r>
    </w:p>
    <w:p w:rsidR="00855B3C" w:rsidRPr="00F506A9" w:rsidRDefault="00855B3C" w:rsidP="00855B3C">
      <w:pPr>
        <w:rPr>
          <w:sz w:val="20"/>
        </w:rPr>
      </w:pPr>
      <w:r w:rsidRPr="00F506A9">
        <w:rPr>
          <w:sz w:val="20"/>
        </w:rPr>
        <w:t>Fractalkine / CX3CL1:  Chemokine (C-X3-C motif) ligand 1</w:t>
      </w:r>
    </w:p>
    <w:p w:rsidR="00855B3C" w:rsidRPr="00F506A9" w:rsidRDefault="00855B3C" w:rsidP="00855B3C">
      <w:pPr>
        <w:rPr>
          <w:sz w:val="20"/>
        </w:rPr>
      </w:pPr>
      <w:r w:rsidRPr="00F506A9">
        <w:rPr>
          <w:sz w:val="20"/>
        </w:rPr>
        <w:t>GCP-2 / CXCL6:  Granulocyte chemotactic protein 2/ Chemokine (C-X-C motif) ligand 6</w:t>
      </w:r>
    </w:p>
    <w:p w:rsidR="00855B3C" w:rsidRPr="00F506A9" w:rsidRDefault="00855B3C" w:rsidP="00855B3C">
      <w:pPr>
        <w:rPr>
          <w:sz w:val="20"/>
        </w:rPr>
      </w:pPr>
      <w:r w:rsidRPr="00F506A9">
        <w:rPr>
          <w:sz w:val="20"/>
        </w:rPr>
        <w:t>GM-CSF:  Granulocyte-macrophage colony-stimulating factor</w:t>
      </w:r>
    </w:p>
    <w:p w:rsidR="00855B3C" w:rsidRPr="00F506A9" w:rsidRDefault="00855B3C" w:rsidP="00855B3C">
      <w:pPr>
        <w:rPr>
          <w:sz w:val="20"/>
        </w:rPr>
      </w:pPr>
      <w:proofErr w:type="spellStart"/>
      <w:r w:rsidRPr="00F506A9">
        <w:rPr>
          <w:sz w:val="20"/>
        </w:rPr>
        <w:t>Gro</w:t>
      </w:r>
      <w:proofErr w:type="spellEnd"/>
      <w:r w:rsidRPr="00F506A9">
        <w:rPr>
          <w:sz w:val="20"/>
        </w:rPr>
        <w:t>-α/CXCL1:  Chemokine (C-X-C motif) ligand 1</w:t>
      </w:r>
    </w:p>
    <w:p w:rsidR="00855B3C" w:rsidRPr="00F506A9" w:rsidRDefault="00855B3C" w:rsidP="00855B3C">
      <w:pPr>
        <w:rPr>
          <w:sz w:val="20"/>
        </w:rPr>
      </w:pPr>
      <w:proofErr w:type="spellStart"/>
      <w:r w:rsidRPr="00F506A9">
        <w:rPr>
          <w:sz w:val="20"/>
        </w:rPr>
        <w:t>Gro</w:t>
      </w:r>
      <w:proofErr w:type="spellEnd"/>
      <w:r w:rsidRPr="00F506A9">
        <w:rPr>
          <w:sz w:val="20"/>
        </w:rPr>
        <w:t>-ß / CXCL2:  Growth-regulated protein beta/ Chemokine (C-X-C motif) ligand 2</w:t>
      </w:r>
    </w:p>
    <w:p w:rsidR="00855B3C" w:rsidRPr="00F506A9" w:rsidRDefault="00855B3C" w:rsidP="00855B3C">
      <w:pPr>
        <w:rPr>
          <w:sz w:val="20"/>
        </w:rPr>
      </w:pPr>
      <w:r w:rsidRPr="00F506A9">
        <w:rPr>
          <w:sz w:val="20"/>
        </w:rPr>
        <w:t>I-309 / CCL1:  Chemokine (C-C motif) ligand 1</w:t>
      </w:r>
    </w:p>
    <w:p w:rsidR="00855B3C" w:rsidRPr="00F506A9" w:rsidRDefault="00855B3C" w:rsidP="00855B3C">
      <w:pPr>
        <w:rPr>
          <w:sz w:val="20"/>
        </w:rPr>
      </w:pPr>
      <w:r w:rsidRPr="00F506A9">
        <w:rPr>
          <w:sz w:val="20"/>
        </w:rPr>
        <w:t>IFN-ɣ:  Interferon gamma</w:t>
      </w:r>
    </w:p>
    <w:p w:rsidR="00855B3C" w:rsidRPr="00F506A9" w:rsidRDefault="00855B3C" w:rsidP="00855B3C">
      <w:pPr>
        <w:rPr>
          <w:sz w:val="20"/>
        </w:rPr>
      </w:pPr>
      <w:r w:rsidRPr="00F506A9">
        <w:rPr>
          <w:sz w:val="20"/>
        </w:rPr>
        <w:t>IL-10:  Interleukin 10</w:t>
      </w:r>
    </w:p>
    <w:p w:rsidR="00855B3C" w:rsidRPr="00F506A9" w:rsidRDefault="00855B3C" w:rsidP="00855B3C">
      <w:pPr>
        <w:rPr>
          <w:sz w:val="20"/>
        </w:rPr>
      </w:pPr>
      <w:r w:rsidRPr="00F506A9">
        <w:rPr>
          <w:sz w:val="20"/>
        </w:rPr>
        <w:t>IL-16:  Interleukin 16</w:t>
      </w:r>
    </w:p>
    <w:p w:rsidR="00855B3C" w:rsidRPr="00F506A9" w:rsidRDefault="00855B3C" w:rsidP="00855B3C">
      <w:pPr>
        <w:rPr>
          <w:sz w:val="20"/>
        </w:rPr>
      </w:pPr>
      <w:r w:rsidRPr="00F506A9">
        <w:rPr>
          <w:sz w:val="20"/>
        </w:rPr>
        <w:t>IL-18:  Interleukin 18</w:t>
      </w:r>
    </w:p>
    <w:p w:rsidR="00855B3C" w:rsidRPr="00F506A9" w:rsidRDefault="00855B3C" w:rsidP="00855B3C">
      <w:pPr>
        <w:rPr>
          <w:sz w:val="20"/>
        </w:rPr>
      </w:pPr>
      <w:r w:rsidRPr="00F506A9">
        <w:rPr>
          <w:sz w:val="20"/>
        </w:rPr>
        <w:t>IL-1β:  Interleukin 1 beta</w:t>
      </w:r>
    </w:p>
    <w:p w:rsidR="00855B3C" w:rsidRPr="00F506A9" w:rsidRDefault="00855B3C" w:rsidP="00855B3C">
      <w:pPr>
        <w:rPr>
          <w:sz w:val="20"/>
        </w:rPr>
      </w:pPr>
      <w:r w:rsidRPr="00F506A9">
        <w:rPr>
          <w:sz w:val="20"/>
        </w:rPr>
        <w:t>IL-1ra:  Interleukin 1 receptor antagonist</w:t>
      </w:r>
    </w:p>
    <w:p w:rsidR="00855B3C" w:rsidRPr="00F506A9" w:rsidRDefault="00855B3C" w:rsidP="00855B3C">
      <w:pPr>
        <w:rPr>
          <w:sz w:val="20"/>
        </w:rPr>
      </w:pPr>
      <w:r w:rsidRPr="00F506A9">
        <w:rPr>
          <w:sz w:val="20"/>
        </w:rPr>
        <w:t>IL-2:  Interleukin 2</w:t>
      </w:r>
    </w:p>
    <w:p w:rsidR="00855B3C" w:rsidRPr="00F506A9" w:rsidRDefault="00855B3C" w:rsidP="00855B3C">
      <w:pPr>
        <w:rPr>
          <w:sz w:val="20"/>
        </w:rPr>
      </w:pPr>
      <w:r w:rsidRPr="00F506A9">
        <w:rPr>
          <w:sz w:val="20"/>
        </w:rPr>
        <w:t>IL-4:  Interleukin 4</w:t>
      </w:r>
    </w:p>
    <w:p w:rsidR="00855B3C" w:rsidRPr="00F506A9" w:rsidRDefault="00855B3C" w:rsidP="00855B3C">
      <w:pPr>
        <w:rPr>
          <w:sz w:val="20"/>
        </w:rPr>
      </w:pPr>
      <w:r w:rsidRPr="00F506A9">
        <w:rPr>
          <w:sz w:val="20"/>
        </w:rPr>
        <w:t>IL-6:  Interleukin 6</w:t>
      </w:r>
    </w:p>
    <w:p w:rsidR="00855B3C" w:rsidRPr="00F506A9" w:rsidRDefault="00855B3C" w:rsidP="00855B3C">
      <w:pPr>
        <w:rPr>
          <w:sz w:val="20"/>
        </w:rPr>
      </w:pPr>
      <w:r w:rsidRPr="00F506A9">
        <w:rPr>
          <w:sz w:val="20"/>
        </w:rPr>
        <w:t>IL-8/ CXCL8:  Interleukin 8/ Chemokine (C-X-C motif) ligand 8</w:t>
      </w:r>
    </w:p>
    <w:p w:rsidR="00855B3C" w:rsidRPr="00F506A9" w:rsidRDefault="00855B3C" w:rsidP="00855B3C">
      <w:pPr>
        <w:rPr>
          <w:sz w:val="20"/>
        </w:rPr>
      </w:pPr>
      <w:r w:rsidRPr="00F506A9">
        <w:rPr>
          <w:sz w:val="20"/>
        </w:rPr>
        <w:t>IP-10/ CXCL10:  Interferon gamma-induced protein 10</w:t>
      </w:r>
      <w:proofErr w:type="gramStart"/>
      <w:r w:rsidRPr="00F506A9">
        <w:rPr>
          <w:sz w:val="20"/>
        </w:rPr>
        <w:t>/  Chemokine</w:t>
      </w:r>
      <w:proofErr w:type="gramEnd"/>
      <w:r w:rsidRPr="00F506A9">
        <w:rPr>
          <w:sz w:val="20"/>
        </w:rPr>
        <w:t xml:space="preserve"> (C-X-C motif) ligand 10</w:t>
      </w:r>
    </w:p>
    <w:p w:rsidR="00855B3C" w:rsidRDefault="00855B3C" w:rsidP="00855B3C">
      <w:pPr>
        <w:rPr>
          <w:sz w:val="20"/>
        </w:rPr>
      </w:pPr>
      <w:r w:rsidRPr="00F506A9">
        <w:rPr>
          <w:sz w:val="20"/>
        </w:rPr>
        <w:t>I-TAC / CXCL11:  Interferon-inducible T-cell alpha chemoattractant</w:t>
      </w:r>
      <w:proofErr w:type="gramStart"/>
      <w:r w:rsidRPr="00F506A9">
        <w:rPr>
          <w:sz w:val="20"/>
        </w:rPr>
        <w:t>/  Chemokine</w:t>
      </w:r>
      <w:proofErr w:type="gramEnd"/>
      <w:r w:rsidRPr="00F506A9">
        <w:rPr>
          <w:sz w:val="20"/>
        </w:rPr>
        <w:t xml:space="preserve"> (C-X-C motif) ligand 11</w:t>
      </w:r>
    </w:p>
    <w:p w:rsidR="00855B3C" w:rsidRPr="00F506A9" w:rsidRDefault="00855B3C" w:rsidP="00855B3C">
      <w:pPr>
        <w:rPr>
          <w:sz w:val="20"/>
        </w:rPr>
      </w:pPr>
      <w:r>
        <w:rPr>
          <w:sz w:val="20"/>
        </w:rPr>
        <w:t>LL-37</w:t>
      </w:r>
    </w:p>
    <w:p w:rsidR="00855B3C" w:rsidRPr="00F506A9" w:rsidRDefault="00855B3C" w:rsidP="00855B3C">
      <w:pPr>
        <w:rPr>
          <w:sz w:val="20"/>
        </w:rPr>
      </w:pPr>
      <w:r w:rsidRPr="00F506A9">
        <w:rPr>
          <w:sz w:val="20"/>
        </w:rPr>
        <w:t>MCP-1/ CCL2:  Monocyte chemoattractant protein 1 / Chemokine (C-C motif) ligand 2</w:t>
      </w:r>
    </w:p>
    <w:p w:rsidR="00855B3C" w:rsidRPr="00F506A9" w:rsidRDefault="00855B3C" w:rsidP="00855B3C">
      <w:pPr>
        <w:rPr>
          <w:sz w:val="20"/>
        </w:rPr>
      </w:pPr>
      <w:r w:rsidRPr="00F506A9">
        <w:rPr>
          <w:sz w:val="20"/>
        </w:rPr>
        <w:t>MCP-2 / CCL8:  Monocyte chemoattractant protein 2 / Chemokine (C-C motif) ligand 8</w:t>
      </w:r>
    </w:p>
    <w:p w:rsidR="00855B3C" w:rsidRPr="00F506A9" w:rsidRDefault="00855B3C" w:rsidP="00855B3C">
      <w:pPr>
        <w:rPr>
          <w:sz w:val="20"/>
        </w:rPr>
      </w:pPr>
      <w:r w:rsidRPr="00F506A9">
        <w:rPr>
          <w:sz w:val="20"/>
        </w:rPr>
        <w:t>MCP-3 / CCL7:  Monocyte chemoattractant protein 3 / Chemokine (C-C motif) ligand 7</w:t>
      </w:r>
    </w:p>
    <w:p w:rsidR="00855B3C" w:rsidRPr="00F506A9" w:rsidRDefault="00855B3C" w:rsidP="00855B3C">
      <w:pPr>
        <w:rPr>
          <w:sz w:val="20"/>
        </w:rPr>
      </w:pPr>
      <w:r w:rsidRPr="00F506A9">
        <w:rPr>
          <w:sz w:val="20"/>
        </w:rPr>
        <w:t>MCP-4 / CCL13:  Monocyte chemoattractant protein 4 / Chemokine (C-C motif) ligand 13</w:t>
      </w:r>
    </w:p>
    <w:p w:rsidR="00855B3C" w:rsidRPr="00F506A9" w:rsidRDefault="00855B3C" w:rsidP="00855B3C">
      <w:pPr>
        <w:rPr>
          <w:sz w:val="20"/>
        </w:rPr>
      </w:pPr>
      <w:r w:rsidRPr="00F506A9">
        <w:rPr>
          <w:sz w:val="20"/>
        </w:rPr>
        <w:t>MDC / CCL22:  Macrophage-derived chemokine/ Chemokine (C-C motif) ligand 22</w:t>
      </w:r>
    </w:p>
    <w:p w:rsidR="00855B3C" w:rsidRPr="00F506A9" w:rsidRDefault="00855B3C" w:rsidP="00855B3C">
      <w:pPr>
        <w:rPr>
          <w:sz w:val="20"/>
        </w:rPr>
      </w:pPr>
      <w:r w:rsidRPr="00F506A9">
        <w:rPr>
          <w:sz w:val="20"/>
        </w:rPr>
        <w:t>MIF:  Macrophage migration inhibitory factor</w:t>
      </w:r>
    </w:p>
    <w:p w:rsidR="00855B3C" w:rsidRPr="00F506A9" w:rsidRDefault="00855B3C" w:rsidP="00855B3C">
      <w:pPr>
        <w:rPr>
          <w:sz w:val="20"/>
        </w:rPr>
      </w:pPr>
      <w:r w:rsidRPr="00F506A9">
        <w:rPr>
          <w:sz w:val="20"/>
        </w:rPr>
        <w:t xml:space="preserve">MIG / CXCL9:  </w:t>
      </w:r>
      <w:proofErr w:type="spellStart"/>
      <w:r w:rsidRPr="00F506A9">
        <w:rPr>
          <w:sz w:val="20"/>
        </w:rPr>
        <w:t>Monokine</w:t>
      </w:r>
      <w:proofErr w:type="spellEnd"/>
      <w:r w:rsidRPr="00F506A9">
        <w:rPr>
          <w:sz w:val="20"/>
        </w:rPr>
        <w:t xml:space="preserve"> induced by gamma</w:t>
      </w:r>
      <w:proofErr w:type="gramStart"/>
      <w:r w:rsidRPr="00F506A9">
        <w:rPr>
          <w:sz w:val="20"/>
        </w:rPr>
        <w:t>/  Chemokine</w:t>
      </w:r>
      <w:proofErr w:type="gramEnd"/>
      <w:r w:rsidRPr="00F506A9">
        <w:rPr>
          <w:sz w:val="20"/>
        </w:rPr>
        <w:t xml:space="preserve"> (C-X-C motif) ligand 9</w:t>
      </w:r>
    </w:p>
    <w:p w:rsidR="00855B3C" w:rsidRPr="00F506A9" w:rsidRDefault="00855B3C" w:rsidP="00855B3C">
      <w:pPr>
        <w:rPr>
          <w:sz w:val="20"/>
        </w:rPr>
      </w:pPr>
      <w:r w:rsidRPr="00F506A9">
        <w:rPr>
          <w:sz w:val="20"/>
        </w:rPr>
        <w:t>MIP-1α/ CCL3:  Macrophage inflammatory protein 1 alpha</w:t>
      </w:r>
      <w:proofErr w:type="gramStart"/>
      <w:r w:rsidRPr="00F506A9">
        <w:rPr>
          <w:sz w:val="20"/>
        </w:rPr>
        <w:t>/  Chemokine</w:t>
      </w:r>
      <w:proofErr w:type="gramEnd"/>
      <w:r w:rsidRPr="00F506A9">
        <w:rPr>
          <w:sz w:val="20"/>
        </w:rPr>
        <w:t xml:space="preserve"> (C-C motif) ligand 3</w:t>
      </w:r>
    </w:p>
    <w:p w:rsidR="00855B3C" w:rsidRPr="00F506A9" w:rsidRDefault="00855B3C" w:rsidP="00855B3C">
      <w:pPr>
        <w:rPr>
          <w:sz w:val="20"/>
        </w:rPr>
      </w:pPr>
      <w:r w:rsidRPr="00F506A9">
        <w:rPr>
          <w:sz w:val="20"/>
        </w:rPr>
        <w:t>MIP-1</w:t>
      </w:r>
      <w:r w:rsidRPr="00F506A9">
        <w:rPr>
          <w:rFonts w:ascii="Calibri" w:hAnsi="Calibri"/>
          <w:sz w:val="20"/>
        </w:rPr>
        <w:t>δ</w:t>
      </w:r>
      <w:r w:rsidRPr="00F506A9">
        <w:rPr>
          <w:sz w:val="20"/>
        </w:rPr>
        <w:t xml:space="preserve"> / CCL15:  Macrophage inflammatory protein 1 delta/ Chemokine (C-C motif) ligand 15</w:t>
      </w:r>
    </w:p>
    <w:p w:rsidR="00855B3C" w:rsidRPr="00F506A9" w:rsidRDefault="00855B3C" w:rsidP="00855B3C">
      <w:pPr>
        <w:rPr>
          <w:sz w:val="20"/>
        </w:rPr>
      </w:pPr>
      <w:r w:rsidRPr="00F506A9">
        <w:rPr>
          <w:sz w:val="20"/>
        </w:rPr>
        <w:t>MIP-3a / CCL20:  Macrophage inflammatory protein 3 alpha/ Chemokine (C-C motif) ligand 20</w:t>
      </w:r>
    </w:p>
    <w:p w:rsidR="00855B3C" w:rsidRPr="00F506A9" w:rsidRDefault="00855B3C" w:rsidP="00855B3C">
      <w:pPr>
        <w:rPr>
          <w:sz w:val="20"/>
        </w:rPr>
      </w:pPr>
      <w:r w:rsidRPr="00F506A9">
        <w:rPr>
          <w:sz w:val="20"/>
        </w:rPr>
        <w:t>MIP-3ß / CCL19</w:t>
      </w:r>
      <w:r>
        <w:rPr>
          <w:sz w:val="20"/>
        </w:rPr>
        <w:t>:  Macrophage inflammatory protein 3 beta/ Chemokine (C-C motif) ligand 19</w:t>
      </w:r>
    </w:p>
    <w:p w:rsidR="00855B3C" w:rsidRDefault="00855B3C" w:rsidP="00855B3C">
      <w:pPr>
        <w:rPr>
          <w:sz w:val="20"/>
        </w:rPr>
      </w:pPr>
      <w:r w:rsidRPr="00F506A9">
        <w:rPr>
          <w:sz w:val="20"/>
        </w:rPr>
        <w:t>MPIF-1 / CCL23</w:t>
      </w:r>
      <w:r>
        <w:rPr>
          <w:sz w:val="20"/>
        </w:rPr>
        <w:t>:  Myeloid progenitor inhibitory factor 1/ Chemokine (C-C motif) ligand 23</w:t>
      </w:r>
    </w:p>
    <w:p w:rsidR="00855B3C" w:rsidRPr="00F506A9" w:rsidRDefault="00855B3C" w:rsidP="00855B3C">
      <w:pPr>
        <w:rPr>
          <w:sz w:val="20"/>
        </w:rPr>
      </w:pPr>
      <w:r>
        <w:rPr>
          <w:sz w:val="20"/>
        </w:rPr>
        <w:t>PCT:  Procalcitonin</w:t>
      </w:r>
    </w:p>
    <w:p w:rsidR="00855B3C" w:rsidRPr="00F506A9" w:rsidRDefault="00855B3C" w:rsidP="00855B3C">
      <w:pPr>
        <w:rPr>
          <w:sz w:val="20"/>
        </w:rPr>
      </w:pPr>
      <w:r w:rsidRPr="00F506A9">
        <w:rPr>
          <w:sz w:val="20"/>
        </w:rPr>
        <w:t>RAGE</w:t>
      </w:r>
      <w:r>
        <w:rPr>
          <w:sz w:val="20"/>
        </w:rPr>
        <w:t>:  Receptor for Advanced Glycation-End-products</w:t>
      </w:r>
    </w:p>
    <w:p w:rsidR="00855B3C" w:rsidRPr="00F506A9" w:rsidRDefault="00855B3C" w:rsidP="00855B3C">
      <w:pPr>
        <w:rPr>
          <w:sz w:val="20"/>
        </w:rPr>
      </w:pPr>
      <w:r w:rsidRPr="00F506A9">
        <w:rPr>
          <w:sz w:val="20"/>
        </w:rPr>
        <w:t>SCYB16 / CXCL16</w:t>
      </w:r>
      <w:r>
        <w:rPr>
          <w:sz w:val="20"/>
        </w:rPr>
        <w:t>:  Small inducible cytokine B16/ Chemokine (C-X-C motif) ligand 16</w:t>
      </w:r>
    </w:p>
    <w:p w:rsidR="00855B3C" w:rsidRPr="00F506A9" w:rsidRDefault="00855B3C" w:rsidP="00855B3C">
      <w:pPr>
        <w:rPr>
          <w:sz w:val="20"/>
        </w:rPr>
      </w:pPr>
      <w:r w:rsidRPr="00F506A9">
        <w:rPr>
          <w:sz w:val="20"/>
        </w:rPr>
        <w:t>SDF-1a+ß / CXCL12</w:t>
      </w:r>
      <w:r>
        <w:rPr>
          <w:sz w:val="20"/>
        </w:rPr>
        <w:t>:  Stromal cell-derived factor-1 alpha and beta</w:t>
      </w:r>
      <w:proofErr w:type="gramStart"/>
      <w:r>
        <w:rPr>
          <w:sz w:val="20"/>
        </w:rPr>
        <w:t>/  Chemokine</w:t>
      </w:r>
      <w:proofErr w:type="gramEnd"/>
      <w:r>
        <w:rPr>
          <w:sz w:val="20"/>
        </w:rPr>
        <w:t xml:space="preserve"> (C-X-C motif) ligand 12</w:t>
      </w:r>
    </w:p>
    <w:p w:rsidR="00855B3C" w:rsidRPr="00F506A9" w:rsidRDefault="00855B3C" w:rsidP="00855B3C">
      <w:pPr>
        <w:rPr>
          <w:sz w:val="20"/>
        </w:rPr>
      </w:pPr>
      <w:r w:rsidRPr="00F506A9">
        <w:rPr>
          <w:sz w:val="20"/>
        </w:rPr>
        <w:t>TARC / CCL17</w:t>
      </w:r>
      <w:r>
        <w:rPr>
          <w:sz w:val="20"/>
        </w:rPr>
        <w:t>:  Thymus- and activation-regulated chemokine/ Chemokine (C-C motif) ligand 17</w:t>
      </w:r>
    </w:p>
    <w:p w:rsidR="00855B3C" w:rsidRPr="00F506A9" w:rsidRDefault="00855B3C" w:rsidP="00855B3C">
      <w:pPr>
        <w:rPr>
          <w:sz w:val="20"/>
        </w:rPr>
      </w:pPr>
      <w:r w:rsidRPr="00F506A9">
        <w:rPr>
          <w:sz w:val="20"/>
        </w:rPr>
        <w:t>TECK / CCL25</w:t>
      </w:r>
      <w:r>
        <w:rPr>
          <w:sz w:val="20"/>
        </w:rPr>
        <w:t>:  Thymus-expressed chemokine</w:t>
      </w:r>
      <w:proofErr w:type="gramStart"/>
      <w:r>
        <w:rPr>
          <w:sz w:val="20"/>
        </w:rPr>
        <w:t>/  Chemokine</w:t>
      </w:r>
      <w:proofErr w:type="gramEnd"/>
      <w:r>
        <w:rPr>
          <w:sz w:val="20"/>
        </w:rPr>
        <w:t xml:space="preserve"> (C-C motif) ligand 25</w:t>
      </w:r>
    </w:p>
    <w:p w:rsidR="00855B3C" w:rsidRPr="00F506A9" w:rsidRDefault="00855B3C" w:rsidP="00855B3C">
      <w:pPr>
        <w:rPr>
          <w:sz w:val="20"/>
        </w:rPr>
      </w:pPr>
      <w:r w:rsidRPr="00F506A9">
        <w:rPr>
          <w:sz w:val="20"/>
        </w:rPr>
        <w:t>TNF-</w:t>
      </w:r>
      <w:r>
        <w:rPr>
          <w:sz w:val="20"/>
        </w:rPr>
        <w:t>α:  Tumor necrosis factor alpha</w:t>
      </w:r>
    </w:p>
    <w:p w:rsidR="00855B3C" w:rsidRDefault="00855B3C" w:rsidP="00855B3C">
      <w:pPr>
        <w:rPr>
          <w:sz w:val="20"/>
        </w:rPr>
      </w:pPr>
      <w:r w:rsidRPr="00F506A9">
        <w:rPr>
          <w:sz w:val="20"/>
        </w:rPr>
        <w:t>vWF-A2</w:t>
      </w:r>
      <w:r>
        <w:rPr>
          <w:sz w:val="20"/>
        </w:rPr>
        <w:t>:  Von Willebrand factor A2 domain</w:t>
      </w:r>
    </w:p>
    <w:p w:rsidR="002246A7" w:rsidRDefault="002246A7" w:rsidP="002246A7">
      <w:pPr>
        <w:rPr>
          <w:b/>
          <w:bCs/>
          <w:lang w:val="en-CA"/>
        </w:rPr>
      </w:pPr>
    </w:p>
    <w:p w:rsidR="002246A7" w:rsidRDefault="002246A7" w:rsidP="002246A7">
      <w:pPr>
        <w:rPr>
          <w:b/>
          <w:bCs/>
          <w:lang w:val="en-CA"/>
        </w:rPr>
      </w:pPr>
    </w:p>
    <w:p w:rsidR="002246A7" w:rsidRDefault="002246A7" w:rsidP="002246A7">
      <w:pPr>
        <w:rPr>
          <w:b/>
          <w:bCs/>
          <w:lang w:val="en-CA"/>
        </w:rPr>
      </w:pPr>
      <w:r>
        <w:rPr>
          <w:b/>
          <w:bCs/>
          <w:noProof/>
          <w:lang w:val="en-CA" w:eastAsia="en-CA"/>
        </w:rPr>
        <w:lastRenderedPageBreak/>
        <w:drawing>
          <wp:inline distT="0" distB="0" distL="0" distR="0">
            <wp:extent cx="5486400" cy="1628775"/>
            <wp:effectExtent l="19050" t="0" r="0" b="0"/>
            <wp:docPr id="1" name="Picture 0" descr="S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table1.jpg"/>
                    <pic:cNvPicPr/>
                  </pic:nvPicPr>
                  <pic:blipFill>
                    <a:blip r:embed="rId7" cstate="print"/>
                    <a:stretch>
                      <a:fillRect/>
                    </a:stretch>
                  </pic:blipFill>
                  <pic:spPr>
                    <a:xfrm>
                      <a:off x="0" y="0"/>
                      <a:ext cx="5486400" cy="1628775"/>
                    </a:xfrm>
                    <a:prstGeom prst="rect">
                      <a:avLst/>
                    </a:prstGeom>
                  </pic:spPr>
                </pic:pic>
              </a:graphicData>
            </a:graphic>
          </wp:inline>
        </w:drawing>
      </w:r>
    </w:p>
    <w:p w:rsidR="002246A7" w:rsidRDefault="002246A7" w:rsidP="002246A7">
      <w:pPr>
        <w:rPr>
          <w:b/>
          <w:bCs/>
          <w:lang w:val="en-CA"/>
        </w:rPr>
      </w:pPr>
    </w:p>
    <w:p w:rsidR="002246A7" w:rsidRDefault="002246A7" w:rsidP="002246A7">
      <w:pPr>
        <w:rPr>
          <w:b/>
          <w:bCs/>
          <w:lang w:val="en-CA"/>
        </w:rPr>
      </w:pPr>
    </w:p>
    <w:p w:rsidR="002246A7" w:rsidRPr="002246A7" w:rsidRDefault="002246A7" w:rsidP="002246A7">
      <w:pPr>
        <w:rPr>
          <w:lang w:val="en-CA"/>
        </w:rPr>
      </w:pPr>
      <w:r w:rsidRPr="002246A7">
        <w:rPr>
          <w:b/>
          <w:bCs/>
          <w:lang w:val="en-CA"/>
        </w:rPr>
        <w:t xml:space="preserve">Supplementary Table 1. Characteristics of Healthy and Septic Shock Subjects.  </w:t>
      </w:r>
      <w:r w:rsidRPr="002246A7">
        <w:rPr>
          <w:lang w:val="en-CA"/>
        </w:rPr>
        <w:t xml:space="preserve">Participants in the septic shock group are from the CISS1 trial observational arm at study baseline (t=0).  Additional patient characteristics have been previously reported (McIntyre et al. AJRCCM. 2018).  Plasma samples from healthy donors were collected on an ad hoc basis independent of the CISS 1 trial.  Age was significantly different between groups (* P=0.003; Unpaired 2-sided t-test).  </w:t>
      </w:r>
      <w:bookmarkStart w:id="1" w:name="_GoBack"/>
      <w:bookmarkEnd w:id="1"/>
    </w:p>
    <w:p w:rsidR="00855B3C" w:rsidRDefault="00855B3C"/>
    <w:p w:rsidR="00B82424" w:rsidRDefault="00B82424"/>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2246A7" w:rsidRDefault="002246A7"/>
    <w:p w:rsidR="00606BDF" w:rsidRDefault="00606BDF">
      <w:pPr>
        <w:rPr>
          <w:b/>
          <w:bCs/>
          <w:lang w:val="en-CA"/>
        </w:rPr>
      </w:pPr>
    </w:p>
    <w:p w:rsidR="00792A67" w:rsidRDefault="00792A67">
      <w:pPr>
        <w:rPr>
          <w:b/>
          <w:bCs/>
          <w:lang w:val="en-CA"/>
        </w:rPr>
      </w:pPr>
    </w:p>
    <w:p w:rsidR="002246A7" w:rsidRDefault="002246A7">
      <w:r w:rsidRPr="002246A7">
        <w:rPr>
          <w:b/>
          <w:bCs/>
          <w:lang w:val="en-CA"/>
        </w:rPr>
        <w:lastRenderedPageBreak/>
        <w:t xml:space="preserve">Supplementary Table </w:t>
      </w:r>
      <w:r>
        <w:rPr>
          <w:b/>
          <w:bCs/>
          <w:lang w:val="en-CA"/>
        </w:rPr>
        <w:t>2</w:t>
      </w:r>
      <w:r w:rsidRPr="002246A7">
        <w:rPr>
          <w:b/>
          <w:bCs/>
          <w:lang w:val="en-CA"/>
        </w:rPr>
        <w:t>.</w:t>
      </w:r>
    </w:p>
    <w:p w:rsidR="002246A7" w:rsidRDefault="002246A7"/>
    <w:p w:rsidR="002246A7" w:rsidRDefault="002246A7">
      <w:r w:rsidRPr="002246A7">
        <w:rPr>
          <w:noProof/>
          <w:lang w:val="en-CA" w:eastAsia="en-CA"/>
        </w:rPr>
        <w:drawing>
          <wp:inline distT="0" distB="0" distL="0" distR="0">
            <wp:extent cx="5486400" cy="5887329"/>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5486400" cy="5887329"/>
                    </a:xfrm>
                    <a:prstGeom prst="rect">
                      <a:avLst/>
                    </a:prstGeom>
                    <a:noFill/>
                    <a:ln w="9525">
                      <a:noFill/>
                      <a:miter lim="800000"/>
                      <a:headEnd/>
                      <a:tailEnd/>
                    </a:ln>
                  </pic:spPr>
                </pic:pic>
              </a:graphicData>
            </a:graphic>
          </wp:inline>
        </w:drawing>
      </w:r>
    </w:p>
    <w:p w:rsidR="002246A7" w:rsidRDefault="002246A7"/>
    <w:p w:rsidR="00355CCF" w:rsidRDefault="00355CCF"/>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pPr>
        <w:rPr>
          <w:b/>
          <w:bCs/>
          <w:lang w:val="en-CA"/>
        </w:rPr>
      </w:pPr>
    </w:p>
    <w:p w:rsidR="00D502EC" w:rsidRDefault="00D502EC" w:rsidP="00D502EC">
      <w:r w:rsidRPr="002246A7">
        <w:rPr>
          <w:b/>
          <w:bCs/>
          <w:lang w:val="en-CA"/>
        </w:rPr>
        <w:lastRenderedPageBreak/>
        <w:t xml:space="preserve">Supplementary Table </w:t>
      </w:r>
      <w:r>
        <w:rPr>
          <w:b/>
          <w:bCs/>
          <w:lang w:val="en-CA"/>
        </w:rPr>
        <w:t>3</w:t>
      </w:r>
      <w:r w:rsidRPr="002246A7">
        <w:rPr>
          <w:b/>
          <w:bCs/>
          <w:lang w:val="en-CA"/>
        </w:rPr>
        <w:t>.</w:t>
      </w:r>
    </w:p>
    <w:p w:rsidR="00355CCF" w:rsidRDefault="00D502EC">
      <w:r w:rsidRPr="00D502EC">
        <w:rPr>
          <w:noProof/>
          <w:lang w:val="en-CA" w:eastAsia="en-CA"/>
        </w:rPr>
        <w:drawing>
          <wp:inline distT="0" distB="0" distL="0" distR="0">
            <wp:extent cx="5486400" cy="7125872"/>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9" cstate="print"/>
                    <a:srcRect/>
                    <a:stretch>
                      <a:fillRect/>
                    </a:stretch>
                  </pic:blipFill>
                  <pic:spPr bwMode="auto">
                    <a:xfrm>
                      <a:off x="0" y="0"/>
                      <a:ext cx="5486400" cy="7125872"/>
                    </a:xfrm>
                    <a:prstGeom prst="rect">
                      <a:avLst/>
                    </a:prstGeom>
                    <a:noFill/>
                    <a:ln w="9525">
                      <a:noFill/>
                      <a:miter lim="800000"/>
                      <a:headEnd/>
                      <a:tailEnd/>
                    </a:ln>
                  </pic:spPr>
                </pic:pic>
              </a:graphicData>
            </a:graphic>
          </wp:inline>
        </w:drawing>
      </w:r>
    </w:p>
    <w:p w:rsidR="00355CCF" w:rsidRDefault="00355CCF"/>
    <w:p w:rsidR="00355CCF" w:rsidRDefault="00355CCF"/>
    <w:p w:rsidR="00355CCF" w:rsidRDefault="00355CCF"/>
    <w:p w:rsidR="001A3A03" w:rsidRDefault="001A3A03"/>
    <w:p w:rsidR="001A3A03" w:rsidRDefault="001A3A03"/>
    <w:p w:rsidR="001A3A03" w:rsidRDefault="001A3A03">
      <w:r>
        <w:rPr>
          <w:noProof/>
          <w:lang w:val="en-CA" w:eastAsia="en-CA"/>
        </w:rPr>
        <w:lastRenderedPageBreak/>
        <w:drawing>
          <wp:inline distT="0" distB="0" distL="0" distR="0">
            <wp:extent cx="5669280" cy="6583680"/>
            <wp:effectExtent l="19050" t="0" r="7620" b="0"/>
            <wp:docPr id="10" name="Picture 9"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cstate="print"/>
                    <a:stretch>
                      <a:fillRect/>
                    </a:stretch>
                  </pic:blipFill>
                  <pic:spPr>
                    <a:xfrm>
                      <a:off x="0" y="0"/>
                      <a:ext cx="5669280" cy="6583680"/>
                    </a:xfrm>
                    <a:prstGeom prst="rect">
                      <a:avLst/>
                    </a:prstGeom>
                  </pic:spPr>
                </pic:pic>
              </a:graphicData>
            </a:graphic>
          </wp:inline>
        </w:drawing>
      </w:r>
    </w:p>
    <w:p w:rsidR="00355CCF" w:rsidRDefault="00355CCF"/>
    <w:p w:rsidR="001A3A03" w:rsidRPr="007038C5" w:rsidRDefault="001A3A03" w:rsidP="00FA7549">
      <w:pPr>
        <w:rPr>
          <w:lang w:val="en-CA"/>
        </w:rPr>
      </w:pPr>
      <w:r>
        <w:rPr>
          <w:b/>
          <w:bCs/>
          <w:lang w:val="en-CA"/>
        </w:rPr>
        <w:t xml:space="preserve">Supplementary </w:t>
      </w:r>
      <w:r w:rsidRPr="007038C5">
        <w:rPr>
          <w:b/>
          <w:bCs/>
          <w:lang w:val="en-CA"/>
        </w:rPr>
        <w:t xml:space="preserve">Figure 1.  Majority of assessed analytes are altered in plasma of septic shock patients versus healthy subjects.  </w:t>
      </w:r>
      <w:r w:rsidRPr="007038C5">
        <w:rPr>
          <w:lang w:val="en-CA"/>
        </w:rPr>
        <w:t xml:space="preserve">Hierarchical clustering and heatmap of 49 cytokine/biomarkers in healthy subjects (n=16) and septic shock patients in the CISS 1 observational (Obs) cohort at study baseline time 0 (n=21).  Columns denote subjects and rows denote analytes (i.e., cytokines and biomarkers).  White cells denote unavailable specimens.  Log10 transformed analyte concentrations were shifted to mean 0 and scaled to standard deviation of 1 for hierarchical clustering and heatmap construction.  </w:t>
      </w:r>
      <w:r>
        <w:rPr>
          <w:lang w:val="en-CA"/>
        </w:rPr>
        <w:t xml:space="preserve">P-values were determined by </w:t>
      </w:r>
      <w:r w:rsidRPr="004E3B24">
        <w:rPr>
          <w:lang w:val="en-CA"/>
        </w:rPr>
        <w:t xml:space="preserve">two-sided Student’s t-test </w:t>
      </w:r>
      <w:r>
        <w:rPr>
          <w:lang w:val="en-CA"/>
        </w:rPr>
        <w:t xml:space="preserve">on log transformed </w:t>
      </w:r>
      <w:proofErr w:type="gramStart"/>
      <w:r>
        <w:rPr>
          <w:lang w:val="en-CA"/>
        </w:rPr>
        <w:t>concentrations, and</w:t>
      </w:r>
      <w:proofErr w:type="gramEnd"/>
      <w:r>
        <w:rPr>
          <w:lang w:val="en-CA"/>
        </w:rPr>
        <w:t xml:space="preserve"> adjusted for multiple </w:t>
      </w:r>
      <w:r>
        <w:rPr>
          <w:lang w:val="en-CA"/>
        </w:rPr>
        <w:lastRenderedPageBreak/>
        <w:t>comparisons using the false discovery rate (FDR) method (Benjamin-Hochberg)</w:t>
      </w:r>
      <w:r w:rsidRPr="007038C5">
        <w:rPr>
          <w:lang w:val="en-CA"/>
        </w:rPr>
        <w:t xml:space="preserve">.  Forty-one analytes with FDR&lt;0.05 are highlighted with </w:t>
      </w:r>
      <w:r>
        <w:rPr>
          <w:lang w:val="en-CA"/>
        </w:rPr>
        <w:t>dark</w:t>
      </w:r>
      <w:r w:rsidRPr="007038C5">
        <w:rPr>
          <w:lang w:val="en-CA"/>
        </w:rPr>
        <w:t xml:space="preserve"> shading.  Right panel graph shows magnitude of fold change in analyte levels (median, IQR) in septic shock patients relative to healthy subjects.</w:t>
      </w:r>
    </w:p>
    <w:p w:rsidR="00355CCF" w:rsidRDefault="00355CCF"/>
    <w:p w:rsidR="00FA7549" w:rsidRDefault="00FA7549"/>
    <w:p w:rsidR="00FA7549" w:rsidRDefault="00FA7549"/>
    <w:p w:rsidR="00FA7549" w:rsidRDefault="00FA7549"/>
    <w:p w:rsidR="00FA7549" w:rsidRDefault="00FA7549"/>
    <w:p w:rsidR="00FA7549" w:rsidRDefault="00FA7549"/>
    <w:p w:rsidR="00FA7549" w:rsidRDefault="00FA7549"/>
    <w:p w:rsidR="00FA7549" w:rsidRDefault="00FA7549"/>
    <w:p w:rsidR="00FA7549" w:rsidRDefault="00FA7549"/>
    <w:p w:rsidR="00FA7549" w:rsidRDefault="00FA7549"/>
    <w:p w:rsidR="00FA7549" w:rsidRDefault="00FA7549"/>
    <w:p w:rsidR="00FA7549" w:rsidRDefault="000118B9" w:rsidP="00924D79">
      <w:pPr>
        <w:jc w:val="center"/>
      </w:pPr>
      <w:r>
        <w:rPr>
          <w:noProof/>
          <w:lang w:val="en-CA" w:eastAsia="en-CA"/>
        </w:rPr>
        <w:lastRenderedPageBreak/>
        <w:drawing>
          <wp:inline distT="0" distB="0" distL="0" distR="0">
            <wp:extent cx="4767072" cy="6205728"/>
            <wp:effectExtent l="19050" t="0" r="0" b="0"/>
            <wp:docPr id="11" name="Picture 10" descr="Supplementary Figure 2 revis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 revised.tif"/>
                    <pic:cNvPicPr/>
                  </pic:nvPicPr>
                  <pic:blipFill>
                    <a:blip r:embed="rId11" cstate="print"/>
                    <a:stretch>
                      <a:fillRect/>
                    </a:stretch>
                  </pic:blipFill>
                  <pic:spPr>
                    <a:xfrm>
                      <a:off x="0" y="0"/>
                      <a:ext cx="4767072" cy="6205728"/>
                    </a:xfrm>
                    <a:prstGeom prst="rect">
                      <a:avLst/>
                    </a:prstGeom>
                  </pic:spPr>
                </pic:pic>
              </a:graphicData>
            </a:graphic>
          </wp:inline>
        </w:drawing>
      </w:r>
    </w:p>
    <w:p w:rsidR="00FA7549" w:rsidRDefault="00FA7549"/>
    <w:p w:rsidR="00FA7549" w:rsidRPr="007038C5" w:rsidRDefault="00FA7549" w:rsidP="00924D79">
      <w:pPr>
        <w:rPr>
          <w:lang w:val="en-CA"/>
        </w:rPr>
      </w:pPr>
      <w:r>
        <w:rPr>
          <w:b/>
          <w:bCs/>
          <w:lang w:val="en-CA"/>
        </w:rPr>
        <w:t xml:space="preserve">Supplementary Figure 2.  </w:t>
      </w:r>
      <w:r w:rsidR="005F7899" w:rsidRPr="005F7899">
        <w:rPr>
          <w:b/>
          <w:bCs/>
        </w:rPr>
        <w:t xml:space="preserve">Septic shock patients show significant alterations in plasma cytokine levels within 72 h of trial enrollment in the absence of MSC treatment.  </w:t>
      </w:r>
      <w:r>
        <w:rPr>
          <w:lang w:val="en-CA"/>
        </w:rPr>
        <w:t>T</w:t>
      </w:r>
      <w:r w:rsidRPr="007038C5">
        <w:rPr>
          <w:lang w:val="en-CA"/>
        </w:rPr>
        <w:t>ime course</w:t>
      </w:r>
      <w:r>
        <w:rPr>
          <w:lang w:val="en-CA"/>
        </w:rPr>
        <w:t xml:space="preserve"> profiles </w:t>
      </w:r>
      <w:r w:rsidRPr="007038C5">
        <w:rPr>
          <w:lang w:val="en-CA"/>
        </w:rPr>
        <w:t>f</w:t>
      </w:r>
      <w:r>
        <w:rPr>
          <w:lang w:val="en-CA"/>
        </w:rPr>
        <w:t xml:space="preserve">or </w:t>
      </w:r>
      <w:r w:rsidRPr="007038C5">
        <w:rPr>
          <w:lang w:val="en-CA"/>
        </w:rPr>
        <w:t xml:space="preserve">22 </w:t>
      </w:r>
      <w:r>
        <w:rPr>
          <w:lang w:val="en-CA"/>
        </w:rPr>
        <w:t xml:space="preserve">analytes that showed significant alterations in plasma </w:t>
      </w:r>
      <w:r w:rsidRPr="007038C5">
        <w:rPr>
          <w:lang w:val="en-CA"/>
        </w:rPr>
        <w:t xml:space="preserve">in the </w:t>
      </w:r>
      <w:r>
        <w:rPr>
          <w:lang w:val="en-CA"/>
        </w:rPr>
        <w:t xml:space="preserve">(non-MSC treated) </w:t>
      </w:r>
      <w:r w:rsidRPr="007038C5">
        <w:rPr>
          <w:lang w:val="en-CA"/>
        </w:rPr>
        <w:t xml:space="preserve">observational cohort </w:t>
      </w:r>
      <w:r>
        <w:rPr>
          <w:lang w:val="en-CA"/>
        </w:rPr>
        <w:t xml:space="preserve">of septic shock patients </w:t>
      </w:r>
      <w:r w:rsidRPr="007038C5">
        <w:rPr>
          <w:lang w:val="en-CA"/>
        </w:rPr>
        <w:t xml:space="preserve">over time (n=15-21/time point).  </w:t>
      </w:r>
      <w:r>
        <w:rPr>
          <w:lang w:val="en-CA"/>
        </w:rPr>
        <w:t>Non-transformed cytokine concentrations</w:t>
      </w:r>
      <w:r w:rsidRPr="007038C5">
        <w:rPr>
          <w:lang w:val="en-CA"/>
        </w:rPr>
        <w:t xml:space="preserve"> are presented as median and interquartile range</w:t>
      </w:r>
      <w:r>
        <w:rPr>
          <w:lang w:val="en-CA"/>
        </w:rPr>
        <w:t xml:space="preserve">.  </w:t>
      </w:r>
      <w:r w:rsidRPr="007038C5">
        <w:rPr>
          <w:lang w:val="en-CA"/>
        </w:rPr>
        <w:t xml:space="preserve">* P&lt;0.05, ** P&lt;0.01, *** P&lt;0.001, **** P&lt;0.0001 vs. time 0.   P-values were determined by non-parametric Kruskal-Wallis and Dunn’s multiple comparison test vs. time 0. </w:t>
      </w:r>
    </w:p>
    <w:p w:rsidR="00FA7549" w:rsidRDefault="00FA7549"/>
    <w:p w:rsidR="00FA7549" w:rsidRDefault="00FA7549"/>
    <w:p w:rsidR="00355CCF" w:rsidRDefault="00355CCF">
      <w:r>
        <w:rPr>
          <w:noProof/>
          <w:lang w:val="en-CA" w:eastAsia="en-CA"/>
        </w:rPr>
        <w:lastRenderedPageBreak/>
        <w:drawing>
          <wp:inline distT="0" distB="0" distL="0" distR="0">
            <wp:extent cx="5486400" cy="5937885"/>
            <wp:effectExtent l="19050" t="0" r="0" b="0"/>
            <wp:docPr id="3" name="Picture 2" descr="S_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Figure 1.jpg"/>
                    <pic:cNvPicPr/>
                  </pic:nvPicPr>
                  <pic:blipFill>
                    <a:blip r:embed="rId12" cstate="print"/>
                    <a:stretch>
                      <a:fillRect/>
                    </a:stretch>
                  </pic:blipFill>
                  <pic:spPr>
                    <a:xfrm>
                      <a:off x="0" y="0"/>
                      <a:ext cx="5486400" cy="5937885"/>
                    </a:xfrm>
                    <a:prstGeom prst="rect">
                      <a:avLst/>
                    </a:prstGeom>
                  </pic:spPr>
                </pic:pic>
              </a:graphicData>
            </a:graphic>
          </wp:inline>
        </w:drawing>
      </w:r>
    </w:p>
    <w:p w:rsidR="00355CCF" w:rsidRDefault="00355CCF"/>
    <w:p w:rsidR="00606BDF" w:rsidRDefault="00606BDF" w:rsidP="00355CCF">
      <w:pPr>
        <w:rPr>
          <w:b/>
          <w:bCs/>
          <w:lang w:val="en-CA"/>
        </w:rPr>
      </w:pPr>
    </w:p>
    <w:p w:rsidR="00355CCF" w:rsidRPr="00355CCF" w:rsidRDefault="00355CCF" w:rsidP="00355CCF">
      <w:pPr>
        <w:rPr>
          <w:lang w:val="en-CA"/>
        </w:rPr>
      </w:pPr>
      <w:r w:rsidRPr="00355CCF">
        <w:rPr>
          <w:b/>
          <w:bCs/>
          <w:lang w:val="en-CA"/>
        </w:rPr>
        <w:t xml:space="preserve">Supplementary Figure </w:t>
      </w:r>
      <w:r w:rsidR="00FA7549">
        <w:rPr>
          <w:b/>
          <w:bCs/>
          <w:lang w:val="en-CA"/>
        </w:rPr>
        <w:t>3</w:t>
      </w:r>
      <w:r w:rsidRPr="00355CCF">
        <w:rPr>
          <w:b/>
          <w:bCs/>
          <w:lang w:val="en-CA"/>
        </w:rPr>
        <w:t xml:space="preserve">.  Cytokines/biomarkers that did not show significant changes in plasma levels within the first 72 h of trial enrollment in the observational cohort of septic shock patients (n=15-21/ time point).  </w:t>
      </w:r>
      <w:r w:rsidRPr="00355CCF">
        <w:rPr>
          <w:lang w:val="en-CA"/>
        </w:rPr>
        <w:t>Data are presented as median and interquartile range.</w:t>
      </w:r>
    </w:p>
    <w:p w:rsidR="00355CCF" w:rsidRDefault="00355CCF"/>
    <w:p w:rsidR="00D502EC" w:rsidRDefault="00D502EC"/>
    <w:p w:rsidR="00D502EC" w:rsidRDefault="00D502EC"/>
    <w:p w:rsidR="00D502EC" w:rsidRDefault="00D502EC"/>
    <w:p w:rsidR="00D502EC" w:rsidRDefault="00D502EC"/>
    <w:p w:rsidR="00D502EC" w:rsidRDefault="00D502EC"/>
    <w:p w:rsidR="00D502EC" w:rsidRDefault="00D502EC">
      <w:r>
        <w:rPr>
          <w:noProof/>
          <w:lang w:val="en-CA" w:eastAsia="en-CA"/>
        </w:rPr>
        <w:lastRenderedPageBreak/>
        <w:drawing>
          <wp:inline distT="0" distB="0" distL="0" distR="0">
            <wp:extent cx="5486400" cy="5804535"/>
            <wp:effectExtent l="19050" t="0" r="0" b="0"/>
            <wp:docPr id="5" name="Picture 4" descr="S_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Figure 2.jpg"/>
                    <pic:cNvPicPr/>
                  </pic:nvPicPr>
                  <pic:blipFill>
                    <a:blip r:embed="rId13" cstate="print"/>
                    <a:stretch>
                      <a:fillRect/>
                    </a:stretch>
                  </pic:blipFill>
                  <pic:spPr>
                    <a:xfrm>
                      <a:off x="0" y="0"/>
                      <a:ext cx="5486400" cy="5804535"/>
                    </a:xfrm>
                    <a:prstGeom prst="rect">
                      <a:avLst/>
                    </a:prstGeom>
                  </pic:spPr>
                </pic:pic>
              </a:graphicData>
            </a:graphic>
          </wp:inline>
        </w:drawing>
      </w:r>
    </w:p>
    <w:p w:rsidR="00D502EC" w:rsidRDefault="00D502EC" w:rsidP="00D502EC">
      <w:pPr>
        <w:rPr>
          <w:b/>
          <w:bCs/>
          <w:lang w:val="en-CA"/>
        </w:rPr>
      </w:pPr>
    </w:p>
    <w:p w:rsidR="00D502EC" w:rsidRPr="00D502EC" w:rsidRDefault="00D502EC" w:rsidP="00D502EC">
      <w:pPr>
        <w:rPr>
          <w:lang w:val="en-CA"/>
        </w:rPr>
      </w:pPr>
      <w:r w:rsidRPr="00D502EC">
        <w:rPr>
          <w:b/>
          <w:bCs/>
          <w:lang w:val="en-CA"/>
        </w:rPr>
        <w:t xml:space="preserve">Supplementary Figure </w:t>
      </w:r>
      <w:r w:rsidR="00D3258D">
        <w:rPr>
          <w:b/>
          <w:bCs/>
          <w:lang w:val="en-CA"/>
        </w:rPr>
        <w:t>4</w:t>
      </w:r>
      <w:r w:rsidRPr="00D502EC">
        <w:rPr>
          <w:b/>
          <w:bCs/>
          <w:lang w:val="en-CA"/>
        </w:rPr>
        <w:t xml:space="preserve">.  Hierarchical clustering and heatmap of 49 cytokine/biomarkers at study baseline (time 0, prior to MSC infusion) in the observational and interventional cohorts.  </w:t>
      </w:r>
      <w:r w:rsidRPr="00D502EC">
        <w:rPr>
          <w:lang w:val="en-CA"/>
        </w:rPr>
        <w:t xml:space="preserve">Columns denote subjects and rows denote analytes.  Log2 transformed plasma analyte concentrations of subjects were shifted to mean 0 and scaled to standard </w:t>
      </w:r>
      <w:r>
        <w:rPr>
          <w:lang w:val="en-CA"/>
        </w:rPr>
        <w:t xml:space="preserve">deviation of 1 for hierarchical </w:t>
      </w:r>
      <w:r w:rsidRPr="00D502EC">
        <w:rPr>
          <w:lang w:val="en-CA"/>
        </w:rPr>
        <w:t>clustering and heatmap construction.  Subject characteristics including age, sex, APACHE II score, ICU death and qualifying organ failure are shown.  The interventional cohort is categorized by low, mid or high MSC dose (n=3/group).</w:t>
      </w:r>
    </w:p>
    <w:p w:rsidR="00D502EC" w:rsidRDefault="00D502EC"/>
    <w:p w:rsidR="000D4B6D" w:rsidRDefault="000D4B6D"/>
    <w:p w:rsidR="000D4B6D" w:rsidRDefault="000D4B6D"/>
    <w:p w:rsidR="000D4B6D" w:rsidRDefault="000D4B6D"/>
    <w:p w:rsidR="000D4B6D" w:rsidRDefault="000D4B6D" w:rsidP="000D4B6D">
      <w:pPr>
        <w:rPr>
          <w:b/>
          <w:bCs/>
          <w:lang w:val="en-CA"/>
        </w:rPr>
      </w:pPr>
      <w:r>
        <w:rPr>
          <w:b/>
          <w:bCs/>
          <w:noProof/>
          <w:lang w:val="en-CA" w:eastAsia="en-CA"/>
        </w:rPr>
        <w:lastRenderedPageBreak/>
        <w:drawing>
          <wp:inline distT="0" distB="0" distL="0" distR="0">
            <wp:extent cx="5486400" cy="6306820"/>
            <wp:effectExtent l="19050" t="0" r="0" b="0"/>
            <wp:docPr id="6" name="Picture 5" descr="S_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Figure 3.jpg"/>
                    <pic:cNvPicPr/>
                  </pic:nvPicPr>
                  <pic:blipFill>
                    <a:blip r:embed="rId14" cstate="print"/>
                    <a:stretch>
                      <a:fillRect/>
                    </a:stretch>
                  </pic:blipFill>
                  <pic:spPr>
                    <a:xfrm>
                      <a:off x="0" y="0"/>
                      <a:ext cx="5486400" cy="6306820"/>
                    </a:xfrm>
                    <a:prstGeom prst="rect">
                      <a:avLst/>
                    </a:prstGeom>
                  </pic:spPr>
                </pic:pic>
              </a:graphicData>
            </a:graphic>
          </wp:inline>
        </w:drawing>
      </w:r>
    </w:p>
    <w:p w:rsidR="000D4B6D" w:rsidRDefault="000D4B6D" w:rsidP="000D4B6D">
      <w:pPr>
        <w:rPr>
          <w:b/>
          <w:bCs/>
          <w:lang w:val="en-CA"/>
        </w:rPr>
      </w:pPr>
    </w:p>
    <w:p w:rsidR="000D4B6D" w:rsidRDefault="000D4B6D" w:rsidP="000D4B6D">
      <w:pPr>
        <w:rPr>
          <w:lang w:val="en-CA"/>
        </w:rPr>
      </w:pPr>
      <w:r w:rsidRPr="000D4B6D">
        <w:rPr>
          <w:b/>
          <w:bCs/>
          <w:lang w:val="en-CA"/>
        </w:rPr>
        <w:t xml:space="preserve">Supplementary Figure </w:t>
      </w:r>
      <w:r w:rsidR="00D3258D">
        <w:rPr>
          <w:b/>
          <w:bCs/>
          <w:lang w:val="en-CA"/>
        </w:rPr>
        <w:t>5</w:t>
      </w:r>
      <w:r w:rsidRPr="000D4B6D">
        <w:rPr>
          <w:b/>
          <w:bCs/>
          <w:lang w:val="en-CA"/>
        </w:rPr>
        <w:t xml:space="preserve">.  No </w:t>
      </w:r>
      <w:r w:rsidR="003454F7">
        <w:rPr>
          <w:b/>
          <w:bCs/>
          <w:lang w:val="en-CA"/>
        </w:rPr>
        <w:t>significant</w:t>
      </w:r>
      <w:r w:rsidRPr="000D4B6D">
        <w:rPr>
          <w:b/>
          <w:bCs/>
          <w:lang w:val="en-CA"/>
        </w:rPr>
        <w:t xml:space="preserve"> differences in plasma cytokine/biomarker levels </w:t>
      </w:r>
      <w:r w:rsidR="003454F7">
        <w:rPr>
          <w:b/>
          <w:bCs/>
          <w:lang w:val="en-CA"/>
        </w:rPr>
        <w:t xml:space="preserve">were detected </w:t>
      </w:r>
      <w:r w:rsidRPr="000D4B6D">
        <w:rPr>
          <w:b/>
          <w:bCs/>
          <w:lang w:val="en-CA"/>
        </w:rPr>
        <w:t>between the observatio</w:t>
      </w:r>
      <w:r w:rsidR="00606BDF">
        <w:rPr>
          <w:b/>
          <w:bCs/>
          <w:lang w:val="en-CA"/>
        </w:rPr>
        <w:t xml:space="preserve">nal and </w:t>
      </w:r>
      <w:r w:rsidRPr="000D4B6D">
        <w:rPr>
          <w:b/>
          <w:bCs/>
          <w:lang w:val="en-CA"/>
        </w:rPr>
        <w:t xml:space="preserve">interventional cohorts of septic shock patients.  </w:t>
      </w:r>
      <w:r w:rsidRPr="000D4B6D">
        <w:rPr>
          <w:lang w:val="en-CA"/>
        </w:rPr>
        <w:t xml:space="preserve">Data for 49 assessed analytes are presented as fold change to study baseline (t=0) with median and interquartile ranges shown.  Black circles denote the observational group (n=15-21/ time point), and orange squares denote the MSC-treated interventional group (n=8-9/time point).  No significant differences </w:t>
      </w:r>
      <w:r w:rsidR="00AC1F05">
        <w:rPr>
          <w:lang w:val="en-CA"/>
        </w:rPr>
        <w:t xml:space="preserve">between groups over time </w:t>
      </w:r>
      <w:r w:rsidRPr="000D4B6D">
        <w:rPr>
          <w:lang w:val="en-CA"/>
        </w:rPr>
        <w:t xml:space="preserve">were detected by Two-way ANOVA and </w:t>
      </w:r>
      <w:proofErr w:type="spellStart"/>
      <w:r w:rsidRPr="000D4B6D">
        <w:rPr>
          <w:lang w:val="en-CA"/>
        </w:rPr>
        <w:t>Sidak’s</w:t>
      </w:r>
      <w:proofErr w:type="spellEnd"/>
      <w:r w:rsidRPr="000D4B6D">
        <w:rPr>
          <w:lang w:val="en-CA"/>
        </w:rPr>
        <w:t xml:space="preserve"> multiple comparison test. </w:t>
      </w:r>
    </w:p>
    <w:p w:rsidR="006A3F51" w:rsidRDefault="006A3F51" w:rsidP="000D4B6D">
      <w:pPr>
        <w:rPr>
          <w:lang w:val="en-CA"/>
        </w:rPr>
      </w:pPr>
    </w:p>
    <w:p w:rsidR="006A3F51" w:rsidRDefault="0069446F" w:rsidP="000D4B6D">
      <w:pPr>
        <w:rPr>
          <w:lang w:val="en-CA"/>
        </w:rPr>
      </w:pPr>
      <w:r w:rsidRPr="0069446F">
        <w:rPr>
          <w:noProof/>
          <w:lang w:val="en-CA" w:eastAsia="en-CA"/>
        </w:rPr>
        <w:lastRenderedPageBreak/>
        <w:drawing>
          <wp:inline distT="0" distB="0" distL="0" distR="0">
            <wp:extent cx="4754880" cy="6565392"/>
            <wp:effectExtent l="19050" t="0" r="7620" b="0"/>
            <wp:docPr id="7" name="Picture 3" descr="SFigure 3. heatmap all subjections.jpg"/>
            <wp:cNvGraphicFramePr/>
            <a:graphic xmlns:a="http://schemas.openxmlformats.org/drawingml/2006/main">
              <a:graphicData uri="http://schemas.openxmlformats.org/drawingml/2006/picture">
                <pic:pic xmlns:pic="http://schemas.openxmlformats.org/drawingml/2006/picture">
                  <pic:nvPicPr>
                    <pic:cNvPr id="4" name="Picture 3" descr="SFigure 3. heatmap all subjections.jpg"/>
                    <pic:cNvPicPr>
                      <a:picLocks noChangeAspect="1"/>
                    </pic:cNvPicPr>
                  </pic:nvPicPr>
                  <pic:blipFill>
                    <a:blip r:embed="rId15" cstate="print"/>
                    <a:stretch>
                      <a:fillRect/>
                    </a:stretch>
                  </pic:blipFill>
                  <pic:spPr>
                    <a:xfrm>
                      <a:off x="0" y="0"/>
                      <a:ext cx="4754880" cy="6565392"/>
                    </a:xfrm>
                    <a:prstGeom prst="rect">
                      <a:avLst/>
                    </a:prstGeom>
                  </pic:spPr>
                </pic:pic>
              </a:graphicData>
            </a:graphic>
          </wp:inline>
        </w:drawing>
      </w:r>
    </w:p>
    <w:p w:rsidR="006A3F51" w:rsidRDefault="006A3F51" w:rsidP="006A3F51">
      <w:pPr>
        <w:rPr>
          <w:lang w:val="en-CA"/>
        </w:rPr>
      </w:pPr>
      <w:r w:rsidRPr="006A3F51">
        <w:rPr>
          <w:b/>
          <w:bCs/>
          <w:lang w:val="en-CA"/>
        </w:rPr>
        <w:t xml:space="preserve">Supplementary Figure </w:t>
      </w:r>
      <w:r w:rsidR="00D3258D">
        <w:rPr>
          <w:b/>
          <w:bCs/>
          <w:lang w:val="en-CA"/>
        </w:rPr>
        <w:t>6</w:t>
      </w:r>
      <w:r w:rsidRPr="006A3F51">
        <w:rPr>
          <w:b/>
          <w:bCs/>
          <w:lang w:val="en-CA"/>
        </w:rPr>
        <w:t xml:space="preserve">. Heatmap showing changes in plasma levels of 49 analytes (rows) for each MSC-treated patient stratified by dose and time (columns; n=2-3 subjects/MSC dose/time point).  </w:t>
      </w:r>
      <w:r w:rsidRPr="006A3F51">
        <w:rPr>
          <w:lang w:val="en-CA"/>
        </w:rPr>
        <w:t xml:space="preserve">Analyte levels are presented as fold change (log 2 scale) to the observational control (Obs; n=15-21 subjects/time point) after normalization to study baseline (time 0). </w:t>
      </w:r>
      <w:r w:rsidR="0069446F">
        <w:rPr>
          <w:lang w:val="en-CA"/>
        </w:rPr>
        <w:t>Missing plasma specimens are denoted by an X.</w:t>
      </w:r>
    </w:p>
    <w:p w:rsidR="00606BDF" w:rsidRDefault="00606BDF" w:rsidP="006A3F51">
      <w:pPr>
        <w:rPr>
          <w:lang w:val="en-CA"/>
        </w:rPr>
      </w:pPr>
    </w:p>
    <w:p w:rsidR="00606BDF" w:rsidRDefault="00606BDF" w:rsidP="006A3F51">
      <w:pPr>
        <w:rPr>
          <w:lang w:val="en-CA"/>
        </w:rPr>
      </w:pPr>
    </w:p>
    <w:p w:rsidR="00606BDF" w:rsidRDefault="00606BDF" w:rsidP="006A3F51">
      <w:pPr>
        <w:rPr>
          <w:lang w:val="en-CA"/>
        </w:rPr>
      </w:pPr>
    </w:p>
    <w:p w:rsidR="00606BDF" w:rsidRDefault="00606BDF" w:rsidP="006A3F51">
      <w:pPr>
        <w:rPr>
          <w:lang w:val="en-CA"/>
        </w:rPr>
      </w:pPr>
    </w:p>
    <w:p w:rsidR="00606BDF" w:rsidRDefault="00606BDF" w:rsidP="00606BDF">
      <w:pPr>
        <w:rPr>
          <w:b/>
          <w:bCs/>
          <w:lang w:val="en-CA"/>
        </w:rPr>
      </w:pPr>
      <w:r>
        <w:rPr>
          <w:b/>
          <w:bCs/>
          <w:noProof/>
          <w:lang w:val="en-CA" w:eastAsia="en-CA"/>
        </w:rPr>
        <w:lastRenderedPageBreak/>
        <w:drawing>
          <wp:inline distT="0" distB="0" distL="0" distR="0">
            <wp:extent cx="5486400" cy="5798820"/>
            <wp:effectExtent l="19050" t="0" r="0" b="0"/>
            <wp:docPr id="8" name="Picture 7" descr="S_Figure 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Figure 5i.jpg"/>
                    <pic:cNvPicPr/>
                  </pic:nvPicPr>
                  <pic:blipFill>
                    <a:blip r:embed="rId16" cstate="print"/>
                    <a:stretch>
                      <a:fillRect/>
                    </a:stretch>
                  </pic:blipFill>
                  <pic:spPr>
                    <a:xfrm>
                      <a:off x="0" y="0"/>
                      <a:ext cx="5486400" cy="5798820"/>
                    </a:xfrm>
                    <a:prstGeom prst="rect">
                      <a:avLst/>
                    </a:prstGeom>
                  </pic:spPr>
                </pic:pic>
              </a:graphicData>
            </a:graphic>
          </wp:inline>
        </w:drawing>
      </w:r>
    </w:p>
    <w:p w:rsidR="00606BDF" w:rsidRDefault="00606BDF" w:rsidP="00606BDF">
      <w:pPr>
        <w:rPr>
          <w:b/>
          <w:bCs/>
          <w:lang w:val="en-CA"/>
        </w:rPr>
      </w:pPr>
    </w:p>
    <w:p w:rsidR="00606BDF" w:rsidRPr="00606BDF" w:rsidRDefault="00606BDF" w:rsidP="00606BDF">
      <w:pPr>
        <w:rPr>
          <w:lang w:val="en-CA"/>
        </w:rPr>
      </w:pPr>
      <w:r w:rsidRPr="00606BDF">
        <w:rPr>
          <w:b/>
          <w:bCs/>
          <w:lang w:val="en-CA"/>
        </w:rPr>
        <w:t xml:space="preserve">Supplementary Figure </w:t>
      </w:r>
      <w:r w:rsidR="00D3258D">
        <w:rPr>
          <w:b/>
          <w:bCs/>
          <w:lang w:val="en-CA"/>
        </w:rPr>
        <w:t>7</w:t>
      </w:r>
      <w:r w:rsidRPr="00606BDF">
        <w:rPr>
          <w:b/>
          <w:bCs/>
          <w:lang w:val="en-CA"/>
        </w:rPr>
        <w:t xml:space="preserve">.  Time course of changes in plasma cytokine/biomarker levels in septic shock patients treated with and without MSCs. </w:t>
      </w:r>
      <w:r w:rsidRPr="00606BDF">
        <w:rPr>
          <w:lang w:val="en-CA"/>
        </w:rPr>
        <w:t xml:space="preserve"> Data are presented as fold change to study baseline t0.  Individual MSC-treated patients are shown color-coded by low, mid and high dose (n=2-3 subjects/dose/time point).  Median levels of the observational group (n=15-21 subjects/time point) are shown with the interquartile range (dark grey shaded region) and min-max range (light grey shaded region).  For clarity, the observational group range is clipped at</w:t>
      </w:r>
      <w:r>
        <w:rPr>
          <w:lang w:val="en-CA"/>
        </w:rPr>
        <w:t xml:space="preserve"> the axis limit in some graphs.  Additional graphs are shown on the next page.  </w:t>
      </w:r>
    </w:p>
    <w:p w:rsidR="00606BDF" w:rsidRDefault="00606BDF" w:rsidP="006A3F51">
      <w:pPr>
        <w:rPr>
          <w:lang w:val="en-CA"/>
        </w:rPr>
      </w:pPr>
    </w:p>
    <w:p w:rsidR="00606BDF" w:rsidRPr="006A3F51" w:rsidRDefault="00606BDF" w:rsidP="006A3F51">
      <w:pPr>
        <w:rPr>
          <w:lang w:val="en-CA"/>
        </w:rPr>
      </w:pPr>
    </w:p>
    <w:p w:rsidR="006A3F51" w:rsidRDefault="006A3F51" w:rsidP="000D4B6D">
      <w:pPr>
        <w:rPr>
          <w:lang w:val="en-CA"/>
        </w:rPr>
      </w:pPr>
    </w:p>
    <w:p w:rsidR="00606BDF" w:rsidRDefault="00606BDF" w:rsidP="000D4B6D">
      <w:pPr>
        <w:rPr>
          <w:lang w:val="en-CA"/>
        </w:rPr>
      </w:pPr>
    </w:p>
    <w:p w:rsidR="00606BDF" w:rsidRDefault="00606BDF" w:rsidP="000D4B6D">
      <w:pPr>
        <w:rPr>
          <w:lang w:val="en-CA"/>
        </w:rPr>
      </w:pPr>
      <w:r>
        <w:rPr>
          <w:noProof/>
          <w:lang w:val="en-CA" w:eastAsia="en-CA"/>
        </w:rPr>
        <w:lastRenderedPageBreak/>
        <w:drawing>
          <wp:inline distT="0" distB="0" distL="0" distR="0">
            <wp:extent cx="5486400" cy="5931535"/>
            <wp:effectExtent l="19050" t="0" r="0" b="0"/>
            <wp:docPr id="9" name="Picture 8" descr="S_Figure 5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Figure 5ii.jpg"/>
                    <pic:cNvPicPr/>
                  </pic:nvPicPr>
                  <pic:blipFill>
                    <a:blip r:embed="rId17" cstate="print"/>
                    <a:stretch>
                      <a:fillRect/>
                    </a:stretch>
                  </pic:blipFill>
                  <pic:spPr>
                    <a:xfrm>
                      <a:off x="0" y="0"/>
                      <a:ext cx="5486400" cy="5931535"/>
                    </a:xfrm>
                    <a:prstGeom prst="rect">
                      <a:avLst/>
                    </a:prstGeom>
                  </pic:spPr>
                </pic:pic>
              </a:graphicData>
            </a:graphic>
          </wp:inline>
        </w:drawing>
      </w:r>
    </w:p>
    <w:p w:rsidR="00606BDF" w:rsidRDefault="00606BDF" w:rsidP="000D4B6D">
      <w:pPr>
        <w:rPr>
          <w:b/>
          <w:bCs/>
          <w:lang w:val="en-CA"/>
        </w:rPr>
      </w:pPr>
    </w:p>
    <w:p w:rsidR="00606BDF" w:rsidRDefault="00606BDF" w:rsidP="000D4B6D">
      <w:pPr>
        <w:rPr>
          <w:b/>
          <w:bCs/>
          <w:lang w:val="en-CA"/>
        </w:rPr>
      </w:pPr>
    </w:p>
    <w:p w:rsidR="00606BDF" w:rsidRPr="000D4B6D" w:rsidRDefault="00606BDF" w:rsidP="000D4B6D">
      <w:pPr>
        <w:rPr>
          <w:lang w:val="en-CA"/>
        </w:rPr>
      </w:pPr>
      <w:r w:rsidRPr="00606BDF">
        <w:rPr>
          <w:b/>
          <w:bCs/>
          <w:lang w:val="en-CA"/>
        </w:rPr>
        <w:t xml:space="preserve">Supplementary Figure </w:t>
      </w:r>
      <w:r w:rsidR="00D3258D">
        <w:rPr>
          <w:b/>
          <w:bCs/>
          <w:lang w:val="en-CA"/>
        </w:rPr>
        <w:t xml:space="preserve">7 </w:t>
      </w:r>
      <w:r>
        <w:rPr>
          <w:b/>
          <w:bCs/>
          <w:lang w:val="en-CA"/>
        </w:rPr>
        <w:t>cont'd</w:t>
      </w:r>
      <w:r w:rsidRPr="00606BDF">
        <w:rPr>
          <w:b/>
          <w:bCs/>
          <w:lang w:val="en-CA"/>
        </w:rPr>
        <w:t xml:space="preserve">.  Time course of changes in plasma cytokine/biomarker levels in septic shock patients treated with and without MSCs. </w:t>
      </w:r>
      <w:r w:rsidRPr="00606BDF">
        <w:rPr>
          <w:lang w:val="en-CA"/>
        </w:rPr>
        <w:t xml:space="preserve"> Data are presented as fold change to study baseline t0.  Individual MSC-treated patients are shown color-coded by low, mid and high dose (n=2-3 subjects/dose/time point).  Median levels of the observational group (n=15-21 subjects/time point) are shown with the interquartile range (dark grey shaded region) and min-max range (light grey shaded region).  For clarity, the</w:t>
      </w:r>
      <w:r>
        <w:rPr>
          <w:lang w:val="en-CA"/>
        </w:rPr>
        <w:t xml:space="preserve"> error range of the</w:t>
      </w:r>
      <w:r w:rsidRPr="00606BDF">
        <w:rPr>
          <w:lang w:val="en-CA"/>
        </w:rPr>
        <w:t xml:space="preserve"> observational group is clipped at</w:t>
      </w:r>
      <w:r>
        <w:rPr>
          <w:lang w:val="en-CA"/>
        </w:rPr>
        <w:t xml:space="preserve"> the axis limit in some graphs.  </w:t>
      </w:r>
    </w:p>
    <w:p w:rsidR="000D4B6D" w:rsidRDefault="000D4B6D"/>
    <w:p w:rsidR="00B1379D" w:rsidRDefault="00B1379D"/>
    <w:p w:rsidR="00B1379D" w:rsidRDefault="00B1379D"/>
    <w:p w:rsidR="000101FD" w:rsidRDefault="000101FD">
      <w:pPr>
        <w:rPr>
          <w:b/>
        </w:rPr>
      </w:pPr>
    </w:p>
    <w:p w:rsidR="00B1379D" w:rsidRPr="00B1379D" w:rsidRDefault="00B1379D">
      <w:pPr>
        <w:rPr>
          <w:b/>
        </w:rPr>
      </w:pPr>
      <w:r w:rsidRPr="00B1379D">
        <w:rPr>
          <w:b/>
        </w:rPr>
        <w:lastRenderedPageBreak/>
        <w:t>References</w:t>
      </w:r>
    </w:p>
    <w:p w:rsidR="00B1379D" w:rsidRDefault="00B1379D"/>
    <w:p w:rsidR="00B1379D" w:rsidRDefault="009832F4" w:rsidP="00B1379D">
      <w:pPr>
        <w:rPr>
          <w:noProof/>
        </w:rPr>
      </w:pPr>
      <w:r>
        <w:fldChar w:fldCharType="begin"/>
      </w:r>
      <w:r w:rsidR="00B1379D">
        <w:instrText xml:space="preserve"> ADDIN EN.REFLIST </w:instrText>
      </w:r>
      <w:r>
        <w:fldChar w:fldCharType="separate"/>
      </w:r>
      <w:r w:rsidR="00B1379D">
        <w:rPr>
          <w:noProof/>
        </w:rPr>
        <w:t>1.</w:t>
      </w:r>
      <w:r w:rsidR="00B1379D">
        <w:rPr>
          <w:noProof/>
        </w:rPr>
        <w:tab/>
        <w:t xml:space="preserve">McIntyre LA, Stewart DJ, Mei SHJ, Courtman D, Watpool I, Granton J, Marshall J, Dos Santos C, Walley KR, Winston BW, et al. Cellular immunotherapy for septic shock. A phase i clinical trial. </w:t>
      </w:r>
      <w:r w:rsidR="00B1379D" w:rsidRPr="00B1379D">
        <w:rPr>
          <w:i/>
          <w:noProof/>
        </w:rPr>
        <w:t xml:space="preserve">Am J Respir Crit Care Med </w:t>
      </w:r>
      <w:r w:rsidR="00B1379D">
        <w:rPr>
          <w:noProof/>
        </w:rPr>
        <w:t>2018;197:337-347.</w:t>
      </w:r>
    </w:p>
    <w:p w:rsidR="00B1379D" w:rsidRDefault="00B1379D" w:rsidP="00B1379D">
      <w:pPr>
        <w:ind w:left="720" w:hanging="720"/>
        <w:rPr>
          <w:noProof/>
        </w:rPr>
      </w:pPr>
    </w:p>
    <w:p w:rsidR="00B1379D" w:rsidRDefault="009832F4">
      <w:r>
        <w:fldChar w:fldCharType="end"/>
      </w:r>
    </w:p>
    <w:sectPr w:rsidR="00B1379D" w:rsidSect="000101FD">
      <w:footerReference w:type="default" r:id="rId18"/>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E92" w:rsidRDefault="00B64E92" w:rsidP="00606BDF">
      <w:r>
        <w:separator/>
      </w:r>
    </w:p>
  </w:endnote>
  <w:endnote w:type="continuationSeparator" w:id="0">
    <w:p w:rsidR="00B64E92" w:rsidRDefault="00B64E92" w:rsidP="00606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3589196"/>
      <w:docPartObj>
        <w:docPartGallery w:val="Page Numbers (Bottom of Page)"/>
        <w:docPartUnique/>
      </w:docPartObj>
    </w:sdtPr>
    <w:sdtEndPr/>
    <w:sdtContent>
      <w:p w:rsidR="00606BDF" w:rsidRDefault="009832F4">
        <w:pPr>
          <w:pStyle w:val="Footer"/>
          <w:jc w:val="center"/>
        </w:pPr>
        <w:r>
          <w:fldChar w:fldCharType="begin"/>
        </w:r>
        <w:r w:rsidR="00BB4648">
          <w:instrText xml:space="preserve"> PAGE   \* MERGEFORMAT </w:instrText>
        </w:r>
        <w:r>
          <w:fldChar w:fldCharType="separate"/>
        </w:r>
        <w:r w:rsidR="006954C6">
          <w:rPr>
            <w:noProof/>
          </w:rPr>
          <w:t>17</w:t>
        </w:r>
        <w:r>
          <w:rPr>
            <w:noProof/>
          </w:rPr>
          <w:fldChar w:fldCharType="end"/>
        </w:r>
      </w:p>
    </w:sdtContent>
  </w:sdt>
  <w:p w:rsidR="00606BDF" w:rsidRPr="00606BDF" w:rsidRDefault="00606BDF">
    <w:pPr>
      <w:pStyle w:val="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E92" w:rsidRDefault="00B64E92" w:rsidP="00606BDF">
      <w:r>
        <w:separator/>
      </w:r>
    </w:p>
  </w:footnote>
  <w:footnote w:type="continuationSeparator" w:id="0">
    <w:p w:rsidR="00B64E92" w:rsidRDefault="00B64E92" w:rsidP="00606B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ibraries" w:val="&lt;ENLibraries&gt;&lt;Libraries&gt;&lt;item&gt;CISS cytokine references.enl&lt;/item&gt;&lt;/Libraries&gt;&lt;/ENLibraries&gt;"/>
  </w:docVars>
  <w:rsids>
    <w:rsidRoot w:val="00926E8F"/>
    <w:rsid w:val="00001AF5"/>
    <w:rsid w:val="00002669"/>
    <w:rsid w:val="00004649"/>
    <w:rsid w:val="00004733"/>
    <w:rsid w:val="00005A07"/>
    <w:rsid w:val="000101FD"/>
    <w:rsid w:val="00010F6C"/>
    <w:rsid w:val="000118B9"/>
    <w:rsid w:val="00012216"/>
    <w:rsid w:val="000149A8"/>
    <w:rsid w:val="000149C8"/>
    <w:rsid w:val="00014F79"/>
    <w:rsid w:val="00015D50"/>
    <w:rsid w:val="0001673B"/>
    <w:rsid w:val="00017A98"/>
    <w:rsid w:val="000215A5"/>
    <w:rsid w:val="00021F2F"/>
    <w:rsid w:val="000241C8"/>
    <w:rsid w:val="00024BCE"/>
    <w:rsid w:val="00025520"/>
    <w:rsid w:val="00027127"/>
    <w:rsid w:val="00031967"/>
    <w:rsid w:val="0003334B"/>
    <w:rsid w:val="00040E78"/>
    <w:rsid w:val="000411B5"/>
    <w:rsid w:val="000413B1"/>
    <w:rsid w:val="00042559"/>
    <w:rsid w:val="00045206"/>
    <w:rsid w:val="0004696E"/>
    <w:rsid w:val="00047543"/>
    <w:rsid w:val="00052ED3"/>
    <w:rsid w:val="00054834"/>
    <w:rsid w:val="00054D2C"/>
    <w:rsid w:val="00055E3E"/>
    <w:rsid w:val="00055E9E"/>
    <w:rsid w:val="00057D0A"/>
    <w:rsid w:val="0006037E"/>
    <w:rsid w:val="00062780"/>
    <w:rsid w:val="00062DA2"/>
    <w:rsid w:val="00064835"/>
    <w:rsid w:val="00065721"/>
    <w:rsid w:val="000663D4"/>
    <w:rsid w:val="00067981"/>
    <w:rsid w:val="000706B5"/>
    <w:rsid w:val="00071EF8"/>
    <w:rsid w:val="0007204A"/>
    <w:rsid w:val="00072824"/>
    <w:rsid w:val="00073A5C"/>
    <w:rsid w:val="00073FD6"/>
    <w:rsid w:val="00075656"/>
    <w:rsid w:val="000757F0"/>
    <w:rsid w:val="00076462"/>
    <w:rsid w:val="00076F79"/>
    <w:rsid w:val="00077CA6"/>
    <w:rsid w:val="0008180D"/>
    <w:rsid w:val="00081CE5"/>
    <w:rsid w:val="00083B5E"/>
    <w:rsid w:val="00084FCB"/>
    <w:rsid w:val="000852A6"/>
    <w:rsid w:val="00086782"/>
    <w:rsid w:val="00087094"/>
    <w:rsid w:val="000901D5"/>
    <w:rsid w:val="0009032D"/>
    <w:rsid w:val="00091F19"/>
    <w:rsid w:val="00093E2C"/>
    <w:rsid w:val="000954D3"/>
    <w:rsid w:val="0009701A"/>
    <w:rsid w:val="0009722B"/>
    <w:rsid w:val="000A17B2"/>
    <w:rsid w:val="000A3DBA"/>
    <w:rsid w:val="000A4E94"/>
    <w:rsid w:val="000A5424"/>
    <w:rsid w:val="000A7F1E"/>
    <w:rsid w:val="000B0A58"/>
    <w:rsid w:val="000B1475"/>
    <w:rsid w:val="000B398B"/>
    <w:rsid w:val="000B4D28"/>
    <w:rsid w:val="000B5EBD"/>
    <w:rsid w:val="000B7E46"/>
    <w:rsid w:val="000C2350"/>
    <w:rsid w:val="000C2F59"/>
    <w:rsid w:val="000C3067"/>
    <w:rsid w:val="000C6BA9"/>
    <w:rsid w:val="000D0A92"/>
    <w:rsid w:val="000D0FE0"/>
    <w:rsid w:val="000D160A"/>
    <w:rsid w:val="000D4B6D"/>
    <w:rsid w:val="000D4DB7"/>
    <w:rsid w:val="000D4E8F"/>
    <w:rsid w:val="000D5E82"/>
    <w:rsid w:val="000D5EB2"/>
    <w:rsid w:val="000D64FB"/>
    <w:rsid w:val="000D786A"/>
    <w:rsid w:val="000E0187"/>
    <w:rsid w:val="000E2682"/>
    <w:rsid w:val="000E317A"/>
    <w:rsid w:val="000E6B33"/>
    <w:rsid w:val="000E76D9"/>
    <w:rsid w:val="000F0C4C"/>
    <w:rsid w:val="000F0FB1"/>
    <w:rsid w:val="000F105D"/>
    <w:rsid w:val="000F4001"/>
    <w:rsid w:val="000F4164"/>
    <w:rsid w:val="000F4ACC"/>
    <w:rsid w:val="000F5EDB"/>
    <w:rsid w:val="001008BF"/>
    <w:rsid w:val="00100E3E"/>
    <w:rsid w:val="001018A9"/>
    <w:rsid w:val="00101991"/>
    <w:rsid w:val="0010307D"/>
    <w:rsid w:val="0010316D"/>
    <w:rsid w:val="00103620"/>
    <w:rsid w:val="001045A4"/>
    <w:rsid w:val="00104B94"/>
    <w:rsid w:val="00105614"/>
    <w:rsid w:val="0010640C"/>
    <w:rsid w:val="00106CB2"/>
    <w:rsid w:val="0010724C"/>
    <w:rsid w:val="0011301C"/>
    <w:rsid w:val="001214A5"/>
    <w:rsid w:val="00122BF1"/>
    <w:rsid w:val="00125421"/>
    <w:rsid w:val="00130633"/>
    <w:rsid w:val="00131C78"/>
    <w:rsid w:val="00134B0D"/>
    <w:rsid w:val="001361F5"/>
    <w:rsid w:val="00137E9F"/>
    <w:rsid w:val="00143159"/>
    <w:rsid w:val="00143EB7"/>
    <w:rsid w:val="00144723"/>
    <w:rsid w:val="00146F18"/>
    <w:rsid w:val="001475AB"/>
    <w:rsid w:val="001501E3"/>
    <w:rsid w:val="00152DBA"/>
    <w:rsid w:val="00154474"/>
    <w:rsid w:val="0015533B"/>
    <w:rsid w:val="00155D56"/>
    <w:rsid w:val="00156FF7"/>
    <w:rsid w:val="00157C54"/>
    <w:rsid w:val="00163287"/>
    <w:rsid w:val="00163DE1"/>
    <w:rsid w:val="0016670D"/>
    <w:rsid w:val="00166D97"/>
    <w:rsid w:val="00166FE3"/>
    <w:rsid w:val="001712EF"/>
    <w:rsid w:val="001733E6"/>
    <w:rsid w:val="001736D7"/>
    <w:rsid w:val="001744F6"/>
    <w:rsid w:val="00174584"/>
    <w:rsid w:val="001764CE"/>
    <w:rsid w:val="00177C54"/>
    <w:rsid w:val="00177D6B"/>
    <w:rsid w:val="00180D9D"/>
    <w:rsid w:val="00181673"/>
    <w:rsid w:val="00182279"/>
    <w:rsid w:val="00182CCD"/>
    <w:rsid w:val="00184008"/>
    <w:rsid w:val="00186002"/>
    <w:rsid w:val="0018781A"/>
    <w:rsid w:val="00187A31"/>
    <w:rsid w:val="00187B9F"/>
    <w:rsid w:val="00190211"/>
    <w:rsid w:val="00191ED3"/>
    <w:rsid w:val="001929E6"/>
    <w:rsid w:val="0019459B"/>
    <w:rsid w:val="0019467F"/>
    <w:rsid w:val="00195E14"/>
    <w:rsid w:val="0019626E"/>
    <w:rsid w:val="001976F0"/>
    <w:rsid w:val="001A0F8A"/>
    <w:rsid w:val="001A350B"/>
    <w:rsid w:val="001A3A03"/>
    <w:rsid w:val="001A52FD"/>
    <w:rsid w:val="001A5958"/>
    <w:rsid w:val="001A77F1"/>
    <w:rsid w:val="001A7A61"/>
    <w:rsid w:val="001B0C32"/>
    <w:rsid w:val="001B287B"/>
    <w:rsid w:val="001B3577"/>
    <w:rsid w:val="001B3676"/>
    <w:rsid w:val="001B4046"/>
    <w:rsid w:val="001B6E43"/>
    <w:rsid w:val="001C1A38"/>
    <w:rsid w:val="001C2227"/>
    <w:rsid w:val="001C5234"/>
    <w:rsid w:val="001C5F66"/>
    <w:rsid w:val="001D2F66"/>
    <w:rsid w:val="001D5202"/>
    <w:rsid w:val="001D55A5"/>
    <w:rsid w:val="001D623E"/>
    <w:rsid w:val="001D74BE"/>
    <w:rsid w:val="001E0ED7"/>
    <w:rsid w:val="001E0FE7"/>
    <w:rsid w:val="001E15DF"/>
    <w:rsid w:val="001E2A92"/>
    <w:rsid w:val="001E3C08"/>
    <w:rsid w:val="001E4A0F"/>
    <w:rsid w:val="001E4AE8"/>
    <w:rsid w:val="001E508C"/>
    <w:rsid w:val="001E6D33"/>
    <w:rsid w:val="001F1CD0"/>
    <w:rsid w:val="001F1DBC"/>
    <w:rsid w:val="001F389C"/>
    <w:rsid w:val="001F6873"/>
    <w:rsid w:val="001F7953"/>
    <w:rsid w:val="00200989"/>
    <w:rsid w:val="00200E7B"/>
    <w:rsid w:val="00201366"/>
    <w:rsid w:val="00202166"/>
    <w:rsid w:val="002023BB"/>
    <w:rsid w:val="0020289D"/>
    <w:rsid w:val="00202E9A"/>
    <w:rsid w:val="002132B8"/>
    <w:rsid w:val="00213369"/>
    <w:rsid w:val="002135D5"/>
    <w:rsid w:val="002201B0"/>
    <w:rsid w:val="002221AE"/>
    <w:rsid w:val="00223167"/>
    <w:rsid w:val="00223915"/>
    <w:rsid w:val="002246A7"/>
    <w:rsid w:val="002268F6"/>
    <w:rsid w:val="00226FE4"/>
    <w:rsid w:val="00227800"/>
    <w:rsid w:val="002278C7"/>
    <w:rsid w:val="00227BAF"/>
    <w:rsid w:val="0023614E"/>
    <w:rsid w:val="00236664"/>
    <w:rsid w:val="00237265"/>
    <w:rsid w:val="002408A3"/>
    <w:rsid w:val="00241BC0"/>
    <w:rsid w:val="002443B8"/>
    <w:rsid w:val="00245E26"/>
    <w:rsid w:val="002464D2"/>
    <w:rsid w:val="0024760F"/>
    <w:rsid w:val="00247A22"/>
    <w:rsid w:val="002519A7"/>
    <w:rsid w:val="00251FBB"/>
    <w:rsid w:val="00253119"/>
    <w:rsid w:val="002541FA"/>
    <w:rsid w:val="002563A0"/>
    <w:rsid w:val="00260920"/>
    <w:rsid w:val="0026191B"/>
    <w:rsid w:val="002646ED"/>
    <w:rsid w:val="00266BF0"/>
    <w:rsid w:val="00267A83"/>
    <w:rsid w:val="00271144"/>
    <w:rsid w:val="00271315"/>
    <w:rsid w:val="00273381"/>
    <w:rsid w:val="00273A31"/>
    <w:rsid w:val="00273B7D"/>
    <w:rsid w:val="0027685D"/>
    <w:rsid w:val="00276AEE"/>
    <w:rsid w:val="002818A6"/>
    <w:rsid w:val="00282F50"/>
    <w:rsid w:val="00283C2A"/>
    <w:rsid w:val="00287D92"/>
    <w:rsid w:val="00293135"/>
    <w:rsid w:val="002939E7"/>
    <w:rsid w:val="002945B2"/>
    <w:rsid w:val="0029551E"/>
    <w:rsid w:val="00295A30"/>
    <w:rsid w:val="00296CC2"/>
    <w:rsid w:val="002A087A"/>
    <w:rsid w:val="002A3A9D"/>
    <w:rsid w:val="002A3BC1"/>
    <w:rsid w:val="002A5516"/>
    <w:rsid w:val="002A70BB"/>
    <w:rsid w:val="002B20FB"/>
    <w:rsid w:val="002B2A53"/>
    <w:rsid w:val="002B749A"/>
    <w:rsid w:val="002B79DF"/>
    <w:rsid w:val="002C0338"/>
    <w:rsid w:val="002C1603"/>
    <w:rsid w:val="002C160A"/>
    <w:rsid w:val="002C2288"/>
    <w:rsid w:val="002C402A"/>
    <w:rsid w:val="002C47EC"/>
    <w:rsid w:val="002C5450"/>
    <w:rsid w:val="002C5BE2"/>
    <w:rsid w:val="002C6FC6"/>
    <w:rsid w:val="002C7CE1"/>
    <w:rsid w:val="002D378B"/>
    <w:rsid w:val="002D597B"/>
    <w:rsid w:val="002D7D77"/>
    <w:rsid w:val="002E04D7"/>
    <w:rsid w:val="002E0D51"/>
    <w:rsid w:val="002E1948"/>
    <w:rsid w:val="002E22DD"/>
    <w:rsid w:val="002E720D"/>
    <w:rsid w:val="002F1656"/>
    <w:rsid w:val="002F2A62"/>
    <w:rsid w:val="002F34AF"/>
    <w:rsid w:val="002F4DB7"/>
    <w:rsid w:val="002F55E7"/>
    <w:rsid w:val="002F7040"/>
    <w:rsid w:val="002F7EBA"/>
    <w:rsid w:val="0030153F"/>
    <w:rsid w:val="0030248E"/>
    <w:rsid w:val="00303303"/>
    <w:rsid w:val="00305A99"/>
    <w:rsid w:val="00307B1B"/>
    <w:rsid w:val="00311252"/>
    <w:rsid w:val="003157FE"/>
    <w:rsid w:val="00316BFC"/>
    <w:rsid w:val="00316F5B"/>
    <w:rsid w:val="00320A79"/>
    <w:rsid w:val="00321C04"/>
    <w:rsid w:val="00324013"/>
    <w:rsid w:val="00325039"/>
    <w:rsid w:val="0032658E"/>
    <w:rsid w:val="00326BEB"/>
    <w:rsid w:val="003279EA"/>
    <w:rsid w:val="00331B1F"/>
    <w:rsid w:val="003345D5"/>
    <w:rsid w:val="0033471D"/>
    <w:rsid w:val="00335A96"/>
    <w:rsid w:val="0033755C"/>
    <w:rsid w:val="003413EA"/>
    <w:rsid w:val="00343127"/>
    <w:rsid w:val="0034376E"/>
    <w:rsid w:val="00345305"/>
    <w:rsid w:val="003454F7"/>
    <w:rsid w:val="00345D87"/>
    <w:rsid w:val="003464E0"/>
    <w:rsid w:val="0034692F"/>
    <w:rsid w:val="003473CE"/>
    <w:rsid w:val="0035007E"/>
    <w:rsid w:val="0035055D"/>
    <w:rsid w:val="00352ADB"/>
    <w:rsid w:val="0035522D"/>
    <w:rsid w:val="003553A5"/>
    <w:rsid w:val="00355CCF"/>
    <w:rsid w:val="0036096A"/>
    <w:rsid w:val="003616CB"/>
    <w:rsid w:val="00362A1A"/>
    <w:rsid w:val="00364251"/>
    <w:rsid w:val="00365133"/>
    <w:rsid w:val="00365E1B"/>
    <w:rsid w:val="00366435"/>
    <w:rsid w:val="00366B48"/>
    <w:rsid w:val="00366E68"/>
    <w:rsid w:val="00371CAB"/>
    <w:rsid w:val="00373679"/>
    <w:rsid w:val="00377886"/>
    <w:rsid w:val="00377E2F"/>
    <w:rsid w:val="00377FE1"/>
    <w:rsid w:val="003821B8"/>
    <w:rsid w:val="00384644"/>
    <w:rsid w:val="00385C83"/>
    <w:rsid w:val="003863B7"/>
    <w:rsid w:val="00386914"/>
    <w:rsid w:val="00391721"/>
    <w:rsid w:val="003925DE"/>
    <w:rsid w:val="0039289F"/>
    <w:rsid w:val="00394A99"/>
    <w:rsid w:val="003A19A5"/>
    <w:rsid w:val="003A4B4A"/>
    <w:rsid w:val="003A6CF8"/>
    <w:rsid w:val="003A7124"/>
    <w:rsid w:val="003B01B7"/>
    <w:rsid w:val="003B08C6"/>
    <w:rsid w:val="003B3631"/>
    <w:rsid w:val="003B3696"/>
    <w:rsid w:val="003B4D62"/>
    <w:rsid w:val="003B5DAD"/>
    <w:rsid w:val="003B60EB"/>
    <w:rsid w:val="003B6833"/>
    <w:rsid w:val="003B7B98"/>
    <w:rsid w:val="003C060A"/>
    <w:rsid w:val="003D0785"/>
    <w:rsid w:val="003D0D04"/>
    <w:rsid w:val="003D126F"/>
    <w:rsid w:val="003D13CE"/>
    <w:rsid w:val="003D2BFF"/>
    <w:rsid w:val="003D309A"/>
    <w:rsid w:val="003D3691"/>
    <w:rsid w:val="003D3812"/>
    <w:rsid w:val="003D5266"/>
    <w:rsid w:val="003D5E8B"/>
    <w:rsid w:val="003D63A7"/>
    <w:rsid w:val="003D6877"/>
    <w:rsid w:val="003D6E2C"/>
    <w:rsid w:val="003E4F9D"/>
    <w:rsid w:val="003E5134"/>
    <w:rsid w:val="003E747E"/>
    <w:rsid w:val="003F0906"/>
    <w:rsid w:val="003F2D0E"/>
    <w:rsid w:val="003F5E01"/>
    <w:rsid w:val="003F6609"/>
    <w:rsid w:val="0040004F"/>
    <w:rsid w:val="004000F7"/>
    <w:rsid w:val="0040205E"/>
    <w:rsid w:val="0040259E"/>
    <w:rsid w:val="00403903"/>
    <w:rsid w:val="00404C98"/>
    <w:rsid w:val="00411FE5"/>
    <w:rsid w:val="004129FB"/>
    <w:rsid w:val="00412FE8"/>
    <w:rsid w:val="00414C3F"/>
    <w:rsid w:val="00415BD8"/>
    <w:rsid w:val="00416F19"/>
    <w:rsid w:val="004172E4"/>
    <w:rsid w:val="00420B11"/>
    <w:rsid w:val="00421A12"/>
    <w:rsid w:val="004221D2"/>
    <w:rsid w:val="004223F2"/>
    <w:rsid w:val="0042430B"/>
    <w:rsid w:val="00424E20"/>
    <w:rsid w:val="00425811"/>
    <w:rsid w:val="00425F8B"/>
    <w:rsid w:val="00426408"/>
    <w:rsid w:val="0043115B"/>
    <w:rsid w:val="00431350"/>
    <w:rsid w:val="00433894"/>
    <w:rsid w:val="004358B9"/>
    <w:rsid w:val="00436EF3"/>
    <w:rsid w:val="00440F66"/>
    <w:rsid w:val="0044444B"/>
    <w:rsid w:val="00447494"/>
    <w:rsid w:val="00447A9E"/>
    <w:rsid w:val="00451A24"/>
    <w:rsid w:val="004523B6"/>
    <w:rsid w:val="00452C19"/>
    <w:rsid w:val="0045304D"/>
    <w:rsid w:val="0045407A"/>
    <w:rsid w:val="004547D0"/>
    <w:rsid w:val="00456B89"/>
    <w:rsid w:val="0046007A"/>
    <w:rsid w:val="00463473"/>
    <w:rsid w:val="00465D9D"/>
    <w:rsid w:val="00466907"/>
    <w:rsid w:val="00467EE5"/>
    <w:rsid w:val="00470447"/>
    <w:rsid w:val="004728AB"/>
    <w:rsid w:val="00473CBF"/>
    <w:rsid w:val="004844E4"/>
    <w:rsid w:val="00484E1A"/>
    <w:rsid w:val="004873D7"/>
    <w:rsid w:val="00493B33"/>
    <w:rsid w:val="004A1E1F"/>
    <w:rsid w:val="004A4D6E"/>
    <w:rsid w:val="004A53F9"/>
    <w:rsid w:val="004B1CED"/>
    <w:rsid w:val="004B2A86"/>
    <w:rsid w:val="004B2C6A"/>
    <w:rsid w:val="004C04A4"/>
    <w:rsid w:val="004C0E3C"/>
    <w:rsid w:val="004C2833"/>
    <w:rsid w:val="004C63DA"/>
    <w:rsid w:val="004D2EAD"/>
    <w:rsid w:val="004D4DB9"/>
    <w:rsid w:val="004D674F"/>
    <w:rsid w:val="004D6B83"/>
    <w:rsid w:val="004D6B90"/>
    <w:rsid w:val="004D7A4F"/>
    <w:rsid w:val="004E0063"/>
    <w:rsid w:val="004E0384"/>
    <w:rsid w:val="004E0FBC"/>
    <w:rsid w:val="004E1870"/>
    <w:rsid w:val="004E1EDB"/>
    <w:rsid w:val="004E466D"/>
    <w:rsid w:val="004E5AFE"/>
    <w:rsid w:val="004E6B5A"/>
    <w:rsid w:val="004F1916"/>
    <w:rsid w:val="004F5F32"/>
    <w:rsid w:val="004F6705"/>
    <w:rsid w:val="004F734F"/>
    <w:rsid w:val="004F7656"/>
    <w:rsid w:val="00500608"/>
    <w:rsid w:val="00500E03"/>
    <w:rsid w:val="00501083"/>
    <w:rsid w:val="00503F90"/>
    <w:rsid w:val="0050492A"/>
    <w:rsid w:val="00505E2E"/>
    <w:rsid w:val="00506510"/>
    <w:rsid w:val="00510A35"/>
    <w:rsid w:val="00510F2B"/>
    <w:rsid w:val="00512423"/>
    <w:rsid w:val="005134FD"/>
    <w:rsid w:val="0051533A"/>
    <w:rsid w:val="00515906"/>
    <w:rsid w:val="00516B6E"/>
    <w:rsid w:val="00522C4C"/>
    <w:rsid w:val="00522CC3"/>
    <w:rsid w:val="00525E75"/>
    <w:rsid w:val="00526377"/>
    <w:rsid w:val="005265D1"/>
    <w:rsid w:val="005267BE"/>
    <w:rsid w:val="00527128"/>
    <w:rsid w:val="00527B23"/>
    <w:rsid w:val="00531499"/>
    <w:rsid w:val="00531A73"/>
    <w:rsid w:val="00532946"/>
    <w:rsid w:val="0053370A"/>
    <w:rsid w:val="00534316"/>
    <w:rsid w:val="00534425"/>
    <w:rsid w:val="00534511"/>
    <w:rsid w:val="005356CF"/>
    <w:rsid w:val="00542704"/>
    <w:rsid w:val="00545729"/>
    <w:rsid w:val="00546CB6"/>
    <w:rsid w:val="00551664"/>
    <w:rsid w:val="00551BF7"/>
    <w:rsid w:val="0055463D"/>
    <w:rsid w:val="00554D51"/>
    <w:rsid w:val="005574E9"/>
    <w:rsid w:val="00563018"/>
    <w:rsid w:val="0056311A"/>
    <w:rsid w:val="00563F37"/>
    <w:rsid w:val="00564669"/>
    <w:rsid w:val="00564E62"/>
    <w:rsid w:val="00565E1C"/>
    <w:rsid w:val="005671FF"/>
    <w:rsid w:val="005679A3"/>
    <w:rsid w:val="00570A0D"/>
    <w:rsid w:val="00571E35"/>
    <w:rsid w:val="0057519D"/>
    <w:rsid w:val="00575306"/>
    <w:rsid w:val="00575F50"/>
    <w:rsid w:val="005805D0"/>
    <w:rsid w:val="005806AD"/>
    <w:rsid w:val="00583959"/>
    <w:rsid w:val="00584E42"/>
    <w:rsid w:val="005866A1"/>
    <w:rsid w:val="005920A4"/>
    <w:rsid w:val="0059478D"/>
    <w:rsid w:val="00596F03"/>
    <w:rsid w:val="005A0CF3"/>
    <w:rsid w:val="005A1670"/>
    <w:rsid w:val="005A1E9C"/>
    <w:rsid w:val="005A3453"/>
    <w:rsid w:val="005A5328"/>
    <w:rsid w:val="005A6A26"/>
    <w:rsid w:val="005A7D42"/>
    <w:rsid w:val="005B175C"/>
    <w:rsid w:val="005B1FC0"/>
    <w:rsid w:val="005B286F"/>
    <w:rsid w:val="005B397E"/>
    <w:rsid w:val="005B45CB"/>
    <w:rsid w:val="005B51F0"/>
    <w:rsid w:val="005C1047"/>
    <w:rsid w:val="005C1F71"/>
    <w:rsid w:val="005C26C2"/>
    <w:rsid w:val="005C649F"/>
    <w:rsid w:val="005D043D"/>
    <w:rsid w:val="005D0CEE"/>
    <w:rsid w:val="005D5594"/>
    <w:rsid w:val="005D57A9"/>
    <w:rsid w:val="005D6A14"/>
    <w:rsid w:val="005E047E"/>
    <w:rsid w:val="005E1532"/>
    <w:rsid w:val="005E1992"/>
    <w:rsid w:val="005E2FB7"/>
    <w:rsid w:val="005E4320"/>
    <w:rsid w:val="005E4AAD"/>
    <w:rsid w:val="005E564B"/>
    <w:rsid w:val="005E7F3E"/>
    <w:rsid w:val="005F0586"/>
    <w:rsid w:val="005F1B88"/>
    <w:rsid w:val="005F2A59"/>
    <w:rsid w:val="005F5A40"/>
    <w:rsid w:val="005F5DD4"/>
    <w:rsid w:val="005F7899"/>
    <w:rsid w:val="00600D37"/>
    <w:rsid w:val="00602CC2"/>
    <w:rsid w:val="00604E69"/>
    <w:rsid w:val="00604ED2"/>
    <w:rsid w:val="00606509"/>
    <w:rsid w:val="00606BDF"/>
    <w:rsid w:val="00607965"/>
    <w:rsid w:val="0061502D"/>
    <w:rsid w:val="0061611B"/>
    <w:rsid w:val="00616D8E"/>
    <w:rsid w:val="00617085"/>
    <w:rsid w:val="00617EAB"/>
    <w:rsid w:val="00620CF3"/>
    <w:rsid w:val="006233AF"/>
    <w:rsid w:val="00623A3C"/>
    <w:rsid w:val="00624E0F"/>
    <w:rsid w:val="00626EC0"/>
    <w:rsid w:val="00627EC3"/>
    <w:rsid w:val="00630161"/>
    <w:rsid w:val="006305AC"/>
    <w:rsid w:val="00631854"/>
    <w:rsid w:val="00631B19"/>
    <w:rsid w:val="00632E87"/>
    <w:rsid w:val="0063308F"/>
    <w:rsid w:val="00633EEB"/>
    <w:rsid w:val="00634A07"/>
    <w:rsid w:val="00641C17"/>
    <w:rsid w:val="00643668"/>
    <w:rsid w:val="00643A66"/>
    <w:rsid w:val="00643D92"/>
    <w:rsid w:val="00650353"/>
    <w:rsid w:val="00652E46"/>
    <w:rsid w:val="00660CF2"/>
    <w:rsid w:val="00660EDC"/>
    <w:rsid w:val="00661664"/>
    <w:rsid w:val="0066271C"/>
    <w:rsid w:val="00664F9A"/>
    <w:rsid w:val="006651CC"/>
    <w:rsid w:val="00665EFE"/>
    <w:rsid w:val="006702CB"/>
    <w:rsid w:val="00670D0F"/>
    <w:rsid w:val="00671958"/>
    <w:rsid w:val="006719FF"/>
    <w:rsid w:val="00673C79"/>
    <w:rsid w:val="00674CFC"/>
    <w:rsid w:val="006807A4"/>
    <w:rsid w:val="00680B97"/>
    <w:rsid w:val="00680F8F"/>
    <w:rsid w:val="00682327"/>
    <w:rsid w:val="006824C7"/>
    <w:rsid w:val="006854AD"/>
    <w:rsid w:val="00685A8A"/>
    <w:rsid w:val="00687A63"/>
    <w:rsid w:val="00687AC7"/>
    <w:rsid w:val="00691286"/>
    <w:rsid w:val="0069296B"/>
    <w:rsid w:val="0069446F"/>
    <w:rsid w:val="00694ACE"/>
    <w:rsid w:val="00694DED"/>
    <w:rsid w:val="006954C6"/>
    <w:rsid w:val="006A03B4"/>
    <w:rsid w:val="006A0A27"/>
    <w:rsid w:val="006A300C"/>
    <w:rsid w:val="006A3F51"/>
    <w:rsid w:val="006A4430"/>
    <w:rsid w:val="006A5E23"/>
    <w:rsid w:val="006A744B"/>
    <w:rsid w:val="006A7835"/>
    <w:rsid w:val="006A7A0E"/>
    <w:rsid w:val="006B02D8"/>
    <w:rsid w:val="006B1347"/>
    <w:rsid w:val="006B1BD2"/>
    <w:rsid w:val="006B21F5"/>
    <w:rsid w:val="006B3589"/>
    <w:rsid w:val="006B60A7"/>
    <w:rsid w:val="006C2809"/>
    <w:rsid w:val="006C3546"/>
    <w:rsid w:val="006C39DD"/>
    <w:rsid w:val="006C45EE"/>
    <w:rsid w:val="006C4C02"/>
    <w:rsid w:val="006C54B6"/>
    <w:rsid w:val="006C5B71"/>
    <w:rsid w:val="006C6DDE"/>
    <w:rsid w:val="006C6FDF"/>
    <w:rsid w:val="006C7262"/>
    <w:rsid w:val="006C7A52"/>
    <w:rsid w:val="006D031A"/>
    <w:rsid w:val="006D59A7"/>
    <w:rsid w:val="006D6142"/>
    <w:rsid w:val="006D663E"/>
    <w:rsid w:val="006E25FE"/>
    <w:rsid w:val="006E5FF9"/>
    <w:rsid w:val="006E64DE"/>
    <w:rsid w:val="006E6965"/>
    <w:rsid w:val="006E6BE4"/>
    <w:rsid w:val="006E75DB"/>
    <w:rsid w:val="006E7BA7"/>
    <w:rsid w:val="006F012E"/>
    <w:rsid w:val="006F3396"/>
    <w:rsid w:val="006F559E"/>
    <w:rsid w:val="006F6CD7"/>
    <w:rsid w:val="006F79AC"/>
    <w:rsid w:val="00703383"/>
    <w:rsid w:val="00704A2C"/>
    <w:rsid w:val="007052D8"/>
    <w:rsid w:val="007072D8"/>
    <w:rsid w:val="007157A7"/>
    <w:rsid w:val="00720F62"/>
    <w:rsid w:val="007214A7"/>
    <w:rsid w:val="0072202E"/>
    <w:rsid w:val="00723187"/>
    <w:rsid w:val="00723FBE"/>
    <w:rsid w:val="007245A4"/>
    <w:rsid w:val="00725BD4"/>
    <w:rsid w:val="007265BC"/>
    <w:rsid w:val="0073205F"/>
    <w:rsid w:val="007324C3"/>
    <w:rsid w:val="0073274D"/>
    <w:rsid w:val="00733C75"/>
    <w:rsid w:val="00734743"/>
    <w:rsid w:val="007349E8"/>
    <w:rsid w:val="00734E6D"/>
    <w:rsid w:val="0073501B"/>
    <w:rsid w:val="00735E99"/>
    <w:rsid w:val="00747FFC"/>
    <w:rsid w:val="007501C9"/>
    <w:rsid w:val="0075165F"/>
    <w:rsid w:val="007521D2"/>
    <w:rsid w:val="007532D6"/>
    <w:rsid w:val="00760DE2"/>
    <w:rsid w:val="007611E9"/>
    <w:rsid w:val="00763E95"/>
    <w:rsid w:val="00765F58"/>
    <w:rsid w:val="0077176D"/>
    <w:rsid w:val="00772839"/>
    <w:rsid w:val="007734FB"/>
    <w:rsid w:val="00773684"/>
    <w:rsid w:val="00774749"/>
    <w:rsid w:val="00781F76"/>
    <w:rsid w:val="007870F8"/>
    <w:rsid w:val="00791972"/>
    <w:rsid w:val="00792A67"/>
    <w:rsid w:val="007A2106"/>
    <w:rsid w:val="007A531D"/>
    <w:rsid w:val="007A61E0"/>
    <w:rsid w:val="007A7D6D"/>
    <w:rsid w:val="007B026A"/>
    <w:rsid w:val="007B04FE"/>
    <w:rsid w:val="007B2161"/>
    <w:rsid w:val="007B28C8"/>
    <w:rsid w:val="007B3226"/>
    <w:rsid w:val="007B390D"/>
    <w:rsid w:val="007B6207"/>
    <w:rsid w:val="007C0368"/>
    <w:rsid w:val="007C0A28"/>
    <w:rsid w:val="007C1E72"/>
    <w:rsid w:val="007C3D9C"/>
    <w:rsid w:val="007C5B43"/>
    <w:rsid w:val="007C6359"/>
    <w:rsid w:val="007C6E02"/>
    <w:rsid w:val="007C75F0"/>
    <w:rsid w:val="007C7E07"/>
    <w:rsid w:val="007D5292"/>
    <w:rsid w:val="007E46AC"/>
    <w:rsid w:val="007F0190"/>
    <w:rsid w:val="007F08DB"/>
    <w:rsid w:val="007F2580"/>
    <w:rsid w:val="007F32BA"/>
    <w:rsid w:val="007F38FF"/>
    <w:rsid w:val="007F4477"/>
    <w:rsid w:val="007F774B"/>
    <w:rsid w:val="00802D78"/>
    <w:rsid w:val="0080374E"/>
    <w:rsid w:val="008048DC"/>
    <w:rsid w:val="00805FC8"/>
    <w:rsid w:val="008075AF"/>
    <w:rsid w:val="008123C5"/>
    <w:rsid w:val="0081355C"/>
    <w:rsid w:val="00813D60"/>
    <w:rsid w:val="00813DA7"/>
    <w:rsid w:val="0081482B"/>
    <w:rsid w:val="00817DE8"/>
    <w:rsid w:val="0082064D"/>
    <w:rsid w:val="00820D56"/>
    <w:rsid w:val="00821EA7"/>
    <w:rsid w:val="00824933"/>
    <w:rsid w:val="00825CFC"/>
    <w:rsid w:val="008271B4"/>
    <w:rsid w:val="00830EF0"/>
    <w:rsid w:val="008334C4"/>
    <w:rsid w:val="008335FD"/>
    <w:rsid w:val="00833FE8"/>
    <w:rsid w:val="00834769"/>
    <w:rsid w:val="00836333"/>
    <w:rsid w:val="00836EF8"/>
    <w:rsid w:val="0084185D"/>
    <w:rsid w:val="00842286"/>
    <w:rsid w:val="008440B6"/>
    <w:rsid w:val="00846B26"/>
    <w:rsid w:val="0084730C"/>
    <w:rsid w:val="008522EE"/>
    <w:rsid w:val="0085275B"/>
    <w:rsid w:val="00853A47"/>
    <w:rsid w:val="00853F7B"/>
    <w:rsid w:val="008540E7"/>
    <w:rsid w:val="00855772"/>
    <w:rsid w:val="00855B3C"/>
    <w:rsid w:val="00857DA4"/>
    <w:rsid w:val="00860447"/>
    <w:rsid w:val="00862AA7"/>
    <w:rsid w:val="00866EB8"/>
    <w:rsid w:val="008714F4"/>
    <w:rsid w:val="00871D6C"/>
    <w:rsid w:val="0087465C"/>
    <w:rsid w:val="00874757"/>
    <w:rsid w:val="00874782"/>
    <w:rsid w:val="00880186"/>
    <w:rsid w:val="008827B8"/>
    <w:rsid w:val="00883AC0"/>
    <w:rsid w:val="008843ED"/>
    <w:rsid w:val="00886D7F"/>
    <w:rsid w:val="00886EC2"/>
    <w:rsid w:val="00887931"/>
    <w:rsid w:val="00887A63"/>
    <w:rsid w:val="00887A66"/>
    <w:rsid w:val="00891354"/>
    <w:rsid w:val="008926EC"/>
    <w:rsid w:val="00894F2D"/>
    <w:rsid w:val="00895387"/>
    <w:rsid w:val="00895527"/>
    <w:rsid w:val="008955D7"/>
    <w:rsid w:val="008A0632"/>
    <w:rsid w:val="008A144B"/>
    <w:rsid w:val="008A15E6"/>
    <w:rsid w:val="008A5D7A"/>
    <w:rsid w:val="008B12A9"/>
    <w:rsid w:val="008B164E"/>
    <w:rsid w:val="008B23F1"/>
    <w:rsid w:val="008B3E99"/>
    <w:rsid w:val="008B4E31"/>
    <w:rsid w:val="008C07D6"/>
    <w:rsid w:val="008C13BA"/>
    <w:rsid w:val="008C285F"/>
    <w:rsid w:val="008C28B4"/>
    <w:rsid w:val="008C2A04"/>
    <w:rsid w:val="008C30E4"/>
    <w:rsid w:val="008C5BB7"/>
    <w:rsid w:val="008C5CB0"/>
    <w:rsid w:val="008C686A"/>
    <w:rsid w:val="008C68CC"/>
    <w:rsid w:val="008C74C4"/>
    <w:rsid w:val="008C74FC"/>
    <w:rsid w:val="008D37F8"/>
    <w:rsid w:val="008D6A33"/>
    <w:rsid w:val="008D6F76"/>
    <w:rsid w:val="008D7678"/>
    <w:rsid w:val="008D7F0D"/>
    <w:rsid w:val="008E0B42"/>
    <w:rsid w:val="008E1D14"/>
    <w:rsid w:val="008E2076"/>
    <w:rsid w:val="008E2754"/>
    <w:rsid w:val="008E4020"/>
    <w:rsid w:val="008E4F4E"/>
    <w:rsid w:val="008E5572"/>
    <w:rsid w:val="008E5866"/>
    <w:rsid w:val="008E6447"/>
    <w:rsid w:val="008E67E2"/>
    <w:rsid w:val="008F0FB2"/>
    <w:rsid w:val="008F4257"/>
    <w:rsid w:val="008F46C6"/>
    <w:rsid w:val="008F4F90"/>
    <w:rsid w:val="00900308"/>
    <w:rsid w:val="00900480"/>
    <w:rsid w:val="00905890"/>
    <w:rsid w:val="0090786C"/>
    <w:rsid w:val="00907CC3"/>
    <w:rsid w:val="00913D28"/>
    <w:rsid w:val="00913D6D"/>
    <w:rsid w:val="0091494C"/>
    <w:rsid w:val="00914C55"/>
    <w:rsid w:val="00920553"/>
    <w:rsid w:val="00921D3D"/>
    <w:rsid w:val="00924D79"/>
    <w:rsid w:val="00925903"/>
    <w:rsid w:val="00926E8F"/>
    <w:rsid w:val="00931B19"/>
    <w:rsid w:val="009335C6"/>
    <w:rsid w:val="0093372C"/>
    <w:rsid w:val="0093749A"/>
    <w:rsid w:val="00937873"/>
    <w:rsid w:val="009406EF"/>
    <w:rsid w:val="00941283"/>
    <w:rsid w:val="0094300F"/>
    <w:rsid w:val="009451CC"/>
    <w:rsid w:val="00947143"/>
    <w:rsid w:val="00951172"/>
    <w:rsid w:val="0095362C"/>
    <w:rsid w:val="00954AC3"/>
    <w:rsid w:val="00954BEC"/>
    <w:rsid w:val="00956E15"/>
    <w:rsid w:val="00956FC6"/>
    <w:rsid w:val="00963C18"/>
    <w:rsid w:val="0096609A"/>
    <w:rsid w:val="009664C5"/>
    <w:rsid w:val="00966A3B"/>
    <w:rsid w:val="00967D22"/>
    <w:rsid w:val="00972CD5"/>
    <w:rsid w:val="009735ED"/>
    <w:rsid w:val="009742A5"/>
    <w:rsid w:val="00974BC5"/>
    <w:rsid w:val="00976277"/>
    <w:rsid w:val="00976CC4"/>
    <w:rsid w:val="009800C6"/>
    <w:rsid w:val="00980EEF"/>
    <w:rsid w:val="009832F4"/>
    <w:rsid w:val="0098360C"/>
    <w:rsid w:val="00983D77"/>
    <w:rsid w:val="0098542A"/>
    <w:rsid w:val="00991045"/>
    <w:rsid w:val="00991808"/>
    <w:rsid w:val="0099192D"/>
    <w:rsid w:val="009935BA"/>
    <w:rsid w:val="009A09B9"/>
    <w:rsid w:val="009A0A6F"/>
    <w:rsid w:val="009A0D04"/>
    <w:rsid w:val="009A1CC6"/>
    <w:rsid w:val="009A24C5"/>
    <w:rsid w:val="009A3E57"/>
    <w:rsid w:val="009A4134"/>
    <w:rsid w:val="009A4A01"/>
    <w:rsid w:val="009A4A87"/>
    <w:rsid w:val="009A6F49"/>
    <w:rsid w:val="009A782E"/>
    <w:rsid w:val="009A7DB6"/>
    <w:rsid w:val="009B1FDA"/>
    <w:rsid w:val="009B48F9"/>
    <w:rsid w:val="009B5769"/>
    <w:rsid w:val="009B6EC0"/>
    <w:rsid w:val="009C0210"/>
    <w:rsid w:val="009C0499"/>
    <w:rsid w:val="009C43E9"/>
    <w:rsid w:val="009C492E"/>
    <w:rsid w:val="009C4B06"/>
    <w:rsid w:val="009C57E0"/>
    <w:rsid w:val="009C5BC4"/>
    <w:rsid w:val="009C5E5F"/>
    <w:rsid w:val="009C648F"/>
    <w:rsid w:val="009C7EF4"/>
    <w:rsid w:val="009D150A"/>
    <w:rsid w:val="009D20A0"/>
    <w:rsid w:val="009D32FE"/>
    <w:rsid w:val="009D604A"/>
    <w:rsid w:val="009D7137"/>
    <w:rsid w:val="009D72D2"/>
    <w:rsid w:val="009E338B"/>
    <w:rsid w:val="009E48AA"/>
    <w:rsid w:val="009E5C27"/>
    <w:rsid w:val="009E6941"/>
    <w:rsid w:val="009E7122"/>
    <w:rsid w:val="009F1286"/>
    <w:rsid w:val="009F4258"/>
    <w:rsid w:val="009F51D0"/>
    <w:rsid w:val="009F7A07"/>
    <w:rsid w:val="00A00004"/>
    <w:rsid w:val="00A00057"/>
    <w:rsid w:val="00A00A22"/>
    <w:rsid w:val="00A03F64"/>
    <w:rsid w:val="00A074A0"/>
    <w:rsid w:val="00A10B26"/>
    <w:rsid w:val="00A116F9"/>
    <w:rsid w:val="00A12429"/>
    <w:rsid w:val="00A13E16"/>
    <w:rsid w:val="00A13EDC"/>
    <w:rsid w:val="00A154B5"/>
    <w:rsid w:val="00A16A01"/>
    <w:rsid w:val="00A16A36"/>
    <w:rsid w:val="00A16D04"/>
    <w:rsid w:val="00A20235"/>
    <w:rsid w:val="00A2069F"/>
    <w:rsid w:val="00A22A23"/>
    <w:rsid w:val="00A2391B"/>
    <w:rsid w:val="00A24073"/>
    <w:rsid w:val="00A26E60"/>
    <w:rsid w:val="00A304F0"/>
    <w:rsid w:val="00A33A2F"/>
    <w:rsid w:val="00A34B72"/>
    <w:rsid w:val="00A35C7D"/>
    <w:rsid w:val="00A368A9"/>
    <w:rsid w:val="00A37F04"/>
    <w:rsid w:val="00A4195D"/>
    <w:rsid w:val="00A420A7"/>
    <w:rsid w:val="00A43599"/>
    <w:rsid w:val="00A43E90"/>
    <w:rsid w:val="00A44B86"/>
    <w:rsid w:val="00A47192"/>
    <w:rsid w:val="00A54429"/>
    <w:rsid w:val="00A555F0"/>
    <w:rsid w:val="00A57934"/>
    <w:rsid w:val="00A57A04"/>
    <w:rsid w:val="00A57D95"/>
    <w:rsid w:val="00A608EC"/>
    <w:rsid w:val="00A61076"/>
    <w:rsid w:val="00A64311"/>
    <w:rsid w:val="00A6440C"/>
    <w:rsid w:val="00A654AB"/>
    <w:rsid w:val="00A6696A"/>
    <w:rsid w:val="00A677B3"/>
    <w:rsid w:val="00A67B30"/>
    <w:rsid w:val="00A67D9C"/>
    <w:rsid w:val="00A7007D"/>
    <w:rsid w:val="00A70F97"/>
    <w:rsid w:val="00A73FC1"/>
    <w:rsid w:val="00A74A88"/>
    <w:rsid w:val="00A76AD4"/>
    <w:rsid w:val="00A76C4C"/>
    <w:rsid w:val="00A823F1"/>
    <w:rsid w:val="00A86DE2"/>
    <w:rsid w:val="00A92687"/>
    <w:rsid w:val="00A931A1"/>
    <w:rsid w:val="00A938BE"/>
    <w:rsid w:val="00A94067"/>
    <w:rsid w:val="00A9492C"/>
    <w:rsid w:val="00A9586D"/>
    <w:rsid w:val="00A9779C"/>
    <w:rsid w:val="00AA1883"/>
    <w:rsid w:val="00AA1D07"/>
    <w:rsid w:val="00AA3DF3"/>
    <w:rsid w:val="00AA54CC"/>
    <w:rsid w:val="00AA636F"/>
    <w:rsid w:val="00AA6E6E"/>
    <w:rsid w:val="00AA71FB"/>
    <w:rsid w:val="00AA7B55"/>
    <w:rsid w:val="00AB0EC5"/>
    <w:rsid w:val="00AB2965"/>
    <w:rsid w:val="00AB5942"/>
    <w:rsid w:val="00AC0F5D"/>
    <w:rsid w:val="00AC1BD1"/>
    <w:rsid w:val="00AC1F05"/>
    <w:rsid w:val="00AC274B"/>
    <w:rsid w:val="00AC2C87"/>
    <w:rsid w:val="00AC2F31"/>
    <w:rsid w:val="00AC3669"/>
    <w:rsid w:val="00AC3882"/>
    <w:rsid w:val="00AC4AD6"/>
    <w:rsid w:val="00AC5D83"/>
    <w:rsid w:val="00AC6355"/>
    <w:rsid w:val="00AC6E39"/>
    <w:rsid w:val="00AD06A8"/>
    <w:rsid w:val="00AD094E"/>
    <w:rsid w:val="00AD1DD4"/>
    <w:rsid w:val="00AD4AE5"/>
    <w:rsid w:val="00AD5659"/>
    <w:rsid w:val="00AD6B5E"/>
    <w:rsid w:val="00AE00B4"/>
    <w:rsid w:val="00AE1B9D"/>
    <w:rsid w:val="00AE25FA"/>
    <w:rsid w:val="00AE31A0"/>
    <w:rsid w:val="00AE337F"/>
    <w:rsid w:val="00AE3570"/>
    <w:rsid w:val="00AE370F"/>
    <w:rsid w:val="00AE3AAA"/>
    <w:rsid w:val="00AE456E"/>
    <w:rsid w:val="00AF10F8"/>
    <w:rsid w:val="00AF46E2"/>
    <w:rsid w:val="00AF56A1"/>
    <w:rsid w:val="00AF6261"/>
    <w:rsid w:val="00AF6DFC"/>
    <w:rsid w:val="00AF7511"/>
    <w:rsid w:val="00AF7F93"/>
    <w:rsid w:val="00B00BF8"/>
    <w:rsid w:val="00B01536"/>
    <w:rsid w:val="00B04978"/>
    <w:rsid w:val="00B04E08"/>
    <w:rsid w:val="00B05A31"/>
    <w:rsid w:val="00B05B5C"/>
    <w:rsid w:val="00B05D75"/>
    <w:rsid w:val="00B05EE3"/>
    <w:rsid w:val="00B070B8"/>
    <w:rsid w:val="00B10BD7"/>
    <w:rsid w:val="00B120BF"/>
    <w:rsid w:val="00B12933"/>
    <w:rsid w:val="00B1379D"/>
    <w:rsid w:val="00B16604"/>
    <w:rsid w:val="00B2044A"/>
    <w:rsid w:val="00B21D80"/>
    <w:rsid w:val="00B230CA"/>
    <w:rsid w:val="00B24BD1"/>
    <w:rsid w:val="00B261F7"/>
    <w:rsid w:val="00B278DF"/>
    <w:rsid w:val="00B30EC3"/>
    <w:rsid w:val="00B32F34"/>
    <w:rsid w:val="00B34279"/>
    <w:rsid w:val="00B35B5F"/>
    <w:rsid w:val="00B36D26"/>
    <w:rsid w:val="00B36FEF"/>
    <w:rsid w:val="00B411A4"/>
    <w:rsid w:val="00B44033"/>
    <w:rsid w:val="00B461DE"/>
    <w:rsid w:val="00B50E5B"/>
    <w:rsid w:val="00B52CB0"/>
    <w:rsid w:val="00B56A3F"/>
    <w:rsid w:val="00B56B9F"/>
    <w:rsid w:val="00B57464"/>
    <w:rsid w:val="00B6049C"/>
    <w:rsid w:val="00B6131D"/>
    <w:rsid w:val="00B6384F"/>
    <w:rsid w:val="00B64E92"/>
    <w:rsid w:val="00B64E95"/>
    <w:rsid w:val="00B66A7E"/>
    <w:rsid w:val="00B75203"/>
    <w:rsid w:val="00B7545B"/>
    <w:rsid w:val="00B75D3C"/>
    <w:rsid w:val="00B75F82"/>
    <w:rsid w:val="00B7742C"/>
    <w:rsid w:val="00B80744"/>
    <w:rsid w:val="00B8137D"/>
    <w:rsid w:val="00B82424"/>
    <w:rsid w:val="00B824B1"/>
    <w:rsid w:val="00B8269B"/>
    <w:rsid w:val="00B8534A"/>
    <w:rsid w:val="00B85422"/>
    <w:rsid w:val="00B85AF7"/>
    <w:rsid w:val="00B85F84"/>
    <w:rsid w:val="00B86DFD"/>
    <w:rsid w:val="00B87B27"/>
    <w:rsid w:val="00B87BDF"/>
    <w:rsid w:val="00B90055"/>
    <w:rsid w:val="00B9041E"/>
    <w:rsid w:val="00B91708"/>
    <w:rsid w:val="00B92945"/>
    <w:rsid w:val="00B93BC4"/>
    <w:rsid w:val="00B94F1F"/>
    <w:rsid w:val="00B96D53"/>
    <w:rsid w:val="00B9752F"/>
    <w:rsid w:val="00BA1E48"/>
    <w:rsid w:val="00BA291E"/>
    <w:rsid w:val="00BA2FD8"/>
    <w:rsid w:val="00BA6692"/>
    <w:rsid w:val="00BA7961"/>
    <w:rsid w:val="00BB0EF9"/>
    <w:rsid w:val="00BB39AF"/>
    <w:rsid w:val="00BB4488"/>
    <w:rsid w:val="00BB4648"/>
    <w:rsid w:val="00BC3C4E"/>
    <w:rsid w:val="00BC6264"/>
    <w:rsid w:val="00BD19C8"/>
    <w:rsid w:val="00BD207D"/>
    <w:rsid w:val="00BD3C85"/>
    <w:rsid w:val="00BD5861"/>
    <w:rsid w:val="00BD66B5"/>
    <w:rsid w:val="00BD6C3B"/>
    <w:rsid w:val="00BE0AB5"/>
    <w:rsid w:val="00BE1047"/>
    <w:rsid w:val="00BE2366"/>
    <w:rsid w:val="00BE243A"/>
    <w:rsid w:val="00BE25FA"/>
    <w:rsid w:val="00BE2CBF"/>
    <w:rsid w:val="00BE2EF6"/>
    <w:rsid w:val="00BE3542"/>
    <w:rsid w:val="00BE374F"/>
    <w:rsid w:val="00BE6ADC"/>
    <w:rsid w:val="00BE7041"/>
    <w:rsid w:val="00BE755C"/>
    <w:rsid w:val="00BF0314"/>
    <w:rsid w:val="00BF0B5B"/>
    <w:rsid w:val="00C04340"/>
    <w:rsid w:val="00C064A1"/>
    <w:rsid w:val="00C1148A"/>
    <w:rsid w:val="00C11E46"/>
    <w:rsid w:val="00C13E81"/>
    <w:rsid w:val="00C13EAD"/>
    <w:rsid w:val="00C1465F"/>
    <w:rsid w:val="00C1522D"/>
    <w:rsid w:val="00C15B74"/>
    <w:rsid w:val="00C21C57"/>
    <w:rsid w:val="00C22A71"/>
    <w:rsid w:val="00C23591"/>
    <w:rsid w:val="00C23FD3"/>
    <w:rsid w:val="00C27980"/>
    <w:rsid w:val="00C329DA"/>
    <w:rsid w:val="00C34271"/>
    <w:rsid w:val="00C3445D"/>
    <w:rsid w:val="00C349EF"/>
    <w:rsid w:val="00C40BC7"/>
    <w:rsid w:val="00C41835"/>
    <w:rsid w:val="00C423E3"/>
    <w:rsid w:val="00C43385"/>
    <w:rsid w:val="00C4338E"/>
    <w:rsid w:val="00C4573F"/>
    <w:rsid w:val="00C45AC3"/>
    <w:rsid w:val="00C50A0F"/>
    <w:rsid w:val="00C52BE8"/>
    <w:rsid w:val="00C531E1"/>
    <w:rsid w:val="00C55A77"/>
    <w:rsid w:val="00C56A06"/>
    <w:rsid w:val="00C56BAB"/>
    <w:rsid w:val="00C577B2"/>
    <w:rsid w:val="00C57F07"/>
    <w:rsid w:val="00C64874"/>
    <w:rsid w:val="00C70605"/>
    <w:rsid w:val="00C708D4"/>
    <w:rsid w:val="00C7153A"/>
    <w:rsid w:val="00C71F21"/>
    <w:rsid w:val="00C75095"/>
    <w:rsid w:val="00C754D8"/>
    <w:rsid w:val="00C77E3F"/>
    <w:rsid w:val="00C80314"/>
    <w:rsid w:val="00C80951"/>
    <w:rsid w:val="00C83210"/>
    <w:rsid w:val="00C838CB"/>
    <w:rsid w:val="00C83DA3"/>
    <w:rsid w:val="00C849D0"/>
    <w:rsid w:val="00C86711"/>
    <w:rsid w:val="00C872D2"/>
    <w:rsid w:val="00C9147A"/>
    <w:rsid w:val="00C9196B"/>
    <w:rsid w:val="00C92760"/>
    <w:rsid w:val="00C9348B"/>
    <w:rsid w:val="00CA0BEE"/>
    <w:rsid w:val="00CA23C9"/>
    <w:rsid w:val="00CA2BA3"/>
    <w:rsid w:val="00CA53CB"/>
    <w:rsid w:val="00CA59B6"/>
    <w:rsid w:val="00CA63B1"/>
    <w:rsid w:val="00CA6D2D"/>
    <w:rsid w:val="00CA79E9"/>
    <w:rsid w:val="00CB2213"/>
    <w:rsid w:val="00CB29B9"/>
    <w:rsid w:val="00CC7063"/>
    <w:rsid w:val="00CD1691"/>
    <w:rsid w:val="00CD17E4"/>
    <w:rsid w:val="00CD3FAC"/>
    <w:rsid w:val="00CD47EE"/>
    <w:rsid w:val="00CD4F59"/>
    <w:rsid w:val="00CD59D6"/>
    <w:rsid w:val="00CD6110"/>
    <w:rsid w:val="00CE102A"/>
    <w:rsid w:val="00CE5E4B"/>
    <w:rsid w:val="00CE6DE1"/>
    <w:rsid w:val="00CE7075"/>
    <w:rsid w:val="00CE73C1"/>
    <w:rsid w:val="00CF05AD"/>
    <w:rsid w:val="00CF12F8"/>
    <w:rsid w:val="00CF1EB7"/>
    <w:rsid w:val="00CF78E5"/>
    <w:rsid w:val="00CF7AEA"/>
    <w:rsid w:val="00D002B4"/>
    <w:rsid w:val="00D02547"/>
    <w:rsid w:val="00D05F9E"/>
    <w:rsid w:val="00D07C0D"/>
    <w:rsid w:val="00D11C10"/>
    <w:rsid w:val="00D1270F"/>
    <w:rsid w:val="00D17812"/>
    <w:rsid w:val="00D20A9E"/>
    <w:rsid w:val="00D21568"/>
    <w:rsid w:val="00D219EB"/>
    <w:rsid w:val="00D244C7"/>
    <w:rsid w:val="00D250F6"/>
    <w:rsid w:val="00D278C6"/>
    <w:rsid w:val="00D30500"/>
    <w:rsid w:val="00D30FFF"/>
    <w:rsid w:val="00D31E80"/>
    <w:rsid w:val="00D3258D"/>
    <w:rsid w:val="00D3260F"/>
    <w:rsid w:val="00D32B01"/>
    <w:rsid w:val="00D32FBF"/>
    <w:rsid w:val="00D33D92"/>
    <w:rsid w:val="00D35D0B"/>
    <w:rsid w:val="00D360B6"/>
    <w:rsid w:val="00D3629D"/>
    <w:rsid w:val="00D37555"/>
    <w:rsid w:val="00D40712"/>
    <w:rsid w:val="00D44D85"/>
    <w:rsid w:val="00D45380"/>
    <w:rsid w:val="00D4570A"/>
    <w:rsid w:val="00D502EC"/>
    <w:rsid w:val="00D502EE"/>
    <w:rsid w:val="00D50A3F"/>
    <w:rsid w:val="00D5290B"/>
    <w:rsid w:val="00D550F5"/>
    <w:rsid w:val="00D56292"/>
    <w:rsid w:val="00D6336E"/>
    <w:rsid w:val="00D63908"/>
    <w:rsid w:val="00D65567"/>
    <w:rsid w:val="00D656F1"/>
    <w:rsid w:val="00D659DC"/>
    <w:rsid w:val="00D678EF"/>
    <w:rsid w:val="00D67E3C"/>
    <w:rsid w:val="00D70D01"/>
    <w:rsid w:val="00D71F97"/>
    <w:rsid w:val="00D72ACB"/>
    <w:rsid w:val="00D72C4D"/>
    <w:rsid w:val="00D74595"/>
    <w:rsid w:val="00D80783"/>
    <w:rsid w:val="00D812DA"/>
    <w:rsid w:val="00D81305"/>
    <w:rsid w:val="00D83E30"/>
    <w:rsid w:val="00D853D0"/>
    <w:rsid w:val="00D91191"/>
    <w:rsid w:val="00D91394"/>
    <w:rsid w:val="00D93ED2"/>
    <w:rsid w:val="00D9430F"/>
    <w:rsid w:val="00D96843"/>
    <w:rsid w:val="00D97020"/>
    <w:rsid w:val="00D97470"/>
    <w:rsid w:val="00D978D2"/>
    <w:rsid w:val="00DA06BF"/>
    <w:rsid w:val="00DA1D85"/>
    <w:rsid w:val="00DA24FE"/>
    <w:rsid w:val="00DA2DEE"/>
    <w:rsid w:val="00DA4DE9"/>
    <w:rsid w:val="00DA70A9"/>
    <w:rsid w:val="00DA75C0"/>
    <w:rsid w:val="00DB1D3C"/>
    <w:rsid w:val="00DB36A9"/>
    <w:rsid w:val="00DB7EB6"/>
    <w:rsid w:val="00DC08C0"/>
    <w:rsid w:val="00DC15F4"/>
    <w:rsid w:val="00DC1AC9"/>
    <w:rsid w:val="00DC1BE4"/>
    <w:rsid w:val="00DC22B1"/>
    <w:rsid w:val="00DC36EE"/>
    <w:rsid w:val="00DC3D02"/>
    <w:rsid w:val="00DD13B7"/>
    <w:rsid w:val="00DD2766"/>
    <w:rsid w:val="00DD2839"/>
    <w:rsid w:val="00DD3719"/>
    <w:rsid w:val="00DD5395"/>
    <w:rsid w:val="00DD5B57"/>
    <w:rsid w:val="00DD71F0"/>
    <w:rsid w:val="00DD7D55"/>
    <w:rsid w:val="00DE02BD"/>
    <w:rsid w:val="00DE0324"/>
    <w:rsid w:val="00DE11EB"/>
    <w:rsid w:val="00DE12DC"/>
    <w:rsid w:val="00DE1E59"/>
    <w:rsid w:val="00DE583F"/>
    <w:rsid w:val="00DE638F"/>
    <w:rsid w:val="00DF01D9"/>
    <w:rsid w:val="00DF4495"/>
    <w:rsid w:val="00DF50FE"/>
    <w:rsid w:val="00DF6E62"/>
    <w:rsid w:val="00E002A3"/>
    <w:rsid w:val="00E00B1B"/>
    <w:rsid w:val="00E037E6"/>
    <w:rsid w:val="00E0475D"/>
    <w:rsid w:val="00E04F16"/>
    <w:rsid w:val="00E0599C"/>
    <w:rsid w:val="00E130EA"/>
    <w:rsid w:val="00E14A9B"/>
    <w:rsid w:val="00E16E71"/>
    <w:rsid w:val="00E17BE8"/>
    <w:rsid w:val="00E17C40"/>
    <w:rsid w:val="00E2186B"/>
    <w:rsid w:val="00E229DA"/>
    <w:rsid w:val="00E31C9F"/>
    <w:rsid w:val="00E35075"/>
    <w:rsid w:val="00E374DB"/>
    <w:rsid w:val="00E37E7A"/>
    <w:rsid w:val="00E40956"/>
    <w:rsid w:val="00E4190B"/>
    <w:rsid w:val="00E41A81"/>
    <w:rsid w:val="00E46886"/>
    <w:rsid w:val="00E5095D"/>
    <w:rsid w:val="00E50F16"/>
    <w:rsid w:val="00E520AB"/>
    <w:rsid w:val="00E5230F"/>
    <w:rsid w:val="00E526C0"/>
    <w:rsid w:val="00E53CB5"/>
    <w:rsid w:val="00E53FDD"/>
    <w:rsid w:val="00E55B93"/>
    <w:rsid w:val="00E576E2"/>
    <w:rsid w:val="00E60837"/>
    <w:rsid w:val="00E60E27"/>
    <w:rsid w:val="00E648B2"/>
    <w:rsid w:val="00E64E7B"/>
    <w:rsid w:val="00E6591E"/>
    <w:rsid w:val="00E65D24"/>
    <w:rsid w:val="00E67A86"/>
    <w:rsid w:val="00E70896"/>
    <w:rsid w:val="00E7105F"/>
    <w:rsid w:val="00E718A0"/>
    <w:rsid w:val="00E720E8"/>
    <w:rsid w:val="00E735C4"/>
    <w:rsid w:val="00E75644"/>
    <w:rsid w:val="00E75ED6"/>
    <w:rsid w:val="00E86C80"/>
    <w:rsid w:val="00E9409C"/>
    <w:rsid w:val="00E96415"/>
    <w:rsid w:val="00E96B08"/>
    <w:rsid w:val="00EA0D21"/>
    <w:rsid w:val="00EA1D29"/>
    <w:rsid w:val="00EA20FF"/>
    <w:rsid w:val="00EA6034"/>
    <w:rsid w:val="00EC0A79"/>
    <w:rsid w:val="00EC30FF"/>
    <w:rsid w:val="00EC4EF0"/>
    <w:rsid w:val="00EC53F8"/>
    <w:rsid w:val="00EC679E"/>
    <w:rsid w:val="00ED0E2B"/>
    <w:rsid w:val="00EE2A72"/>
    <w:rsid w:val="00EE3D08"/>
    <w:rsid w:val="00EE4138"/>
    <w:rsid w:val="00EE567A"/>
    <w:rsid w:val="00EE68A2"/>
    <w:rsid w:val="00EE6E3E"/>
    <w:rsid w:val="00EF0D15"/>
    <w:rsid w:val="00EF1320"/>
    <w:rsid w:val="00EF4BD9"/>
    <w:rsid w:val="00EF66B4"/>
    <w:rsid w:val="00EF7C4B"/>
    <w:rsid w:val="00F01583"/>
    <w:rsid w:val="00F030A4"/>
    <w:rsid w:val="00F038C5"/>
    <w:rsid w:val="00F04A84"/>
    <w:rsid w:val="00F04BD4"/>
    <w:rsid w:val="00F05370"/>
    <w:rsid w:val="00F05A91"/>
    <w:rsid w:val="00F0673F"/>
    <w:rsid w:val="00F06C5A"/>
    <w:rsid w:val="00F06D0D"/>
    <w:rsid w:val="00F0733A"/>
    <w:rsid w:val="00F073B7"/>
    <w:rsid w:val="00F07703"/>
    <w:rsid w:val="00F07715"/>
    <w:rsid w:val="00F07850"/>
    <w:rsid w:val="00F10D7E"/>
    <w:rsid w:val="00F11125"/>
    <w:rsid w:val="00F11B4E"/>
    <w:rsid w:val="00F13799"/>
    <w:rsid w:val="00F13D7E"/>
    <w:rsid w:val="00F148C9"/>
    <w:rsid w:val="00F1728F"/>
    <w:rsid w:val="00F17C12"/>
    <w:rsid w:val="00F20027"/>
    <w:rsid w:val="00F2023F"/>
    <w:rsid w:val="00F23E6C"/>
    <w:rsid w:val="00F24739"/>
    <w:rsid w:val="00F26EA1"/>
    <w:rsid w:val="00F343E1"/>
    <w:rsid w:val="00F37A7D"/>
    <w:rsid w:val="00F401C7"/>
    <w:rsid w:val="00F4249F"/>
    <w:rsid w:val="00F437FB"/>
    <w:rsid w:val="00F54922"/>
    <w:rsid w:val="00F55074"/>
    <w:rsid w:val="00F55CF0"/>
    <w:rsid w:val="00F5728F"/>
    <w:rsid w:val="00F61CE7"/>
    <w:rsid w:val="00F631A1"/>
    <w:rsid w:val="00F64CAB"/>
    <w:rsid w:val="00F653D4"/>
    <w:rsid w:val="00F65C25"/>
    <w:rsid w:val="00F6631B"/>
    <w:rsid w:val="00F66E33"/>
    <w:rsid w:val="00F71213"/>
    <w:rsid w:val="00F7690B"/>
    <w:rsid w:val="00F76EA2"/>
    <w:rsid w:val="00F779E9"/>
    <w:rsid w:val="00F813D4"/>
    <w:rsid w:val="00F821B7"/>
    <w:rsid w:val="00F827DC"/>
    <w:rsid w:val="00F827F2"/>
    <w:rsid w:val="00F83478"/>
    <w:rsid w:val="00F8501F"/>
    <w:rsid w:val="00F8703F"/>
    <w:rsid w:val="00F90243"/>
    <w:rsid w:val="00F91B10"/>
    <w:rsid w:val="00F93B12"/>
    <w:rsid w:val="00F9560E"/>
    <w:rsid w:val="00F95A2A"/>
    <w:rsid w:val="00F96AB8"/>
    <w:rsid w:val="00FA4FC5"/>
    <w:rsid w:val="00FA550D"/>
    <w:rsid w:val="00FA5B52"/>
    <w:rsid w:val="00FA5D51"/>
    <w:rsid w:val="00FA66FD"/>
    <w:rsid w:val="00FA7549"/>
    <w:rsid w:val="00FA7EF9"/>
    <w:rsid w:val="00FB0861"/>
    <w:rsid w:val="00FB0EE1"/>
    <w:rsid w:val="00FB183F"/>
    <w:rsid w:val="00FB39B8"/>
    <w:rsid w:val="00FB666B"/>
    <w:rsid w:val="00FB6A2F"/>
    <w:rsid w:val="00FC06F7"/>
    <w:rsid w:val="00FC0D31"/>
    <w:rsid w:val="00FC428C"/>
    <w:rsid w:val="00FC4B29"/>
    <w:rsid w:val="00FC650B"/>
    <w:rsid w:val="00FC74AB"/>
    <w:rsid w:val="00FC7CBB"/>
    <w:rsid w:val="00FD20D9"/>
    <w:rsid w:val="00FD273E"/>
    <w:rsid w:val="00FD3377"/>
    <w:rsid w:val="00FD3D58"/>
    <w:rsid w:val="00FD3E08"/>
    <w:rsid w:val="00FD747C"/>
    <w:rsid w:val="00FD786A"/>
    <w:rsid w:val="00FE051C"/>
    <w:rsid w:val="00FE0543"/>
    <w:rsid w:val="00FE12B3"/>
    <w:rsid w:val="00FE2EB4"/>
    <w:rsid w:val="00FE3915"/>
    <w:rsid w:val="00FE3D3F"/>
    <w:rsid w:val="00FE64BB"/>
    <w:rsid w:val="00FF02D9"/>
    <w:rsid w:val="00FF453E"/>
    <w:rsid w:val="00FF4B0C"/>
    <w:rsid w:val="00FF52E5"/>
    <w:rsid w:val="00FF7AE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471EE95-B674-41F0-8750-E2B608469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E8F"/>
    <w:rPr>
      <w:sz w:val="24"/>
      <w:szCs w:val="24"/>
      <w:lang w:val="en-US" w:eastAsia="en-US"/>
    </w:rPr>
  </w:style>
  <w:style w:type="paragraph" w:styleId="Heading1">
    <w:name w:val="heading 1"/>
    <w:basedOn w:val="Normal"/>
    <w:next w:val="Normal"/>
    <w:link w:val="Heading1Char"/>
    <w:qFormat/>
    <w:rsid w:val="00451A24"/>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1A24"/>
    <w:rPr>
      <w:rFonts w:ascii="Arial" w:hAnsi="Arial" w:cs="Arial"/>
      <w:b/>
      <w:bCs/>
      <w:sz w:val="24"/>
      <w:szCs w:val="24"/>
      <w:lang w:val="en-US" w:eastAsia="en-US"/>
    </w:rPr>
  </w:style>
  <w:style w:type="character" w:styleId="CommentReference">
    <w:name w:val="annotation reference"/>
    <w:basedOn w:val="DefaultParagraphFont"/>
    <w:uiPriority w:val="99"/>
    <w:semiHidden/>
    <w:unhideWhenUsed/>
    <w:rsid w:val="00926E8F"/>
    <w:rPr>
      <w:sz w:val="16"/>
      <w:szCs w:val="16"/>
    </w:rPr>
  </w:style>
  <w:style w:type="paragraph" w:styleId="CommentText">
    <w:name w:val="annotation text"/>
    <w:basedOn w:val="Normal"/>
    <w:link w:val="CommentTextChar"/>
    <w:uiPriority w:val="99"/>
    <w:semiHidden/>
    <w:unhideWhenUsed/>
    <w:rsid w:val="00926E8F"/>
    <w:rPr>
      <w:sz w:val="20"/>
      <w:szCs w:val="20"/>
    </w:rPr>
  </w:style>
  <w:style w:type="character" w:customStyle="1" w:styleId="CommentTextChar">
    <w:name w:val="Comment Text Char"/>
    <w:basedOn w:val="DefaultParagraphFont"/>
    <w:link w:val="CommentText"/>
    <w:uiPriority w:val="99"/>
    <w:semiHidden/>
    <w:rsid w:val="00926E8F"/>
    <w:rPr>
      <w:lang w:val="en-US" w:eastAsia="en-US"/>
    </w:rPr>
  </w:style>
  <w:style w:type="paragraph" w:styleId="BalloonText">
    <w:name w:val="Balloon Text"/>
    <w:basedOn w:val="Normal"/>
    <w:link w:val="BalloonTextChar"/>
    <w:uiPriority w:val="99"/>
    <w:semiHidden/>
    <w:unhideWhenUsed/>
    <w:rsid w:val="00926E8F"/>
    <w:rPr>
      <w:rFonts w:ascii="Tahoma" w:hAnsi="Tahoma" w:cs="Tahoma"/>
      <w:sz w:val="16"/>
      <w:szCs w:val="16"/>
    </w:rPr>
  </w:style>
  <w:style w:type="character" w:customStyle="1" w:styleId="BalloonTextChar">
    <w:name w:val="Balloon Text Char"/>
    <w:basedOn w:val="DefaultParagraphFont"/>
    <w:link w:val="BalloonText"/>
    <w:uiPriority w:val="99"/>
    <w:semiHidden/>
    <w:rsid w:val="00926E8F"/>
    <w:rPr>
      <w:rFonts w:ascii="Tahoma" w:hAnsi="Tahoma" w:cs="Tahoma"/>
      <w:sz w:val="16"/>
      <w:szCs w:val="16"/>
      <w:lang w:val="en-US" w:eastAsia="en-US"/>
    </w:rPr>
  </w:style>
  <w:style w:type="paragraph" w:styleId="Header">
    <w:name w:val="header"/>
    <w:basedOn w:val="Normal"/>
    <w:link w:val="HeaderChar"/>
    <w:uiPriority w:val="99"/>
    <w:semiHidden/>
    <w:unhideWhenUsed/>
    <w:rsid w:val="00606BDF"/>
    <w:pPr>
      <w:tabs>
        <w:tab w:val="center" w:pos="4680"/>
        <w:tab w:val="right" w:pos="9360"/>
      </w:tabs>
    </w:pPr>
  </w:style>
  <w:style w:type="character" w:customStyle="1" w:styleId="HeaderChar">
    <w:name w:val="Header Char"/>
    <w:basedOn w:val="DefaultParagraphFont"/>
    <w:link w:val="Header"/>
    <w:uiPriority w:val="99"/>
    <w:semiHidden/>
    <w:rsid w:val="00606BDF"/>
    <w:rPr>
      <w:sz w:val="24"/>
      <w:szCs w:val="24"/>
      <w:lang w:val="en-US" w:eastAsia="en-US"/>
    </w:rPr>
  </w:style>
  <w:style w:type="paragraph" w:styleId="Footer">
    <w:name w:val="footer"/>
    <w:basedOn w:val="Normal"/>
    <w:link w:val="FooterChar"/>
    <w:uiPriority w:val="99"/>
    <w:unhideWhenUsed/>
    <w:rsid w:val="00606BDF"/>
    <w:pPr>
      <w:tabs>
        <w:tab w:val="center" w:pos="4680"/>
        <w:tab w:val="right" w:pos="9360"/>
      </w:tabs>
    </w:pPr>
  </w:style>
  <w:style w:type="character" w:customStyle="1" w:styleId="FooterChar">
    <w:name w:val="Footer Char"/>
    <w:basedOn w:val="DefaultParagraphFont"/>
    <w:link w:val="Footer"/>
    <w:uiPriority w:val="99"/>
    <w:rsid w:val="00606BDF"/>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CD4F59"/>
    <w:rPr>
      <w:b/>
      <w:bCs/>
    </w:rPr>
  </w:style>
  <w:style w:type="character" w:customStyle="1" w:styleId="CommentSubjectChar">
    <w:name w:val="Comment Subject Char"/>
    <w:basedOn w:val="CommentTextChar"/>
    <w:link w:val="CommentSubject"/>
    <w:uiPriority w:val="99"/>
    <w:semiHidden/>
    <w:rsid w:val="00CD4F5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281760">
      <w:bodyDiv w:val="1"/>
      <w:marLeft w:val="0"/>
      <w:marRight w:val="0"/>
      <w:marTop w:val="0"/>
      <w:marBottom w:val="0"/>
      <w:divBdr>
        <w:top w:val="none" w:sz="0" w:space="0" w:color="auto"/>
        <w:left w:val="none" w:sz="0" w:space="0" w:color="auto"/>
        <w:bottom w:val="none" w:sz="0" w:space="0" w:color="auto"/>
        <w:right w:val="none" w:sz="0" w:space="0" w:color="auto"/>
      </w:divBdr>
    </w:div>
    <w:div w:id="882978992">
      <w:bodyDiv w:val="1"/>
      <w:marLeft w:val="0"/>
      <w:marRight w:val="0"/>
      <w:marTop w:val="0"/>
      <w:marBottom w:val="0"/>
      <w:divBdr>
        <w:top w:val="none" w:sz="0" w:space="0" w:color="auto"/>
        <w:left w:val="none" w:sz="0" w:space="0" w:color="auto"/>
        <w:bottom w:val="none" w:sz="0" w:space="0" w:color="auto"/>
        <w:right w:val="none" w:sz="0" w:space="0" w:color="auto"/>
      </w:divBdr>
    </w:div>
    <w:div w:id="921523524">
      <w:bodyDiv w:val="1"/>
      <w:marLeft w:val="0"/>
      <w:marRight w:val="0"/>
      <w:marTop w:val="0"/>
      <w:marBottom w:val="0"/>
      <w:divBdr>
        <w:top w:val="none" w:sz="0" w:space="0" w:color="auto"/>
        <w:left w:val="none" w:sz="0" w:space="0" w:color="auto"/>
        <w:bottom w:val="none" w:sz="0" w:space="0" w:color="auto"/>
        <w:right w:val="none" w:sz="0" w:space="0" w:color="auto"/>
      </w:divBdr>
    </w:div>
    <w:div w:id="1275555630">
      <w:bodyDiv w:val="1"/>
      <w:marLeft w:val="0"/>
      <w:marRight w:val="0"/>
      <w:marTop w:val="0"/>
      <w:marBottom w:val="0"/>
      <w:divBdr>
        <w:top w:val="none" w:sz="0" w:space="0" w:color="auto"/>
        <w:left w:val="none" w:sz="0" w:space="0" w:color="auto"/>
        <w:bottom w:val="none" w:sz="0" w:space="0" w:color="auto"/>
        <w:right w:val="none" w:sz="0" w:space="0" w:color="auto"/>
      </w:divBdr>
    </w:div>
    <w:div w:id="1693647891">
      <w:bodyDiv w:val="1"/>
      <w:marLeft w:val="0"/>
      <w:marRight w:val="0"/>
      <w:marTop w:val="0"/>
      <w:marBottom w:val="0"/>
      <w:divBdr>
        <w:top w:val="none" w:sz="0" w:space="0" w:color="auto"/>
        <w:left w:val="none" w:sz="0" w:space="0" w:color="auto"/>
        <w:bottom w:val="none" w:sz="0" w:space="0" w:color="auto"/>
        <w:right w:val="none" w:sz="0" w:space="0" w:color="auto"/>
      </w:divBdr>
    </w:div>
    <w:div w:id="208367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73E14-7D34-4934-A491-714DF1A7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2587</Words>
  <Characters>14748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schlosk</dc:creator>
  <cp:lastModifiedBy>Mei, Shirley</cp:lastModifiedBy>
  <cp:revision>3</cp:revision>
  <dcterms:created xsi:type="dcterms:W3CDTF">2018-09-10T15:46:00Z</dcterms:created>
  <dcterms:modified xsi:type="dcterms:W3CDTF">2018-09-10T15:46:00Z</dcterms:modified>
</cp:coreProperties>
</file>