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6101" w14:textId="77777777" w:rsidR="009A128A" w:rsidRDefault="009A128A" w:rsidP="009A128A">
      <w:pPr>
        <w:spacing w:line="240" w:lineRule="auto"/>
        <w:rPr>
          <w:rFonts w:eastAsia="Calibri" w:cs="Arial"/>
          <w:b/>
          <w:sz w:val="28"/>
          <w:szCs w:val="22"/>
          <w:lang w:val="en-US" w:eastAsia="en-US"/>
        </w:rPr>
      </w:pPr>
      <w:bookmarkStart w:id="0" w:name="_GoBack"/>
      <w:bookmarkEnd w:id="0"/>
      <w:r>
        <w:rPr>
          <w:rFonts w:eastAsia="Calibri" w:cs="Arial"/>
          <w:b/>
          <w:sz w:val="28"/>
          <w:szCs w:val="22"/>
          <w:lang w:val="en-US" w:eastAsia="en-US"/>
        </w:rPr>
        <w:t>Supplementary information</w:t>
      </w:r>
    </w:p>
    <w:p w14:paraId="36C51FFB" w14:textId="77777777" w:rsidR="009A128A" w:rsidRDefault="009A128A" w:rsidP="009A128A">
      <w:pPr>
        <w:spacing w:line="240" w:lineRule="auto"/>
        <w:rPr>
          <w:rFonts w:eastAsia="Calibri" w:cs="Arial"/>
          <w:b/>
          <w:szCs w:val="22"/>
          <w:lang w:val="en-US" w:eastAsia="en-US"/>
        </w:rPr>
      </w:pPr>
    </w:p>
    <w:p w14:paraId="4368B800" w14:textId="5322BEAF" w:rsidR="009A128A" w:rsidRDefault="009A128A" w:rsidP="009A128A">
      <w:pPr>
        <w:spacing w:line="240" w:lineRule="auto"/>
        <w:rPr>
          <w:rFonts w:eastAsia="Calibri" w:cs="Arial"/>
          <w:b/>
          <w:szCs w:val="22"/>
          <w:lang w:val="en-US" w:eastAsia="en-US"/>
        </w:rPr>
      </w:pPr>
      <w:r>
        <w:rPr>
          <w:rFonts w:eastAsia="Calibri" w:cs="Arial"/>
          <w:b/>
          <w:szCs w:val="22"/>
          <w:lang w:val="en-US" w:eastAsia="en-US"/>
        </w:rPr>
        <w:t>Location of clinical sites</w:t>
      </w:r>
      <w:r w:rsidR="009D3E42">
        <w:rPr>
          <w:rFonts w:eastAsia="Calibri" w:cs="Arial"/>
          <w:b/>
          <w:szCs w:val="22"/>
          <w:lang w:val="en-US" w:eastAsia="en-US"/>
        </w:rPr>
        <w:t xml:space="preserve"> and the number of participants enrolled at each site</w:t>
      </w:r>
    </w:p>
    <w:p w14:paraId="2367AD58" w14:textId="77777777" w:rsidR="009A128A" w:rsidRDefault="009A128A" w:rsidP="009A128A">
      <w:pPr>
        <w:spacing w:line="240" w:lineRule="auto"/>
        <w:rPr>
          <w:lang w:val="en-US"/>
        </w:rPr>
      </w:pPr>
    </w:p>
    <w:p w14:paraId="5B71DE89" w14:textId="4AAB6179" w:rsidR="009A128A" w:rsidRPr="00760258" w:rsidRDefault="009A128A" w:rsidP="009A128A">
      <w:pPr>
        <w:pStyle w:val="ListParagraph"/>
        <w:numPr>
          <w:ilvl w:val="0"/>
          <w:numId w:val="9"/>
        </w:numPr>
        <w:spacing w:line="240" w:lineRule="auto"/>
        <w:rPr>
          <w:lang w:val="en-US"/>
        </w:rPr>
      </w:pPr>
      <w:r>
        <w:rPr>
          <w:lang w:val="en-US"/>
        </w:rPr>
        <w:t>Emory University Hospital, Atlanta</w:t>
      </w:r>
      <w:r w:rsidRPr="00760258">
        <w:rPr>
          <w:lang w:val="en-US"/>
        </w:rPr>
        <w:t>, GA</w:t>
      </w:r>
      <w:r w:rsidR="009D3E42" w:rsidRPr="00760258">
        <w:rPr>
          <w:lang w:val="en-US"/>
        </w:rPr>
        <w:t xml:space="preserve"> (</w:t>
      </w:r>
      <w:r w:rsidR="00760258" w:rsidRPr="00760258">
        <w:rPr>
          <w:lang w:val="en-US"/>
        </w:rPr>
        <w:t>1 participant</w:t>
      </w:r>
      <w:r w:rsidR="009D3E42" w:rsidRPr="00760258">
        <w:rPr>
          <w:lang w:val="en-US"/>
        </w:rPr>
        <w:t>)</w:t>
      </w:r>
    </w:p>
    <w:p w14:paraId="3A73183E" w14:textId="6DC2CE58" w:rsidR="009A128A" w:rsidRPr="00760258" w:rsidRDefault="009A128A" w:rsidP="009A128A">
      <w:pPr>
        <w:pStyle w:val="ListParagraph"/>
        <w:numPr>
          <w:ilvl w:val="0"/>
          <w:numId w:val="9"/>
        </w:numPr>
        <w:spacing w:line="240" w:lineRule="auto"/>
        <w:rPr>
          <w:lang w:val="en-US"/>
        </w:rPr>
      </w:pPr>
      <w:r w:rsidRPr="00760258">
        <w:rPr>
          <w:lang w:val="en-US"/>
        </w:rPr>
        <w:t>Grady Memorial Hospital, Atlanta, GA</w:t>
      </w:r>
      <w:r w:rsidR="009D3E42" w:rsidRPr="00760258">
        <w:rPr>
          <w:lang w:val="en-US"/>
        </w:rPr>
        <w:t xml:space="preserve"> (</w:t>
      </w:r>
      <w:r w:rsidR="00760258" w:rsidRPr="00760258">
        <w:rPr>
          <w:lang w:val="en-US"/>
        </w:rPr>
        <w:t>2</w:t>
      </w:r>
      <w:r w:rsidR="009D3E42" w:rsidRPr="00760258">
        <w:rPr>
          <w:lang w:val="en-US"/>
        </w:rPr>
        <w:t xml:space="preserve"> participants)</w:t>
      </w:r>
    </w:p>
    <w:p w14:paraId="6C75E0A2" w14:textId="0B5966E8" w:rsidR="009A128A" w:rsidRPr="00760258" w:rsidRDefault="009A128A" w:rsidP="009A128A">
      <w:pPr>
        <w:pStyle w:val="ListParagraph"/>
        <w:numPr>
          <w:ilvl w:val="0"/>
          <w:numId w:val="9"/>
        </w:numPr>
        <w:spacing w:line="240" w:lineRule="auto"/>
        <w:rPr>
          <w:lang w:val="en-US"/>
        </w:rPr>
      </w:pPr>
      <w:r w:rsidRPr="00760258">
        <w:rPr>
          <w:lang w:val="en-US"/>
        </w:rPr>
        <w:t>Ohio State University, Columbus, OH</w:t>
      </w:r>
      <w:r w:rsidR="009D3E42" w:rsidRPr="00760258">
        <w:rPr>
          <w:lang w:val="en-US"/>
        </w:rPr>
        <w:t xml:space="preserve"> (</w:t>
      </w:r>
      <w:r w:rsidR="00760258" w:rsidRPr="00760258">
        <w:rPr>
          <w:lang w:val="en-US"/>
        </w:rPr>
        <w:t>3</w:t>
      </w:r>
      <w:r w:rsidR="009D3E42" w:rsidRPr="00760258">
        <w:rPr>
          <w:lang w:val="en-US"/>
        </w:rPr>
        <w:t xml:space="preserve"> participants)</w:t>
      </w:r>
    </w:p>
    <w:p w14:paraId="01378617" w14:textId="2347016A" w:rsidR="009A128A" w:rsidRPr="00760258" w:rsidRDefault="009A128A" w:rsidP="009A128A">
      <w:pPr>
        <w:pStyle w:val="ListParagraph"/>
        <w:numPr>
          <w:ilvl w:val="0"/>
          <w:numId w:val="9"/>
        </w:numPr>
        <w:spacing w:line="240" w:lineRule="auto"/>
        <w:rPr>
          <w:lang w:val="en-US"/>
        </w:rPr>
      </w:pPr>
      <w:r w:rsidRPr="00760258">
        <w:rPr>
          <w:lang w:val="en-US"/>
        </w:rPr>
        <w:t>University of Florida College of Medicine, Gainesville, FL</w:t>
      </w:r>
      <w:r w:rsidR="009D3E42" w:rsidRPr="00760258">
        <w:rPr>
          <w:lang w:val="en-US"/>
        </w:rPr>
        <w:t xml:space="preserve"> (</w:t>
      </w:r>
      <w:r w:rsidR="00760258" w:rsidRPr="00760258">
        <w:rPr>
          <w:lang w:val="en-US"/>
        </w:rPr>
        <w:t>2</w:t>
      </w:r>
      <w:r w:rsidR="009D3E42" w:rsidRPr="00760258">
        <w:rPr>
          <w:lang w:val="en-US"/>
        </w:rPr>
        <w:t xml:space="preserve"> participants)</w:t>
      </w:r>
    </w:p>
    <w:p w14:paraId="4A1FCEBC" w14:textId="08C78F84" w:rsidR="009A128A" w:rsidRPr="00760258" w:rsidRDefault="009A128A" w:rsidP="009A128A">
      <w:pPr>
        <w:pStyle w:val="ListParagraph"/>
        <w:numPr>
          <w:ilvl w:val="0"/>
          <w:numId w:val="9"/>
        </w:numPr>
        <w:spacing w:line="240" w:lineRule="auto"/>
        <w:rPr>
          <w:lang w:val="en-US"/>
        </w:rPr>
      </w:pPr>
      <w:r w:rsidRPr="00760258">
        <w:rPr>
          <w:lang w:val="en-US"/>
        </w:rPr>
        <w:t>University of Michigan, Ann Arbor, MI</w:t>
      </w:r>
      <w:r w:rsidR="009D3E42" w:rsidRPr="00760258">
        <w:rPr>
          <w:lang w:val="en-US"/>
        </w:rPr>
        <w:t xml:space="preserve"> (</w:t>
      </w:r>
      <w:r w:rsidR="00760258" w:rsidRPr="00760258">
        <w:rPr>
          <w:lang w:val="en-US"/>
        </w:rPr>
        <w:t>2</w:t>
      </w:r>
      <w:r w:rsidR="009D3E42" w:rsidRPr="00760258">
        <w:rPr>
          <w:lang w:val="en-US"/>
        </w:rPr>
        <w:t xml:space="preserve"> participants)</w:t>
      </w:r>
    </w:p>
    <w:p w14:paraId="414AECD9" w14:textId="556B5F53" w:rsidR="009A128A" w:rsidRPr="00760258" w:rsidRDefault="009A128A" w:rsidP="009A128A">
      <w:pPr>
        <w:pStyle w:val="ListParagraph"/>
        <w:numPr>
          <w:ilvl w:val="0"/>
          <w:numId w:val="9"/>
        </w:numPr>
        <w:spacing w:line="240" w:lineRule="auto"/>
        <w:rPr>
          <w:lang w:val="en-US"/>
        </w:rPr>
      </w:pPr>
      <w:r w:rsidRPr="00760258">
        <w:rPr>
          <w:lang w:val="en-US"/>
        </w:rPr>
        <w:t>University of Pittsburgh Medical Center, Pittsburgh, PA</w:t>
      </w:r>
      <w:r w:rsidR="009D3E42" w:rsidRPr="00760258">
        <w:rPr>
          <w:lang w:val="en-US"/>
        </w:rPr>
        <w:t xml:space="preserve"> (</w:t>
      </w:r>
      <w:r w:rsidR="00760258" w:rsidRPr="00760258">
        <w:rPr>
          <w:lang w:val="en-US"/>
        </w:rPr>
        <w:t>4</w:t>
      </w:r>
      <w:r w:rsidR="009D3E42" w:rsidRPr="00760258">
        <w:rPr>
          <w:lang w:val="en-US"/>
        </w:rPr>
        <w:t xml:space="preserve"> participants)</w:t>
      </w:r>
    </w:p>
    <w:p w14:paraId="726D0B02" w14:textId="032B118D" w:rsidR="009A128A" w:rsidRPr="00760258" w:rsidRDefault="009A128A" w:rsidP="009A128A">
      <w:pPr>
        <w:pStyle w:val="ListParagraph"/>
        <w:numPr>
          <w:ilvl w:val="0"/>
          <w:numId w:val="9"/>
        </w:numPr>
        <w:spacing w:line="240" w:lineRule="auto"/>
        <w:rPr>
          <w:lang w:val="en-US"/>
        </w:rPr>
      </w:pPr>
      <w:r w:rsidRPr="00760258">
        <w:rPr>
          <w:lang w:val="en-US"/>
        </w:rPr>
        <w:t>Washington University School of Medicine, St Louis, MO</w:t>
      </w:r>
      <w:r w:rsidR="009D3E42" w:rsidRPr="00760258">
        <w:rPr>
          <w:lang w:val="en-US"/>
        </w:rPr>
        <w:t xml:space="preserve"> (</w:t>
      </w:r>
      <w:r w:rsidR="00760258" w:rsidRPr="00760258">
        <w:rPr>
          <w:lang w:val="en-US"/>
        </w:rPr>
        <w:t>11</w:t>
      </w:r>
      <w:r w:rsidR="009D3E42" w:rsidRPr="00760258">
        <w:rPr>
          <w:lang w:val="en-US"/>
        </w:rPr>
        <w:t xml:space="preserve"> participants)</w:t>
      </w:r>
    </w:p>
    <w:p w14:paraId="5C4C452F" w14:textId="77777777" w:rsidR="009A128A" w:rsidRDefault="009A128A" w:rsidP="009A128A">
      <w:pPr>
        <w:spacing w:line="240" w:lineRule="auto"/>
        <w:rPr>
          <w:lang w:val="en-US"/>
        </w:rPr>
      </w:pPr>
    </w:p>
    <w:p w14:paraId="750706D8" w14:textId="77777777" w:rsidR="009A128A" w:rsidRDefault="009A128A" w:rsidP="009A128A">
      <w:pPr>
        <w:spacing w:line="240" w:lineRule="auto"/>
        <w:rPr>
          <w:b/>
          <w:lang w:val="en-US"/>
        </w:rPr>
      </w:pPr>
      <w:r>
        <w:rPr>
          <w:b/>
          <w:lang w:val="en-US"/>
        </w:rPr>
        <w:t>Study exclusion criteria</w:t>
      </w:r>
    </w:p>
    <w:p w14:paraId="299E8674" w14:textId="77777777" w:rsidR="009A128A" w:rsidRDefault="009A128A" w:rsidP="009A128A">
      <w:pPr>
        <w:spacing w:line="240" w:lineRule="auto"/>
        <w:rPr>
          <w:b/>
          <w:lang w:val="en-US"/>
        </w:rPr>
      </w:pPr>
    </w:p>
    <w:p w14:paraId="4198DEE4" w14:textId="77777777" w:rsidR="009A128A" w:rsidRDefault="009A128A" w:rsidP="009A128A">
      <w:pPr>
        <w:pStyle w:val="ListParagraph"/>
        <w:numPr>
          <w:ilvl w:val="0"/>
          <w:numId w:val="26"/>
        </w:numPr>
        <w:spacing w:line="240" w:lineRule="auto"/>
        <w:ind w:left="284" w:hanging="284"/>
        <w:rPr>
          <w:b/>
          <w:i/>
          <w:lang w:val="en-US"/>
        </w:rPr>
      </w:pPr>
      <w:r>
        <w:rPr>
          <w:b/>
          <w:i/>
          <w:lang w:val="en-US"/>
        </w:rPr>
        <w:t>Target disease exceptions</w:t>
      </w:r>
    </w:p>
    <w:p w14:paraId="20ABA6FF" w14:textId="77777777" w:rsidR="009A128A" w:rsidRDefault="009A128A" w:rsidP="009A128A">
      <w:pPr>
        <w:spacing w:line="240" w:lineRule="auto"/>
        <w:rPr>
          <w:lang w:val="en-US"/>
        </w:rPr>
      </w:pPr>
    </w:p>
    <w:p w14:paraId="74325A21" w14:textId="77777777" w:rsidR="009A128A" w:rsidRDefault="009A128A" w:rsidP="009A128A">
      <w:pPr>
        <w:pStyle w:val="ListParagraph"/>
        <w:numPr>
          <w:ilvl w:val="0"/>
          <w:numId w:val="27"/>
        </w:numPr>
        <w:spacing w:line="240" w:lineRule="auto"/>
        <w:rPr>
          <w:lang w:val="en-US"/>
        </w:rPr>
      </w:pPr>
      <w:r>
        <w:rPr>
          <w:lang w:val="en-US"/>
        </w:rPr>
        <w:t>Previous episode of sepsis with intensive care unit (ICU) admission during the current hospitalization or previous episode of septic shock with ICU admission during the current hospitalization</w:t>
      </w:r>
    </w:p>
    <w:p w14:paraId="4AB8877E" w14:textId="77777777" w:rsidR="009A128A" w:rsidRDefault="009A128A" w:rsidP="009A128A">
      <w:pPr>
        <w:pStyle w:val="ListParagraph"/>
        <w:numPr>
          <w:ilvl w:val="0"/>
          <w:numId w:val="27"/>
        </w:numPr>
        <w:spacing w:line="240" w:lineRule="auto"/>
        <w:rPr>
          <w:lang w:val="en-US"/>
        </w:rPr>
      </w:pPr>
      <w:r>
        <w:rPr>
          <w:lang w:val="en-US"/>
        </w:rPr>
        <w:t>Presence of an advanced directive to withhold or withdraw life-sustaining treatment, or a do not resuscitate (DNR) order, or a comfort measures only (CMO) order</w:t>
      </w:r>
    </w:p>
    <w:p w14:paraId="2432CF02" w14:textId="77777777" w:rsidR="009A128A" w:rsidRDefault="009A128A" w:rsidP="009A128A">
      <w:pPr>
        <w:pStyle w:val="ListParagraph"/>
        <w:numPr>
          <w:ilvl w:val="0"/>
          <w:numId w:val="27"/>
        </w:numPr>
        <w:spacing w:line="240" w:lineRule="auto"/>
        <w:rPr>
          <w:lang w:val="en-US"/>
        </w:rPr>
      </w:pPr>
      <w:r>
        <w:rPr>
          <w:lang w:val="en-US"/>
        </w:rPr>
        <w:t>Participant’s family, treating physician, or both were not in favor of aggressive support of the participant</w:t>
      </w:r>
    </w:p>
    <w:p w14:paraId="4C3C3839" w14:textId="77777777" w:rsidR="009A128A" w:rsidRDefault="009A128A" w:rsidP="009A128A">
      <w:pPr>
        <w:spacing w:line="240" w:lineRule="auto"/>
        <w:rPr>
          <w:lang w:val="en-US"/>
        </w:rPr>
      </w:pPr>
    </w:p>
    <w:p w14:paraId="3D45BAE6" w14:textId="77777777" w:rsidR="009A128A" w:rsidRDefault="009A128A" w:rsidP="009A128A">
      <w:pPr>
        <w:pStyle w:val="ListParagraph"/>
        <w:numPr>
          <w:ilvl w:val="0"/>
          <w:numId w:val="26"/>
        </w:numPr>
        <w:spacing w:line="240" w:lineRule="auto"/>
        <w:rPr>
          <w:b/>
          <w:i/>
          <w:lang w:val="en-US"/>
        </w:rPr>
      </w:pPr>
      <w:r>
        <w:rPr>
          <w:b/>
          <w:i/>
          <w:lang w:val="en-US"/>
        </w:rPr>
        <w:t>Medical history and concurrent diseases</w:t>
      </w:r>
    </w:p>
    <w:p w14:paraId="371FDB61" w14:textId="77777777" w:rsidR="009A128A" w:rsidRDefault="009A128A" w:rsidP="009A128A">
      <w:pPr>
        <w:pStyle w:val="ListParagraph"/>
        <w:spacing w:line="240" w:lineRule="auto"/>
        <w:ind w:left="360"/>
        <w:rPr>
          <w:b/>
          <w:i/>
          <w:lang w:val="en-US"/>
        </w:rPr>
      </w:pPr>
    </w:p>
    <w:p w14:paraId="5C2FD933" w14:textId="77777777" w:rsidR="009A128A" w:rsidRDefault="009A128A" w:rsidP="009A128A">
      <w:pPr>
        <w:pStyle w:val="ListParagraph"/>
        <w:numPr>
          <w:ilvl w:val="0"/>
          <w:numId w:val="28"/>
        </w:numPr>
        <w:spacing w:line="240" w:lineRule="auto"/>
        <w:ind w:left="742" w:hanging="364"/>
        <w:rPr>
          <w:lang w:val="en-US"/>
        </w:rPr>
      </w:pPr>
      <w:r>
        <w:rPr>
          <w:lang w:val="en-US"/>
        </w:rPr>
        <w:t>Active autoimmune disease or documented history of autoimmune disease. (Note: possible exceptions to this exclusion were participants with a medical history of such entities as vitiligo, resolved childhood asthma, atopic disease, or childhood arthralgias where the clinical suspicion of autoimmune disease was low. In addition, transient autoimmune manifestations of an acute infectious disease that resolved upon treatment of the infectious agent, e.g. acute Lyme arthritis, were exceptions to this exclusion)</w:t>
      </w:r>
    </w:p>
    <w:p w14:paraId="32AC65E0" w14:textId="77777777" w:rsidR="009A128A" w:rsidRDefault="009A128A" w:rsidP="009A128A">
      <w:pPr>
        <w:pStyle w:val="ListParagraph"/>
        <w:numPr>
          <w:ilvl w:val="0"/>
          <w:numId w:val="28"/>
        </w:numPr>
        <w:spacing w:line="240" w:lineRule="auto"/>
        <w:ind w:left="742" w:hanging="364"/>
        <w:rPr>
          <w:lang w:val="en-US"/>
        </w:rPr>
      </w:pPr>
      <w:r>
        <w:rPr>
          <w:lang w:val="en-US"/>
        </w:rPr>
        <w:t>History of solid organ or bone marrow transplant</w:t>
      </w:r>
    </w:p>
    <w:p w14:paraId="1ACD0EE1" w14:textId="77777777" w:rsidR="009A128A" w:rsidRDefault="009A128A" w:rsidP="009A128A">
      <w:pPr>
        <w:pStyle w:val="ListParagraph"/>
        <w:numPr>
          <w:ilvl w:val="0"/>
          <w:numId w:val="28"/>
        </w:numPr>
        <w:spacing w:line="240" w:lineRule="auto"/>
        <w:ind w:left="742" w:hanging="364"/>
        <w:rPr>
          <w:lang w:val="en-US"/>
        </w:rPr>
      </w:pPr>
      <w:r>
        <w:rPr>
          <w:lang w:val="en-US"/>
        </w:rPr>
        <w:t>History of cancer diagnosis within 6 months prior to study drug administration or history of cancer treatment within 6 months prior to study drug administration. (Note: cancers that were apparently cured, such as basal or squamous cell skin cancer, superficial bladder cancer or carcinoma in situ of the cervix or breast, or localized prostate cancer, were not exclusions)</w:t>
      </w:r>
    </w:p>
    <w:p w14:paraId="47C092AC" w14:textId="77777777" w:rsidR="009A128A" w:rsidRDefault="009A128A" w:rsidP="009A128A">
      <w:pPr>
        <w:pStyle w:val="ListParagraph"/>
        <w:numPr>
          <w:ilvl w:val="0"/>
          <w:numId w:val="28"/>
        </w:numPr>
        <w:spacing w:line="240" w:lineRule="auto"/>
        <w:ind w:left="742" w:hanging="364"/>
        <w:rPr>
          <w:lang w:val="en-US"/>
        </w:rPr>
      </w:pPr>
      <w:r>
        <w:rPr>
          <w:lang w:val="en-US"/>
        </w:rPr>
        <w:t>Known history of uveitis (e.g. iritis, endophthalmitis, scleritis, or retinitis)</w:t>
      </w:r>
    </w:p>
    <w:p w14:paraId="41C7AE85" w14:textId="77777777" w:rsidR="009A128A" w:rsidRDefault="009A128A" w:rsidP="009A128A">
      <w:pPr>
        <w:pStyle w:val="ListParagraph"/>
        <w:numPr>
          <w:ilvl w:val="0"/>
          <w:numId w:val="28"/>
        </w:numPr>
        <w:spacing w:line="240" w:lineRule="auto"/>
        <w:ind w:left="742" w:hanging="364"/>
        <w:rPr>
          <w:lang w:val="en-US"/>
        </w:rPr>
      </w:pPr>
      <w:r>
        <w:rPr>
          <w:lang w:val="en-US"/>
        </w:rPr>
        <w:t>Known history of retinal detachment in the past 90 days</w:t>
      </w:r>
    </w:p>
    <w:p w14:paraId="247EFC95" w14:textId="77777777" w:rsidR="009A128A" w:rsidRDefault="009A128A" w:rsidP="009A128A">
      <w:pPr>
        <w:pStyle w:val="ListParagraph"/>
        <w:numPr>
          <w:ilvl w:val="0"/>
          <w:numId w:val="28"/>
        </w:numPr>
        <w:spacing w:line="240" w:lineRule="auto"/>
        <w:ind w:left="742" w:hanging="364"/>
        <w:rPr>
          <w:lang w:val="en-US"/>
        </w:rPr>
      </w:pPr>
      <w:r>
        <w:rPr>
          <w:lang w:val="en-US"/>
        </w:rPr>
        <w:t>Known history of ocular surgery in the past 90 days</w:t>
      </w:r>
    </w:p>
    <w:p w14:paraId="36ACB8EB" w14:textId="77777777" w:rsidR="009A128A" w:rsidRDefault="009A128A" w:rsidP="009A128A">
      <w:pPr>
        <w:pStyle w:val="ListParagraph"/>
        <w:numPr>
          <w:ilvl w:val="0"/>
          <w:numId w:val="28"/>
        </w:numPr>
        <w:spacing w:line="240" w:lineRule="auto"/>
        <w:ind w:left="742" w:hanging="364"/>
        <w:rPr>
          <w:lang w:val="en-US"/>
        </w:rPr>
      </w:pPr>
      <w:r>
        <w:rPr>
          <w:lang w:val="en-US"/>
        </w:rPr>
        <w:t>Known history of penetrating trauma of the eye in the past 90 days</w:t>
      </w:r>
    </w:p>
    <w:p w14:paraId="1B3EF294" w14:textId="77777777" w:rsidR="009A128A" w:rsidRDefault="009A128A" w:rsidP="009A128A">
      <w:pPr>
        <w:pStyle w:val="ListParagraph"/>
        <w:numPr>
          <w:ilvl w:val="0"/>
          <w:numId w:val="28"/>
        </w:numPr>
        <w:spacing w:line="240" w:lineRule="auto"/>
        <w:ind w:left="742" w:hanging="364"/>
        <w:rPr>
          <w:lang w:val="en-US"/>
        </w:rPr>
      </w:pPr>
      <w:r>
        <w:rPr>
          <w:lang w:val="en-US"/>
        </w:rPr>
        <w:t>Known permanent, complete loss of vision in one eye</w:t>
      </w:r>
    </w:p>
    <w:p w14:paraId="58ECDE1F" w14:textId="77777777" w:rsidR="009A128A" w:rsidRDefault="009A128A" w:rsidP="009A128A">
      <w:pPr>
        <w:pStyle w:val="ListParagraph"/>
        <w:numPr>
          <w:ilvl w:val="0"/>
          <w:numId w:val="28"/>
        </w:numPr>
        <w:spacing w:line="240" w:lineRule="auto"/>
        <w:ind w:left="742" w:hanging="364"/>
        <w:rPr>
          <w:lang w:val="en-US"/>
        </w:rPr>
      </w:pPr>
      <w:r>
        <w:rPr>
          <w:lang w:val="en-US"/>
        </w:rPr>
        <w:t>Note: known history of self-limited conjunctivitis, blepharitis, or hordeolum (stye) were not exclusions</w:t>
      </w:r>
    </w:p>
    <w:p w14:paraId="12123A9C" w14:textId="77777777" w:rsidR="009A128A" w:rsidRDefault="009A128A" w:rsidP="009A128A">
      <w:pPr>
        <w:pStyle w:val="ListParagraph"/>
        <w:numPr>
          <w:ilvl w:val="0"/>
          <w:numId w:val="28"/>
        </w:numPr>
        <w:spacing w:line="240" w:lineRule="auto"/>
        <w:ind w:left="742" w:hanging="364"/>
        <w:rPr>
          <w:lang w:val="en-US"/>
        </w:rPr>
      </w:pPr>
      <w:r>
        <w:rPr>
          <w:lang w:val="en-US"/>
        </w:rPr>
        <w:t>Known history of infection with human immunodeficiency virus (HIV) and not on antiretroviral therapy prior to the current hospitalization OR cluster of differentiation (CD)4 ≤200 cells/mm</w:t>
      </w:r>
      <w:r>
        <w:rPr>
          <w:vertAlign w:val="superscript"/>
          <w:lang w:val="en-US"/>
        </w:rPr>
        <w:t>3</w:t>
      </w:r>
      <w:r>
        <w:rPr>
          <w:lang w:val="en-US"/>
        </w:rPr>
        <w:t xml:space="preserve"> OR acquired immune deficiency syndrome (AIDS)-defining illness in the past year </w:t>
      </w:r>
    </w:p>
    <w:p w14:paraId="605F2300" w14:textId="77777777" w:rsidR="009A128A" w:rsidRDefault="009A128A" w:rsidP="009A128A">
      <w:pPr>
        <w:pStyle w:val="ListParagraph"/>
        <w:numPr>
          <w:ilvl w:val="0"/>
          <w:numId w:val="28"/>
        </w:numPr>
        <w:spacing w:line="240" w:lineRule="auto"/>
        <w:ind w:left="742" w:hanging="364"/>
        <w:rPr>
          <w:lang w:val="en-US"/>
        </w:rPr>
      </w:pPr>
      <w:r>
        <w:rPr>
          <w:lang w:val="en-US"/>
        </w:rPr>
        <w:t>Known history of infection with hepatitis C virus (HCV) and was undergoing treatment for HCV infection at the time OR had detectable HCV RNA at the time</w:t>
      </w:r>
    </w:p>
    <w:p w14:paraId="3CCE96E9" w14:textId="77777777" w:rsidR="009A128A" w:rsidRDefault="009A128A" w:rsidP="009A128A">
      <w:pPr>
        <w:pStyle w:val="ListParagraph"/>
        <w:numPr>
          <w:ilvl w:val="0"/>
          <w:numId w:val="28"/>
        </w:numPr>
        <w:spacing w:line="240" w:lineRule="auto"/>
        <w:ind w:left="742" w:hanging="364"/>
        <w:rPr>
          <w:lang w:val="en-US"/>
        </w:rPr>
      </w:pPr>
      <w:r>
        <w:rPr>
          <w:lang w:val="en-US"/>
        </w:rPr>
        <w:t>Apparent active or latent tuberculosis infection as indicated by 1 of the 2 criteria below:</w:t>
      </w:r>
    </w:p>
    <w:p w14:paraId="5C802F4D" w14:textId="77777777" w:rsidR="009A128A" w:rsidRDefault="009A128A" w:rsidP="009A128A">
      <w:pPr>
        <w:pStyle w:val="ListParagraph"/>
        <w:numPr>
          <w:ilvl w:val="0"/>
          <w:numId w:val="29"/>
        </w:numPr>
        <w:spacing w:line="240" w:lineRule="auto"/>
        <w:rPr>
          <w:lang w:val="en-US"/>
        </w:rPr>
      </w:pPr>
      <w:r>
        <w:rPr>
          <w:lang w:val="en-US"/>
        </w:rPr>
        <w:lastRenderedPageBreak/>
        <w:t>Known history of purified protein derivative (PPD) test recently converted to positive OR</w:t>
      </w:r>
    </w:p>
    <w:p w14:paraId="3CA381D4" w14:textId="77777777" w:rsidR="009A128A" w:rsidRDefault="009A128A" w:rsidP="009A128A">
      <w:pPr>
        <w:pStyle w:val="ListParagraph"/>
        <w:numPr>
          <w:ilvl w:val="0"/>
          <w:numId w:val="29"/>
        </w:numPr>
        <w:spacing w:line="240" w:lineRule="auto"/>
        <w:rPr>
          <w:lang w:val="en-US"/>
        </w:rPr>
      </w:pPr>
      <w:r>
        <w:rPr>
          <w:lang w:val="en-US"/>
        </w:rPr>
        <w:t>Known history of recently positive interferon-gamma release assay (IGRA) test</w:t>
      </w:r>
    </w:p>
    <w:p w14:paraId="67B86839" w14:textId="77777777" w:rsidR="009A128A" w:rsidRDefault="009A128A" w:rsidP="009A128A">
      <w:pPr>
        <w:pStyle w:val="ListParagraph"/>
        <w:numPr>
          <w:ilvl w:val="0"/>
          <w:numId w:val="28"/>
        </w:numPr>
        <w:spacing w:line="240" w:lineRule="auto"/>
        <w:ind w:left="756" w:hanging="378"/>
        <w:rPr>
          <w:lang w:val="en-US"/>
        </w:rPr>
      </w:pPr>
      <w:r>
        <w:rPr>
          <w:lang w:val="en-US"/>
        </w:rPr>
        <w:t xml:space="preserve">Known active illicit drug use disorder (illicit drug use on </w:t>
      </w:r>
      <w:r>
        <w:rPr>
          <w:rFonts w:cs="Arial"/>
          <w:lang w:val="en-US"/>
        </w:rPr>
        <w:t>≥</w:t>
      </w:r>
      <w:r>
        <w:rPr>
          <w:lang w:val="en-US"/>
        </w:rPr>
        <w:t xml:space="preserve">5 days in the past 30 days) OR known active alcohol use disorder (drinking </w:t>
      </w:r>
      <w:r>
        <w:rPr>
          <w:rFonts w:cs="Arial"/>
          <w:lang w:val="en-US"/>
        </w:rPr>
        <w:t>≥</w:t>
      </w:r>
      <w:r>
        <w:rPr>
          <w:lang w:val="en-US"/>
        </w:rPr>
        <w:t xml:space="preserve">5 alcoholic drinks on the same occasion on </w:t>
      </w:r>
      <w:r>
        <w:rPr>
          <w:rFonts w:cs="Arial"/>
          <w:lang w:val="en-US"/>
        </w:rPr>
        <w:t>≥</w:t>
      </w:r>
      <w:r>
        <w:rPr>
          <w:lang w:val="en-US"/>
        </w:rPr>
        <w:t>5 days in the past 30 days)</w:t>
      </w:r>
    </w:p>
    <w:p w14:paraId="2883341E" w14:textId="77777777" w:rsidR="009A128A" w:rsidRDefault="009A128A" w:rsidP="009A128A">
      <w:pPr>
        <w:spacing w:line="240" w:lineRule="auto"/>
        <w:rPr>
          <w:lang w:val="en-US"/>
        </w:rPr>
      </w:pPr>
    </w:p>
    <w:p w14:paraId="4C731B78" w14:textId="77777777" w:rsidR="009A128A" w:rsidRDefault="009A128A" w:rsidP="009A128A">
      <w:pPr>
        <w:pStyle w:val="ListParagraph"/>
        <w:numPr>
          <w:ilvl w:val="0"/>
          <w:numId w:val="26"/>
        </w:numPr>
        <w:spacing w:line="240" w:lineRule="auto"/>
        <w:rPr>
          <w:b/>
          <w:i/>
          <w:lang w:val="en-US"/>
        </w:rPr>
      </w:pPr>
      <w:r>
        <w:rPr>
          <w:b/>
          <w:i/>
          <w:lang w:val="en-US"/>
        </w:rPr>
        <w:t>Physical and laboratory test findings</w:t>
      </w:r>
    </w:p>
    <w:p w14:paraId="76F1A9C0" w14:textId="77777777" w:rsidR="009A128A" w:rsidRDefault="009A128A" w:rsidP="009A128A">
      <w:pPr>
        <w:pStyle w:val="ListParagraph"/>
        <w:spacing w:line="240" w:lineRule="auto"/>
        <w:ind w:left="360"/>
        <w:rPr>
          <w:lang w:val="en-US"/>
        </w:rPr>
      </w:pPr>
    </w:p>
    <w:p w14:paraId="300A1ED1" w14:textId="77777777" w:rsidR="009A128A" w:rsidRDefault="009A128A" w:rsidP="009A128A">
      <w:pPr>
        <w:pStyle w:val="ListParagraph"/>
        <w:numPr>
          <w:ilvl w:val="0"/>
          <w:numId w:val="30"/>
        </w:numPr>
        <w:spacing w:line="240" w:lineRule="auto"/>
        <w:ind w:left="742" w:hanging="316"/>
        <w:rPr>
          <w:lang w:val="en-US"/>
        </w:rPr>
      </w:pPr>
      <w:r>
        <w:rPr>
          <w:lang w:val="en-US"/>
        </w:rPr>
        <w:t>Weight &lt;40 kg</w:t>
      </w:r>
    </w:p>
    <w:p w14:paraId="0F4CF957" w14:textId="77777777" w:rsidR="009A128A" w:rsidRDefault="009A128A" w:rsidP="009A128A">
      <w:pPr>
        <w:pStyle w:val="ListParagraph"/>
        <w:numPr>
          <w:ilvl w:val="0"/>
          <w:numId w:val="30"/>
        </w:numPr>
        <w:spacing w:line="240" w:lineRule="auto"/>
        <w:ind w:left="742" w:hanging="316"/>
        <w:rPr>
          <w:lang w:val="en-US"/>
        </w:rPr>
      </w:pPr>
      <w:r>
        <w:rPr>
          <w:lang w:val="en-US"/>
        </w:rPr>
        <w:t>Ocular opacity (e.g. corneal opacity, lens opacity, vitreous opacity) that precluded high quality fundus photographs</w:t>
      </w:r>
    </w:p>
    <w:p w14:paraId="1706480A" w14:textId="77777777" w:rsidR="009A128A" w:rsidRDefault="009A128A" w:rsidP="009A128A">
      <w:pPr>
        <w:pStyle w:val="ListParagraph"/>
        <w:numPr>
          <w:ilvl w:val="0"/>
          <w:numId w:val="30"/>
        </w:numPr>
        <w:spacing w:line="240" w:lineRule="auto"/>
        <w:ind w:left="742" w:hanging="316"/>
        <w:rPr>
          <w:lang w:val="en-US"/>
        </w:rPr>
      </w:pPr>
      <w:r>
        <w:rPr>
          <w:lang w:val="en-US"/>
        </w:rPr>
        <w:t>Positive blood screen for hepatitis B surface antigen</w:t>
      </w:r>
    </w:p>
    <w:p w14:paraId="67065B68" w14:textId="77777777" w:rsidR="009A128A" w:rsidRDefault="009A128A" w:rsidP="009A128A">
      <w:pPr>
        <w:spacing w:line="240" w:lineRule="auto"/>
        <w:rPr>
          <w:lang w:val="en-US"/>
        </w:rPr>
      </w:pPr>
    </w:p>
    <w:p w14:paraId="79ED9253" w14:textId="77777777" w:rsidR="009A128A" w:rsidRDefault="009A128A" w:rsidP="009A128A">
      <w:pPr>
        <w:pStyle w:val="ListParagraph"/>
        <w:numPr>
          <w:ilvl w:val="0"/>
          <w:numId w:val="26"/>
        </w:numPr>
        <w:spacing w:line="240" w:lineRule="auto"/>
        <w:rPr>
          <w:b/>
          <w:i/>
          <w:lang w:val="en-US"/>
        </w:rPr>
      </w:pPr>
      <w:r>
        <w:rPr>
          <w:b/>
          <w:i/>
          <w:lang w:val="en-US"/>
        </w:rPr>
        <w:t>Allergies and adverse drug reaction</w:t>
      </w:r>
    </w:p>
    <w:p w14:paraId="2A13696C" w14:textId="77777777" w:rsidR="009A128A" w:rsidRDefault="009A128A" w:rsidP="009A128A">
      <w:pPr>
        <w:pStyle w:val="ListParagraph"/>
        <w:spacing w:line="240" w:lineRule="auto"/>
        <w:ind w:left="360"/>
        <w:rPr>
          <w:lang w:val="en-US"/>
        </w:rPr>
      </w:pPr>
    </w:p>
    <w:p w14:paraId="45C02408" w14:textId="77777777" w:rsidR="009A128A" w:rsidRDefault="009A128A" w:rsidP="009A128A">
      <w:pPr>
        <w:pStyle w:val="ListParagraph"/>
        <w:numPr>
          <w:ilvl w:val="0"/>
          <w:numId w:val="31"/>
        </w:numPr>
        <w:spacing w:line="240" w:lineRule="auto"/>
        <w:ind w:left="770" w:hanging="344"/>
        <w:rPr>
          <w:lang w:val="en-US"/>
        </w:rPr>
      </w:pPr>
      <w:r>
        <w:rPr>
          <w:lang w:val="en-US"/>
        </w:rPr>
        <w:t>History of severe hypersensitivity reactions to monoclonal antibodies or related compounds</w:t>
      </w:r>
    </w:p>
    <w:p w14:paraId="773331E7" w14:textId="77777777" w:rsidR="009A128A" w:rsidRDefault="009A128A" w:rsidP="009A128A">
      <w:pPr>
        <w:spacing w:line="240" w:lineRule="auto"/>
        <w:rPr>
          <w:lang w:val="en-US"/>
        </w:rPr>
      </w:pPr>
    </w:p>
    <w:p w14:paraId="020E5372" w14:textId="77777777" w:rsidR="009A128A" w:rsidRDefault="009A128A" w:rsidP="009A128A">
      <w:pPr>
        <w:pStyle w:val="ListParagraph"/>
        <w:numPr>
          <w:ilvl w:val="0"/>
          <w:numId w:val="26"/>
        </w:numPr>
        <w:spacing w:line="240" w:lineRule="auto"/>
        <w:rPr>
          <w:b/>
          <w:i/>
          <w:lang w:val="en-US"/>
        </w:rPr>
      </w:pPr>
      <w:r>
        <w:rPr>
          <w:b/>
          <w:i/>
          <w:lang w:val="en-US"/>
        </w:rPr>
        <w:t>Other exclusion criteria</w:t>
      </w:r>
    </w:p>
    <w:p w14:paraId="7AA3FEDF" w14:textId="77777777" w:rsidR="009A128A" w:rsidRDefault="009A128A" w:rsidP="009A128A">
      <w:pPr>
        <w:spacing w:line="240" w:lineRule="auto"/>
        <w:rPr>
          <w:lang w:val="en-US"/>
        </w:rPr>
      </w:pPr>
    </w:p>
    <w:p w14:paraId="0075B5A4" w14:textId="77777777" w:rsidR="009A128A" w:rsidRDefault="009A128A" w:rsidP="009A128A">
      <w:pPr>
        <w:pStyle w:val="ListParagraph"/>
        <w:numPr>
          <w:ilvl w:val="0"/>
          <w:numId w:val="32"/>
        </w:numPr>
        <w:spacing w:line="240" w:lineRule="auto"/>
        <w:rPr>
          <w:lang w:val="en-US"/>
        </w:rPr>
      </w:pPr>
      <w:r>
        <w:rPr>
          <w:lang w:val="en-US"/>
        </w:rPr>
        <w:t>Concurrent participation in another interventional clinical trial of an investigational drug</w:t>
      </w:r>
    </w:p>
    <w:p w14:paraId="3EC60C1A" w14:textId="77777777" w:rsidR="009A128A" w:rsidRDefault="009A128A" w:rsidP="009A128A">
      <w:pPr>
        <w:pStyle w:val="ListParagraph"/>
        <w:numPr>
          <w:ilvl w:val="0"/>
          <w:numId w:val="32"/>
        </w:numPr>
        <w:spacing w:line="240" w:lineRule="auto"/>
        <w:rPr>
          <w:lang w:val="en-US"/>
        </w:rPr>
      </w:pPr>
      <w:r>
        <w:rPr>
          <w:lang w:val="en-US"/>
        </w:rPr>
        <w:t>Prisoners or participants who were involuntarily incarcerated</w:t>
      </w:r>
    </w:p>
    <w:p w14:paraId="4ECB0BC6" w14:textId="77777777" w:rsidR="009A128A" w:rsidRDefault="009A128A" w:rsidP="009A128A">
      <w:pPr>
        <w:pStyle w:val="ListParagraph"/>
        <w:numPr>
          <w:ilvl w:val="0"/>
          <w:numId w:val="32"/>
        </w:numPr>
        <w:spacing w:line="240" w:lineRule="auto"/>
        <w:rPr>
          <w:lang w:val="en-US"/>
        </w:rPr>
      </w:pPr>
      <w:r>
        <w:rPr>
          <w:lang w:val="en-US"/>
        </w:rPr>
        <w:t>Participants who were compulsorily detained for treatment of either a psychiatric or physical (e.g. infectious disease) illness</w:t>
      </w:r>
    </w:p>
    <w:p w14:paraId="5E8F976D" w14:textId="77777777" w:rsidR="009A128A" w:rsidRDefault="009A128A" w:rsidP="009A128A">
      <w:pPr>
        <w:pStyle w:val="ListParagraph"/>
        <w:numPr>
          <w:ilvl w:val="0"/>
          <w:numId w:val="32"/>
        </w:numPr>
        <w:spacing w:line="240" w:lineRule="auto"/>
        <w:rPr>
          <w:lang w:val="en-US"/>
        </w:rPr>
      </w:pPr>
      <w:r>
        <w:rPr>
          <w:lang w:val="en-US"/>
        </w:rPr>
        <w:t>Any other sound medical, psychiatric and/or social reason as determined by the Investigator</w:t>
      </w:r>
    </w:p>
    <w:p w14:paraId="45B10B09" w14:textId="77777777" w:rsidR="009A128A" w:rsidRDefault="009A128A" w:rsidP="009A128A">
      <w:pPr>
        <w:spacing w:line="240" w:lineRule="auto"/>
        <w:ind w:firstLine="60"/>
        <w:rPr>
          <w:lang w:val="en-US"/>
        </w:rPr>
      </w:pPr>
    </w:p>
    <w:p w14:paraId="1CFE9B1E" w14:textId="699A6BB2" w:rsidR="00300A16" w:rsidRDefault="00300A16" w:rsidP="009A128A">
      <w:pPr>
        <w:spacing w:line="240" w:lineRule="auto"/>
        <w:rPr>
          <w:b/>
          <w:lang w:val="en-US"/>
        </w:rPr>
      </w:pPr>
      <w:r>
        <w:rPr>
          <w:b/>
          <w:lang w:val="en-US"/>
        </w:rPr>
        <w:t>Prohibited and/or restricted treatments</w:t>
      </w:r>
    </w:p>
    <w:p w14:paraId="622C8DD4" w14:textId="73AFDDA2" w:rsidR="00300A16" w:rsidRDefault="00300A16" w:rsidP="009A128A">
      <w:pPr>
        <w:spacing w:line="240" w:lineRule="auto"/>
        <w:rPr>
          <w:b/>
          <w:lang w:val="en-US"/>
        </w:rPr>
      </w:pPr>
    </w:p>
    <w:p w14:paraId="5E9AEEB5" w14:textId="100A4F92" w:rsidR="00300A16" w:rsidRPr="005B14FC" w:rsidRDefault="00300A16" w:rsidP="00300A16">
      <w:pPr>
        <w:spacing w:line="240" w:lineRule="auto"/>
        <w:rPr>
          <w:lang w:val="en-US"/>
        </w:rPr>
      </w:pPr>
      <w:r w:rsidRPr="00300A16">
        <w:rPr>
          <w:lang w:val="en-US"/>
        </w:rPr>
        <w:t xml:space="preserve">Prohibited and/or restricted medications taken </w:t>
      </w:r>
      <w:r w:rsidRPr="005B14FC">
        <w:rPr>
          <w:lang w:val="en-US"/>
        </w:rPr>
        <w:t xml:space="preserve">before </w:t>
      </w:r>
      <w:r w:rsidRPr="00300A16">
        <w:rPr>
          <w:lang w:val="en-US"/>
        </w:rPr>
        <w:t>study dr</w:t>
      </w:r>
      <w:r>
        <w:rPr>
          <w:lang w:val="en-US"/>
        </w:rPr>
        <w:t xml:space="preserve">ug administration are described </w:t>
      </w:r>
      <w:r w:rsidRPr="00300A16">
        <w:rPr>
          <w:lang w:val="en-US"/>
        </w:rPr>
        <w:t xml:space="preserve">below. Medications taken </w:t>
      </w:r>
      <w:r w:rsidR="00FE67B6">
        <w:rPr>
          <w:rFonts w:cs="Arial"/>
          <w:lang w:val="en-US"/>
        </w:rPr>
        <w:t>≤</w:t>
      </w:r>
      <w:r w:rsidRPr="00300A16">
        <w:rPr>
          <w:lang w:val="en-US"/>
        </w:rPr>
        <w:t xml:space="preserve">2 weeks </w:t>
      </w:r>
      <w:r w:rsidR="005B14FC">
        <w:rPr>
          <w:lang w:val="en-US"/>
        </w:rPr>
        <w:t>before</w:t>
      </w:r>
      <w:r w:rsidRPr="00300A16">
        <w:rPr>
          <w:lang w:val="en-US"/>
        </w:rPr>
        <w:t xml:space="preserve"> study drug adm</w:t>
      </w:r>
      <w:r>
        <w:rPr>
          <w:lang w:val="en-US"/>
        </w:rPr>
        <w:t xml:space="preserve">inistration </w:t>
      </w:r>
      <w:r w:rsidR="00FE67B6">
        <w:rPr>
          <w:lang w:val="en-US"/>
        </w:rPr>
        <w:t>were required</w:t>
      </w:r>
      <w:r>
        <w:rPr>
          <w:lang w:val="en-US"/>
        </w:rPr>
        <w:t xml:space="preserve"> to be recorded on </w:t>
      </w:r>
      <w:r w:rsidRPr="00300A16">
        <w:rPr>
          <w:lang w:val="en-US"/>
        </w:rPr>
        <w:t xml:space="preserve">the </w:t>
      </w:r>
      <w:r>
        <w:rPr>
          <w:lang w:val="en-US"/>
        </w:rPr>
        <w:t>Case Report Form (</w:t>
      </w:r>
      <w:r w:rsidRPr="00300A16">
        <w:rPr>
          <w:lang w:val="en-US"/>
        </w:rPr>
        <w:t>CRF</w:t>
      </w:r>
      <w:r>
        <w:rPr>
          <w:lang w:val="en-US"/>
        </w:rPr>
        <w:t>)</w:t>
      </w:r>
      <w:r w:rsidRPr="00300A16">
        <w:rPr>
          <w:lang w:val="en-US"/>
        </w:rPr>
        <w:t>.</w:t>
      </w:r>
    </w:p>
    <w:p w14:paraId="0465ECA7" w14:textId="77777777" w:rsidR="00300A16" w:rsidRDefault="00300A16" w:rsidP="009A128A">
      <w:pPr>
        <w:spacing w:line="240" w:lineRule="auto"/>
        <w:rPr>
          <w:b/>
          <w:lang w:val="en-US"/>
        </w:rPr>
      </w:pPr>
    </w:p>
    <w:p w14:paraId="4DC86DEE" w14:textId="03985A49" w:rsidR="00300A16" w:rsidRDefault="00300A16" w:rsidP="005B14FC">
      <w:pPr>
        <w:pStyle w:val="ListParagraph"/>
        <w:numPr>
          <w:ilvl w:val="0"/>
          <w:numId w:val="33"/>
        </w:numPr>
        <w:spacing w:line="240" w:lineRule="auto"/>
        <w:rPr>
          <w:lang w:val="en-US"/>
        </w:rPr>
      </w:pPr>
      <w:r w:rsidRPr="00300A16">
        <w:rPr>
          <w:lang w:val="en-US"/>
        </w:rPr>
        <w:t>Prior exposure</w:t>
      </w:r>
      <w:r w:rsidR="005B14FC">
        <w:rPr>
          <w:lang w:val="en-US"/>
        </w:rPr>
        <w:t xml:space="preserve"> to BMS-936559 or to an anti-PD-1, anti-PD-</w:t>
      </w:r>
      <w:r w:rsidRPr="00300A16">
        <w:rPr>
          <w:lang w:val="en-US"/>
        </w:rPr>
        <w:t>L1, or anti-CTLA-4 antibody, or</w:t>
      </w:r>
      <w:r>
        <w:rPr>
          <w:lang w:val="en-US"/>
        </w:rPr>
        <w:t xml:space="preserve"> any other agent that targets T-cell co-stimulation</w:t>
      </w:r>
      <w:r w:rsidR="005B14FC">
        <w:rPr>
          <w:lang w:val="en-US"/>
        </w:rPr>
        <w:t>,</w:t>
      </w:r>
      <w:r>
        <w:rPr>
          <w:lang w:val="en-US"/>
        </w:rPr>
        <w:t xml:space="preserve"> wa</w:t>
      </w:r>
      <w:r w:rsidRPr="00300A16">
        <w:rPr>
          <w:lang w:val="en-US"/>
        </w:rPr>
        <w:t>s prohibited</w:t>
      </w:r>
    </w:p>
    <w:p w14:paraId="2262E030" w14:textId="08E85D2E" w:rsidR="00300A16" w:rsidRDefault="00300A16" w:rsidP="005B14FC">
      <w:pPr>
        <w:pStyle w:val="ListParagraph"/>
        <w:numPr>
          <w:ilvl w:val="0"/>
          <w:numId w:val="33"/>
        </w:numPr>
        <w:spacing w:line="240" w:lineRule="auto"/>
        <w:rPr>
          <w:lang w:val="en-US"/>
        </w:rPr>
      </w:pPr>
      <w:r w:rsidRPr="00300A16">
        <w:rPr>
          <w:lang w:val="en-US"/>
        </w:rPr>
        <w:t>Exposure to any other investigational agent within 28 days or 5 half-lives of the agent</w:t>
      </w:r>
      <w:r>
        <w:rPr>
          <w:lang w:val="en-US"/>
        </w:rPr>
        <w:t xml:space="preserve"> </w:t>
      </w:r>
      <w:r w:rsidRPr="00300A16">
        <w:rPr>
          <w:lang w:val="en-US"/>
        </w:rPr>
        <w:t>(whichever w</w:t>
      </w:r>
      <w:r>
        <w:rPr>
          <w:lang w:val="en-US"/>
        </w:rPr>
        <w:t>a</w:t>
      </w:r>
      <w:r w:rsidRPr="00300A16">
        <w:rPr>
          <w:lang w:val="en-US"/>
        </w:rPr>
        <w:t xml:space="preserve">s longer) </w:t>
      </w:r>
      <w:r w:rsidR="005B14FC">
        <w:rPr>
          <w:lang w:val="en-US"/>
        </w:rPr>
        <w:t>before</w:t>
      </w:r>
      <w:r w:rsidRPr="00300A16">
        <w:rPr>
          <w:lang w:val="en-US"/>
        </w:rPr>
        <w:t xml:space="preserve"> enrollment wa</w:t>
      </w:r>
      <w:r>
        <w:rPr>
          <w:lang w:val="en-US"/>
        </w:rPr>
        <w:t>s prohibited</w:t>
      </w:r>
    </w:p>
    <w:p w14:paraId="2F03D371" w14:textId="60FF52EA" w:rsidR="00300A16" w:rsidRDefault="00300A16" w:rsidP="005B14FC">
      <w:pPr>
        <w:pStyle w:val="ListParagraph"/>
        <w:numPr>
          <w:ilvl w:val="0"/>
          <w:numId w:val="33"/>
        </w:numPr>
        <w:spacing w:line="240" w:lineRule="auto"/>
        <w:rPr>
          <w:lang w:val="en-US"/>
        </w:rPr>
      </w:pPr>
      <w:r w:rsidRPr="00300A16">
        <w:rPr>
          <w:lang w:val="en-US"/>
        </w:rPr>
        <w:t>Use of any immunosuppressive medication within 28 days or 5 half-lives of the medication</w:t>
      </w:r>
      <w:r>
        <w:rPr>
          <w:lang w:val="en-US"/>
        </w:rPr>
        <w:t xml:space="preserve"> (whichever was longer) </w:t>
      </w:r>
      <w:r w:rsidR="005B14FC">
        <w:rPr>
          <w:lang w:val="en-US"/>
        </w:rPr>
        <w:t>before</w:t>
      </w:r>
      <w:r>
        <w:rPr>
          <w:lang w:val="en-US"/>
        </w:rPr>
        <w:t xml:space="preserve"> enrollment wa</w:t>
      </w:r>
      <w:r w:rsidRPr="00300A16">
        <w:rPr>
          <w:lang w:val="en-US"/>
        </w:rPr>
        <w:t>s prohibited</w:t>
      </w:r>
      <w:r>
        <w:rPr>
          <w:lang w:val="en-US"/>
        </w:rPr>
        <w:t>,</w:t>
      </w:r>
      <w:r w:rsidRPr="00300A16">
        <w:rPr>
          <w:lang w:val="en-US"/>
        </w:rPr>
        <w:t xml:space="preserve"> except those cleared by the B</w:t>
      </w:r>
      <w:r w:rsidR="005B14FC">
        <w:rPr>
          <w:lang w:val="en-US"/>
        </w:rPr>
        <w:t>ristol-</w:t>
      </w:r>
      <w:r w:rsidRPr="00300A16">
        <w:rPr>
          <w:lang w:val="en-US"/>
        </w:rPr>
        <w:t>M</w:t>
      </w:r>
      <w:r w:rsidR="005B14FC">
        <w:rPr>
          <w:lang w:val="en-US"/>
        </w:rPr>
        <w:t xml:space="preserve">yers </w:t>
      </w:r>
      <w:r w:rsidRPr="00300A16">
        <w:rPr>
          <w:lang w:val="en-US"/>
        </w:rPr>
        <w:t>S</w:t>
      </w:r>
      <w:r w:rsidR="005B14FC">
        <w:rPr>
          <w:lang w:val="en-US"/>
        </w:rPr>
        <w:t>quibb (BMS)</w:t>
      </w:r>
      <w:r>
        <w:rPr>
          <w:lang w:val="en-US"/>
        </w:rPr>
        <w:t xml:space="preserve"> </w:t>
      </w:r>
      <w:r w:rsidR="005B14FC">
        <w:rPr>
          <w:lang w:val="en-US"/>
        </w:rPr>
        <w:t>M</w:t>
      </w:r>
      <w:r w:rsidRPr="00300A16">
        <w:rPr>
          <w:lang w:val="en-US"/>
        </w:rPr>
        <w:t>edical</w:t>
      </w:r>
      <w:r w:rsidR="005B14FC">
        <w:rPr>
          <w:lang w:val="en-US"/>
        </w:rPr>
        <w:t xml:space="preserve"> M</w:t>
      </w:r>
      <w:r w:rsidRPr="00300A16">
        <w:rPr>
          <w:lang w:val="en-US"/>
        </w:rPr>
        <w:t>onitor or those</w:t>
      </w:r>
      <w:r w:rsidR="005B14FC">
        <w:rPr>
          <w:lang w:val="en-US"/>
        </w:rPr>
        <w:t xml:space="preserve"> used to treat a drug-related adverse event</w:t>
      </w:r>
      <w:r w:rsidRPr="00300A16">
        <w:rPr>
          <w:lang w:val="en-US"/>
        </w:rPr>
        <w:t xml:space="preserve"> during the study</w:t>
      </w:r>
    </w:p>
    <w:p w14:paraId="30D0796A" w14:textId="764555D4" w:rsidR="00300A16" w:rsidRDefault="00300A16" w:rsidP="005B14FC">
      <w:pPr>
        <w:pStyle w:val="ListParagraph"/>
        <w:numPr>
          <w:ilvl w:val="0"/>
          <w:numId w:val="33"/>
        </w:numPr>
        <w:spacing w:line="240" w:lineRule="auto"/>
        <w:rPr>
          <w:lang w:val="en-US"/>
        </w:rPr>
      </w:pPr>
      <w:r w:rsidRPr="00300A16">
        <w:rPr>
          <w:lang w:val="en-US"/>
        </w:rPr>
        <w:t>Use of immunosuppressive doses of systemic or absorbable topical corticosteroids (doses</w:t>
      </w:r>
      <w:r>
        <w:rPr>
          <w:lang w:val="en-US"/>
        </w:rPr>
        <w:t xml:space="preserve"> </w:t>
      </w:r>
      <w:r w:rsidR="005B14FC">
        <w:rPr>
          <w:lang w:val="en-US"/>
        </w:rPr>
        <w:t>&gt;</w:t>
      </w:r>
      <w:r w:rsidRPr="00300A16">
        <w:rPr>
          <w:lang w:val="en-US"/>
        </w:rPr>
        <w:t xml:space="preserve">50 mg/day </w:t>
      </w:r>
      <w:r>
        <w:rPr>
          <w:lang w:val="en-US"/>
        </w:rPr>
        <w:t xml:space="preserve">of </w:t>
      </w:r>
      <w:r w:rsidRPr="00300A16">
        <w:rPr>
          <w:lang w:val="en-US"/>
        </w:rPr>
        <w:t>prednisone or equivalent) within 28 days or 5 half-lives of the medication</w:t>
      </w:r>
      <w:r>
        <w:rPr>
          <w:lang w:val="en-US"/>
        </w:rPr>
        <w:t xml:space="preserve"> (whichever was longer) </w:t>
      </w:r>
      <w:r w:rsidR="005B14FC">
        <w:rPr>
          <w:lang w:val="en-US"/>
        </w:rPr>
        <w:t>before</w:t>
      </w:r>
      <w:r>
        <w:rPr>
          <w:lang w:val="en-US"/>
        </w:rPr>
        <w:t xml:space="preserve"> enrollment wa</w:t>
      </w:r>
      <w:r w:rsidRPr="00300A16">
        <w:rPr>
          <w:lang w:val="en-US"/>
        </w:rPr>
        <w:t>s prohibited</w:t>
      </w:r>
      <w:r>
        <w:rPr>
          <w:lang w:val="en-US"/>
        </w:rPr>
        <w:t>,</w:t>
      </w:r>
      <w:r w:rsidRPr="00300A16">
        <w:rPr>
          <w:lang w:val="en-US"/>
        </w:rPr>
        <w:t xml:space="preserve"> except those cleared by the BMS</w:t>
      </w:r>
      <w:r>
        <w:rPr>
          <w:lang w:val="en-US"/>
        </w:rPr>
        <w:t xml:space="preserve"> </w:t>
      </w:r>
      <w:r w:rsidR="005B14FC">
        <w:rPr>
          <w:lang w:val="en-US"/>
        </w:rPr>
        <w:t>Medical M</w:t>
      </w:r>
      <w:r w:rsidRPr="00300A16">
        <w:rPr>
          <w:lang w:val="en-US"/>
        </w:rPr>
        <w:t>onitor or those</w:t>
      </w:r>
      <w:r w:rsidR="005B14FC">
        <w:rPr>
          <w:lang w:val="en-US"/>
        </w:rPr>
        <w:t xml:space="preserve"> used to treat a drug-related adverse event</w:t>
      </w:r>
      <w:r w:rsidRPr="00300A16">
        <w:rPr>
          <w:lang w:val="en-US"/>
        </w:rPr>
        <w:t xml:space="preserve"> during the study</w:t>
      </w:r>
    </w:p>
    <w:p w14:paraId="21BA61B0" w14:textId="7336ED93" w:rsidR="00300A16" w:rsidRDefault="00300A16" w:rsidP="005B14FC">
      <w:pPr>
        <w:pStyle w:val="ListParagraph"/>
        <w:numPr>
          <w:ilvl w:val="1"/>
          <w:numId w:val="33"/>
        </w:numPr>
        <w:spacing w:line="240" w:lineRule="auto"/>
        <w:rPr>
          <w:lang w:val="en-US"/>
        </w:rPr>
      </w:pPr>
      <w:r w:rsidRPr="00300A16">
        <w:rPr>
          <w:lang w:val="en-US"/>
        </w:rPr>
        <w:t>Note: Inhaled or intranasal corticosteroids, wit</w:t>
      </w:r>
      <w:r>
        <w:rPr>
          <w:lang w:val="en-US"/>
        </w:rPr>
        <w:t>h minimal systemic absorption, we</w:t>
      </w:r>
      <w:r w:rsidRPr="00300A16">
        <w:rPr>
          <w:lang w:val="en-US"/>
        </w:rPr>
        <w:t>re not</w:t>
      </w:r>
      <w:r>
        <w:rPr>
          <w:lang w:val="en-US"/>
        </w:rPr>
        <w:t xml:space="preserve"> </w:t>
      </w:r>
      <w:r w:rsidRPr="00300A16">
        <w:rPr>
          <w:lang w:val="en-US"/>
        </w:rPr>
        <w:t>prohibited</w:t>
      </w:r>
    </w:p>
    <w:p w14:paraId="2C37296B" w14:textId="2235A913" w:rsidR="00300A16" w:rsidRDefault="00300A16" w:rsidP="005B14FC">
      <w:pPr>
        <w:pStyle w:val="ListParagraph"/>
        <w:numPr>
          <w:ilvl w:val="1"/>
          <w:numId w:val="33"/>
        </w:numPr>
        <w:spacing w:line="240" w:lineRule="auto"/>
        <w:rPr>
          <w:lang w:val="en-US"/>
        </w:rPr>
      </w:pPr>
      <w:r w:rsidRPr="00300A16">
        <w:rPr>
          <w:lang w:val="en-US"/>
        </w:rPr>
        <w:t>Note: Non-absorbed topical or intr</w:t>
      </w:r>
      <w:r>
        <w:rPr>
          <w:lang w:val="en-US"/>
        </w:rPr>
        <w:t>a-articular steroid injections we</w:t>
      </w:r>
      <w:r w:rsidRPr="00300A16">
        <w:rPr>
          <w:lang w:val="en-US"/>
        </w:rPr>
        <w:t>re not prohibited</w:t>
      </w:r>
    </w:p>
    <w:p w14:paraId="05EACEA7" w14:textId="1953FB18" w:rsidR="005B14FC" w:rsidRPr="005B14FC" w:rsidRDefault="005B14FC" w:rsidP="005B14FC">
      <w:pPr>
        <w:pStyle w:val="ListParagraph"/>
        <w:numPr>
          <w:ilvl w:val="1"/>
          <w:numId w:val="33"/>
        </w:numPr>
        <w:spacing w:line="240" w:lineRule="auto"/>
        <w:rPr>
          <w:lang w:val="en-US"/>
        </w:rPr>
      </w:pPr>
      <w:r w:rsidRPr="005B14FC">
        <w:rPr>
          <w:lang w:val="en-US"/>
        </w:rPr>
        <w:t xml:space="preserve">Note: Hydrocortisone at doses </w:t>
      </w:r>
      <w:r w:rsidRPr="005B14FC">
        <w:rPr>
          <w:rFonts w:cs="Arial"/>
          <w:lang w:val="en-US"/>
        </w:rPr>
        <w:t>≤</w:t>
      </w:r>
      <w:r w:rsidRPr="005B14FC">
        <w:rPr>
          <w:lang w:val="en-US"/>
        </w:rPr>
        <w:t>300 mg/day for the treatment of septic shock was not</w:t>
      </w:r>
      <w:r>
        <w:rPr>
          <w:lang w:val="en-US"/>
        </w:rPr>
        <w:t xml:space="preserve"> </w:t>
      </w:r>
      <w:r w:rsidRPr="005B14FC">
        <w:rPr>
          <w:lang w:val="en-US"/>
        </w:rPr>
        <w:t>prohibited</w:t>
      </w:r>
    </w:p>
    <w:p w14:paraId="10597D7C" w14:textId="77777777" w:rsidR="00300A16" w:rsidRDefault="00300A16" w:rsidP="009A128A">
      <w:pPr>
        <w:spacing w:line="240" w:lineRule="auto"/>
        <w:rPr>
          <w:b/>
          <w:lang w:val="en-US"/>
        </w:rPr>
      </w:pPr>
    </w:p>
    <w:p w14:paraId="34013B53" w14:textId="4A072D16" w:rsidR="009A128A" w:rsidRDefault="009A128A" w:rsidP="009A128A">
      <w:pPr>
        <w:spacing w:line="240" w:lineRule="auto"/>
        <w:rPr>
          <w:b/>
          <w:lang w:val="en-US"/>
        </w:rPr>
      </w:pPr>
      <w:r>
        <w:rPr>
          <w:b/>
          <w:lang w:val="en-US"/>
        </w:rPr>
        <w:t>Definition of adverse events</w:t>
      </w:r>
    </w:p>
    <w:p w14:paraId="2E4DBDF0" w14:textId="77777777" w:rsidR="009A128A" w:rsidRDefault="009A128A" w:rsidP="009A128A">
      <w:pPr>
        <w:spacing w:line="240" w:lineRule="auto"/>
        <w:rPr>
          <w:b/>
          <w:lang w:val="en-US"/>
        </w:rPr>
      </w:pPr>
    </w:p>
    <w:p w14:paraId="777C7168" w14:textId="77777777" w:rsidR="009A128A" w:rsidRDefault="009A128A" w:rsidP="009A128A">
      <w:pPr>
        <w:spacing w:line="240" w:lineRule="auto"/>
        <w:rPr>
          <w:lang w:val="en-US"/>
        </w:rPr>
      </w:pPr>
      <w:r>
        <w:rPr>
          <w:lang w:val="en-US"/>
        </w:rPr>
        <w:t>An adverse event (AE) was defined as any new untoward medical occurrence or worsening of a pre-existing medical condition in a clinical investigation subject administered study drug and that did not necessarily have a causal relationship with this treatment. An AE could therefore have been any unfavorable and unintended sign (such as an abnormal laboratory finding), symptom, or disease temporally associated with the use of study drug, whether or not considered related to the study drug. The causal relationship to study drug was determined by a physician and was to be used to assess all AEs. The causal relationship could be one of the following:</w:t>
      </w:r>
    </w:p>
    <w:p w14:paraId="7C179F15" w14:textId="77777777" w:rsidR="009A128A" w:rsidRDefault="009A128A" w:rsidP="009A128A">
      <w:pPr>
        <w:spacing w:line="240" w:lineRule="auto"/>
        <w:rPr>
          <w:lang w:val="en-US"/>
        </w:rPr>
      </w:pPr>
    </w:p>
    <w:p w14:paraId="313EF605" w14:textId="77777777" w:rsidR="009A128A" w:rsidRDefault="009A128A" w:rsidP="009A128A">
      <w:pPr>
        <w:pStyle w:val="ListParagraph"/>
        <w:numPr>
          <w:ilvl w:val="0"/>
          <w:numId w:val="17"/>
        </w:numPr>
        <w:spacing w:line="240" w:lineRule="auto"/>
        <w:rPr>
          <w:lang w:val="en-US"/>
        </w:rPr>
      </w:pPr>
      <w:r>
        <w:rPr>
          <w:lang w:val="en-US"/>
        </w:rPr>
        <w:t>Related: There was a reasonable causal relationship between study drug administration and the AE.</w:t>
      </w:r>
    </w:p>
    <w:p w14:paraId="5770EE5D" w14:textId="77777777" w:rsidR="009A128A" w:rsidRDefault="009A128A" w:rsidP="009A128A">
      <w:pPr>
        <w:pStyle w:val="ListParagraph"/>
        <w:numPr>
          <w:ilvl w:val="0"/>
          <w:numId w:val="17"/>
        </w:numPr>
        <w:spacing w:line="240" w:lineRule="auto"/>
        <w:rPr>
          <w:lang w:val="en-US"/>
        </w:rPr>
      </w:pPr>
      <w:r>
        <w:rPr>
          <w:lang w:val="en-US"/>
        </w:rPr>
        <w:t>Not related: There was not a reasonable causal relationship between study drug administration and the AE.</w:t>
      </w:r>
    </w:p>
    <w:p w14:paraId="227549BE" w14:textId="77777777" w:rsidR="009A128A" w:rsidRDefault="009A128A" w:rsidP="009A128A">
      <w:pPr>
        <w:spacing w:line="240" w:lineRule="auto"/>
        <w:rPr>
          <w:lang w:val="en-US"/>
        </w:rPr>
      </w:pPr>
    </w:p>
    <w:p w14:paraId="089ABD57" w14:textId="77777777" w:rsidR="009A128A" w:rsidRDefault="009A128A" w:rsidP="009A128A">
      <w:pPr>
        <w:spacing w:line="240" w:lineRule="auto"/>
        <w:rPr>
          <w:lang w:val="en-US"/>
        </w:rPr>
      </w:pPr>
      <w:r>
        <w:rPr>
          <w:lang w:val="en-US"/>
        </w:rPr>
        <w:t>The term "reasonable causal relationship" meant there was evidence to suggest a causal</w:t>
      </w:r>
    </w:p>
    <w:p w14:paraId="335E78BD" w14:textId="77777777" w:rsidR="009A128A" w:rsidRDefault="009A128A" w:rsidP="009A128A">
      <w:pPr>
        <w:spacing w:line="240" w:lineRule="auto"/>
        <w:rPr>
          <w:lang w:val="en-US"/>
        </w:rPr>
      </w:pPr>
      <w:r>
        <w:rPr>
          <w:lang w:val="en-US"/>
        </w:rPr>
        <w:t>relationship.</w:t>
      </w:r>
    </w:p>
    <w:p w14:paraId="4A4AC519" w14:textId="77777777" w:rsidR="009A128A" w:rsidRDefault="009A128A" w:rsidP="009A128A">
      <w:pPr>
        <w:spacing w:line="240" w:lineRule="auto"/>
        <w:rPr>
          <w:lang w:val="en-US"/>
        </w:rPr>
      </w:pPr>
    </w:p>
    <w:p w14:paraId="31783323" w14:textId="77777777" w:rsidR="009A128A" w:rsidRDefault="009A128A" w:rsidP="009A128A">
      <w:pPr>
        <w:spacing w:line="240" w:lineRule="auto"/>
        <w:rPr>
          <w:lang w:val="en-US"/>
        </w:rPr>
      </w:pPr>
      <w:r>
        <w:rPr>
          <w:lang w:val="en-US"/>
        </w:rPr>
        <w:t>AEs could be spontaneously reported or elicited during open-ended questioning, examination, or evaluation of a participant. (In order to prevent reporting bias, participants were not to be questioned regarding the specific occurrence of one or more AEs.)</w:t>
      </w:r>
    </w:p>
    <w:p w14:paraId="6B4EA47F" w14:textId="77777777" w:rsidR="009A128A" w:rsidRDefault="009A128A" w:rsidP="009A128A">
      <w:pPr>
        <w:spacing w:line="240" w:lineRule="auto"/>
        <w:rPr>
          <w:lang w:val="en-US"/>
        </w:rPr>
      </w:pPr>
    </w:p>
    <w:p w14:paraId="430993B9" w14:textId="68BFFCCD" w:rsidR="009A128A" w:rsidRDefault="009A128A" w:rsidP="009A128A">
      <w:pPr>
        <w:spacing w:line="240" w:lineRule="auto"/>
        <w:rPr>
          <w:lang w:val="en-US"/>
        </w:rPr>
      </w:pPr>
      <w:r>
        <w:rPr>
          <w:lang w:val="en-US"/>
        </w:rPr>
        <w:t>A participant’s pre-existing conditions, such as sepsis, organ failure, and associated signs and symptoms were not to be reported as AEs unless these pre-existing conditions worsen after dosing. Pre-existing conditions were to be carefully recorded in the medical history or diagnosis pages of the CRF.</w:t>
      </w:r>
    </w:p>
    <w:p w14:paraId="6174F626" w14:textId="77777777" w:rsidR="009A128A" w:rsidRDefault="009A128A" w:rsidP="009A128A">
      <w:pPr>
        <w:spacing w:line="240" w:lineRule="auto"/>
        <w:rPr>
          <w:lang w:val="en-US"/>
        </w:rPr>
      </w:pPr>
    </w:p>
    <w:p w14:paraId="5F13F6C1" w14:textId="77777777" w:rsidR="009A128A" w:rsidRDefault="009A128A" w:rsidP="009A128A">
      <w:pPr>
        <w:spacing w:line="240" w:lineRule="auto"/>
        <w:rPr>
          <w:b/>
          <w:i/>
          <w:lang w:val="en-US"/>
        </w:rPr>
      </w:pPr>
      <w:r>
        <w:rPr>
          <w:b/>
          <w:i/>
          <w:lang w:val="en-US"/>
        </w:rPr>
        <w:t>Serious adverse events</w:t>
      </w:r>
    </w:p>
    <w:p w14:paraId="1BEE39FC" w14:textId="77777777" w:rsidR="009A128A" w:rsidRDefault="009A128A" w:rsidP="009A128A">
      <w:pPr>
        <w:spacing w:line="240" w:lineRule="auto"/>
        <w:rPr>
          <w:lang w:val="en-US"/>
        </w:rPr>
      </w:pPr>
    </w:p>
    <w:p w14:paraId="1D33334B" w14:textId="77777777" w:rsidR="009A128A" w:rsidRDefault="009A128A" w:rsidP="009A128A">
      <w:pPr>
        <w:spacing w:line="240" w:lineRule="auto"/>
        <w:rPr>
          <w:lang w:val="en-US"/>
        </w:rPr>
      </w:pPr>
      <w:r>
        <w:rPr>
          <w:lang w:val="en-US"/>
        </w:rPr>
        <w:t>A serious adverse event (SAE) was any untoward medical occurrence that at any dose:</w:t>
      </w:r>
    </w:p>
    <w:p w14:paraId="5043874E" w14:textId="77777777" w:rsidR="009A128A" w:rsidRDefault="009A128A" w:rsidP="009A128A">
      <w:pPr>
        <w:pStyle w:val="ListParagraph"/>
        <w:numPr>
          <w:ilvl w:val="0"/>
          <w:numId w:val="18"/>
        </w:numPr>
        <w:spacing w:line="240" w:lineRule="auto"/>
        <w:rPr>
          <w:lang w:val="en-US"/>
        </w:rPr>
      </w:pPr>
      <w:r>
        <w:rPr>
          <w:lang w:val="en-US"/>
        </w:rPr>
        <w:t>Resulted in death.</w:t>
      </w:r>
    </w:p>
    <w:p w14:paraId="49AAAAFB" w14:textId="77777777" w:rsidR="009A128A" w:rsidRDefault="009A128A" w:rsidP="009A128A">
      <w:pPr>
        <w:pStyle w:val="ListParagraph"/>
        <w:numPr>
          <w:ilvl w:val="0"/>
          <w:numId w:val="18"/>
        </w:numPr>
        <w:spacing w:line="240" w:lineRule="auto"/>
        <w:rPr>
          <w:lang w:val="en-US"/>
        </w:rPr>
      </w:pPr>
      <w:r>
        <w:rPr>
          <w:lang w:val="en-US"/>
        </w:rPr>
        <w:t>Was life-threatening (defined as an event in which the participant was at risk of death at the time of the event; it does not refer to an event which hypothetically might have caused death if it were more severe).</w:t>
      </w:r>
    </w:p>
    <w:p w14:paraId="336E2B63" w14:textId="77777777" w:rsidR="009A128A" w:rsidRDefault="009A128A" w:rsidP="009A128A">
      <w:pPr>
        <w:pStyle w:val="ListParagraph"/>
        <w:numPr>
          <w:ilvl w:val="0"/>
          <w:numId w:val="18"/>
        </w:numPr>
        <w:spacing w:line="240" w:lineRule="auto"/>
        <w:rPr>
          <w:lang w:val="en-US"/>
        </w:rPr>
      </w:pPr>
      <w:r>
        <w:rPr>
          <w:lang w:val="en-US"/>
        </w:rPr>
        <w:t>Required inpatient hospitalization or caused prolongation of existing hospitalization (see NOTE below).</w:t>
      </w:r>
    </w:p>
    <w:p w14:paraId="24834464" w14:textId="77777777" w:rsidR="009A128A" w:rsidRDefault="009A128A" w:rsidP="009A128A">
      <w:pPr>
        <w:pStyle w:val="ListParagraph"/>
        <w:numPr>
          <w:ilvl w:val="0"/>
          <w:numId w:val="18"/>
        </w:numPr>
        <w:spacing w:line="240" w:lineRule="auto"/>
        <w:rPr>
          <w:lang w:val="en-US"/>
        </w:rPr>
      </w:pPr>
      <w:r>
        <w:rPr>
          <w:lang w:val="en-US"/>
        </w:rPr>
        <w:t>Resulted in persistent or significant disability/incapacity.</w:t>
      </w:r>
    </w:p>
    <w:p w14:paraId="5AE3787C" w14:textId="77777777" w:rsidR="009A128A" w:rsidRDefault="009A128A" w:rsidP="009A128A">
      <w:pPr>
        <w:pStyle w:val="ListParagraph"/>
        <w:numPr>
          <w:ilvl w:val="0"/>
          <w:numId w:val="18"/>
        </w:numPr>
        <w:spacing w:line="240" w:lineRule="auto"/>
        <w:rPr>
          <w:lang w:val="en-US"/>
        </w:rPr>
      </w:pPr>
      <w:r>
        <w:rPr>
          <w:lang w:val="en-US"/>
        </w:rPr>
        <w:t>Was a congenital anomaly/birth defect.</w:t>
      </w:r>
    </w:p>
    <w:p w14:paraId="639203D0" w14:textId="77777777" w:rsidR="009A128A" w:rsidRDefault="009A128A" w:rsidP="009A128A">
      <w:pPr>
        <w:pStyle w:val="ListParagraph"/>
        <w:numPr>
          <w:ilvl w:val="0"/>
          <w:numId w:val="18"/>
        </w:numPr>
        <w:spacing w:line="240" w:lineRule="auto"/>
        <w:rPr>
          <w:lang w:val="en-US"/>
        </w:rPr>
      </w:pPr>
      <w:r>
        <w:rPr>
          <w:lang w:val="en-US"/>
        </w:rPr>
        <w:t>Was an important medical event (defined as a medical event(s) that may not be immediately life-threatening or result in death or hospitalization but, based upon appropriate medical and scientific judgment, may jeopardize the participant or may require intervention [e.g. medical, surgical] to prevent one of the other serious outcomes listed in the definition above.) Examples of such events included, but were not limited to, intensive treatment in an emergency room or at home for allergic bronchospasm; blood dyscrasias or convulsions that did not result in hospitalization. Potential drug induced liver injury (DILI) was also considered an important medical event.</w:t>
      </w:r>
    </w:p>
    <w:p w14:paraId="73A92970" w14:textId="77777777" w:rsidR="009A128A" w:rsidRDefault="009A128A" w:rsidP="009A128A">
      <w:pPr>
        <w:spacing w:line="240" w:lineRule="auto"/>
        <w:rPr>
          <w:lang w:val="en-US"/>
        </w:rPr>
      </w:pPr>
    </w:p>
    <w:p w14:paraId="3BA79696" w14:textId="77777777" w:rsidR="009A128A" w:rsidRDefault="009A128A" w:rsidP="009A128A">
      <w:pPr>
        <w:spacing w:line="240" w:lineRule="auto"/>
        <w:rPr>
          <w:lang w:val="en-US"/>
        </w:rPr>
      </w:pPr>
      <w:r>
        <w:rPr>
          <w:lang w:val="en-US"/>
        </w:rPr>
        <w:t>Suspected transmission of an infectious agent (e.g. pathogenic or nonpathogenic) via the study drug was an SAE.</w:t>
      </w:r>
    </w:p>
    <w:p w14:paraId="2748DDB9" w14:textId="77777777" w:rsidR="009A128A" w:rsidRDefault="009A128A" w:rsidP="009A128A">
      <w:pPr>
        <w:spacing w:line="240" w:lineRule="auto"/>
        <w:rPr>
          <w:lang w:val="en-US"/>
        </w:rPr>
      </w:pPr>
    </w:p>
    <w:p w14:paraId="316EC4E5" w14:textId="77777777" w:rsidR="009A128A" w:rsidRDefault="009A128A" w:rsidP="009A128A">
      <w:pPr>
        <w:spacing w:line="240" w:lineRule="auto"/>
        <w:rPr>
          <w:lang w:val="en-US"/>
        </w:rPr>
      </w:pPr>
      <w:r>
        <w:rPr>
          <w:lang w:val="en-US"/>
        </w:rPr>
        <w:lastRenderedPageBreak/>
        <w:t>Although pregnancy, overdose, cancer, and potential DILI are not always serious by regulatory definition, these events were required to be handled as SAEs.</w:t>
      </w:r>
    </w:p>
    <w:p w14:paraId="018451FF" w14:textId="77777777" w:rsidR="009A128A" w:rsidRDefault="009A128A" w:rsidP="009A128A">
      <w:pPr>
        <w:spacing w:line="240" w:lineRule="auto"/>
        <w:rPr>
          <w:lang w:val="en-US"/>
        </w:rPr>
      </w:pPr>
    </w:p>
    <w:p w14:paraId="4C4A5E15" w14:textId="77777777" w:rsidR="009A128A" w:rsidRDefault="009A128A" w:rsidP="009A128A">
      <w:pPr>
        <w:spacing w:line="240" w:lineRule="auto"/>
        <w:rPr>
          <w:lang w:val="en-US"/>
        </w:rPr>
      </w:pPr>
      <w:r>
        <w:rPr>
          <w:lang w:val="en-US"/>
        </w:rPr>
        <w:t>In this study, the following events were study endpoints; they were excluded from being reported as an SAE, UNLESS the events were related to study drug:</w:t>
      </w:r>
    </w:p>
    <w:p w14:paraId="5C08192E" w14:textId="77777777" w:rsidR="009A128A" w:rsidRDefault="009A128A" w:rsidP="009A128A">
      <w:pPr>
        <w:pStyle w:val="ListParagraph"/>
        <w:numPr>
          <w:ilvl w:val="0"/>
          <w:numId w:val="19"/>
        </w:numPr>
        <w:spacing w:line="240" w:lineRule="auto"/>
        <w:rPr>
          <w:lang w:val="en-US"/>
        </w:rPr>
      </w:pPr>
      <w:r>
        <w:rPr>
          <w:lang w:val="en-US"/>
        </w:rPr>
        <w:t>Death.</w:t>
      </w:r>
    </w:p>
    <w:p w14:paraId="3DBADEF1" w14:textId="77777777" w:rsidR="009A128A" w:rsidRDefault="009A128A" w:rsidP="009A128A">
      <w:pPr>
        <w:pStyle w:val="ListParagraph"/>
        <w:numPr>
          <w:ilvl w:val="0"/>
          <w:numId w:val="19"/>
        </w:numPr>
        <w:spacing w:line="240" w:lineRule="auto"/>
        <w:rPr>
          <w:lang w:val="en-US"/>
        </w:rPr>
      </w:pPr>
      <w:r>
        <w:rPr>
          <w:lang w:val="en-US"/>
        </w:rPr>
        <w:t>Hospitalization prolongation.</w:t>
      </w:r>
    </w:p>
    <w:p w14:paraId="4507863D" w14:textId="77777777" w:rsidR="009A128A" w:rsidRDefault="009A128A" w:rsidP="009A128A">
      <w:pPr>
        <w:pStyle w:val="ListParagraph"/>
        <w:numPr>
          <w:ilvl w:val="0"/>
          <w:numId w:val="19"/>
        </w:numPr>
        <w:spacing w:line="240" w:lineRule="auto"/>
        <w:rPr>
          <w:lang w:val="en-US"/>
        </w:rPr>
      </w:pPr>
      <w:r>
        <w:rPr>
          <w:lang w:val="en-US"/>
        </w:rPr>
        <w:t>Re-hospitalization.</w:t>
      </w:r>
    </w:p>
    <w:p w14:paraId="4CB59EF6" w14:textId="77777777" w:rsidR="009A128A" w:rsidRDefault="009A128A" w:rsidP="009A128A">
      <w:pPr>
        <w:pStyle w:val="ListParagraph"/>
        <w:numPr>
          <w:ilvl w:val="0"/>
          <w:numId w:val="19"/>
        </w:numPr>
        <w:spacing w:line="240" w:lineRule="auto"/>
        <w:rPr>
          <w:lang w:val="en-US"/>
        </w:rPr>
      </w:pPr>
      <w:r>
        <w:rPr>
          <w:lang w:val="en-US"/>
        </w:rPr>
        <w:t>ICU admission.</w:t>
      </w:r>
    </w:p>
    <w:p w14:paraId="6EA0242C" w14:textId="77777777" w:rsidR="009A128A" w:rsidRDefault="009A128A" w:rsidP="009A128A">
      <w:pPr>
        <w:pStyle w:val="ListParagraph"/>
        <w:numPr>
          <w:ilvl w:val="0"/>
          <w:numId w:val="19"/>
        </w:numPr>
        <w:spacing w:line="240" w:lineRule="auto"/>
        <w:rPr>
          <w:lang w:val="en-US"/>
        </w:rPr>
      </w:pPr>
      <w:r>
        <w:rPr>
          <w:lang w:val="en-US"/>
        </w:rPr>
        <w:t>Ventilator use.</w:t>
      </w:r>
    </w:p>
    <w:p w14:paraId="10989FE7" w14:textId="77777777" w:rsidR="009A128A" w:rsidRDefault="009A128A" w:rsidP="009A128A">
      <w:pPr>
        <w:pStyle w:val="ListParagraph"/>
        <w:numPr>
          <w:ilvl w:val="0"/>
          <w:numId w:val="19"/>
        </w:numPr>
        <w:spacing w:line="240" w:lineRule="auto"/>
        <w:rPr>
          <w:lang w:val="en-US"/>
        </w:rPr>
      </w:pPr>
      <w:r>
        <w:rPr>
          <w:lang w:val="en-US"/>
        </w:rPr>
        <w:t>Vasopressor use.</w:t>
      </w:r>
    </w:p>
    <w:p w14:paraId="4A3B1465" w14:textId="77777777" w:rsidR="009A128A" w:rsidRDefault="009A128A" w:rsidP="009A128A">
      <w:pPr>
        <w:pStyle w:val="ListParagraph"/>
        <w:numPr>
          <w:ilvl w:val="0"/>
          <w:numId w:val="19"/>
        </w:numPr>
        <w:spacing w:line="240" w:lineRule="auto"/>
        <w:rPr>
          <w:lang w:val="en-US"/>
        </w:rPr>
      </w:pPr>
      <w:r>
        <w:rPr>
          <w:lang w:val="en-US"/>
        </w:rPr>
        <w:t>Dialysis use.</w:t>
      </w:r>
    </w:p>
    <w:p w14:paraId="578A385D" w14:textId="77777777" w:rsidR="009A128A" w:rsidRDefault="009A128A" w:rsidP="009A128A">
      <w:pPr>
        <w:pStyle w:val="ListParagraph"/>
        <w:numPr>
          <w:ilvl w:val="0"/>
          <w:numId w:val="19"/>
        </w:numPr>
        <w:spacing w:line="240" w:lineRule="auto"/>
        <w:rPr>
          <w:lang w:val="en-US"/>
        </w:rPr>
      </w:pPr>
      <w:r>
        <w:rPr>
          <w:lang w:val="en-US"/>
        </w:rPr>
        <w:t>Viral reactivation.</w:t>
      </w:r>
    </w:p>
    <w:p w14:paraId="6CA1212C" w14:textId="77777777" w:rsidR="009A128A" w:rsidRDefault="009A128A" w:rsidP="009A128A">
      <w:pPr>
        <w:spacing w:line="240" w:lineRule="auto"/>
        <w:rPr>
          <w:lang w:val="en-US"/>
        </w:rPr>
      </w:pPr>
    </w:p>
    <w:p w14:paraId="7C828992" w14:textId="77777777" w:rsidR="009A128A" w:rsidRDefault="009A128A" w:rsidP="009A128A">
      <w:pPr>
        <w:spacing w:line="240" w:lineRule="auto"/>
        <w:rPr>
          <w:lang w:val="en-US"/>
        </w:rPr>
      </w:pPr>
      <w:r>
        <w:rPr>
          <w:lang w:val="en-US"/>
        </w:rPr>
        <w:t>These events were recorded on other CRF pages instead of the SAE pages.</w:t>
      </w:r>
    </w:p>
    <w:p w14:paraId="36E49828" w14:textId="77777777" w:rsidR="009A128A" w:rsidRDefault="009A128A" w:rsidP="009A128A">
      <w:pPr>
        <w:spacing w:line="240" w:lineRule="auto"/>
        <w:rPr>
          <w:lang w:val="en-US"/>
        </w:rPr>
      </w:pPr>
    </w:p>
    <w:p w14:paraId="7AAE0295" w14:textId="77777777" w:rsidR="009A128A" w:rsidRDefault="009A128A" w:rsidP="009A128A">
      <w:pPr>
        <w:spacing w:line="240" w:lineRule="auto"/>
        <w:rPr>
          <w:lang w:val="en-US"/>
        </w:rPr>
      </w:pPr>
      <w:r>
        <w:rPr>
          <w:lang w:val="en-US"/>
        </w:rPr>
        <w:t>Any component of a study endpoint that was considered related to study therapy was to be reported as an SAE (e.g. death is an endpoint; if death occurred due to anaphylaxis, anaphylaxis was reported).</w:t>
      </w:r>
    </w:p>
    <w:p w14:paraId="00A5F5FC" w14:textId="77777777" w:rsidR="009A128A" w:rsidRDefault="009A128A" w:rsidP="009A128A">
      <w:pPr>
        <w:spacing w:line="240" w:lineRule="auto"/>
        <w:rPr>
          <w:lang w:val="en-US"/>
        </w:rPr>
      </w:pPr>
    </w:p>
    <w:p w14:paraId="79DA6EBA" w14:textId="77777777" w:rsidR="009A128A" w:rsidRDefault="009A128A" w:rsidP="009A128A">
      <w:pPr>
        <w:spacing w:line="240" w:lineRule="auto"/>
        <w:rPr>
          <w:lang w:val="en-US"/>
        </w:rPr>
      </w:pPr>
      <w:r>
        <w:rPr>
          <w:lang w:val="en-US"/>
        </w:rPr>
        <w:t>NOTE: The following hospitalizations were not considered SAEs:</w:t>
      </w:r>
    </w:p>
    <w:p w14:paraId="4BD6DFE4" w14:textId="77777777" w:rsidR="009A128A" w:rsidRDefault="009A128A" w:rsidP="009A128A">
      <w:pPr>
        <w:pStyle w:val="ListParagraph"/>
        <w:numPr>
          <w:ilvl w:val="0"/>
          <w:numId w:val="20"/>
        </w:numPr>
        <w:spacing w:line="240" w:lineRule="auto"/>
        <w:rPr>
          <w:lang w:val="en-US"/>
        </w:rPr>
      </w:pPr>
      <w:r>
        <w:rPr>
          <w:lang w:val="en-US"/>
        </w:rPr>
        <w:t>A visit to the emergency room or other hospital department &lt;24 hours that did not result in admission (unless considered an important medical or life-threatening event).</w:t>
      </w:r>
    </w:p>
    <w:p w14:paraId="0D57F8AF" w14:textId="77777777" w:rsidR="009A128A" w:rsidRDefault="009A128A" w:rsidP="009A128A">
      <w:pPr>
        <w:pStyle w:val="ListParagraph"/>
        <w:numPr>
          <w:ilvl w:val="0"/>
          <w:numId w:val="20"/>
        </w:numPr>
        <w:spacing w:line="240" w:lineRule="auto"/>
        <w:rPr>
          <w:lang w:val="en-US"/>
        </w:rPr>
      </w:pPr>
      <w:r>
        <w:rPr>
          <w:lang w:val="en-US"/>
        </w:rPr>
        <w:t>Elective surgery, planned prior to signing consent.</w:t>
      </w:r>
    </w:p>
    <w:p w14:paraId="02EC16AA" w14:textId="77777777" w:rsidR="009A128A" w:rsidRDefault="009A128A" w:rsidP="009A128A">
      <w:pPr>
        <w:pStyle w:val="ListParagraph"/>
        <w:numPr>
          <w:ilvl w:val="0"/>
          <w:numId w:val="20"/>
        </w:numPr>
        <w:spacing w:line="240" w:lineRule="auto"/>
        <w:rPr>
          <w:lang w:val="en-US"/>
        </w:rPr>
      </w:pPr>
      <w:r>
        <w:rPr>
          <w:lang w:val="en-US"/>
        </w:rPr>
        <w:t>Admissions as per protocol for a planned medical/surgical procedure.</w:t>
      </w:r>
    </w:p>
    <w:p w14:paraId="362E1701" w14:textId="77777777" w:rsidR="009A128A" w:rsidRDefault="009A128A" w:rsidP="009A128A">
      <w:pPr>
        <w:pStyle w:val="ListParagraph"/>
        <w:numPr>
          <w:ilvl w:val="0"/>
          <w:numId w:val="20"/>
        </w:numPr>
        <w:spacing w:line="240" w:lineRule="auto"/>
        <w:rPr>
          <w:lang w:val="en-US"/>
        </w:rPr>
      </w:pPr>
      <w:r>
        <w:rPr>
          <w:lang w:val="en-US"/>
        </w:rPr>
        <w:t>Routine health assessment requiring admission for baseline/trending of health status (e.g. routine colonoscopy).</w:t>
      </w:r>
    </w:p>
    <w:p w14:paraId="21355164" w14:textId="77777777" w:rsidR="009A128A" w:rsidRDefault="009A128A" w:rsidP="009A128A">
      <w:pPr>
        <w:pStyle w:val="ListParagraph"/>
        <w:numPr>
          <w:ilvl w:val="0"/>
          <w:numId w:val="20"/>
        </w:numPr>
        <w:spacing w:line="240" w:lineRule="auto"/>
        <w:rPr>
          <w:lang w:val="en-US"/>
        </w:rPr>
      </w:pPr>
      <w:r>
        <w:rPr>
          <w:lang w:val="en-US"/>
        </w:rPr>
        <w:t>Medical/surgical admission other than to remedy ill health and planned prior to entry into the study. Appropriate documentation was required in these cases.</w:t>
      </w:r>
    </w:p>
    <w:p w14:paraId="15803383" w14:textId="77777777" w:rsidR="009A128A" w:rsidRDefault="009A128A" w:rsidP="009A128A">
      <w:pPr>
        <w:pStyle w:val="ListParagraph"/>
        <w:numPr>
          <w:ilvl w:val="0"/>
          <w:numId w:val="20"/>
        </w:numPr>
        <w:spacing w:line="240" w:lineRule="auto"/>
        <w:rPr>
          <w:lang w:val="en-US"/>
        </w:rPr>
      </w:pPr>
      <w:r>
        <w:rPr>
          <w:lang w:val="en-US"/>
        </w:rPr>
        <w:t>Admission encountered for another life circumstance that carried no bearing on health status and required no medical/surgical intervention (e.g. lack of housing, economic inadequacy, caregiver respite, family circumstances, administrative reason).</w:t>
      </w:r>
    </w:p>
    <w:p w14:paraId="7244D552" w14:textId="77777777" w:rsidR="009A128A" w:rsidRDefault="009A128A" w:rsidP="009A128A">
      <w:pPr>
        <w:spacing w:line="240" w:lineRule="auto"/>
        <w:rPr>
          <w:b/>
          <w:lang w:val="en-US"/>
        </w:rPr>
      </w:pPr>
    </w:p>
    <w:p w14:paraId="55B8957C" w14:textId="77777777" w:rsidR="009A128A" w:rsidRDefault="009A128A" w:rsidP="009A128A">
      <w:pPr>
        <w:spacing w:line="240" w:lineRule="auto"/>
        <w:rPr>
          <w:b/>
          <w:lang w:val="en-US"/>
        </w:rPr>
      </w:pPr>
      <w:r>
        <w:rPr>
          <w:b/>
          <w:lang w:val="en-US"/>
        </w:rPr>
        <w:t>Study stopping rules</w:t>
      </w:r>
    </w:p>
    <w:p w14:paraId="254BA910" w14:textId="77777777" w:rsidR="009A128A" w:rsidRDefault="009A128A" w:rsidP="009A128A">
      <w:pPr>
        <w:spacing w:line="240" w:lineRule="auto"/>
        <w:rPr>
          <w:lang w:val="en-US"/>
        </w:rPr>
      </w:pPr>
    </w:p>
    <w:p w14:paraId="62A19DAE" w14:textId="705871CB" w:rsidR="009A128A" w:rsidRDefault="009A128A" w:rsidP="009A128A">
      <w:pPr>
        <w:spacing w:line="240" w:lineRule="auto"/>
        <w:rPr>
          <w:lang w:val="en-US"/>
        </w:rPr>
      </w:pPr>
      <w:r>
        <w:rPr>
          <w:lang w:val="en-US"/>
        </w:rPr>
        <w:t>If, at any time during the study, the perceived risk/benefit of treatment changed, the BMS Medical Monitor and BMS Medical Surveillance Team Lead or the independent Data Monitoring Committee (DMC) had the authority to determine whether the study should stop or be modified.</w:t>
      </w:r>
    </w:p>
    <w:p w14:paraId="6D2B185D" w14:textId="77777777" w:rsidR="009A128A" w:rsidRDefault="009A128A" w:rsidP="009A128A">
      <w:pPr>
        <w:spacing w:line="240" w:lineRule="auto"/>
        <w:rPr>
          <w:lang w:val="en-US"/>
        </w:rPr>
      </w:pPr>
    </w:p>
    <w:p w14:paraId="2952A72A" w14:textId="77777777" w:rsidR="009A128A" w:rsidRDefault="009A128A" w:rsidP="009A128A">
      <w:pPr>
        <w:spacing w:line="240" w:lineRule="auto"/>
        <w:rPr>
          <w:lang w:val="en-US"/>
        </w:rPr>
      </w:pPr>
      <w:r>
        <w:rPr>
          <w:lang w:val="en-US"/>
        </w:rPr>
        <w:t>Enrollment would be paused to allow review of blinded safety data in the event of the following observations in the same dose cohort:</w:t>
      </w:r>
    </w:p>
    <w:p w14:paraId="62E3C801" w14:textId="77777777" w:rsidR="009A128A" w:rsidRDefault="009A128A" w:rsidP="009A128A">
      <w:pPr>
        <w:spacing w:line="240" w:lineRule="auto"/>
        <w:rPr>
          <w:lang w:val="en-US"/>
        </w:rPr>
      </w:pPr>
    </w:p>
    <w:p w14:paraId="577CAEB8" w14:textId="77777777" w:rsidR="009A128A" w:rsidRDefault="009A128A" w:rsidP="009A128A">
      <w:pPr>
        <w:pStyle w:val="ListParagraph"/>
        <w:numPr>
          <w:ilvl w:val="0"/>
          <w:numId w:val="8"/>
        </w:numPr>
        <w:spacing w:line="240" w:lineRule="auto"/>
        <w:rPr>
          <w:lang w:val="en-US"/>
        </w:rPr>
      </w:pPr>
      <w:r>
        <w:rPr>
          <w:lang w:val="en-US"/>
        </w:rPr>
        <w:t>Mortality that was unusual for the study population as determined by the BMS team and Investigators</w:t>
      </w:r>
    </w:p>
    <w:p w14:paraId="6547B94F" w14:textId="77777777" w:rsidR="009A128A" w:rsidRDefault="009A128A" w:rsidP="009A128A">
      <w:pPr>
        <w:pStyle w:val="ListParagraph"/>
        <w:numPr>
          <w:ilvl w:val="0"/>
          <w:numId w:val="8"/>
        </w:numPr>
        <w:spacing w:line="240" w:lineRule="auto"/>
        <w:rPr>
          <w:lang w:val="en-US"/>
        </w:rPr>
      </w:pPr>
      <w:r>
        <w:rPr>
          <w:rFonts w:cs="Arial"/>
          <w:lang w:val="en-US"/>
        </w:rPr>
        <w:t>≥</w:t>
      </w:r>
      <w:r>
        <w:rPr>
          <w:lang w:val="en-US"/>
        </w:rPr>
        <w:t>2 participants experienced the same SAE, and the event was not expected either for the study population or for BMS-936559, and was considered study drug related (as determined by the BMS team and Investigators)</w:t>
      </w:r>
    </w:p>
    <w:p w14:paraId="0B9CFE31" w14:textId="77777777" w:rsidR="009A128A" w:rsidRDefault="009A128A" w:rsidP="009A128A">
      <w:pPr>
        <w:pStyle w:val="ListParagraph"/>
        <w:numPr>
          <w:ilvl w:val="0"/>
          <w:numId w:val="8"/>
        </w:numPr>
        <w:spacing w:line="240" w:lineRule="auto"/>
        <w:rPr>
          <w:lang w:val="en-US"/>
        </w:rPr>
      </w:pPr>
      <w:r>
        <w:rPr>
          <w:rFonts w:cs="Arial"/>
          <w:lang w:val="en-US"/>
        </w:rPr>
        <w:t>≥</w:t>
      </w:r>
      <w:r>
        <w:rPr>
          <w:lang w:val="en-US"/>
        </w:rPr>
        <w:t>2 participants experienced the same retinal lesion in the macula and the lesion was not expected for the study population, and was considered study drug-related (as determined by the BMS team and the investigators)</w:t>
      </w:r>
    </w:p>
    <w:p w14:paraId="20D06642" w14:textId="77777777" w:rsidR="009A128A" w:rsidRDefault="009A128A" w:rsidP="009A128A">
      <w:pPr>
        <w:spacing w:line="240" w:lineRule="auto"/>
        <w:rPr>
          <w:lang w:val="en-US"/>
        </w:rPr>
      </w:pPr>
    </w:p>
    <w:p w14:paraId="75EFBE40" w14:textId="77777777" w:rsidR="009A128A" w:rsidRDefault="009A128A" w:rsidP="009A128A">
      <w:pPr>
        <w:spacing w:line="240" w:lineRule="auto"/>
        <w:rPr>
          <w:lang w:val="en-US"/>
        </w:rPr>
      </w:pPr>
      <w:r>
        <w:rPr>
          <w:lang w:val="en-US"/>
        </w:rPr>
        <w:lastRenderedPageBreak/>
        <w:t>In parallel, the independent DMC reviewed unblinded study treatment and safety data to adjudicate study drug-relatedness and appropriateness of resuming enrollment with or without study modifications.</w:t>
      </w:r>
    </w:p>
    <w:p w14:paraId="09629A02" w14:textId="77777777" w:rsidR="009A128A" w:rsidRDefault="009A128A" w:rsidP="009A128A">
      <w:pPr>
        <w:spacing w:line="240" w:lineRule="auto"/>
        <w:rPr>
          <w:lang w:val="en-US"/>
        </w:rPr>
      </w:pPr>
    </w:p>
    <w:p w14:paraId="26BB02D7" w14:textId="77777777" w:rsidR="009A128A" w:rsidRDefault="009A128A" w:rsidP="009A128A">
      <w:pPr>
        <w:spacing w:line="240" w:lineRule="auto"/>
        <w:rPr>
          <w:rFonts w:eastAsia="Calibri" w:cs="Arial"/>
          <w:b/>
          <w:szCs w:val="22"/>
          <w:lang w:val="en-US" w:eastAsia="en-US"/>
        </w:rPr>
      </w:pPr>
      <w:r>
        <w:rPr>
          <w:rFonts w:eastAsia="Calibri" w:cs="Arial"/>
          <w:b/>
          <w:szCs w:val="22"/>
          <w:lang w:val="en-US" w:eastAsia="en-US"/>
        </w:rPr>
        <w:t xml:space="preserve">Protocol changes </w:t>
      </w:r>
    </w:p>
    <w:p w14:paraId="6F68A9D9" w14:textId="77777777" w:rsidR="009A128A" w:rsidRDefault="009A128A" w:rsidP="009A128A">
      <w:pPr>
        <w:spacing w:line="240" w:lineRule="auto"/>
        <w:rPr>
          <w:rFonts w:eastAsia="Calibri" w:cs="Arial"/>
          <w:b/>
          <w:szCs w:val="22"/>
          <w:lang w:val="en-US" w:eastAsia="en-US"/>
        </w:rPr>
      </w:pPr>
    </w:p>
    <w:p w14:paraId="1D48EF6E" w14:textId="77777777" w:rsidR="009A128A" w:rsidRDefault="009A128A" w:rsidP="009A128A">
      <w:pPr>
        <w:spacing w:line="240" w:lineRule="auto"/>
        <w:rPr>
          <w:rFonts w:eastAsia="Calibri" w:cs="Arial"/>
          <w:szCs w:val="22"/>
          <w:lang w:val="en-US" w:eastAsia="en-US"/>
        </w:rPr>
      </w:pPr>
      <w:r>
        <w:rPr>
          <w:rFonts w:eastAsia="Calibri" w:cs="Arial"/>
          <w:szCs w:val="22"/>
          <w:lang w:val="en-US" w:eastAsia="en-US"/>
        </w:rPr>
        <w:t>Important protocol changes after study commencement were: removal of systemic inflammatory response syndrome (SIRS) criteria to determine study eligibility (because they are not adequately specific for sepsis diagnosis [</w:t>
      </w:r>
      <w:r>
        <w:rPr>
          <w:lang w:val="en-US"/>
        </w:rPr>
        <w:t>Kaukonen KM, Bailey M, Pilcher D</w:t>
      </w:r>
      <w:r>
        <w:rPr>
          <w:i/>
          <w:lang w:val="en-US"/>
        </w:rPr>
        <w:t xml:space="preserve"> et al</w:t>
      </w:r>
      <w:r>
        <w:rPr>
          <w:lang w:val="en-US"/>
        </w:rPr>
        <w:t xml:space="preserve">. Systemic inflammatory response syndrome criteria in defining severe sepsis. </w:t>
      </w:r>
      <w:r>
        <w:rPr>
          <w:i/>
          <w:lang w:val="en-US"/>
        </w:rPr>
        <w:t xml:space="preserve">New Engl J Med </w:t>
      </w:r>
      <w:r>
        <w:rPr>
          <w:lang w:val="en-US"/>
        </w:rPr>
        <w:t>2015;372:1629-1638]</w:t>
      </w:r>
      <w:r>
        <w:rPr>
          <w:rFonts w:eastAsia="Calibri" w:cs="Arial"/>
          <w:szCs w:val="22"/>
          <w:lang w:val="en-US" w:eastAsia="en-US"/>
        </w:rPr>
        <w:t>); and inclusion of lactate and Acute Physiology And Chronic Health Evaluation (APACHE) II score collection at enrollment (to characterize participant baseline characteristics).</w:t>
      </w:r>
    </w:p>
    <w:p w14:paraId="121623B5" w14:textId="77777777" w:rsidR="009A128A" w:rsidRDefault="009A128A" w:rsidP="009A128A">
      <w:pPr>
        <w:spacing w:line="240" w:lineRule="auto"/>
        <w:rPr>
          <w:rFonts w:eastAsia="Calibri" w:cs="Arial"/>
          <w:b/>
          <w:szCs w:val="22"/>
          <w:lang w:val="en-US" w:eastAsia="en-US"/>
        </w:rPr>
      </w:pPr>
      <w:r>
        <w:rPr>
          <w:rFonts w:eastAsia="Calibri" w:cs="Arial"/>
          <w:b/>
          <w:szCs w:val="22"/>
          <w:lang w:val="en-US" w:eastAsia="en-US"/>
        </w:rPr>
        <w:br w:type="page"/>
      </w:r>
    </w:p>
    <w:p w14:paraId="76649AF0" w14:textId="77777777" w:rsidR="009A128A" w:rsidRDefault="009A128A" w:rsidP="009A128A">
      <w:pPr>
        <w:spacing w:line="240" w:lineRule="auto"/>
        <w:rPr>
          <w:rFonts w:eastAsia="Calibri" w:cs="Arial"/>
          <w:b/>
          <w:szCs w:val="22"/>
          <w:lang w:val="en-US" w:eastAsia="en-US"/>
        </w:rPr>
      </w:pPr>
      <w:r>
        <w:rPr>
          <w:rFonts w:eastAsia="Calibri" w:cs="Arial"/>
          <w:b/>
          <w:szCs w:val="22"/>
          <w:lang w:val="en-US" w:eastAsia="en-US"/>
        </w:rPr>
        <w:lastRenderedPageBreak/>
        <w:t>Supplementary Table S1. Summary of all-cause deaths on treatment</w:t>
      </w:r>
    </w:p>
    <w:p w14:paraId="0C98CE45" w14:textId="77777777" w:rsidR="009A128A" w:rsidRDefault="009A128A" w:rsidP="009A128A">
      <w:pPr>
        <w:spacing w:line="240" w:lineRule="auto"/>
        <w:rPr>
          <w:rFonts w:eastAsia="Calibri" w:cs="Arial"/>
          <w:b/>
          <w:szCs w:val="22"/>
          <w:lang w:val="en-US" w:eastAsia="en-US"/>
        </w:rPr>
      </w:pPr>
    </w:p>
    <w:tbl>
      <w:tblPr>
        <w:tblStyle w:val="TableGrid"/>
        <w:tblW w:w="0" w:type="auto"/>
        <w:tblLook w:val="04A0" w:firstRow="1" w:lastRow="0" w:firstColumn="1" w:lastColumn="0" w:noHBand="0" w:noVBand="1"/>
      </w:tblPr>
      <w:tblGrid>
        <w:gridCol w:w="3256"/>
        <w:gridCol w:w="1417"/>
        <w:gridCol w:w="3034"/>
        <w:gridCol w:w="1353"/>
      </w:tblGrid>
      <w:tr w:rsidR="009A128A" w14:paraId="7E4FB1D1"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hideMark/>
          </w:tcPr>
          <w:p w14:paraId="5D2DE1E4" w14:textId="77777777" w:rsidR="009A128A" w:rsidRDefault="009A128A" w:rsidP="009A128A">
            <w:pPr>
              <w:spacing w:line="240" w:lineRule="auto"/>
              <w:rPr>
                <w:rFonts w:eastAsia="Calibri" w:cs="Arial"/>
                <w:b/>
                <w:szCs w:val="22"/>
                <w:lang w:eastAsia="en-US"/>
              </w:rPr>
            </w:pPr>
            <w:r>
              <w:rPr>
                <w:rFonts w:eastAsia="Calibri" w:cs="Arial"/>
                <w:b/>
                <w:szCs w:val="22"/>
                <w:lang w:eastAsia="en-US"/>
              </w:rPr>
              <w:t>Participant (age / sex / race / treatment group)</w:t>
            </w:r>
          </w:p>
        </w:tc>
        <w:tc>
          <w:tcPr>
            <w:tcW w:w="1417" w:type="dxa"/>
            <w:tcBorders>
              <w:top w:val="single" w:sz="4" w:space="0" w:color="auto"/>
              <w:left w:val="single" w:sz="4" w:space="0" w:color="auto"/>
              <w:bottom w:val="single" w:sz="4" w:space="0" w:color="auto"/>
              <w:right w:val="single" w:sz="4" w:space="0" w:color="auto"/>
            </w:tcBorders>
            <w:hideMark/>
          </w:tcPr>
          <w:p w14:paraId="443FC3D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Days from dose date</w:t>
            </w:r>
          </w:p>
        </w:tc>
        <w:tc>
          <w:tcPr>
            <w:tcW w:w="3034" w:type="dxa"/>
            <w:tcBorders>
              <w:top w:val="single" w:sz="4" w:space="0" w:color="auto"/>
              <w:left w:val="single" w:sz="4" w:space="0" w:color="auto"/>
              <w:bottom w:val="single" w:sz="4" w:space="0" w:color="auto"/>
              <w:right w:val="single" w:sz="4" w:space="0" w:color="auto"/>
            </w:tcBorders>
            <w:hideMark/>
          </w:tcPr>
          <w:p w14:paraId="5D48EB0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Primary cause of death</w:t>
            </w:r>
          </w:p>
        </w:tc>
        <w:tc>
          <w:tcPr>
            <w:tcW w:w="1353" w:type="dxa"/>
            <w:tcBorders>
              <w:top w:val="single" w:sz="4" w:space="0" w:color="auto"/>
              <w:left w:val="single" w:sz="4" w:space="0" w:color="auto"/>
              <w:bottom w:val="single" w:sz="4" w:space="0" w:color="auto"/>
              <w:right w:val="single" w:sz="4" w:space="0" w:color="auto"/>
            </w:tcBorders>
            <w:hideMark/>
          </w:tcPr>
          <w:p w14:paraId="516DD9F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Treatment-related?*</w:t>
            </w:r>
          </w:p>
        </w:tc>
      </w:tr>
      <w:tr w:rsidR="009A128A" w14:paraId="7184E12D"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52659E01" w14:textId="77777777" w:rsidR="009A128A" w:rsidRDefault="009A128A" w:rsidP="009A128A">
            <w:pPr>
              <w:spacing w:line="240" w:lineRule="auto"/>
              <w:rPr>
                <w:rFonts w:eastAsia="Calibri" w:cs="Arial"/>
                <w:szCs w:val="22"/>
                <w:lang w:eastAsia="en-US"/>
              </w:rPr>
            </w:pPr>
            <w:r>
              <w:rPr>
                <w:rFonts w:eastAsia="Calibri" w:cs="Arial"/>
                <w:szCs w:val="22"/>
                <w:lang w:eastAsia="en-US"/>
              </w:rPr>
              <w:t xml:space="preserve">64y / female / Caucasian / </w:t>
            </w:r>
            <w:r>
              <w:rPr>
                <w:rFonts w:eastAsia="Calibri" w:cs="Arial"/>
                <w:szCs w:val="22"/>
                <w:lang w:eastAsia="en-US"/>
              </w:rPr>
              <w:br/>
              <w:t>BMS-936559 30 mg</w:t>
            </w:r>
          </w:p>
        </w:tc>
        <w:tc>
          <w:tcPr>
            <w:tcW w:w="1417" w:type="dxa"/>
            <w:tcBorders>
              <w:top w:val="single" w:sz="4" w:space="0" w:color="auto"/>
              <w:left w:val="single" w:sz="4" w:space="0" w:color="auto"/>
              <w:bottom w:val="single" w:sz="4" w:space="0" w:color="auto"/>
              <w:right w:val="single" w:sz="4" w:space="0" w:color="auto"/>
            </w:tcBorders>
            <w:hideMark/>
          </w:tcPr>
          <w:p w14:paraId="1F6B689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3034" w:type="dxa"/>
            <w:tcBorders>
              <w:top w:val="single" w:sz="4" w:space="0" w:color="auto"/>
              <w:left w:val="single" w:sz="4" w:space="0" w:color="auto"/>
              <w:bottom w:val="single" w:sz="4" w:space="0" w:color="auto"/>
              <w:right w:val="single" w:sz="4" w:space="0" w:color="auto"/>
            </w:tcBorders>
            <w:hideMark/>
          </w:tcPr>
          <w:p w14:paraId="7698A66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Acute liver failure, GI bleed</w:t>
            </w:r>
          </w:p>
        </w:tc>
        <w:tc>
          <w:tcPr>
            <w:tcW w:w="1353" w:type="dxa"/>
            <w:tcBorders>
              <w:top w:val="single" w:sz="4" w:space="0" w:color="auto"/>
              <w:left w:val="single" w:sz="4" w:space="0" w:color="auto"/>
              <w:bottom w:val="single" w:sz="4" w:space="0" w:color="auto"/>
              <w:right w:val="single" w:sz="4" w:space="0" w:color="auto"/>
            </w:tcBorders>
            <w:hideMark/>
          </w:tcPr>
          <w:p w14:paraId="59356C3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76EEA761"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11BF76D5" w14:textId="77777777" w:rsidR="009A128A" w:rsidRDefault="009A128A" w:rsidP="009A128A">
            <w:pPr>
              <w:spacing w:line="240" w:lineRule="auto"/>
              <w:rPr>
                <w:rFonts w:eastAsia="Calibri" w:cs="Arial"/>
                <w:szCs w:val="22"/>
                <w:lang w:eastAsia="en-US"/>
              </w:rPr>
            </w:pPr>
            <w:r>
              <w:rPr>
                <w:rFonts w:eastAsia="Calibri" w:cs="Arial"/>
                <w:szCs w:val="22"/>
                <w:lang w:eastAsia="en-US"/>
              </w:rPr>
              <w:t xml:space="preserve">71y / female / Caucasian / </w:t>
            </w:r>
            <w:r>
              <w:rPr>
                <w:rFonts w:eastAsia="Calibri" w:cs="Arial"/>
                <w:szCs w:val="22"/>
                <w:lang w:eastAsia="en-US"/>
              </w:rPr>
              <w:br/>
              <w:t>BMS-936559 30 mg</w:t>
            </w:r>
          </w:p>
        </w:tc>
        <w:tc>
          <w:tcPr>
            <w:tcW w:w="1417" w:type="dxa"/>
            <w:tcBorders>
              <w:top w:val="single" w:sz="4" w:space="0" w:color="auto"/>
              <w:left w:val="single" w:sz="4" w:space="0" w:color="auto"/>
              <w:bottom w:val="single" w:sz="4" w:space="0" w:color="auto"/>
              <w:right w:val="single" w:sz="4" w:space="0" w:color="auto"/>
            </w:tcBorders>
            <w:hideMark/>
          </w:tcPr>
          <w:p w14:paraId="793E8A0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7</w:t>
            </w:r>
          </w:p>
        </w:tc>
        <w:tc>
          <w:tcPr>
            <w:tcW w:w="3034" w:type="dxa"/>
            <w:tcBorders>
              <w:top w:val="single" w:sz="4" w:space="0" w:color="auto"/>
              <w:left w:val="single" w:sz="4" w:space="0" w:color="auto"/>
              <w:bottom w:val="single" w:sz="4" w:space="0" w:color="auto"/>
              <w:right w:val="single" w:sz="4" w:space="0" w:color="auto"/>
            </w:tcBorders>
            <w:hideMark/>
          </w:tcPr>
          <w:p w14:paraId="6F42987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Ischemic bowel with sepsis</w:t>
            </w:r>
          </w:p>
        </w:tc>
        <w:tc>
          <w:tcPr>
            <w:tcW w:w="1353" w:type="dxa"/>
            <w:tcBorders>
              <w:top w:val="single" w:sz="4" w:space="0" w:color="auto"/>
              <w:left w:val="single" w:sz="4" w:space="0" w:color="auto"/>
              <w:bottom w:val="single" w:sz="4" w:space="0" w:color="auto"/>
              <w:right w:val="single" w:sz="4" w:space="0" w:color="auto"/>
            </w:tcBorders>
            <w:hideMark/>
          </w:tcPr>
          <w:p w14:paraId="68E010B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59D97231"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3C981F16" w14:textId="77777777" w:rsidR="009A128A" w:rsidRDefault="009A128A" w:rsidP="009A128A">
            <w:pPr>
              <w:spacing w:line="240" w:lineRule="auto"/>
              <w:rPr>
                <w:rFonts w:eastAsia="Calibri" w:cs="Arial"/>
                <w:szCs w:val="22"/>
                <w:lang w:eastAsia="en-US"/>
              </w:rPr>
            </w:pPr>
            <w:r>
              <w:rPr>
                <w:rFonts w:eastAsia="Calibri" w:cs="Arial"/>
                <w:szCs w:val="22"/>
                <w:lang w:eastAsia="en-US"/>
              </w:rPr>
              <w:t xml:space="preserve">69y / male / Asian / </w:t>
            </w:r>
            <w:r>
              <w:rPr>
                <w:rFonts w:eastAsia="Calibri" w:cs="Arial"/>
                <w:szCs w:val="22"/>
                <w:lang w:eastAsia="en-US"/>
              </w:rPr>
              <w:br/>
              <w:t>BMS-936559 300 mg</w:t>
            </w:r>
          </w:p>
        </w:tc>
        <w:tc>
          <w:tcPr>
            <w:tcW w:w="1417" w:type="dxa"/>
            <w:tcBorders>
              <w:top w:val="single" w:sz="4" w:space="0" w:color="auto"/>
              <w:left w:val="single" w:sz="4" w:space="0" w:color="auto"/>
              <w:bottom w:val="single" w:sz="4" w:space="0" w:color="auto"/>
              <w:right w:val="single" w:sz="4" w:space="0" w:color="auto"/>
            </w:tcBorders>
            <w:hideMark/>
          </w:tcPr>
          <w:p w14:paraId="32ED69B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36</w:t>
            </w:r>
          </w:p>
        </w:tc>
        <w:tc>
          <w:tcPr>
            <w:tcW w:w="3034" w:type="dxa"/>
            <w:tcBorders>
              <w:top w:val="single" w:sz="4" w:space="0" w:color="auto"/>
              <w:left w:val="single" w:sz="4" w:space="0" w:color="auto"/>
              <w:bottom w:val="single" w:sz="4" w:space="0" w:color="auto"/>
              <w:right w:val="single" w:sz="4" w:space="0" w:color="auto"/>
            </w:tcBorders>
            <w:hideMark/>
          </w:tcPr>
          <w:p w14:paraId="58FE037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Chronic systolic heart failure</w:t>
            </w:r>
          </w:p>
        </w:tc>
        <w:tc>
          <w:tcPr>
            <w:tcW w:w="1353" w:type="dxa"/>
            <w:tcBorders>
              <w:top w:val="single" w:sz="4" w:space="0" w:color="auto"/>
              <w:left w:val="single" w:sz="4" w:space="0" w:color="auto"/>
              <w:bottom w:val="single" w:sz="4" w:space="0" w:color="auto"/>
              <w:right w:val="single" w:sz="4" w:space="0" w:color="auto"/>
            </w:tcBorders>
            <w:hideMark/>
          </w:tcPr>
          <w:p w14:paraId="23D913C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27352FF6"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05FEB006" w14:textId="77777777" w:rsidR="009A128A" w:rsidRDefault="009A128A" w:rsidP="009A128A">
            <w:pPr>
              <w:spacing w:line="240" w:lineRule="auto"/>
              <w:rPr>
                <w:rFonts w:eastAsia="Calibri" w:cs="Arial"/>
                <w:szCs w:val="22"/>
                <w:lang w:eastAsia="en-US"/>
              </w:rPr>
            </w:pPr>
            <w:r>
              <w:rPr>
                <w:rFonts w:eastAsia="Calibri" w:cs="Arial"/>
                <w:szCs w:val="22"/>
                <w:lang w:eastAsia="en-US"/>
              </w:rPr>
              <w:t>61y / female / Black or African American / BMS-936559 10 mg</w:t>
            </w:r>
          </w:p>
        </w:tc>
        <w:tc>
          <w:tcPr>
            <w:tcW w:w="1417" w:type="dxa"/>
            <w:tcBorders>
              <w:top w:val="single" w:sz="4" w:space="0" w:color="auto"/>
              <w:left w:val="single" w:sz="4" w:space="0" w:color="auto"/>
              <w:bottom w:val="single" w:sz="4" w:space="0" w:color="auto"/>
              <w:right w:val="single" w:sz="4" w:space="0" w:color="auto"/>
            </w:tcBorders>
            <w:hideMark/>
          </w:tcPr>
          <w:p w14:paraId="16B3911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46</w:t>
            </w:r>
          </w:p>
        </w:tc>
        <w:tc>
          <w:tcPr>
            <w:tcW w:w="3034" w:type="dxa"/>
            <w:tcBorders>
              <w:top w:val="single" w:sz="4" w:space="0" w:color="auto"/>
              <w:left w:val="single" w:sz="4" w:space="0" w:color="auto"/>
              <w:bottom w:val="single" w:sz="4" w:space="0" w:color="auto"/>
              <w:right w:val="single" w:sz="4" w:space="0" w:color="auto"/>
            </w:tcBorders>
            <w:hideMark/>
          </w:tcPr>
          <w:p w14:paraId="01D156E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Hemorrhagic shock, upper GI bleed, non-alcoholic steatohepatitis, cirrhosis</w:t>
            </w:r>
          </w:p>
        </w:tc>
        <w:tc>
          <w:tcPr>
            <w:tcW w:w="1353" w:type="dxa"/>
            <w:tcBorders>
              <w:top w:val="single" w:sz="4" w:space="0" w:color="auto"/>
              <w:left w:val="single" w:sz="4" w:space="0" w:color="auto"/>
              <w:bottom w:val="single" w:sz="4" w:space="0" w:color="auto"/>
              <w:right w:val="single" w:sz="4" w:space="0" w:color="auto"/>
            </w:tcBorders>
            <w:hideMark/>
          </w:tcPr>
          <w:p w14:paraId="56FF9CF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43541B4B"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3E7DA963" w14:textId="77777777" w:rsidR="009A128A" w:rsidRDefault="009A128A" w:rsidP="009A128A">
            <w:pPr>
              <w:spacing w:line="240" w:lineRule="auto"/>
              <w:rPr>
                <w:rFonts w:eastAsia="Calibri" w:cs="Arial"/>
                <w:szCs w:val="22"/>
                <w:lang w:eastAsia="en-US"/>
              </w:rPr>
            </w:pPr>
            <w:r>
              <w:rPr>
                <w:rFonts w:eastAsia="Calibri" w:cs="Arial"/>
                <w:szCs w:val="22"/>
                <w:lang w:eastAsia="en-US"/>
              </w:rPr>
              <w:t xml:space="preserve">71y / male / Caucasian / </w:t>
            </w:r>
            <w:r>
              <w:rPr>
                <w:rFonts w:eastAsia="Calibri" w:cs="Arial"/>
                <w:szCs w:val="22"/>
                <w:lang w:eastAsia="en-US"/>
              </w:rPr>
              <w:br/>
              <w:t>BMS-936559 100 mg</w:t>
            </w:r>
          </w:p>
        </w:tc>
        <w:tc>
          <w:tcPr>
            <w:tcW w:w="1417" w:type="dxa"/>
            <w:tcBorders>
              <w:top w:val="single" w:sz="4" w:space="0" w:color="auto"/>
              <w:left w:val="single" w:sz="4" w:space="0" w:color="auto"/>
              <w:bottom w:val="single" w:sz="4" w:space="0" w:color="auto"/>
              <w:right w:val="single" w:sz="4" w:space="0" w:color="auto"/>
            </w:tcBorders>
            <w:hideMark/>
          </w:tcPr>
          <w:p w14:paraId="75D81D9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49</w:t>
            </w:r>
          </w:p>
        </w:tc>
        <w:tc>
          <w:tcPr>
            <w:tcW w:w="3034" w:type="dxa"/>
            <w:tcBorders>
              <w:top w:val="single" w:sz="4" w:space="0" w:color="auto"/>
              <w:left w:val="single" w:sz="4" w:space="0" w:color="auto"/>
              <w:bottom w:val="single" w:sz="4" w:space="0" w:color="auto"/>
              <w:right w:val="single" w:sz="4" w:space="0" w:color="auto"/>
            </w:tcBorders>
            <w:hideMark/>
          </w:tcPr>
          <w:p w14:paraId="7EF3456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Unknown</w:t>
            </w:r>
          </w:p>
        </w:tc>
        <w:tc>
          <w:tcPr>
            <w:tcW w:w="1353" w:type="dxa"/>
            <w:tcBorders>
              <w:top w:val="single" w:sz="4" w:space="0" w:color="auto"/>
              <w:left w:val="single" w:sz="4" w:space="0" w:color="auto"/>
              <w:bottom w:val="single" w:sz="4" w:space="0" w:color="auto"/>
              <w:right w:val="single" w:sz="4" w:space="0" w:color="auto"/>
            </w:tcBorders>
            <w:hideMark/>
          </w:tcPr>
          <w:p w14:paraId="55B95DE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700BB362"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tcBorders>
            <w:hideMark/>
          </w:tcPr>
          <w:p w14:paraId="0CA7E4D1" w14:textId="77777777" w:rsidR="009A128A" w:rsidRDefault="009A128A" w:rsidP="009A128A">
            <w:pPr>
              <w:spacing w:line="240" w:lineRule="auto"/>
              <w:rPr>
                <w:rFonts w:eastAsia="Calibri" w:cs="Arial"/>
                <w:szCs w:val="22"/>
                <w:lang w:eastAsia="en-US"/>
              </w:rPr>
            </w:pPr>
            <w:r>
              <w:rPr>
                <w:rFonts w:eastAsia="Calibri" w:cs="Arial"/>
                <w:szCs w:val="22"/>
                <w:lang w:eastAsia="en-US"/>
              </w:rPr>
              <w:t xml:space="preserve">57y / female / Caucasian / </w:t>
            </w:r>
            <w:r>
              <w:rPr>
                <w:rFonts w:eastAsia="Calibri" w:cs="Arial"/>
                <w:szCs w:val="22"/>
                <w:lang w:eastAsia="en-US"/>
              </w:rPr>
              <w:br/>
              <w:t>BMS-936559 10 mg</w:t>
            </w:r>
          </w:p>
        </w:tc>
        <w:tc>
          <w:tcPr>
            <w:tcW w:w="1417" w:type="dxa"/>
            <w:tcBorders>
              <w:top w:val="single" w:sz="4" w:space="0" w:color="auto"/>
              <w:left w:val="single" w:sz="4" w:space="0" w:color="auto"/>
              <w:bottom w:val="single" w:sz="4" w:space="0" w:color="auto"/>
              <w:right w:val="single" w:sz="4" w:space="0" w:color="auto"/>
            </w:tcBorders>
            <w:hideMark/>
          </w:tcPr>
          <w:p w14:paraId="2001CDD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52</w:t>
            </w:r>
          </w:p>
        </w:tc>
        <w:tc>
          <w:tcPr>
            <w:tcW w:w="3034" w:type="dxa"/>
            <w:tcBorders>
              <w:top w:val="single" w:sz="4" w:space="0" w:color="auto"/>
              <w:left w:val="single" w:sz="4" w:space="0" w:color="auto"/>
              <w:bottom w:val="single" w:sz="4" w:space="0" w:color="auto"/>
              <w:right w:val="single" w:sz="4" w:space="0" w:color="auto"/>
            </w:tcBorders>
            <w:hideMark/>
          </w:tcPr>
          <w:p w14:paraId="00436A0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CVA and ischemic colitis</w:t>
            </w:r>
          </w:p>
        </w:tc>
        <w:tc>
          <w:tcPr>
            <w:tcW w:w="1353" w:type="dxa"/>
            <w:tcBorders>
              <w:top w:val="single" w:sz="4" w:space="0" w:color="auto"/>
              <w:left w:val="single" w:sz="4" w:space="0" w:color="auto"/>
              <w:bottom w:val="single" w:sz="4" w:space="0" w:color="auto"/>
              <w:right w:val="single" w:sz="4" w:space="0" w:color="auto"/>
            </w:tcBorders>
            <w:hideMark/>
          </w:tcPr>
          <w:p w14:paraId="3546969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bl>
    <w:p w14:paraId="0BEDBC5A" w14:textId="77777777" w:rsidR="009A128A" w:rsidRDefault="009A128A" w:rsidP="009A128A">
      <w:pPr>
        <w:spacing w:line="240" w:lineRule="auto"/>
        <w:rPr>
          <w:rFonts w:eastAsia="Calibri" w:cs="Arial"/>
          <w:b/>
          <w:szCs w:val="22"/>
          <w:lang w:val="en-US" w:eastAsia="en-US"/>
        </w:rPr>
      </w:pPr>
    </w:p>
    <w:p w14:paraId="3A5F8503" w14:textId="77777777" w:rsidR="009A128A" w:rsidRDefault="009A128A" w:rsidP="009A128A">
      <w:pPr>
        <w:spacing w:line="480" w:lineRule="auto"/>
        <w:rPr>
          <w:rFonts w:eastAsia="Calibri" w:cs="Arial"/>
          <w:szCs w:val="22"/>
          <w:lang w:val="en-US" w:eastAsia="en-US"/>
        </w:rPr>
      </w:pPr>
      <w:r>
        <w:rPr>
          <w:rFonts w:eastAsia="Calibri" w:cs="Arial"/>
          <w:szCs w:val="22"/>
          <w:lang w:val="en-US" w:eastAsia="en-US"/>
        </w:rPr>
        <w:t>*As considered by the investigator.</w:t>
      </w:r>
    </w:p>
    <w:p w14:paraId="7D7EA664" w14:textId="77777777" w:rsidR="009A128A" w:rsidRDefault="009A128A" w:rsidP="009A128A">
      <w:pPr>
        <w:spacing w:line="480" w:lineRule="auto"/>
        <w:rPr>
          <w:rFonts w:eastAsia="Calibri" w:cs="Arial"/>
          <w:szCs w:val="22"/>
          <w:lang w:val="en-US" w:eastAsia="en-US"/>
        </w:rPr>
      </w:pPr>
      <w:r>
        <w:rPr>
          <w:rFonts w:eastAsia="Calibri" w:cs="Arial"/>
          <w:szCs w:val="22"/>
          <w:lang w:val="en-US" w:eastAsia="en-US"/>
        </w:rPr>
        <w:t>CVA, cerebrovascular accident; GI, gastrointestinal.</w:t>
      </w:r>
      <w:r>
        <w:rPr>
          <w:rFonts w:eastAsia="Calibri" w:cs="Arial"/>
          <w:szCs w:val="22"/>
          <w:lang w:val="en-US" w:eastAsia="en-US"/>
        </w:rPr>
        <w:br w:type="page"/>
      </w:r>
    </w:p>
    <w:p w14:paraId="7EC25684" w14:textId="77777777" w:rsidR="009A128A" w:rsidRDefault="009A128A" w:rsidP="009A128A">
      <w:pPr>
        <w:spacing w:line="240" w:lineRule="auto"/>
        <w:rPr>
          <w:rFonts w:eastAsia="Calibri" w:cs="Arial"/>
          <w:b/>
          <w:szCs w:val="22"/>
          <w:lang w:val="en-US" w:eastAsia="en-US"/>
        </w:rPr>
      </w:pPr>
      <w:r>
        <w:rPr>
          <w:rFonts w:eastAsia="Calibri" w:cs="Arial"/>
          <w:b/>
          <w:szCs w:val="22"/>
          <w:lang w:val="en-US" w:eastAsia="en-US"/>
        </w:rPr>
        <w:lastRenderedPageBreak/>
        <w:t>Supplementary Table S2. Summary of serious adverse events on treatment</w:t>
      </w:r>
    </w:p>
    <w:p w14:paraId="007E0077" w14:textId="77777777" w:rsidR="009A128A" w:rsidRDefault="009A128A" w:rsidP="009A128A">
      <w:pPr>
        <w:spacing w:line="240" w:lineRule="auto"/>
        <w:rPr>
          <w:rFonts w:eastAsia="Calibri" w:cs="Arial"/>
          <w:b/>
          <w:szCs w:val="22"/>
          <w:lang w:val="en-US" w:eastAsia="en-US"/>
        </w:rPr>
      </w:pPr>
    </w:p>
    <w:tbl>
      <w:tblPr>
        <w:tblStyle w:val="TableGrid"/>
        <w:tblW w:w="0" w:type="auto"/>
        <w:tblLook w:val="04A0" w:firstRow="1" w:lastRow="0" w:firstColumn="1" w:lastColumn="0" w:noHBand="0" w:noVBand="1"/>
      </w:tblPr>
      <w:tblGrid>
        <w:gridCol w:w="3256"/>
        <w:gridCol w:w="2045"/>
        <w:gridCol w:w="1157"/>
        <w:gridCol w:w="1249"/>
        <w:gridCol w:w="1353"/>
      </w:tblGrid>
      <w:tr w:rsidR="009A128A" w14:paraId="6A0F988B"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hideMark/>
          </w:tcPr>
          <w:p w14:paraId="7CE4881A" w14:textId="77777777" w:rsidR="009A128A" w:rsidRDefault="009A128A" w:rsidP="009A128A">
            <w:pPr>
              <w:spacing w:line="240" w:lineRule="auto"/>
              <w:rPr>
                <w:rFonts w:eastAsia="Calibri" w:cs="Arial"/>
                <w:b/>
                <w:szCs w:val="22"/>
                <w:lang w:eastAsia="en-US"/>
              </w:rPr>
            </w:pPr>
            <w:r>
              <w:rPr>
                <w:rFonts w:eastAsia="Calibri" w:cs="Arial"/>
                <w:b/>
                <w:szCs w:val="22"/>
                <w:lang w:eastAsia="en-US"/>
              </w:rPr>
              <w:t>Participant (age / sex / race / treatment group)</w:t>
            </w:r>
          </w:p>
        </w:tc>
        <w:tc>
          <w:tcPr>
            <w:tcW w:w="2045" w:type="dxa"/>
            <w:tcBorders>
              <w:top w:val="single" w:sz="4" w:space="0" w:color="auto"/>
              <w:left w:val="single" w:sz="4" w:space="0" w:color="auto"/>
              <w:bottom w:val="single" w:sz="4" w:space="0" w:color="auto"/>
              <w:right w:val="single" w:sz="4" w:space="0" w:color="auto"/>
            </w:tcBorders>
            <w:hideMark/>
          </w:tcPr>
          <w:p w14:paraId="66465A7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Reported term (severity)</w:t>
            </w:r>
          </w:p>
        </w:tc>
        <w:tc>
          <w:tcPr>
            <w:tcW w:w="1157" w:type="dxa"/>
            <w:tcBorders>
              <w:top w:val="single" w:sz="4" w:space="0" w:color="auto"/>
              <w:left w:val="single" w:sz="4" w:space="0" w:color="auto"/>
              <w:bottom w:val="single" w:sz="4" w:space="0" w:color="auto"/>
              <w:right w:val="single" w:sz="4" w:space="0" w:color="auto"/>
            </w:tcBorders>
            <w:hideMark/>
          </w:tcPr>
          <w:p w14:paraId="3409406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Onset (study day)</w:t>
            </w:r>
          </w:p>
        </w:tc>
        <w:tc>
          <w:tcPr>
            <w:tcW w:w="1249" w:type="dxa"/>
            <w:tcBorders>
              <w:top w:val="single" w:sz="4" w:space="0" w:color="auto"/>
              <w:left w:val="single" w:sz="4" w:space="0" w:color="auto"/>
              <w:bottom w:val="single" w:sz="4" w:space="0" w:color="auto"/>
              <w:right w:val="single" w:sz="4" w:space="0" w:color="auto"/>
            </w:tcBorders>
            <w:hideMark/>
          </w:tcPr>
          <w:p w14:paraId="61F8799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Duration</w:t>
            </w:r>
          </w:p>
        </w:tc>
        <w:tc>
          <w:tcPr>
            <w:tcW w:w="1353" w:type="dxa"/>
            <w:tcBorders>
              <w:top w:val="single" w:sz="4" w:space="0" w:color="auto"/>
              <w:left w:val="single" w:sz="4" w:space="0" w:color="auto"/>
              <w:bottom w:val="single" w:sz="4" w:space="0" w:color="auto"/>
              <w:right w:val="single" w:sz="4" w:space="0" w:color="auto"/>
            </w:tcBorders>
            <w:hideMark/>
          </w:tcPr>
          <w:p w14:paraId="145DB5A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Treatment-related?*</w:t>
            </w:r>
          </w:p>
        </w:tc>
      </w:tr>
      <w:tr w:rsidR="009A128A" w14:paraId="17DBCB98"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735BFF82" w14:textId="77777777" w:rsidR="009A128A" w:rsidRDefault="009A128A" w:rsidP="009A128A">
            <w:pPr>
              <w:spacing w:line="240" w:lineRule="auto"/>
              <w:rPr>
                <w:rFonts w:eastAsia="Calibri" w:cs="Arial"/>
                <w:szCs w:val="22"/>
                <w:lang w:eastAsia="en-US"/>
              </w:rPr>
            </w:pPr>
            <w:r>
              <w:rPr>
                <w:rFonts w:eastAsia="Calibri" w:cs="Arial"/>
                <w:szCs w:val="22"/>
                <w:lang w:eastAsia="en-US"/>
              </w:rPr>
              <w:t>61y / female / Black or African American / BMS-936559 10 mg</w:t>
            </w:r>
          </w:p>
        </w:tc>
        <w:tc>
          <w:tcPr>
            <w:tcW w:w="2045" w:type="dxa"/>
            <w:tcBorders>
              <w:top w:val="single" w:sz="4" w:space="0" w:color="auto"/>
              <w:left w:val="single" w:sz="4" w:space="0" w:color="auto"/>
              <w:bottom w:val="single" w:sz="4" w:space="0" w:color="auto"/>
              <w:right w:val="single" w:sz="4" w:space="0" w:color="auto"/>
            </w:tcBorders>
            <w:hideMark/>
          </w:tcPr>
          <w:p w14:paraId="2B66177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Worsening hypotension </w:t>
            </w:r>
            <w:r>
              <w:rPr>
                <w:rFonts w:eastAsia="Calibri" w:cs="Arial"/>
                <w:szCs w:val="22"/>
                <w:lang w:eastAsia="en-US"/>
              </w:rPr>
              <w:br/>
              <w:t>(Grade 3)</w:t>
            </w:r>
          </w:p>
        </w:tc>
        <w:tc>
          <w:tcPr>
            <w:tcW w:w="1157" w:type="dxa"/>
            <w:tcBorders>
              <w:top w:val="single" w:sz="4" w:space="0" w:color="auto"/>
              <w:left w:val="single" w:sz="4" w:space="0" w:color="auto"/>
              <w:bottom w:val="single" w:sz="4" w:space="0" w:color="auto"/>
              <w:right w:val="single" w:sz="4" w:space="0" w:color="auto"/>
            </w:tcBorders>
            <w:hideMark/>
          </w:tcPr>
          <w:p w14:paraId="069EDFD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9</w:t>
            </w:r>
          </w:p>
        </w:tc>
        <w:tc>
          <w:tcPr>
            <w:tcW w:w="1249" w:type="dxa"/>
            <w:tcBorders>
              <w:top w:val="single" w:sz="4" w:space="0" w:color="auto"/>
              <w:left w:val="single" w:sz="4" w:space="0" w:color="auto"/>
              <w:bottom w:val="single" w:sz="4" w:space="0" w:color="auto"/>
              <w:right w:val="single" w:sz="4" w:space="0" w:color="auto"/>
            </w:tcBorders>
            <w:hideMark/>
          </w:tcPr>
          <w:p w14:paraId="17FCEF2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 days</w:t>
            </w:r>
          </w:p>
        </w:tc>
        <w:tc>
          <w:tcPr>
            <w:tcW w:w="1353" w:type="dxa"/>
            <w:tcBorders>
              <w:top w:val="single" w:sz="4" w:space="0" w:color="auto"/>
              <w:left w:val="single" w:sz="4" w:space="0" w:color="auto"/>
              <w:bottom w:val="single" w:sz="4" w:space="0" w:color="auto"/>
              <w:right w:val="single" w:sz="4" w:space="0" w:color="auto"/>
            </w:tcBorders>
            <w:hideMark/>
          </w:tcPr>
          <w:p w14:paraId="5D6F74A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168D28A9"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661E4947" w14:textId="77777777" w:rsidR="009A128A" w:rsidRDefault="009A128A" w:rsidP="009A128A">
            <w:pPr>
              <w:spacing w:line="240" w:lineRule="auto"/>
              <w:rPr>
                <w:rFonts w:eastAsia="Calibri" w:cs="Arial"/>
                <w:szCs w:val="22"/>
                <w:lang w:eastAsia="en-US"/>
              </w:rPr>
            </w:pPr>
            <w:r>
              <w:rPr>
                <w:rFonts w:eastAsia="Calibri" w:cs="Arial"/>
                <w:szCs w:val="22"/>
                <w:lang w:eastAsia="en-US"/>
              </w:rPr>
              <w:t>76y / female / Caucasian / BMS-936559 30 mg</w:t>
            </w:r>
          </w:p>
        </w:tc>
        <w:tc>
          <w:tcPr>
            <w:tcW w:w="2045" w:type="dxa"/>
            <w:tcBorders>
              <w:top w:val="single" w:sz="4" w:space="0" w:color="auto"/>
              <w:left w:val="single" w:sz="4" w:space="0" w:color="auto"/>
              <w:bottom w:val="single" w:sz="4" w:space="0" w:color="auto"/>
              <w:right w:val="single" w:sz="4" w:space="0" w:color="auto"/>
            </w:tcBorders>
            <w:hideMark/>
          </w:tcPr>
          <w:p w14:paraId="32EE187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Respiratory distress </w:t>
            </w:r>
            <w:r>
              <w:rPr>
                <w:rFonts w:eastAsia="Calibri" w:cs="Arial"/>
                <w:szCs w:val="22"/>
                <w:lang w:eastAsia="en-US"/>
              </w:rPr>
              <w:br/>
              <w:t>(Grade 3)</w:t>
            </w:r>
            <w:r>
              <w:rPr>
                <w:rFonts w:eastAsia="Calibri" w:cs="Arial"/>
                <w:szCs w:val="22"/>
                <w:lang w:eastAsia="en-US"/>
              </w:rPr>
              <w:br/>
            </w:r>
            <w:r>
              <w:rPr>
                <w:rFonts w:eastAsia="Calibri" w:cs="Arial"/>
                <w:szCs w:val="22"/>
                <w:lang w:eastAsia="en-US"/>
              </w:rPr>
              <w:br/>
              <w:t>Ileus (Grade 2)</w:t>
            </w:r>
          </w:p>
        </w:tc>
        <w:tc>
          <w:tcPr>
            <w:tcW w:w="1157" w:type="dxa"/>
            <w:tcBorders>
              <w:top w:val="single" w:sz="4" w:space="0" w:color="auto"/>
              <w:left w:val="single" w:sz="4" w:space="0" w:color="auto"/>
              <w:bottom w:val="single" w:sz="4" w:space="0" w:color="auto"/>
              <w:right w:val="single" w:sz="4" w:space="0" w:color="auto"/>
            </w:tcBorders>
          </w:tcPr>
          <w:p w14:paraId="732C4CE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35</w:t>
            </w:r>
          </w:p>
          <w:p w14:paraId="058E964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4A2703C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55C8735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05FD6AC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38</w:t>
            </w:r>
          </w:p>
        </w:tc>
        <w:tc>
          <w:tcPr>
            <w:tcW w:w="1249" w:type="dxa"/>
            <w:tcBorders>
              <w:top w:val="single" w:sz="4" w:space="0" w:color="auto"/>
              <w:left w:val="single" w:sz="4" w:space="0" w:color="auto"/>
              <w:bottom w:val="single" w:sz="4" w:space="0" w:color="auto"/>
              <w:right w:val="single" w:sz="4" w:space="0" w:color="auto"/>
            </w:tcBorders>
          </w:tcPr>
          <w:p w14:paraId="65F5570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31.7 hours</w:t>
            </w:r>
          </w:p>
          <w:p w14:paraId="1017F35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01DE537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49353C1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24.5 hours</w:t>
            </w:r>
          </w:p>
        </w:tc>
        <w:tc>
          <w:tcPr>
            <w:tcW w:w="1353" w:type="dxa"/>
            <w:tcBorders>
              <w:top w:val="single" w:sz="4" w:space="0" w:color="auto"/>
              <w:left w:val="single" w:sz="4" w:space="0" w:color="auto"/>
              <w:bottom w:val="single" w:sz="4" w:space="0" w:color="auto"/>
              <w:right w:val="single" w:sz="4" w:space="0" w:color="auto"/>
            </w:tcBorders>
          </w:tcPr>
          <w:p w14:paraId="1A50521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p w14:paraId="1669611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63BEA66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2403226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274B807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304BB8F2"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hideMark/>
          </w:tcPr>
          <w:p w14:paraId="405D886D" w14:textId="77777777" w:rsidR="009A128A" w:rsidRDefault="009A128A" w:rsidP="009A128A">
            <w:pPr>
              <w:spacing w:line="240" w:lineRule="auto"/>
              <w:rPr>
                <w:rFonts w:eastAsia="Calibri" w:cs="Arial"/>
                <w:szCs w:val="22"/>
                <w:lang w:eastAsia="en-US"/>
              </w:rPr>
            </w:pPr>
            <w:r>
              <w:rPr>
                <w:rFonts w:eastAsia="Calibri" w:cs="Arial"/>
                <w:szCs w:val="22"/>
                <w:lang w:eastAsia="en-US"/>
              </w:rPr>
              <w:t>64y / male / Caucasian / BMS</w:t>
            </w:r>
            <w:r>
              <w:rPr>
                <w:rFonts w:eastAsia="Calibri" w:cs="Arial"/>
                <w:szCs w:val="22"/>
                <w:lang w:eastAsia="en-US"/>
              </w:rPr>
              <w:noBreakHyphen/>
              <w:t>936559 900 mg</w:t>
            </w:r>
          </w:p>
        </w:tc>
        <w:tc>
          <w:tcPr>
            <w:tcW w:w="2045" w:type="dxa"/>
            <w:tcBorders>
              <w:top w:val="single" w:sz="4" w:space="0" w:color="auto"/>
              <w:left w:val="single" w:sz="4" w:space="0" w:color="auto"/>
              <w:bottom w:val="single" w:sz="4" w:space="0" w:color="auto"/>
              <w:right w:val="single" w:sz="4" w:space="0" w:color="auto"/>
            </w:tcBorders>
          </w:tcPr>
          <w:p w14:paraId="5F479DC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Dehiscence of fascia </w:t>
            </w:r>
            <w:r>
              <w:rPr>
                <w:rFonts w:eastAsia="Calibri" w:cs="Arial"/>
                <w:szCs w:val="22"/>
                <w:lang w:eastAsia="en-US"/>
              </w:rPr>
              <w:br/>
              <w:t>(Grade 4)</w:t>
            </w:r>
          </w:p>
          <w:p w14:paraId="597DCA5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49C94C8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Hypotension </w:t>
            </w:r>
            <w:r>
              <w:rPr>
                <w:rFonts w:eastAsia="Calibri" w:cs="Arial"/>
                <w:szCs w:val="22"/>
                <w:lang w:eastAsia="en-US"/>
              </w:rPr>
              <w:br/>
              <w:t>(Grade 4)</w:t>
            </w:r>
          </w:p>
        </w:tc>
        <w:tc>
          <w:tcPr>
            <w:tcW w:w="1157" w:type="dxa"/>
            <w:tcBorders>
              <w:top w:val="single" w:sz="4" w:space="0" w:color="auto"/>
              <w:left w:val="single" w:sz="4" w:space="0" w:color="auto"/>
              <w:bottom w:val="single" w:sz="4" w:space="0" w:color="auto"/>
              <w:right w:val="single" w:sz="4" w:space="0" w:color="auto"/>
            </w:tcBorders>
          </w:tcPr>
          <w:p w14:paraId="4A89520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w:t>
            </w:r>
          </w:p>
          <w:p w14:paraId="111C838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0DED9EB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6FEF9F4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56BF940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14</w:t>
            </w:r>
          </w:p>
        </w:tc>
        <w:tc>
          <w:tcPr>
            <w:tcW w:w="1249" w:type="dxa"/>
            <w:tcBorders>
              <w:top w:val="single" w:sz="4" w:space="0" w:color="auto"/>
              <w:left w:val="single" w:sz="4" w:space="0" w:color="auto"/>
              <w:bottom w:val="single" w:sz="4" w:space="0" w:color="auto"/>
              <w:right w:val="single" w:sz="4" w:space="0" w:color="auto"/>
            </w:tcBorders>
          </w:tcPr>
          <w:p w14:paraId="0E9FCEC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45 days</w:t>
            </w:r>
          </w:p>
          <w:p w14:paraId="23CB8AA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5292AF3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605796B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1B3D888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17.0 hours</w:t>
            </w:r>
          </w:p>
        </w:tc>
        <w:tc>
          <w:tcPr>
            <w:tcW w:w="1353" w:type="dxa"/>
            <w:tcBorders>
              <w:top w:val="single" w:sz="4" w:space="0" w:color="auto"/>
              <w:left w:val="single" w:sz="4" w:space="0" w:color="auto"/>
              <w:bottom w:val="single" w:sz="4" w:space="0" w:color="auto"/>
              <w:right w:val="single" w:sz="4" w:space="0" w:color="auto"/>
            </w:tcBorders>
          </w:tcPr>
          <w:p w14:paraId="22AB76A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p w14:paraId="26F4268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7F761F6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719F3B2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p>
          <w:p w14:paraId="04AE5DA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r w:rsidR="009A128A" w14:paraId="102CD5C3" w14:textId="77777777" w:rsidTr="009A128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tcBorders>
            <w:hideMark/>
          </w:tcPr>
          <w:p w14:paraId="6402D741" w14:textId="77777777" w:rsidR="009A128A" w:rsidRDefault="009A128A" w:rsidP="009A128A">
            <w:pPr>
              <w:spacing w:line="240" w:lineRule="auto"/>
              <w:rPr>
                <w:rFonts w:eastAsia="Calibri" w:cs="Arial"/>
                <w:szCs w:val="22"/>
                <w:lang w:eastAsia="en-US"/>
              </w:rPr>
            </w:pPr>
            <w:r>
              <w:rPr>
                <w:rFonts w:eastAsia="Calibri" w:cs="Arial"/>
                <w:szCs w:val="22"/>
                <w:lang w:eastAsia="en-US"/>
              </w:rPr>
              <w:t>39y / male / Caucasian / Placebo</w:t>
            </w:r>
          </w:p>
        </w:tc>
        <w:tc>
          <w:tcPr>
            <w:tcW w:w="2045" w:type="dxa"/>
            <w:tcBorders>
              <w:top w:val="single" w:sz="4" w:space="0" w:color="auto"/>
              <w:left w:val="single" w:sz="4" w:space="0" w:color="auto"/>
              <w:bottom w:val="single" w:sz="4" w:space="0" w:color="auto"/>
              <w:right w:val="single" w:sz="4" w:space="0" w:color="auto"/>
            </w:tcBorders>
            <w:hideMark/>
          </w:tcPr>
          <w:p w14:paraId="5C08D36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Pulseless electrical activity arrest </w:t>
            </w:r>
            <w:r>
              <w:rPr>
                <w:rFonts w:eastAsia="Calibri" w:cs="Arial"/>
                <w:szCs w:val="22"/>
                <w:lang w:eastAsia="en-US"/>
              </w:rPr>
              <w:br/>
              <w:t>(Grade 4)</w:t>
            </w:r>
          </w:p>
        </w:tc>
        <w:tc>
          <w:tcPr>
            <w:tcW w:w="1157" w:type="dxa"/>
            <w:tcBorders>
              <w:top w:val="single" w:sz="4" w:space="0" w:color="auto"/>
              <w:left w:val="single" w:sz="4" w:space="0" w:color="auto"/>
              <w:bottom w:val="single" w:sz="4" w:space="0" w:color="auto"/>
              <w:right w:val="single" w:sz="4" w:space="0" w:color="auto"/>
            </w:tcBorders>
            <w:hideMark/>
          </w:tcPr>
          <w:p w14:paraId="59A3A4E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33</w:t>
            </w:r>
          </w:p>
        </w:tc>
        <w:tc>
          <w:tcPr>
            <w:tcW w:w="1249" w:type="dxa"/>
            <w:tcBorders>
              <w:top w:val="single" w:sz="4" w:space="0" w:color="auto"/>
              <w:left w:val="single" w:sz="4" w:space="0" w:color="auto"/>
              <w:bottom w:val="single" w:sz="4" w:space="0" w:color="auto"/>
              <w:right w:val="single" w:sz="4" w:space="0" w:color="auto"/>
            </w:tcBorders>
            <w:hideMark/>
          </w:tcPr>
          <w:p w14:paraId="75FA4DD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15.8 hours</w:t>
            </w:r>
          </w:p>
        </w:tc>
        <w:tc>
          <w:tcPr>
            <w:tcW w:w="1353" w:type="dxa"/>
            <w:tcBorders>
              <w:top w:val="single" w:sz="4" w:space="0" w:color="auto"/>
              <w:left w:val="single" w:sz="4" w:space="0" w:color="auto"/>
              <w:bottom w:val="single" w:sz="4" w:space="0" w:color="auto"/>
              <w:right w:val="single" w:sz="4" w:space="0" w:color="auto"/>
            </w:tcBorders>
            <w:hideMark/>
          </w:tcPr>
          <w:p w14:paraId="1E89311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No</w:t>
            </w:r>
          </w:p>
        </w:tc>
      </w:tr>
    </w:tbl>
    <w:p w14:paraId="2311593B" w14:textId="77777777" w:rsidR="009A128A" w:rsidRDefault="009A128A" w:rsidP="009A128A">
      <w:pPr>
        <w:spacing w:line="240" w:lineRule="auto"/>
        <w:rPr>
          <w:rFonts w:eastAsia="Calibri" w:cs="Arial"/>
          <w:b/>
          <w:szCs w:val="22"/>
          <w:lang w:val="en-US" w:eastAsia="en-US"/>
        </w:rPr>
      </w:pPr>
    </w:p>
    <w:p w14:paraId="6B98F988" w14:textId="77777777" w:rsidR="009A128A" w:rsidRDefault="009A128A" w:rsidP="009A128A">
      <w:pPr>
        <w:spacing w:line="240" w:lineRule="auto"/>
        <w:rPr>
          <w:rFonts w:eastAsia="Calibri" w:cs="Arial"/>
          <w:szCs w:val="22"/>
          <w:lang w:val="en-US" w:eastAsia="en-US"/>
        </w:rPr>
      </w:pPr>
      <w:r>
        <w:rPr>
          <w:rFonts w:eastAsia="Calibri" w:cs="Arial"/>
          <w:szCs w:val="22"/>
          <w:lang w:val="en-US" w:eastAsia="en-US"/>
        </w:rPr>
        <w:t>*As considered by the investigator.</w:t>
      </w:r>
    </w:p>
    <w:p w14:paraId="66A9D316" w14:textId="77777777" w:rsidR="009A128A" w:rsidRDefault="009A128A" w:rsidP="009A128A">
      <w:pPr>
        <w:spacing w:line="240" w:lineRule="auto"/>
        <w:rPr>
          <w:rFonts w:eastAsia="Calibri" w:cs="Arial"/>
          <w:szCs w:val="22"/>
          <w:lang w:val="en-US" w:eastAsia="en-US"/>
        </w:rPr>
      </w:pPr>
    </w:p>
    <w:p w14:paraId="1C13D66D" w14:textId="77777777" w:rsidR="009A128A" w:rsidRDefault="009A128A" w:rsidP="009A128A">
      <w:pPr>
        <w:spacing w:line="240" w:lineRule="auto"/>
        <w:rPr>
          <w:rFonts w:eastAsia="Calibri" w:cs="Arial"/>
          <w:szCs w:val="22"/>
          <w:lang w:val="en-US" w:eastAsia="en-US"/>
        </w:rPr>
      </w:pPr>
    </w:p>
    <w:p w14:paraId="4015C87F" w14:textId="77777777" w:rsidR="009A128A" w:rsidRDefault="009A128A" w:rsidP="009A128A">
      <w:pPr>
        <w:spacing w:line="240" w:lineRule="auto"/>
        <w:rPr>
          <w:b/>
          <w:sz w:val="24"/>
          <w:szCs w:val="24"/>
          <w:lang w:val="en-US" w:eastAsia="en-US"/>
        </w:rPr>
      </w:pPr>
      <w:r>
        <w:rPr>
          <w:b/>
          <w:sz w:val="24"/>
          <w:szCs w:val="24"/>
          <w:lang w:val="en-US"/>
        </w:rPr>
        <w:br w:type="page"/>
      </w:r>
    </w:p>
    <w:p w14:paraId="1EB9931F" w14:textId="77777777" w:rsidR="009A128A" w:rsidRDefault="009A128A" w:rsidP="009A128A">
      <w:pPr>
        <w:pStyle w:val="Text"/>
        <w:spacing w:line="240" w:lineRule="auto"/>
        <w:rPr>
          <w:b/>
          <w:sz w:val="24"/>
          <w:szCs w:val="24"/>
          <w:lang w:val="en-US"/>
        </w:rPr>
      </w:pPr>
      <w:r>
        <w:rPr>
          <w:b/>
          <w:sz w:val="24"/>
          <w:szCs w:val="24"/>
          <w:lang w:val="en-US"/>
        </w:rPr>
        <w:lastRenderedPageBreak/>
        <w:t>Pharmacokinetic findings</w:t>
      </w:r>
    </w:p>
    <w:p w14:paraId="504DBDB7" w14:textId="77777777" w:rsidR="009A128A" w:rsidRDefault="009A128A" w:rsidP="009A128A">
      <w:pPr>
        <w:pStyle w:val="Text"/>
        <w:spacing w:line="240" w:lineRule="auto"/>
        <w:rPr>
          <w:b/>
          <w:sz w:val="24"/>
          <w:szCs w:val="24"/>
          <w:lang w:val="en-US"/>
        </w:rPr>
      </w:pPr>
    </w:p>
    <w:p w14:paraId="5173EAD3" w14:textId="77777777" w:rsidR="009A128A" w:rsidRDefault="009A128A" w:rsidP="009A128A">
      <w:pPr>
        <w:pStyle w:val="Text"/>
        <w:spacing w:line="240" w:lineRule="auto"/>
        <w:rPr>
          <w:lang w:val="en-US"/>
        </w:rPr>
      </w:pPr>
      <w:r>
        <w:rPr>
          <w:lang w:val="en-US"/>
        </w:rPr>
        <w:t>Mean serum concentration</w:t>
      </w:r>
      <w:r>
        <w:rPr>
          <w:rFonts w:ascii="Gill Sans MT" w:hAnsi="Gill Sans MT"/>
          <w:lang w:val="en-US"/>
        </w:rPr>
        <w:t>–</w:t>
      </w:r>
      <w:r>
        <w:rPr>
          <w:lang w:val="en-US"/>
        </w:rPr>
        <w:t>time profiles for BMS-936559 are presented in Supplementary Figure S2.</w:t>
      </w:r>
    </w:p>
    <w:p w14:paraId="67047638" w14:textId="77777777" w:rsidR="009A128A" w:rsidRDefault="009A128A" w:rsidP="009A128A">
      <w:pPr>
        <w:pStyle w:val="Text"/>
        <w:spacing w:line="240" w:lineRule="auto"/>
        <w:ind w:firstLine="357"/>
        <w:rPr>
          <w:lang w:val="en-US"/>
        </w:rPr>
      </w:pPr>
      <w:r>
        <w:rPr>
          <w:lang w:val="en-US"/>
        </w:rPr>
        <w:t xml:space="preserve">Mean terminal half-life ranged from 29.3 (10 mg) to 189 hours (300 mg), with greater variability seen at the higher doses (% coefficient of variation [CV] 5.8–63.7%) (Supplementary Table S3). Mean </w:t>
      </w:r>
      <w:r>
        <w:rPr>
          <w:rFonts w:eastAsia="Calibri" w:cs="Arial"/>
          <w:szCs w:val="22"/>
          <w:lang w:val="en-US"/>
        </w:rPr>
        <w:t>maximum observed serum drug concentration</w:t>
      </w:r>
      <w:r>
        <w:rPr>
          <w:lang w:val="en-US"/>
        </w:rPr>
        <w:t xml:space="preserve"> (C</w:t>
      </w:r>
      <w:r>
        <w:rPr>
          <w:vertAlign w:val="subscript"/>
          <w:lang w:val="en-US"/>
        </w:rPr>
        <w:t>max</w:t>
      </w:r>
      <w:r>
        <w:rPr>
          <w:lang w:val="en-US"/>
        </w:rPr>
        <w:t xml:space="preserve">) ranged from 2.04 (10 mg) to 140 </w:t>
      </w:r>
      <w:r>
        <w:rPr>
          <w:rFonts w:cs="Arial"/>
          <w:lang w:val="en-US"/>
        </w:rPr>
        <w:t>µ</w:t>
      </w:r>
      <w:r>
        <w:rPr>
          <w:lang w:val="en-US"/>
        </w:rPr>
        <w:t>g/mL (900 mg), with moderate variability across doses (%CV 24.5</w:t>
      </w:r>
      <w:r>
        <w:rPr>
          <w:rFonts w:cs="Arial"/>
          <w:lang w:val="en-US"/>
        </w:rPr>
        <w:t>‒</w:t>
      </w:r>
      <w:r>
        <w:rPr>
          <w:lang w:val="en-US"/>
        </w:rPr>
        <w:t xml:space="preserve">51.9%). Mean </w:t>
      </w:r>
      <w:r>
        <w:rPr>
          <w:rFonts w:eastAsia="Calibri" w:cs="Arial"/>
          <w:szCs w:val="22"/>
          <w:lang w:val="en-US"/>
        </w:rPr>
        <w:t>total body clearance</w:t>
      </w:r>
      <w:r>
        <w:rPr>
          <w:lang w:val="en-US"/>
        </w:rPr>
        <w:t xml:space="preserve"> (CLT) values were between 31.2 (300 mg) and 83.0 mL/h (900 mg); mean volume of distribution at steady state (V</w:t>
      </w:r>
      <w:r>
        <w:rPr>
          <w:vertAlign w:val="subscript"/>
          <w:lang w:val="en-US"/>
        </w:rPr>
        <w:t>ss</w:t>
      </w:r>
      <w:r>
        <w:rPr>
          <w:lang w:val="en-US"/>
        </w:rPr>
        <w:t>) ranged from 3.88</w:t>
      </w:r>
      <w:r>
        <w:rPr>
          <w:rFonts w:cs="Arial"/>
          <w:lang w:val="en-US"/>
        </w:rPr>
        <w:t xml:space="preserve"> to </w:t>
      </w:r>
      <w:r>
        <w:rPr>
          <w:lang w:val="en-US"/>
        </w:rPr>
        <w:t>15.8 L. A higher degree of variability was also seen at the higher doses for both CLT and V</w:t>
      </w:r>
      <w:r>
        <w:rPr>
          <w:vertAlign w:val="subscript"/>
          <w:lang w:val="en-US"/>
        </w:rPr>
        <w:t>ss</w:t>
      </w:r>
      <w:r>
        <w:rPr>
          <w:lang w:val="en-US"/>
        </w:rPr>
        <w:t>. Mean area under the serum concentration–time curve from time 0 to the time of the last measurable concentration after drug administration (AUC</w:t>
      </w:r>
      <w:r>
        <w:rPr>
          <w:vertAlign w:val="subscript"/>
          <w:lang w:val="en-US"/>
        </w:rPr>
        <w:t>(0</w:t>
      </w:r>
      <w:r>
        <w:rPr>
          <w:rFonts w:cs="Arial"/>
          <w:vertAlign w:val="subscript"/>
          <w:lang w:val="en-US"/>
        </w:rPr>
        <w:t>‒</w:t>
      </w:r>
      <w:r>
        <w:rPr>
          <w:vertAlign w:val="subscript"/>
          <w:lang w:val="en-US"/>
        </w:rPr>
        <w:t>T)</w:t>
      </w:r>
      <w:r>
        <w:rPr>
          <w:lang w:val="en-US"/>
        </w:rPr>
        <w:t>) ranged from 58.5</w:t>
      </w:r>
      <w:r>
        <w:rPr>
          <w:rFonts w:cs="Arial"/>
          <w:lang w:val="en-US"/>
        </w:rPr>
        <w:t xml:space="preserve"> (10 mg) to </w:t>
      </w:r>
      <w:r>
        <w:rPr>
          <w:lang w:val="en-US"/>
        </w:rPr>
        <w:t>10,800 μg</w:t>
      </w:r>
      <w:r>
        <w:rPr>
          <w:rFonts w:cs="Arial"/>
          <w:lang w:val="en-US"/>
        </w:rPr>
        <w:t>•</w:t>
      </w:r>
      <w:r>
        <w:rPr>
          <w:lang w:val="en-US"/>
        </w:rPr>
        <w:t>h/mL (300 mg) (%CV 28.0</w:t>
      </w:r>
      <w:r>
        <w:rPr>
          <w:rFonts w:cs="Arial"/>
          <w:lang w:val="en-US"/>
        </w:rPr>
        <w:t>‒</w:t>
      </w:r>
      <w:r>
        <w:rPr>
          <w:lang w:val="en-US"/>
        </w:rPr>
        <w:t xml:space="preserve">92.7%), and mean AUC </w:t>
      </w:r>
      <w:r>
        <w:rPr>
          <w:rFonts w:eastAsia="Calibri" w:cs="Arial"/>
          <w:szCs w:val="22"/>
          <w:lang w:val="en-US"/>
        </w:rPr>
        <w:t>from time 0 extrapolated to infinity</w:t>
      </w:r>
      <w:r>
        <w:rPr>
          <w:lang w:val="en-US"/>
        </w:rPr>
        <w:t xml:space="preserve"> (AUC</w:t>
      </w:r>
      <w:r>
        <w:rPr>
          <w:vertAlign w:val="subscript"/>
          <w:lang w:val="en-US"/>
        </w:rPr>
        <w:t>(INF)</w:t>
      </w:r>
      <w:r>
        <w:rPr>
          <w:lang w:val="en-US"/>
        </w:rPr>
        <w:t>) from 148 (10 mg) to 11,700 μg</w:t>
      </w:r>
      <w:r>
        <w:rPr>
          <w:rFonts w:cs="Arial"/>
          <w:lang w:val="en-US"/>
        </w:rPr>
        <w:t>•</w:t>
      </w:r>
      <w:r>
        <w:rPr>
          <w:lang w:val="en-US"/>
        </w:rPr>
        <w:t>h/mL (900 mg) (%CV 19.2</w:t>
      </w:r>
      <w:r>
        <w:rPr>
          <w:rFonts w:cs="Arial"/>
          <w:lang w:val="en-US"/>
        </w:rPr>
        <w:t>‒</w:t>
      </w:r>
      <w:r>
        <w:rPr>
          <w:lang w:val="en-US"/>
        </w:rPr>
        <w:t>43.9%). Dose-normalized exposures generally increased in a dose-proportional manner, except for the 300 mg dose group (Supplementary Table S4).</w:t>
      </w:r>
    </w:p>
    <w:p w14:paraId="31382CD1" w14:textId="77777777" w:rsidR="009A128A" w:rsidRDefault="009A128A" w:rsidP="009A128A">
      <w:pPr>
        <w:pStyle w:val="Text"/>
        <w:spacing w:line="240" w:lineRule="auto"/>
        <w:ind w:firstLine="357"/>
        <w:rPr>
          <w:lang w:val="en-US"/>
        </w:rPr>
      </w:pPr>
      <w:r>
        <w:rPr>
          <w:lang w:val="en-US"/>
        </w:rPr>
        <w:t>Using the power model, dose proportionality criteria for AUC(0‒T) and AUC(INF) were not met. However, when the 300 mg dose was excluded, AUC(INF) demonstrated dose proportionality. Conversely, C</w:t>
      </w:r>
      <w:r>
        <w:rPr>
          <w:vertAlign w:val="subscript"/>
          <w:lang w:val="en-US"/>
        </w:rPr>
        <w:t>max</w:t>
      </w:r>
      <w:r>
        <w:rPr>
          <w:lang w:val="en-US"/>
        </w:rPr>
        <w:t xml:space="preserve"> demonstrated dose proportionality when all doses were included; but, when the 300 mg dose was excluded, dose proportionality was no longer present (Supplementary Table S5).</w:t>
      </w:r>
    </w:p>
    <w:p w14:paraId="531C2C09" w14:textId="77777777" w:rsidR="009A128A" w:rsidRDefault="009A128A" w:rsidP="009A128A">
      <w:pPr>
        <w:pStyle w:val="Text"/>
        <w:spacing w:line="240" w:lineRule="auto"/>
        <w:rPr>
          <w:lang w:val="en-US"/>
        </w:rPr>
      </w:pPr>
    </w:p>
    <w:p w14:paraId="7AD23480" w14:textId="77777777" w:rsidR="009A128A" w:rsidRDefault="009A128A" w:rsidP="009A128A">
      <w:pPr>
        <w:pStyle w:val="Text"/>
        <w:spacing w:line="240" w:lineRule="auto"/>
        <w:rPr>
          <w:b/>
          <w:i/>
          <w:lang w:val="en-US"/>
        </w:rPr>
      </w:pPr>
      <w:r>
        <w:rPr>
          <w:b/>
          <w:i/>
          <w:lang w:val="en-US"/>
        </w:rPr>
        <w:t>Interpretation of pharmacokinetic findings</w:t>
      </w:r>
    </w:p>
    <w:p w14:paraId="6D350D88" w14:textId="77777777" w:rsidR="009A128A" w:rsidRDefault="009A128A" w:rsidP="009A128A">
      <w:pPr>
        <w:pStyle w:val="Text"/>
        <w:spacing w:line="240" w:lineRule="auto"/>
        <w:rPr>
          <w:b/>
          <w:i/>
          <w:lang w:val="en-US"/>
        </w:rPr>
      </w:pPr>
    </w:p>
    <w:p w14:paraId="2754FE23" w14:textId="09B72249" w:rsidR="009A128A" w:rsidRDefault="009A128A" w:rsidP="009A128A">
      <w:pPr>
        <w:pStyle w:val="Text"/>
        <w:spacing w:line="240" w:lineRule="auto"/>
        <w:rPr>
          <w:lang w:val="en-US"/>
        </w:rPr>
      </w:pPr>
      <w:r>
        <w:rPr>
          <w:lang w:val="en-US"/>
        </w:rPr>
        <w:t>Terminal half-life, CLT, and V</w:t>
      </w:r>
      <w:r>
        <w:rPr>
          <w:vertAlign w:val="subscript"/>
          <w:lang w:val="en-US"/>
        </w:rPr>
        <w:t>ss</w:t>
      </w:r>
      <w:r>
        <w:rPr>
          <w:lang w:val="en-US"/>
        </w:rPr>
        <w:t xml:space="preserve"> parameters were variable, with variability appearing to be greater at higher doses; half-life also appeared to increase with dose. However, these findings should be interpreted with caution due to the high variability and limited sample size. In general, CLT values for BMS-936559 (mean 31.2</w:t>
      </w:r>
      <w:r>
        <w:rPr>
          <w:rFonts w:cs="Arial"/>
          <w:lang w:val="en-US"/>
        </w:rPr>
        <w:t>‒</w:t>
      </w:r>
      <w:r>
        <w:rPr>
          <w:lang w:val="en-US"/>
        </w:rPr>
        <w:t>83.0 mL/h) were higher than those previously reported (8.9 mL/h) (Bristol-Myers Squibb. Anti-PD-L1 monoclonal antibody BMS-936559 Investigator Brochure, Version No. 8.0. Document Control Number 930039988.  2016). Similarly, V</w:t>
      </w:r>
      <w:r>
        <w:rPr>
          <w:vertAlign w:val="subscript"/>
          <w:lang w:val="en-US"/>
        </w:rPr>
        <w:t>ss</w:t>
      </w:r>
      <w:r>
        <w:rPr>
          <w:lang w:val="en-US"/>
        </w:rPr>
        <w:t xml:space="preserve"> values (mean 3.73</w:t>
      </w:r>
      <w:r>
        <w:rPr>
          <w:rFonts w:cs="Arial"/>
          <w:lang w:val="en-US"/>
        </w:rPr>
        <w:t>‒</w:t>
      </w:r>
      <w:r>
        <w:rPr>
          <w:lang w:val="en-US"/>
        </w:rPr>
        <w:t>15.8 L) were generally higher than those previously reported (5.8 L) (Bristol-Myers Squibb. Anti-PD-L1 monoclonal antibody BMS-936559 Investigator Brochure, Version No. 8.0. Document Control Number 930039988. 2016), indicating that drug distribution is mostly limited to the intravascular space. C</w:t>
      </w:r>
      <w:r>
        <w:rPr>
          <w:vertAlign w:val="subscript"/>
          <w:lang w:val="en-US"/>
        </w:rPr>
        <w:t>max</w:t>
      </w:r>
      <w:r>
        <w:rPr>
          <w:lang w:val="en-US"/>
        </w:rPr>
        <w:t xml:space="preserve"> and AUC were moderately variable and, with the exclusion of the 300 mg dose, generally demonstrated dose-dependent increases. The power model also showed that removing the 300 mg dose affected dose-proportionality; it is not immediately clear why this would be the case, because there is no clear difference in baseline characteristics between the 300 mg dose group and the other groups. However, disease-related pathophysiologic alterations could have impacted the PK in the 300 mg group. For example, sepsis can induce hypoalbuminemia, which could have altered the volume of distribution of BMS-936559 (De Paepe P, Belpaire FM, Buylaert WA. Pharmacokinetic and pharmacodynamic considerations when treating patients with sepsis and septic shock. </w:t>
      </w:r>
      <w:r>
        <w:rPr>
          <w:i/>
          <w:lang w:val="en-US"/>
        </w:rPr>
        <w:t xml:space="preserve">Clin Pharmacokinet </w:t>
      </w:r>
      <w:r>
        <w:rPr>
          <w:lang w:val="en-US"/>
        </w:rPr>
        <w:t>2002;41:1135-1151). However, because individual clinical information on the relative severity of sepsis in each dose group is not available, assessing the potential impact of disease status on the PK is difficult.</w:t>
      </w:r>
      <w:r w:rsidR="00AC49D2" w:rsidRPr="00AC49D2">
        <w:t xml:space="preserve"> </w:t>
      </w:r>
      <w:r w:rsidR="00AC49D2" w:rsidRPr="00AC49D2">
        <w:rPr>
          <w:lang w:val="en-US"/>
        </w:rPr>
        <w:t xml:space="preserve">It is also not understood why dose-proportionality for AUC(INF) was seen when the 300 mg dose was excluded, </w:t>
      </w:r>
      <w:r w:rsidR="00FE67B6">
        <w:rPr>
          <w:lang w:val="en-US"/>
        </w:rPr>
        <w:t xml:space="preserve">and </w:t>
      </w:r>
      <w:r w:rsidR="00AC49D2" w:rsidRPr="00AC49D2">
        <w:rPr>
          <w:lang w:val="en-US"/>
        </w:rPr>
        <w:t>was seen for C</w:t>
      </w:r>
      <w:r w:rsidR="00AC49D2" w:rsidRPr="002858F6">
        <w:rPr>
          <w:vertAlign w:val="subscript"/>
          <w:lang w:val="en-US"/>
        </w:rPr>
        <w:t>max</w:t>
      </w:r>
      <w:r w:rsidR="00AC49D2" w:rsidRPr="00AC49D2">
        <w:rPr>
          <w:lang w:val="en-US"/>
        </w:rPr>
        <w:t xml:space="preserve"> </w:t>
      </w:r>
      <w:r w:rsidR="00FE67B6">
        <w:rPr>
          <w:lang w:val="en-US"/>
        </w:rPr>
        <w:t xml:space="preserve">only </w:t>
      </w:r>
      <w:r w:rsidR="00AC49D2" w:rsidRPr="00AC49D2">
        <w:rPr>
          <w:lang w:val="en-US"/>
        </w:rPr>
        <w:t xml:space="preserve">when the 300 mg dose was included. Again, disease-related pathophysiologic alterations might play a role. However, </w:t>
      </w:r>
      <w:r w:rsidR="00F67B96">
        <w:rPr>
          <w:lang w:val="en-US"/>
        </w:rPr>
        <w:t xml:space="preserve">anti-PD-L1 exhibited nonlinear PK and </w:t>
      </w:r>
      <w:r w:rsidR="00AC49D2" w:rsidRPr="00AC49D2">
        <w:rPr>
          <w:lang w:val="en-US"/>
        </w:rPr>
        <w:t>ta</w:t>
      </w:r>
      <w:r w:rsidR="00F67B96">
        <w:rPr>
          <w:lang w:val="en-US"/>
        </w:rPr>
        <w:t>rget-mediated drug disposition,</w:t>
      </w:r>
      <w:r w:rsidR="00AC49D2" w:rsidRPr="00AC49D2">
        <w:rPr>
          <w:lang w:val="en-US"/>
        </w:rPr>
        <w:t xml:space="preserve"> which is common for monoclonal antibodies (Dua P, Hawkins E, van der Graaf PH, </w:t>
      </w:r>
      <w:r w:rsidR="00AC49D2" w:rsidRPr="009B73F4">
        <w:rPr>
          <w:i/>
          <w:lang w:val="en-US"/>
        </w:rPr>
        <w:t>CPT Pharmacometrics Syst Pharmacol</w:t>
      </w:r>
      <w:r w:rsidR="00AC49D2" w:rsidRPr="00AC49D2">
        <w:rPr>
          <w:lang w:val="en-US"/>
        </w:rPr>
        <w:t xml:space="preserve"> 2015;4:324-337). Coupled with the small participant numbers, it is important to reiterate that, for these reasons, these findings should be interpreted with caution.</w:t>
      </w:r>
    </w:p>
    <w:p w14:paraId="02A65591" w14:textId="77777777" w:rsidR="009A128A" w:rsidRDefault="009A128A" w:rsidP="009A128A">
      <w:pPr>
        <w:spacing w:line="240" w:lineRule="auto"/>
        <w:rPr>
          <w:rFonts w:eastAsia="Calibri" w:cs="Arial"/>
          <w:szCs w:val="22"/>
          <w:lang w:val="en-US" w:eastAsia="en-US"/>
        </w:rPr>
      </w:pPr>
      <w:r>
        <w:rPr>
          <w:rFonts w:eastAsia="Calibri" w:cs="Arial"/>
          <w:szCs w:val="22"/>
          <w:lang w:val="en-US" w:eastAsia="en-US"/>
        </w:rPr>
        <w:br w:type="page"/>
      </w:r>
    </w:p>
    <w:p w14:paraId="422D4EC7" w14:textId="77777777" w:rsidR="009A128A" w:rsidRDefault="009A128A" w:rsidP="009A128A">
      <w:pPr>
        <w:spacing w:line="240" w:lineRule="auto"/>
        <w:rPr>
          <w:rFonts w:eastAsia="Calibri" w:cs="Arial"/>
          <w:b/>
          <w:szCs w:val="22"/>
          <w:lang w:val="en-US" w:eastAsia="en-US"/>
        </w:rPr>
        <w:sectPr w:rsidR="009A128A">
          <w:footerReference w:type="even" r:id="rId8"/>
          <w:footerReference w:type="default" r:id="rId9"/>
          <w:pgSz w:w="11906" w:h="16838"/>
          <w:pgMar w:top="1418" w:right="1418" w:bottom="1418" w:left="1418" w:header="284" w:footer="720" w:gutter="0"/>
          <w:cols w:space="720"/>
        </w:sectPr>
      </w:pPr>
    </w:p>
    <w:p w14:paraId="5F33FD7D" w14:textId="77777777" w:rsidR="009A128A" w:rsidRDefault="009A128A" w:rsidP="009A128A">
      <w:pPr>
        <w:spacing w:line="240" w:lineRule="auto"/>
        <w:rPr>
          <w:rFonts w:eastAsia="Calibri" w:cs="Arial"/>
          <w:b/>
          <w:szCs w:val="22"/>
          <w:lang w:val="en-US" w:eastAsia="en-US"/>
        </w:rPr>
      </w:pPr>
      <w:r>
        <w:rPr>
          <w:rFonts w:eastAsia="Calibri" w:cs="Arial"/>
          <w:b/>
          <w:szCs w:val="22"/>
          <w:lang w:val="en-US" w:eastAsia="en-US"/>
        </w:rPr>
        <w:lastRenderedPageBreak/>
        <w:t>Supplementary Table S3. Pharmacokinetic parameters for BMS-936559 10‒900 mg</w:t>
      </w:r>
    </w:p>
    <w:p w14:paraId="6890830B" w14:textId="77777777" w:rsidR="009A128A" w:rsidRDefault="009A128A" w:rsidP="009A128A">
      <w:pPr>
        <w:spacing w:line="240" w:lineRule="auto"/>
        <w:rPr>
          <w:rFonts w:eastAsia="Calibri" w:cs="Arial"/>
          <w:b/>
          <w:szCs w:val="22"/>
          <w:lang w:val="en-US" w:eastAsia="en-US"/>
        </w:rPr>
      </w:pPr>
    </w:p>
    <w:tbl>
      <w:tblPr>
        <w:tblStyle w:val="TableGrid"/>
        <w:tblW w:w="14073" w:type="dxa"/>
        <w:tblLook w:val="04A0" w:firstRow="1" w:lastRow="0" w:firstColumn="1" w:lastColumn="0" w:noHBand="0" w:noVBand="1"/>
      </w:tblPr>
      <w:tblGrid>
        <w:gridCol w:w="1293"/>
        <w:gridCol w:w="1015"/>
        <w:gridCol w:w="1556"/>
        <w:gridCol w:w="990"/>
        <w:gridCol w:w="1561"/>
        <w:gridCol w:w="992"/>
        <w:gridCol w:w="1560"/>
        <w:gridCol w:w="991"/>
        <w:gridCol w:w="1531"/>
        <w:gridCol w:w="14"/>
        <w:gridCol w:w="950"/>
        <w:gridCol w:w="1620"/>
      </w:tblGrid>
      <w:tr w:rsidR="009A128A" w14:paraId="2575BFD4" w14:textId="77777777" w:rsidTr="009A128A">
        <w:tc>
          <w:tcPr>
            <w:cnfStyle w:val="001000000000" w:firstRow="0" w:lastRow="0" w:firstColumn="1" w:lastColumn="0" w:oddVBand="0" w:evenVBand="0" w:oddHBand="0" w:evenHBand="0" w:firstRowFirstColumn="0" w:firstRowLastColumn="0" w:lastRowFirstColumn="0" w:lastRowLastColumn="0"/>
            <w:tcW w:w="1293" w:type="dxa"/>
            <w:vMerge w:val="restart"/>
            <w:tcBorders>
              <w:bottom w:val="single" w:sz="4" w:space="0" w:color="auto"/>
            </w:tcBorders>
            <w:hideMark/>
          </w:tcPr>
          <w:p w14:paraId="0B0026A6" w14:textId="77777777" w:rsidR="009A128A" w:rsidRDefault="009A128A" w:rsidP="009A128A">
            <w:pPr>
              <w:spacing w:line="240" w:lineRule="auto"/>
              <w:rPr>
                <w:rFonts w:eastAsia="Calibri" w:cs="Arial"/>
                <w:b/>
                <w:szCs w:val="22"/>
                <w:lang w:eastAsia="en-US"/>
              </w:rPr>
            </w:pPr>
            <w:r>
              <w:rPr>
                <w:rFonts w:eastAsia="Calibri" w:cs="Arial"/>
                <w:b/>
                <w:szCs w:val="22"/>
                <w:lang w:eastAsia="en-US"/>
              </w:rPr>
              <w:t>Parameter</w:t>
            </w:r>
          </w:p>
        </w:tc>
        <w:tc>
          <w:tcPr>
            <w:tcW w:w="12780" w:type="dxa"/>
            <w:gridSpan w:val="11"/>
            <w:tcBorders>
              <w:top w:val="single" w:sz="4" w:space="0" w:color="auto"/>
              <w:left w:val="single" w:sz="4" w:space="0" w:color="auto"/>
              <w:bottom w:val="single" w:sz="4" w:space="0" w:color="auto"/>
              <w:right w:val="single" w:sz="4" w:space="0" w:color="auto"/>
            </w:tcBorders>
            <w:hideMark/>
          </w:tcPr>
          <w:p w14:paraId="1FD7662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BMS-936559</w:t>
            </w:r>
          </w:p>
        </w:tc>
      </w:tr>
      <w:tr w:rsidR="009A128A" w14:paraId="6DE063AE" w14:textId="77777777" w:rsidTr="009A128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4" w:space="0" w:color="auto"/>
            </w:tcBorders>
            <w:vAlign w:val="center"/>
            <w:hideMark/>
          </w:tcPr>
          <w:p w14:paraId="314CF891" w14:textId="77777777" w:rsidR="009A128A" w:rsidRDefault="009A128A" w:rsidP="009A128A">
            <w:pPr>
              <w:spacing w:line="240" w:lineRule="auto"/>
              <w:rPr>
                <w:rFonts w:eastAsia="Calibri" w:cs="Arial"/>
                <w:b/>
                <w:szCs w:val="22"/>
                <w:lang w:eastAsia="en-US"/>
              </w:rPr>
            </w:pPr>
          </w:p>
        </w:tc>
        <w:tc>
          <w:tcPr>
            <w:tcW w:w="2571" w:type="dxa"/>
            <w:gridSpan w:val="2"/>
            <w:tcBorders>
              <w:top w:val="single" w:sz="4" w:space="0" w:color="auto"/>
              <w:left w:val="single" w:sz="4" w:space="0" w:color="auto"/>
              <w:bottom w:val="single" w:sz="4" w:space="0" w:color="auto"/>
              <w:right w:val="single" w:sz="4" w:space="0" w:color="auto"/>
            </w:tcBorders>
            <w:hideMark/>
          </w:tcPr>
          <w:p w14:paraId="70E8904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10 mg</w:t>
            </w:r>
          </w:p>
        </w:tc>
        <w:tc>
          <w:tcPr>
            <w:tcW w:w="2551" w:type="dxa"/>
            <w:gridSpan w:val="2"/>
            <w:tcBorders>
              <w:top w:val="single" w:sz="4" w:space="0" w:color="auto"/>
              <w:left w:val="single" w:sz="4" w:space="0" w:color="auto"/>
              <w:bottom w:val="single" w:sz="4" w:space="0" w:color="auto"/>
              <w:right w:val="single" w:sz="4" w:space="0" w:color="auto"/>
            </w:tcBorders>
            <w:hideMark/>
          </w:tcPr>
          <w:p w14:paraId="24F3666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30 mg</w:t>
            </w:r>
          </w:p>
        </w:tc>
        <w:tc>
          <w:tcPr>
            <w:tcW w:w="2552" w:type="dxa"/>
            <w:gridSpan w:val="2"/>
            <w:tcBorders>
              <w:top w:val="single" w:sz="4" w:space="0" w:color="auto"/>
              <w:left w:val="single" w:sz="4" w:space="0" w:color="auto"/>
              <w:bottom w:val="single" w:sz="4" w:space="0" w:color="auto"/>
              <w:right w:val="single" w:sz="4" w:space="0" w:color="auto"/>
            </w:tcBorders>
            <w:hideMark/>
          </w:tcPr>
          <w:p w14:paraId="28AB83D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100 mg</w:t>
            </w:r>
          </w:p>
        </w:tc>
        <w:tc>
          <w:tcPr>
            <w:tcW w:w="2536" w:type="dxa"/>
            <w:gridSpan w:val="3"/>
            <w:tcBorders>
              <w:top w:val="single" w:sz="4" w:space="0" w:color="auto"/>
              <w:left w:val="single" w:sz="4" w:space="0" w:color="auto"/>
              <w:bottom w:val="single" w:sz="4" w:space="0" w:color="auto"/>
              <w:right w:val="single" w:sz="4" w:space="0" w:color="auto"/>
            </w:tcBorders>
            <w:hideMark/>
          </w:tcPr>
          <w:p w14:paraId="56EC7D9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300 mg</w:t>
            </w:r>
          </w:p>
        </w:tc>
        <w:tc>
          <w:tcPr>
            <w:tcW w:w="2570" w:type="dxa"/>
            <w:gridSpan w:val="2"/>
            <w:tcBorders>
              <w:top w:val="single" w:sz="4" w:space="0" w:color="auto"/>
              <w:left w:val="single" w:sz="4" w:space="0" w:color="auto"/>
              <w:bottom w:val="single" w:sz="4" w:space="0" w:color="auto"/>
              <w:right w:val="single" w:sz="4" w:space="0" w:color="auto"/>
            </w:tcBorders>
            <w:hideMark/>
          </w:tcPr>
          <w:p w14:paraId="499B823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900 mg</w:t>
            </w:r>
          </w:p>
        </w:tc>
      </w:tr>
      <w:tr w:rsidR="009A128A" w14:paraId="24BDF648" w14:textId="77777777" w:rsidTr="009A128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4" w:space="0" w:color="auto"/>
            </w:tcBorders>
            <w:vAlign w:val="center"/>
            <w:hideMark/>
          </w:tcPr>
          <w:p w14:paraId="545CFE46" w14:textId="77777777" w:rsidR="009A128A" w:rsidRDefault="009A128A" w:rsidP="009A128A">
            <w:pPr>
              <w:spacing w:line="240" w:lineRule="auto"/>
              <w:rPr>
                <w:rFonts w:eastAsia="Calibri" w:cs="Arial"/>
                <w:b/>
                <w:szCs w:val="22"/>
                <w:lang w:eastAsia="en-US"/>
              </w:rPr>
            </w:pPr>
          </w:p>
        </w:tc>
        <w:tc>
          <w:tcPr>
            <w:tcW w:w="1015" w:type="dxa"/>
            <w:tcBorders>
              <w:top w:val="single" w:sz="4" w:space="0" w:color="auto"/>
              <w:left w:val="single" w:sz="4" w:space="0" w:color="auto"/>
              <w:bottom w:val="single" w:sz="4" w:space="0" w:color="auto"/>
              <w:right w:val="single" w:sz="4" w:space="0" w:color="auto"/>
            </w:tcBorders>
            <w:hideMark/>
          </w:tcPr>
          <w:p w14:paraId="0E93AB3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N</w:t>
            </w:r>
          </w:p>
        </w:tc>
        <w:tc>
          <w:tcPr>
            <w:tcW w:w="1556" w:type="dxa"/>
            <w:tcBorders>
              <w:top w:val="single" w:sz="4" w:space="0" w:color="auto"/>
              <w:left w:val="single" w:sz="4" w:space="0" w:color="auto"/>
              <w:bottom w:val="single" w:sz="4" w:space="0" w:color="auto"/>
              <w:right w:val="single" w:sz="4" w:space="0" w:color="auto"/>
            </w:tcBorders>
            <w:hideMark/>
          </w:tcPr>
          <w:p w14:paraId="521BD9A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Mean (SD)</w:t>
            </w:r>
            <w:r>
              <w:rPr>
                <w:rFonts w:eastAsia="Calibri" w:cs="Arial"/>
                <w:b/>
                <w:szCs w:val="22"/>
                <w:lang w:eastAsia="en-US"/>
              </w:rPr>
              <w:br/>
              <w:t>[% CV]</w:t>
            </w:r>
          </w:p>
        </w:tc>
        <w:tc>
          <w:tcPr>
            <w:tcW w:w="990" w:type="dxa"/>
            <w:tcBorders>
              <w:top w:val="single" w:sz="4" w:space="0" w:color="auto"/>
              <w:left w:val="single" w:sz="4" w:space="0" w:color="auto"/>
              <w:bottom w:val="single" w:sz="4" w:space="0" w:color="auto"/>
              <w:right w:val="single" w:sz="4" w:space="0" w:color="auto"/>
            </w:tcBorders>
            <w:hideMark/>
          </w:tcPr>
          <w:p w14:paraId="117AE8B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N</w:t>
            </w:r>
          </w:p>
        </w:tc>
        <w:tc>
          <w:tcPr>
            <w:tcW w:w="1561" w:type="dxa"/>
            <w:tcBorders>
              <w:top w:val="single" w:sz="4" w:space="0" w:color="auto"/>
              <w:left w:val="single" w:sz="4" w:space="0" w:color="auto"/>
              <w:bottom w:val="single" w:sz="4" w:space="0" w:color="auto"/>
              <w:right w:val="single" w:sz="4" w:space="0" w:color="auto"/>
            </w:tcBorders>
            <w:hideMark/>
          </w:tcPr>
          <w:p w14:paraId="333E7BA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Mean (SD)</w:t>
            </w:r>
            <w:r>
              <w:rPr>
                <w:rFonts w:eastAsia="Calibri" w:cs="Arial"/>
                <w:b/>
                <w:szCs w:val="22"/>
                <w:lang w:eastAsia="en-US"/>
              </w:rPr>
              <w:br/>
              <w:t>[% CV]</w:t>
            </w:r>
          </w:p>
        </w:tc>
        <w:tc>
          <w:tcPr>
            <w:tcW w:w="992" w:type="dxa"/>
            <w:tcBorders>
              <w:top w:val="single" w:sz="4" w:space="0" w:color="auto"/>
              <w:left w:val="single" w:sz="4" w:space="0" w:color="auto"/>
              <w:bottom w:val="single" w:sz="4" w:space="0" w:color="auto"/>
              <w:right w:val="single" w:sz="4" w:space="0" w:color="auto"/>
            </w:tcBorders>
            <w:hideMark/>
          </w:tcPr>
          <w:p w14:paraId="7F1AF1A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N</w:t>
            </w:r>
          </w:p>
        </w:tc>
        <w:tc>
          <w:tcPr>
            <w:tcW w:w="1560" w:type="dxa"/>
            <w:tcBorders>
              <w:top w:val="single" w:sz="4" w:space="0" w:color="auto"/>
              <w:left w:val="single" w:sz="4" w:space="0" w:color="auto"/>
              <w:bottom w:val="single" w:sz="4" w:space="0" w:color="auto"/>
              <w:right w:val="single" w:sz="4" w:space="0" w:color="auto"/>
            </w:tcBorders>
            <w:hideMark/>
          </w:tcPr>
          <w:p w14:paraId="47B5D67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Mean (SD)</w:t>
            </w:r>
            <w:r>
              <w:rPr>
                <w:rFonts w:eastAsia="Calibri" w:cs="Arial"/>
                <w:b/>
                <w:szCs w:val="22"/>
                <w:lang w:eastAsia="en-US"/>
              </w:rPr>
              <w:br/>
              <w:t>[% CV]</w:t>
            </w:r>
          </w:p>
        </w:tc>
        <w:tc>
          <w:tcPr>
            <w:tcW w:w="991" w:type="dxa"/>
            <w:tcBorders>
              <w:top w:val="single" w:sz="4" w:space="0" w:color="auto"/>
              <w:left w:val="single" w:sz="4" w:space="0" w:color="auto"/>
              <w:bottom w:val="single" w:sz="4" w:space="0" w:color="auto"/>
              <w:right w:val="single" w:sz="4" w:space="0" w:color="auto"/>
            </w:tcBorders>
            <w:hideMark/>
          </w:tcPr>
          <w:p w14:paraId="25F210B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N</w:t>
            </w:r>
          </w:p>
        </w:tc>
        <w:tc>
          <w:tcPr>
            <w:tcW w:w="1531" w:type="dxa"/>
            <w:tcBorders>
              <w:top w:val="single" w:sz="4" w:space="0" w:color="auto"/>
              <w:left w:val="single" w:sz="4" w:space="0" w:color="auto"/>
              <w:bottom w:val="single" w:sz="4" w:space="0" w:color="auto"/>
              <w:right w:val="single" w:sz="4" w:space="0" w:color="auto"/>
            </w:tcBorders>
            <w:hideMark/>
          </w:tcPr>
          <w:p w14:paraId="527802C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Mean (SD)</w:t>
            </w:r>
            <w:r>
              <w:rPr>
                <w:rFonts w:eastAsia="Calibri" w:cs="Arial"/>
                <w:b/>
                <w:szCs w:val="22"/>
                <w:lang w:eastAsia="en-US"/>
              </w:rPr>
              <w:br/>
              <w:t>[% CV]</w:t>
            </w:r>
          </w:p>
        </w:tc>
        <w:tc>
          <w:tcPr>
            <w:tcW w:w="964" w:type="dxa"/>
            <w:gridSpan w:val="2"/>
            <w:tcBorders>
              <w:top w:val="single" w:sz="4" w:space="0" w:color="auto"/>
              <w:left w:val="single" w:sz="4" w:space="0" w:color="auto"/>
              <w:bottom w:val="single" w:sz="4" w:space="0" w:color="auto"/>
              <w:right w:val="single" w:sz="4" w:space="0" w:color="auto"/>
            </w:tcBorders>
            <w:hideMark/>
          </w:tcPr>
          <w:p w14:paraId="610EDB3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N</w:t>
            </w:r>
          </w:p>
        </w:tc>
        <w:tc>
          <w:tcPr>
            <w:tcW w:w="1620" w:type="dxa"/>
            <w:tcBorders>
              <w:top w:val="single" w:sz="4" w:space="0" w:color="auto"/>
              <w:left w:val="single" w:sz="4" w:space="0" w:color="auto"/>
              <w:bottom w:val="single" w:sz="4" w:space="0" w:color="auto"/>
              <w:right w:val="single" w:sz="4" w:space="0" w:color="auto"/>
            </w:tcBorders>
            <w:hideMark/>
          </w:tcPr>
          <w:p w14:paraId="11FCA7C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Mean (SD)</w:t>
            </w:r>
            <w:r>
              <w:rPr>
                <w:rFonts w:eastAsia="Calibri" w:cs="Arial"/>
                <w:b/>
                <w:szCs w:val="22"/>
                <w:lang w:eastAsia="en-US"/>
              </w:rPr>
              <w:br/>
              <w:t>[% CV]</w:t>
            </w:r>
          </w:p>
        </w:tc>
      </w:tr>
      <w:tr w:rsidR="009A128A" w14:paraId="59513A1D"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269DF256" w14:textId="77777777" w:rsidR="009A128A" w:rsidRDefault="009A128A" w:rsidP="009A128A">
            <w:pPr>
              <w:spacing w:line="240" w:lineRule="auto"/>
              <w:rPr>
                <w:rFonts w:eastAsia="Calibri" w:cs="Arial"/>
                <w:szCs w:val="22"/>
                <w:lang w:val="fr-FR" w:eastAsia="en-US"/>
              </w:rPr>
            </w:pPr>
            <w:r>
              <w:rPr>
                <w:rFonts w:eastAsia="Calibri" w:cs="Arial"/>
                <w:szCs w:val="22"/>
                <w:lang w:val="fr-FR" w:eastAsia="en-US"/>
              </w:rPr>
              <w:t>AUC</w:t>
            </w:r>
            <w:r>
              <w:rPr>
                <w:rFonts w:eastAsia="Calibri" w:cs="Arial"/>
                <w:szCs w:val="22"/>
                <w:vertAlign w:val="subscript"/>
                <w:lang w:val="fr-FR" w:eastAsia="en-US"/>
              </w:rPr>
              <w:t>(INF)</w:t>
            </w:r>
            <w:r>
              <w:rPr>
                <w:rFonts w:eastAsia="Calibri" w:cs="Arial"/>
                <w:szCs w:val="22"/>
                <w:lang w:val="fr-FR" w:eastAsia="en-US"/>
              </w:rPr>
              <w:t xml:space="preserve"> (µg•h/mL)</w:t>
            </w:r>
          </w:p>
        </w:tc>
        <w:tc>
          <w:tcPr>
            <w:tcW w:w="1015" w:type="dxa"/>
            <w:tcBorders>
              <w:top w:val="single" w:sz="4" w:space="0" w:color="auto"/>
              <w:left w:val="single" w:sz="4" w:space="0" w:color="auto"/>
              <w:bottom w:val="single" w:sz="4" w:space="0" w:color="auto"/>
              <w:right w:val="single" w:sz="4" w:space="0" w:color="auto"/>
            </w:tcBorders>
            <w:hideMark/>
          </w:tcPr>
          <w:p w14:paraId="1466A05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w:t>
            </w:r>
          </w:p>
        </w:tc>
        <w:tc>
          <w:tcPr>
            <w:tcW w:w="1556" w:type="dxa"/>
            <w:tcBorders>
              <w:top w:val="single" w:sz="4" w:space="0" w:color="auto"/>
              <w:left w:val="single" w:sz="4" w:space="0" w:color="auto"/>
              <w:bottom w:val="single" w:sz="4" w:space="0" w:color="auto"/>
              <w:right w:val="single" w:sz="4" w:space="0" w:color="auto"/>
            </w:tcBorders>
            <w:hideMark/>
          </w:tcPr>
          <w:p w14:paraId="4021EDF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148 (NC) [NC]</w:t>
            </w:r>
          </w:p>
        </w:tc>
        <w:tc>
          <w:tcPr>
            <w:tcW w:w="990" w:type="dxa"/>
            <w:tcBorders>
              <w:top w:val="single" w:sz="4" w:space="0" w:color="auto"/>
              <w:left w:val="single" w:sz="4" w:space="0" w:color="auto"/>
              <w:bottom w:val="single" w:sz="4" w:space="0" w:color="auto"/>
              <w:right w:val="single" w:sz="4" w:space="0" w:color="auto"/>
            </w:tcBorders>
            <w:hideMark/>
          </w:tcPr>
          <w:p w14:paraId="70B2033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7831B4C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468 (89.8) [19.2]</w:t>
            </w:r>
          </w:p>
        </w:tc>
        <w:tc>
          <w:tcPr>
            <w:tcW w:w="992" w:type="dxa"/>
            <w:tcBorders>
              <w:top w:val="single" w:sz="4" w:space="0" w:color="auto"/>
              <w:left w:val="single" w:sz="4" w:space="0" w:color="auto"/>
              <w:bottom w:val="single" w:sz="4" w:space="0" w:color="auto"/>
              <w:right w:val="single" w:sz="4" w:space="0" w:color="auto"/>
            </w:tcBorders>
            <w:hideMark/>
          </w:tcPr>
          <w:p w14:paraId="25F072C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147049B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1290 (335) [26.0]</w:t>
            </w:r>
          </w:p>
        </w:tc>
        <w:tc>
          <w:tcPr>
            <w:tcW w:w="991" w:type="dxa"/>
            <w:tcBorders>
              <w:top w:val="single" w:sz="4" w:space="0" w:color="auto"/>
              <w:left w:val="single" w:sz="4" w:space="0" w:color="auto"/>
              <w:bottom w:val="single" w:sz="4" w:space="0" w:color="auto"/>
              <w:right w:val="single" w:sz="4" w:space="0" w:color="auto"/>
            </w:tcBorders>
            <w:hideMark/>
          </w:tcPr>
          <w:p w14:paraId="32C78F0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2CC79C5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11,000 (4850) [43.9]</w:t>
            </w:r>
          </w:p>
        </w:tc>
        <w:tc>
          <w:tcPr>
            <w:tcW w:w="964" w:type="dxa"/>
            <w:gridSpan w:val="2"/>
            <w:tcBorders>
              <w:top w:val="single" w:sz="4" w:space="0" w:color="auto"/>
              <w:left w:val="single" w:sz="4" w:space="0" w:color="auto"/>
              <w:bottom w:val="single" w:sz="4" w:space="0" w:color="auto"/>
              <w:right w:val="single" w:sz="4" w:space="0" w:color="auto"/>
            </w:tcBorders>
            <w:hideMark/>
          </w:tcPr>
          <w:p w14:paraId="00C5C5C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14:paraId="3E40DC5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11,700 (4310) [36.8]</w:t>
            </w:r>
          </w:p>
        </w:tc>
      </w:tr>
      <w:tr w:rsidR="009A128A" w14:paraId="109DF89A"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1C2F474D" w14:textId="77777777" w:rsidR="009A128A" w:rsidRDefault="009A128A" w:rsidP="009A128A">
            <w:pPr>
              <w:spacing w:line="240" w:lineRule="auto"/>
              <w:rPr>
                <w:rFonts w:eastAsia="Calibri" w:cs="Arial"/>
                <w:szCs w:val="22"/>
                <w:lang w:eastAsia="en-US"/>
              </w:rPr>
            </w:pPr>
            <w:r>
              <w:rPr>
                <w:rFonts w:eastAsia="Calibri" w:cs="Arial"/>
                <w:szCs w:val="22"/>
                <w:lang w:eastAsia="en-US"/>
              </w:rPr>
              <w:t>fext (%)</w:t>
            </w:r>
          </w:p>
        </w:tc>
        <w:tc>
          <w:tcPr>
            <w:tcW w:w="1015" w:type="dxa"/>
            <w:tcBorders>
              <w:top w:val="single" w:sz="4" w:space="0" w:color="auto"/>
              <w:left w:val="single" w:sz="4" w:space="0" w:color="auto"/>
              <w:bottom w:val="single" w:sz="4" w:space="0" w:color="auto"/>
              <w:right w:val="single" w:sz="4" w:space="0" w:color="auto"/>
            </w:tcBorders>
            <w:hideMark/>
          </w:tcPr>
          <w:p w14:paraId="5CCF038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56" w:type="dxa"/>
            <w:tcBorders>
              <w:top w:val="single" w:sz="4" w:space="0" w:color="auto"/>
              <w:left w:val="single" w:sz="4" w:space="0" w:color="auto"/>
              <w:bottom w:val="single" w:sz="4" w:space="0" w:color="auto"/>
              <w:right w:val="single" w:sz="4" w:space="0" w:color="auto"/>
            </w:tcBorders>
            <w:hideMark/>
          </w:tcPr>
          <w:p w14:paraId="0CC63DF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31.5 (12.9) [41.1]</w:t>
            </w:r>
          </w:p>
        </w:tc>
        <w:tc>
          <w:tcPr>
            <w:tcW w:w="990" w:type="dxa"/>
            <w:tcBorders>
              <w:top w:val="single" w:sz="4" w:space="0" w:color="auto"/>
              <w:left w:val="single" w:sz="4" w:space="0" w:color="auto"/>
              <w:bottom w:val="single" w:sz="4" w:space="0" w:color="auto"/>
              <w:right w:val="single" w:sz="4" w:space="0" w:color="auto"/>
            </w:tcBorders>
            <w:hideMark/>
          </w:tcPr>
          <w:p w14:paraId="2C44C96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65EE907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10.3 (4.45) [43.1]</w:t>
            </w:r>
          </w:p>
        </w:tc>
        <w:tc>
          <w:tcPr>
            <w:tcW w:w="992" w:type="dxa"/>
            <w:tcBorders>
              <w:top w:val="single" w:sz="4" w:space="0" w:color="auto"/>
              <w:left w:val="single" w:sz="4" w:space="0" w:color="auto"/>
              <w:bottom w:val="single" w:sz="4" w:space="0" w:color="auto"/>
              <w:right w:val="single" w:sz="4" w:space="0" w:color="auto"/>
            </w:tcBorders>
            <w:hideMark/>
          </w:tcPr>
          <w:p w14:paraId="0C28F33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1A07FBA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2.58 (3.17) [122.8]</w:t>
            </w:r>
          </w:p>
        </w:tc>
        <w:tc>
          <w:tcPr>
            <w:tcW w:w="991" w:type="dxa"/>
            <w:tcBorders>
              <w:top w:val="single" w:sz="4" w:space="0" w:color="auto"/>
              <w:left w:val="single" w:sz="4" w:space="0" w:color="auto"/>
              <w:bottom w:val="single" w:sz="4" w:space="0" w:color="auto"/>
              <w:right w:val="single" w:sz="4" w:space="0" w:color="auto"/>
            </w:tcBorders>
            <w:hideMark/>
          </w:tcPr>
          <w:p w14:paraId="3F4DC14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24FCC6E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2.13 (2.18) [102.4]</w:t>
            </w:r>
          </w:p>
        </w:tc>
        <w:tc>
          <w:tcPr>
            <w:tcW w:w="964" w:type="dxa"/>
            <w:gridSpan w:val="2"/>
            <w:tcBorders>
              <w:top w:val="single" w:sz="4" w:space="0" w:color="auto"/>
              <w:left w:val="single" w:sz="4" w:space="0" w:color="auto"/>
              <w:bottom w:val="single" w:sz="4" w:space="0" w:color="auto"/>
              <w:right w:val="single" w:sz="4" w:space="0" w:color="auto"/>
            </w:tcBorders>
            <w:hideMark/>
          </w:tcPr>
          <w:p w14:paraId="1067DE1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14:paraId="7BC0057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9.95 (12.8) [128.9]</w:t>
            </w:r>
          </w:p>
        </w:tc>
      </w:tr>
      <w:tr w:rsidR="009A128A" w14:paraId="45BE6D41"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1756EE1C" w14:textId="77777777" w:rsidR="009A128A" w:rsidRDefault="009A128A" w:rsidP="009A128A">
            <w:pPr>
              <w:spacing w:line="240" w:lineRule="auto"/>
              <w:rPr>
                <w:rFonts w:eastAsia="Calibri" w:cs="Arial"/>
                <w:szCs w:val="22"/>
                <w:lang w:eastAsia="en-US"/>
              </w:rPr>
            </w:pPr>
            <w:r>
              <w:rPr>
                <w:rFonts w:eastAsia="Calibri" w:cs="Arial"/>
                <w:szCs w:val="22"/>
                <w:lang w:eastAsia="en-US"/>
              </w:rPr>
              <w:t>AUC</w:t>
            </w:r>
            <w:r>
              <w:rPr>
                <w:rFonts w:eastAsia="Calibri" w:cs="Arial"/>
                <w:szCs w:val="22"/>
                <w:vertAlign w:val="subscript"/>
                <w:lang w:eastAsia="en-US"/>
              </w:rPr>
              <w:t>(0‒T)</w:t>
            </w:r>
            <w:r>
              <w:rPr>
                <w:rFonts w:eastAsia="Calibri" w:cs="Arial"/>
                <w:szCs w:val="22"/>
                <w:lang w:eastAsia="en-US"/>
              </w:rPr>
              <w:br/>
              <w:t>(µg•h/mL)</w:t>
            </w:r>
          </w:p>
        </w:tc>
        <w:tc>
          <w:tcPr>
            <w:tcW w:w="1015" w:type="dxa"/>
            <w:tcBorders>
              <w:top w:val="single" w:sz="4" w:space="0" w:color="auto"/>
              <w:left w:val="single" w:sz="4" w:space="0" w:color="auto"/>
              <w:bottom w:val="single" w:sz="4" w:space="0" w:color="auto"/>
              <w:right w:val="single" w:sz="4" w:space="0" w:color="auto"/>
            </w:tcBorders>
            <w:hideMark/>
          </w:tcPr>
          <w:p w14:paraId="7CF96A8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56" w:type="dxa"/>
            <w:tcBorders>
              <w:top w:val="single" w:sz="4" w:space="0" w:color="auto"/>
              <w:left w:val="single" w:sz="4" w:space="0" w:color="auto"/>
              <w:bottom w:val="single" w:sz="4" w:space="0" w:color="auto"/>
              <w:right w:val="single" w:sz="4" w:space="0" w:color="auto"/>
            </w:tcBorders>
            <w:hideMark/>
          </w:tcPr>
          <w:p w14:paraId="0779C73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58.5 (54.3) [92.7]</w:t>
            </w:r>
          </w:p>
        </w:tc>
        <w:tc>
          <w:tcPr>
            <w:tcW w:w="990" w:type="dxa"/>
            <w:tcBorders>
              <w:top w:val="single" w:sz="4" w:space="0" w:color="auto"/>
              <w:left w:val="single" w:sz="4" w:space="0" w:color="auto"/>
              <w:bottom w:val="single" w:sz="4" w:space="0" w:color="auto"/>
              <w:right w:val="single" w:sz="4" w:space="0" w:color="auto"/>
            </w:tcBorders>
            <w:hideMark/>
          </w:tcPr>
          <w:p w14:paraId="65DD608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14:paraId="78CCEE0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321 (188) [58.5]</w:t>
            </w:r>
          </w:p>
        </w:tc>
        <w:tc>
          <w:tcPr>
            <w:tcW w:w="992" w:type="dxa"/>
            <w:tcBorders>
              <w:top w:val="single" w:sz="4" w:space="0" w:color="auto"/>
              <w:left w:val="single" w:sz="4" w:space="0" w:color="auto"/>
              <w:bottom w:val="single" w:sz="4" w:space="0" w:color="auto"/>
              <w:right w:val="single" w:sz="4" w:space="0" w:color="auto"/>
            </w:tcBorders>
            <w:hideMark/>
          </w:tcPr>
          <w:p w14:paraId="68D5BF8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6B22085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1260 (353) [28.0]</w:t>
            </w:r>
          </w:p>
        </w:tc>
        <w:tc>
          <w:tcPr>
            <w:tcW w:w="991" w:type="dxa"/>
            <w:tcBorders>
              <w:top w:val="single" w:sz="4" w:space="0" w:color="auto"/>
              <w:left w:val="single" w:sz="4" w:space="0" w:color="auto"/>
              <w:bottom w:val="single" w:sz="4" w:space="0" w:color="auto"/>
              <w:right w:val="single" w:sz="4" w:space="0" w:color="auto"/>
            </w:tcBorders>
            <w:hideMark/>
          </w:tcPr>
          <w:p w14:paraId="13A6F17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068904A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10,800 (4880) [45.0] </w:t>
            </w:r>
          </w:p>
        </w:tc>
        <w:tc>
          <w:tcPr>
            <w:tcW w:w="964" w:type="dxa"/>
            <w:gridSpan w:val="2"/>
            <w:tcBorders>
              <w:top w:val="single" w:sz="4" w:space="0" w:color="auto"/>
              <w:left w:val="single" w:sz="4" w:space="0" w:color="auto"/>
              <w:bottom w:val="single" w:sz="4" w:space="0" w:color="auto"/>
              <w:right w:val="single" w:sz="4" w:space="0" w:color="auto"/>
            </w:tcBorders>
            <w:hideMark/>
          </w:tcPr>
          <w:p w14:paraId="5184E9B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14:paraId="7305EF6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10,600 (4010) [37.7]</w:t>
            </w:r>
          </w:p>
        </w:tc>
      </w:tr>
      <w:tr w:rsidR="009A128A" w14:paraId="2EE2F4C2"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357235D9" w14:textId="77777777" w:rsidR="009A128A" w:rsidRDefault="009A128A" w:rsidP="009A128A">
            <w:pPr>
              <w:spacing w:line="240" w:lineRule="auto"/>
              <w:rPr>
                <w:rFonts w:eastAsia="Calibri" w:cs="Arial"/>
                <w:szCs w:val="22"/>
                <w:lang w:eastAsia="en-US"/>
              </w:rPr>
            </w:pPr>
            <w:r>
              <w:rPr>
                <w:rFonts w:eastAsia="Calibri" w:cs="Arial"/>
                <w:szCs w:val="22"/>
                <w:lang w:eastAsia="en-US"/>
              </w:rPr>
              <w:t>CLT (mL/h)</w:t>
            </w:r>
          </w:p>
        </w:tc>
        <w:tc>
          <w:tcPr>
            <w:tcW w:w="1015" w:type="dxa"/>
            <w:tcBorders>
              <w:top w:val="single" w:sz="4" w:space="0" w:color="auto"/>
              <w:left w:val="single" w:sz="4" w:space="0" w:color="auto"/>
              <w:bottom w:val="single" w:sz="4" w:space="0" w:color="auto"/>
              <w:right w:val="single" w:sz="4" w:space="0" w:color="auto"/>
            </w:tcBorders>
            <w:hideMark/>
          </w:tcPr>
          <w:p w14:paraId="79889A7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w:t>
            </w:r>
          </w:p>
        </w:tc>
        <w:tc>
          <w:tcPr>
            <w:tcW w:w="1556" w:type="dxa"/>
            <w:tcBorders>
              <w:top w:val="single" w:sz="4" w:space="0" w:color="auto"/>
              <w:left w:val="single" w:sz="4" w:space="0" w:color="auto"/>
              <w:bottom w:val="single" w:sz="4" w:space="0" w:color="auto"/>
              <w:right w:val="single" w:sz="4" w:space="0" w:color="auto"/>
            </w:tcBorders>
            <w:hideMark/>
          </w:tcPr>
          <w:p w14:paraId="089C041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67.7 (NC) [NC]</w:t>
            </w:r>
          </w:p>
        </w:tc>
        <w:tc>
          <w:tcPr>
            <w:tcW w:w="990" w:type="dxa"/>
            <w:tcBorders>
              <w:top w:val="single" w:sz="4" w:space="0" w:color="auto"/>
              <w:left w:val="single" w:sz="4" w:space="0" w:color="auto"/>
              <w:bottom w:val="single" w:sz="4" w:space="0" w:color="auto"/>
              <w:right w:val="single" w:sz="4" w:space="0" w:color="auto"/>
            </w:tcBorders>
            <w:hideMark/>
          </w:tcPr>
          <w:p w14:paraId="64555C8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39CBFBD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65.3 (12.5) [19.2]</w:t>
            </w:r>
          </w:p>
        </w:tc>
        <w:tc>
          <w:tcPr>
            <w:tcW w:w="992" w:type="dxa"/>
            <w:tcBorders>
              <w:top w:val="single" w:sz="4" w:space="0" w:color="auto"/>
              <w:left w:val="single" w:sz="4" w:space="0" w:color="auto"/>
              <w:bottom w:val="single" w:sz="4" w:space="0" w:color="auto"/>
              <w:right w:val="single" w:sz="4" w:space="0" w:color="auto"/>
            </w:tcBorders>
            <w:hideMark/>
          </w:tcPr>
          <w:p w14:paraId="61893B8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68BE5EE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82.5 (25.4) [30.7]</w:t>
            </w:r>
          </w:p>
        </w:tc>
        <w:tc>
          <w:tcPr>
            <w:tcW w:w="991" w:type="dxa"/>
            <w:tcBorders>
              <w:top w:val="single" w:sz="4" w:space="0" w:color="auto"/>
              <w:left w:val="single" w:sz="4" w:space="0" w:color="auto"/>
              <w:bottom w:val="single" w:sz="4" w:space="0" w:color="auto"/>
              <w:right w:val="single" w:sz="4" w:space="0" w:color="auto"/>
            </w:tcBorders>
            <w:hideMark/>
          </w:tcPr>
          <w:p w14:paraId="6A4B6CC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6A9801B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31.2 (12.6) [40.3]</w:t>
            </w:r>
          </w:p>
        </w:tc>
        <w:tc>
          <w:tcPr>
            <w:tcW w:w="964" w:type="dxa"/>
            <w:gridSpan w:val="2"/>
            <w:tcBorders>
              <w:top w:val="single" w:sz="4" w:space="0" w:color="auto"/>
              <w:left w:val="single" w:sz="4" w:space="0" w:color="auto"/>
              <w:bottom w:val="single" w:sz="4" w:space="0" w:color="auto"/>
              <w:right w:val="single" w:sz="4" w:space="0" w:color="auto"/>
            </w:tcBorders>
            <w:hideMark/>
          </w:tcPr>
          <w:p w14:paraId="64871FB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14:paraId="2ED7FBC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83.0 (25.4) [30.6]</w:t>
            </w:r>
          </w:p>
        </w:tc>
      </w:tr>
      <w:tr w:rsidR="009A128A" w14:paraId="3D170A17"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53D48CCB" w14:textId="77777777" w:rsidR="009A128A" w:rsidRDefault="009A128A" w:rsidP="009A128A">
            <w:pPr>
              <w:spacing w:line="240" w:lineRule="auto"/>
              <w:rPr>
                <w:rFonts w:eastAsia="Calibri" w:cs="Arial"/>
                <w:szCs w:val="22"/>
                <w:lang w:eastAsia="en-US"/>
              </w:rPr>
            </w:pPr>
            <w:r>
              <w:rPr>
                <w:rFonts w:eastAsia="Calibri" w:cs="Arial"/>
                <w:szCs w:val="22"/>
                <w:lang w:eastAsia="en-US"/>
              </w:rPr>
              <w:t>C</w:t>
            </w:r>
            <w:r>
              <w:rPr>
                <w:rFonts w:eastAsia="Calibri" w:cs="Arial"/>
                <w:szCs w:val="22"/>
                <w:vertAlign w:val="subscript"/>
                <w:lang w:eastAsia="en-US"/>
              </w:rPr>
              <w:t>max</w:t>
            </w:r>
            <w:r>
              <w:rPr>
                <w:rFonts w:eastAsia="Calibri" w:cs="Arial"/>
                <w:szCs w:val="22"/>
                <w:lang w:eastAsia="en-US"/>
              </w:rPr>
              <w:t xml:space="preserve"> (µg/mL)</w:t>
            </w:r>
          </w:p>
        </w:tc>
        <w:tc>
          <w:tcPr>
            <w:tcW w:w="1015" w:type="dxa"/>
            <w:tcBorders>
              <w:top w:val="single" w:sz="4" w:space="0" w:color="auto"/>
              <w:left w:val="single" w:sz="4" w:space="0" w:color="auto"/>
              <w:bottom w:val="single" w:sz="4" w:space="0" w:color="auto"/>
              <w:right w:val="single" w:sz="4" w:space="0" w:color="auto"/>
            </w:tcBorders>
            <w:hideMark/>
          </w:tcPr>
          <w:p w14:paraId="1C2A2B2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56" w:type="dxa"/>
            <w:tcBorders>
              <w:top w:val="single" w:sz="4" w:space="0" w:color="auto"/>
              <w:left w:val="single" w:sz="4" w:space="0" w:color="auto"/>
              <w:bottom w:val="single" w:sz="4" w:space="0" w:color="auto"/>
              <w:right w:val="single" w:sz="4" w:space="0" w:color="auto"/>
            </w:tcBorders>
            <w:hideMark/>
          </w:tcPr>
          <w:p w14:paraId="18C7389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2.04 (1.06) [51.9]</w:t>
            </w:r>
          </w:p>
        </w:tc>
        <w:tc>
          <w:tcPr>
            <w:tcW w:w="990" w:type="dxa"/>
            <w:tcBorders>
              <w:top w:val="single" w:sz="4" w:space="0" w:color="auto"/>
              <w:left w:val="single" w:sz="4" w:space="0" w:color="auto"/>
              <w:bottom w:val="single" w:sz="4" w:space="0" w:color="auto"/>
              <w:right w:val="single" w:sz="4" w:space="0" w:color="auto"/>
            </w:tcBorders>
            <w:hideMark/>
          </w:tcPr>
          <w:p w14:paraId="2DD39BA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14:paraId="2A072D7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8.50 (2.08) [24.5]</w:t>
            </w:r>
          </w:p>
        </w:tc>
        <w:tc>
          <w:tcPr>
            <w:tcW w:w="992" w:type="dxa"/>
            <w:tcBorders>
              <w:top w:val="single" w:sz="4" w:space="0" w:color="auto"/>
              <w:left w:val="single" w:sz="4" w:space="0" w:color="auto"/>
              <w:bottom w:val="single" w:sz="4" w:space="0" w:color="auto"/>
              <w:right w:val="single" w:sz="4" w:space="0" w:color="auto"/>
            </w:tcBorders>
            <w:hideMark/>
          </w:tcPr>
          <w:p w14:paraId="7068C36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7E1CA8E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15.8 (3.97) [25.0]</w:t>
            </w:r>
          </w:p>
        </w:tc>
        <w:tc>
          <w:tcPr>
            <w:tcW w:w="991" w:type="dxa"/>
            <w:tcBorders>
              <w:top w:val="single" w:sz="4" w:space="0" w:color="auto"/>
              <w:left w:val="single" w:sz="4" w:space="0" w:color="auto"/>
              <w:bottom w:val="single" w:sz="4" w:space="0" w:color="auto"/>
              <w:right w:val="single" w:sz="4" w:space="0" w:color="auto"/>
            </w:tcBorders>
            <w:hideMark/>
          </w:tcPr>
          <w:p w14:paraId="2C8843D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029E6EB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80.7 (29.0) [35.9]</w:t>
            </w:r>
          </w:p>
        </w:tc>
        <w:tc>
          <w:tcPr>
            <w:tcW w:w="964" w:type="dxa"/>
            <w:gridSpan w:val="2"/>
            <w:tcBorders>
              <w:top w:val="single" w:sz="4" w:space="0" w:color="auto"/>
              <w:left w:val="single" w:sz="4" w:space="0" w:color="auto"/>
              <w:bottom w:val="single" w:sz="4" w:space="0" w:color="auto"/>
              <w:right w:val="single" w:sz="4" w:space="0" w:color="auto"/>
            </w:tcBorders>
            <w:hideMark/>
          </w:tcPr>
          <w:p w14:paraId="13090D8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14:paraId="5D59121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140 (46.4) [33.2]</w:t>
            </w:r>
          </w:p>
        </w:tc>
      </w:tr>
      <w:tr w:rsidR="009A128A" w14:paraId="54D0C98D"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37EAEE1F" w14:textId="77777777" w:rsidR="009A128A" w:rsidRDefault="009A128A" w:rsidP="009A128A">
            <w:pPr>
              <w:spacing w:line="240" w:lineRule="auto"/>
              <w:rPr>
                <w:rFonts w:eastAsia="Calibri" w:cs="Arial"/>
                <w:szCs w:val="22"/>
                <w:lang w:eastAsia="en-US"/>
              </w:rPr>
            </w:pPr>
            <w:r>
              <w:rPr>
                <w:rFonts w:eastAsia="Calibri" w:cs="Arial"/>
                <w:szCs w:val="22"/>
                <w:lang w:eastAsia="en-US"/>
              </w:rPr>
              <w:t>T</w:t>
            </w:r>
            <w:r>
              <w:rPr>
                <w:rFonts w:eastAsia="Calibri" w:cs="Arial"/>
                <w:szCs w:val="22"/>
                <w:vertAlign w:val="subscript"/>
                <w:lang w:eastAsia="en-US"/>
              </w:rPr>
              <w:t>max</w:t>
            </w:r>
            <w:r>
              <w:rPr>
                <w:rFonts w:eastAsia="Calibri" w:cs="Arial"/>
                <w:szCs w:val="22"/>
                <w:lang w:eastAsia="en-US"/>
              </w:rPr>
              <w:t xml:space="preserve"> (h)</w:t>
            </w:r>
            <w:r>
              <w:rPr>
                <w:rFonts w:eastAsia="Calibri" w:cs="Arial"/>
                <w:szCs w:val="22"/>
                <w:vertAlign w:val="superscript"/>
                <w:lang w:eastAsia="en-US"/>
              </w:rPr>
              <w:t>a</w:t>
            </w:r>
          </w:p>
        </w:tc>
        <w:tc>
          <w:tcPr>
            <w:tcW w:w="1015" w:type="dxa"/>
            <w:tcBorders>
              <w:top w:val="single" w:sz="4" w:space="0" w:color="auto"/>
              <w:left w:val="single" w:sz="4" w:space="0" w:color="auto"/>
              <w:bottom w:val="single" w:sz="4" w:space="0" w:color="auto"/>
              <w:right w:val="single" w:sz="4" w:space="0" w:color="auto"/>
            </w:tcBorders>
            <w:hideMark/>
          </w:tcPr>
          <w:p w14:paraId="4ABDE5F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56" w:type="dxa"/>
            <w:tcBorders>
              <w:top w:val="single" w:sz="4" w:space="0" w:color="auto"/>
              <w:left w:val="single" w:sz="4" w:space="0" w:color="auto"/>
              <w:bottom w:val="single" w:sz="4" w:space="0" w:color="auto"/>
              <w:right w:val="single" w:sz="4" w:space="0" w:color="auto"/>
            </w:tcBorders>
            <w:hideMark/>
          </w:tcPr>
          <w:p w14:paraId="722C123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1.56 </w:t>
            </w:r>
            <w:r>
              <w:rPr>
                <w:rFonts w:eastAsia="Calibri" w:cs="Arial"/>
                <w:szCs w:val="22"/>
                <w:lang w:eastAsia="en-US"/>
              </w:rPr>
              <w:br/>
              <w:t>(1.48‒1.75)</w:t>
            </w:r>
          </w:p>
        </w:tc>
        <w:tc>
          <w:tcPr>
            <w:tcW w:w="990" w:type="dxa"/>
            <w:tcBorders>
              <w:top w:val="single" w:sz="4" w:space="0" w:color="auto"/>
              <w:left w:val="single" w:sz="4" w:space="0" w:color="auto"/>
              <w:bottom w:val="single" w:sz="4" w:space="0" w:color="auto"/>
              <w:right w:val="single" w:sz="4" w:space="0" w:color="auto"/>
            </w:tcBorders>
            <w:hideMark/>
          </w:tcPr>
          <w:p w14:paraId="1FC4A26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14:paraId="55960C3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1.57 </w:t>
            </w:r>
            <w:r>
              <w:rPr>
                <w:rFonts w:eastAsia="Calibri" w:cs="Arial"/>
                <w:szCs w:val="22"/>
                <w:lang w:eastAsia="en-US"/>
              </w:rPr>
              <w:br/>
              <w:t>(1.55‒8.03)</w:t>
            </w:r>
          </w:p>
        </w:tc>
        <w:tc>
          <w:tcPr>
            <w:tcW w:w="992" w:type="dxa"/>
            <w:tcBorders>
              <w:top w:val="single" w:sz="4" w:space="0" w:color="auto"/>
              <w:left w:val="single" w:sz="4" w:space="0" w:color="auto"/>
              <w:bottom w:val="single" w:sz="4" w:space="0" w:color="auto"/>
              <w:right w:val="single" w:sz="4" w:space="0" w:color="auto"/>
            </w:tcBorders>
            <w:hideMark/>
          </w:tcPr>
          <w:p w14:paraId="785FCE4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0E7894D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1.56 </w:t>
            </w:r>
            <w:r>
              <w:rPr>
                <w:rFonts w:eastAsia="Calibri" w:cs="Arial"/>
                <w:szCs w:val="22"/>
                <w:lang w:eastAsia="en-US"/>
              </w:rPr>
              <w:br/>
              <w:t>(1.53‒1.65)</w:t>
            </w:r>
          </w:p>
        </w:tc>
        <w:tc>
          <w:tcPr>
            <w:tcW w:w="991" w:type="dxa"/>
            <w:tcBorders>
              <w:top w:val="single" w:sz="4" w:space="0" w:color="auto"/>
              <w:left w:val="single" w:sz="4" w:space="0" w:color="auto"/>
              <w:bottom w:val="single" w:sz="4" w:space="0" w:color="auto"/>
              <w:right w:val="single" w:sz="4" w:space="0" w:color="auto"/>
            </w:tcBorders>
            <w:hideMark/>
          </w:tcPr>
          <w:p w14:paraId="42F3C8D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1D6D935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2.63 </w:t>
            </w:r>
            <w:r>
              <w:rPr>
                <w:rFonts w:eastAsia="Calibri" w:cs="Arial"/>
                <w:szCs w:val="22"/>
                <w:lang w:eastAsia="en-US"/>
              </w:rPr>
              <w:br/>
              <w:t>(1.58‒3.87)</w:t>
            </w:r>
          </w:p>
        </w:tc>
        <w:tc>
          <w:tcPr>
            <w:tcW w:w="964" w:type="dxa"/>
            <w:gridSpan w:val="2"/>
            <w:tcBorders>
              <w:top w:val="single" w:sz="4" w:space="0" w:color="auto"/>
              <w:left w:val="single" w:sz="4" w:space="0" w:color="auto"/>
              <w:bottom w:val="single" w:sz="4" w:space="0" w:color="auto"/>
              <w:right w:val="single" w:sz="4" w:space="0" w:color="auto"/>
            </w:tcBorders>
            <w:hideMark/>
          </w:tcPr>
          <w:p w14:paraId="0FB9336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14:paraId="4EF62AB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 xml:space="preserve">1.62 </w:t>
            </w:r>
            <w:r>
              <w:rPr>
                <w:rFonts w:eastAsia="Calibri" w:cs="Arial"/>
                <w:szCs w:val="22"/>
                <w:lang w:eastAsia="en-US"/>
              </w:rPr>
              <w:br/>
              <w:t>(1.28‒4.00)</w:t>
            </w:r>
          </w:p>
        </w:tc>
      </w:tr>
      <w:tr w:rsidR="009A128A" w14:paraId="5214F448"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68D10CB9" w14:textId="77777777" w:rsidR="009A128A" w:rsidRDefault="009A128A" w:rsidP="009A128A">
            <w:pPr>
              <w:spacing w:line="240" w:lineRule="auto"/>
              <w:rPr>
                <w:rFonts w:eastAsia="Calibri" w:cs="Arial"/>
                <w:szCs w:val="22"/>
                <w:lang w:eastAsia="en-US"/>
              </w:rPr>
            </w:pPr>
            <w:r>
              <w:rPr>
                <w:rFonts w:eastAsia="Calibri" w:cs="Arial"/>
                <w:szCs w:val="22"/>
                <w:lang w:eastAsia="en-US"/>
              </w:rPr>
              <w:t>T-HALF (h)</w:t>
            </w:r>
          </w:p>
        </w:tc>
        <w:tc>
          <w:tcPr>
            <w:tcW w:w="1015" w:type="dxa"/>
            <w:tcBorders>
              <w:top w:val="single" w:sz="4" w:space="0" w:color="auto"/>
              <w:left w:val="single" w:sz="4" w:space="0" w:color="auto"/>
              <w:bottom w:val="single" w:sz="4" w:space="0" w:color="auto"/>
              <w:right w:val="single" w:sz="4" w:space="0" w:color="auto"/>
            </w:tcBorders>
            <w:hideMark/>
          </w:tcPr>
          <w:p w14:paraId="36E201A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56" w:type="dxa"/>
            <w:tcBorders>
              <w:top w:val="single" w:sz="4" w:space="0" w:color="auto"/>
              <w:left w:val="single" w:sz="4" w:space="0" w:color="auto"/>
              <w:bottom w:val="single" w:sz="4" w:space="0" w:color="auto"/>
              <w:right w:val="single" w:sz="4" w:space="0" w:color="auto"/>
            </w:tcBorders>
            <w:hideMark/>
          </w:tcPr>
          <w:p w14:paraId="176550F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29.3 (11.0) [37.7]</w:t>
            </w:r>
          </w:p>
        </w:tc>
        <w:tc>
          <w:tcPr>
            <w:tcW w:w="990" w:type="dxa"/>
            <w:tcBorders>
              <w:top w:val="single" w:sz="4" w:space="0" w:color="auto"/>
              <w:left w:val="single" w:sz="4" w:space="0" w:color="auto"/>
              <w:bottom w:val="single" w:sz="4" w:space="0" w:color="auto"/>
              <w:right w:val="single" w:sz="4" w:space="0" w:color="auto"/>
            </w:tcBorders>
            <w:hideMark/>
          </w:tcPr>
          <w:p w14:paraId="24DFAE2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3429F91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41.1 (8.20) [19.9]</w:t>
            </w:r>
          </w:p>
        </w:tc>
        <w:tc>
          <w:tcPr>
            <w:tcW w:w="992" w:type="dxa"/>
            <w:tcBorders>
              <w:top w:val="single" w:sz="4" w:space="0" w:color="auto"/>
              <w:left w:val="single" w:sz="4" w:space="0" w:color="auto"/>
              <w:bottom w:val="single" w:sz="4" w:space="0" w:color="auto"/>
              <w:right w:val="single" w:sz="4" w:space="0" w:color="auto"/>
            </w:tcBorders>
            <w:hideMark/>
          </w:tcPr>
          <w:p w14:paraId="4946EF0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414BE3E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45.6 (2.66) [5.8]</w:t>
            </w:r>
          </w:p>
        </w:tc>
        <w:tc>
          <w:tcPr>
            <w:tcW w:w="991" w:type="dxa"/>
            <w:tcBorders>
              <w:top w:val="single" w:sz="4" w:space="0" w:color="auto"/>
              <w:left w:val="single" w:sz="4" w:space="0" w:color="auto"/>
              <w:bottom w:val="single" w:sz="4" w:space="0" w:color="auto"/>
              <w:right w:val="single" w:sz="4" w:space="0" w:color="auto"/>
            </w:tcBorders>
            <w:hideMark/>
          </w:tcPr>
          <w:p w14:paraId="177346B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3C6D025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189 (117) [61.5]</w:t>
            </w:r>
          </w:p>
        </w:tc>
        <w:tc>
          <w:tcPr>
            <w:tcW w:w="964" w:type="dxa"/>
            <w:gridSpan w:val="2"/>
            <w:tcBorders>
              <w:top w:val="single" w:sz="4" w:space="0" w:color="auto"/>
              <w:left w:val="single" w:sz="4" w:space="0" w:color="auto"/>
              <w:bottom w:val="single" w:sz="4" w:space="0" w:color="auto"/>
              <w:right w:val="single" w:sz="4" w:space="0" w:color="auto"/>
            </w:tcBorders>
            <w:hideMark/>
          </w:tcPr>
          <w:p w14:paraId="3CFED8D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14:paraId="17D1437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147 (93.5) [63.7]</w:t>
            </w:r>
          </w:p>
        </w:tc>
      </w:tr>
      <w:tr w:rsidR="009A128A" w14:paraId="1F9C7135"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08EC4AC5" w14:textId="77777777" w:rsidR="009A128A" w:rsidRDefault="009A128A" w:rsidP="009A128A">
            <w:pPr>
              <w:spacing w:line="240" w:lineRule="auto"/>
              <w:rPr>
                <w:rFonts w:eastAsia="Calibri" w:cs="Arial"/>
                <w:szCs w:val="22"/>
                <w:lang w:eastAsia="en-US"/>
              </w:rPr>
            </w:pPr>
            <w:r>
              <w:rPr>
                <w:rFonts w:eastAsia="Calibri" w:cs="Arial"/>
                <w:szCs w:val="22"/>
                <w:lang w:eastAsia="en-US"/>
              </w:rPr>
              <w:t>Kel (1/h)</w:t>
            </w:r>
          </w:p>
        </w:tc>
        <w:tc>
          <w:tcPr>
            <w:tcW w:w="1015" w:type="dxa"/>
            <w:tcBorders>
              <w:top w:val="single" w:sz="4" w:space="0" w:color="auto"/>
              <w:left w:val="single" w:sz="4" w:space="0" w:color="auto"/>
              <w:bottom w:val="single" w:sz="4" w:space="0" w:color="auto"/>
              <w:right w:val="single" w:sz="4" w:space="0" w:color="auto"/>
            </w:tcBorders>
            <w:hideMark/>
          </w:tcPr>
          <w:p w14:paraId="6BFD2E8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556" w:type="dxa"/>
            <w:tcBorders>
              <w:top w:val="single" w:sz="4" w:space="0" w:color="auto"/>
              <w:left w:val="single" w:sz="4" w:space="0" w:color="auto"/>
              <w:bottom w:val="single" w:sz="4" w:space="0" w:color="auto"/>
              <w:right w:val="single" w:sz="4" w:space="0" w:color="auto"/>
            </w:tcBorders>
            <w:hideMark/>
          </w:tcPr>
          <w:p w14:paraId="6AEEA50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0.0261 (0.00996) [38.1]</w:t>
            </w:r>
          </w:p>
        </w:tc>
        <w:tc>
          <w:tcPr>
            <w:tcW w:w="990" w:type="dxa"/>
            <w:tcBorders>
              <w:top w:val="single" w:sz="4" w:space="0" w:color="auto"/>
              <w:left w:val="single" w:sz="4" w:space="0" w:color="auto"/>
              <w:bottom w:val="single" w:sz="4" w:space="0" w:color="auto"/>
              <w:right w:val="single" w:sz="4" w:space="0" w:color="auto"/>
            </w:tcBorders>
            <w:hideMark/>
          </w:tcPr>
          <w:p w14:paraId="603E733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56D78F5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0.0172 (0.00343) [19.9]</w:t>
            </w:r>
          </w:p>
        </w:tc>
        <w:tc>
          <w:tcPr>
            <w:tcW w:w="992" w:type="dxa"/>
            <w:tcBorders>
              <w:top w:val="single" w:sz="4" w:space="0" w:color="auto"/>
              <w:left w:val="single" w:sz="4" w:space="0" w:color="auto"/>
              <w:bottom w:val="single" w:sz="4" w:space="0" w:color="auto"/>
              <w:right w:val="single" w:sz="4" w:space="0" w:color="auto"/>
            </w:tcBorders>
            <w:hideMark/>
          </w:tcPr>
          <w:p w14:paraId="26A33F4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5FBF102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0.0152 (0.000855) [5.6]</w:t>
            </w:r>
          </w:p>
        </w:tc>
        <w:tc>
          <w:tcPr>
            <w:tcW w:w="991" w:type="dxa"/>
            <w:tcBorders>
              <w:top w:val="single" w:sz="4" w:space="0" w:color="auto"/>
              <w:left w:val="single" w:sz="4" w:space="0" w:color="auto"/>
              <w:bottom w:val="single" w:sz="4" w:space="0" w:color="auto"/>
              <w:right w:val="single" w:sz="4" w:space="0" w:color="auto"/>
            </w:tcBorders>
            <w:hideMark/>
          </w:tcPr>
          <w:p w14:paraId="3FDBC36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6CE4C77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0.00539 (0.00414) [76.9]</w:t>
            </w:r>
          </w:p>
        </w:tc>
        <w:tc>
          <w:tcPr>
            <w:tcW w:w="964" w:type="dxa"/>
            <w:gridSpan w:val="2"/>
            <w:tcBorders>
              <w:top w:val="single" w:sz="4" w:space="0" w:color="auto"/>
              <w:left w:val="single" w:sz="4" w:space="0" w:color="auto"/>
              <w:bottom w:val="single" w:sz="4" w:space="0" w:color="auto"/>
              <w:right w:val="single" w:sz="4" w:space="0" w:color="auto"/>
            </w:tcBorders>
            <w:hideMark/>
          </w:tcPr>
          <w:p w14:paraId="1FC634F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14:paraId="11EBD6C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0.00637 (0.00393) [61.7]</w:t>
            </w:r>
          </w:p>
        </w:tc>
      </w:tr>
      <w:tr w:rsidR="009A128A" w14:paraId="1AA9F80B"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bottom w:val="single" w:sz="4" w:space="0" w:color="auto"/>
            </w:tcBorders>
            <w:hideMark/>
          </w:tcPr>
          <w:p w14:paraId="4FAFC5F6" w14:textId="77777777" w:rsidR="009A128A" w:rsidRDefault="009A128A" w:rsidP="009A128A">
            <w:pPr>
              <w:spacing w:line="240" w:lineRule="auto"/>
              <w:rPr>
                <w:rFonts w:eastAsia="Calibri" w:cs="Arial"/>
                <w:szCs w:val="22"/>
                <w:lang w:eastAsia="en-US"/>
              </w:rPr>
            </w:pPr>
            <w:r>
              <w:rPr>
                <w:rFonts w:eastAsia="Calibri" w:cs="Arial"/>
                <w:szCs w:val="22"/>
                <w:lang w:eastAsia="en-US"/>
              </w:rPr>
              <w:t>V</w:t>
            </w:r>
            <w:r>
              <w:rPr>
                <w:rFonts w:eastAsia="Calibri" w:cs="Arial"/>
                <w:szCs w:val="22"/>
                <w:vertAlign w:val="subscript"/>
                <w:lang w:eastAsia="en-US"/>
              </w:rPr>
              <w:t>ss</w:t>
            </w:r>
            <w:r>
              <w:rPr>
                <w:rFonts w:eastAsia="Calibri" w:cs="Arial"/>
                <w:szCs w:val="22"/>
                <w:lang w:eastAsia="en-US"/>
              </w:rPr>
              <w:t xml:space="preserve"> (L)</w:t>
            </w:r>
          </w:p>
        </w:tc>
        <w:tc>
          <w:tcPr>
            <w:tcW w:w="1015" w:type="dxa"/>
            <w:tcBorders>
              <w:top w:val="single" w:sz="4" w:space="0" w:color="auto"/>
              <w:left w:val="single" w:sz="4" w:space="0" w:color="auto"/>
              <w:bottom w:val="single" w:sz="4" w:space="0" w:color="auto"/>
              <w:right w:val="single" w:sz="4" w:space="0" w:color="auto"/>
            </w:tcBorders>
            <w:hideMark/>
          </w:tcPr>
          <w:p w14:paraId="254A41B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w:t>
            </w:r>
          </w:p>
        </w:tc>
        <w:tc>
          <w:tcPr>
            <w:tcW w:w="1556" w:type="dxa"/>
            <w:tcBorders>
              <w:top w:val="single" w:sz="4" w:space="0" w:color="auto"/>
              <w:left w:val="single" w:sz="4" w:space="0" w:color="auto"/>
              <w:bottom w:val="single" w:sz="4" w:space="0" w:color="auto"/>
              <w:right w:val="single" w:sz="4" w:space="0" w:color="auto"/>
            </w:tcBorders>
            <w:hideMark/>
          </w:tcPr>
          <w:p w14:paraId="2CC6D62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3.88 (NC) [NC]</w:t>
            </w:r>
          </w:p>
        </w:tc>
        <w:tc>
          <w:tcPr>
            <w:tcW w:w="990" w:type="dxa"/>
            <w:tcBorders>
              <w:top w:val="single" w:sz="4" w:space="0" w:color="auto"/>
              <w:left w:val="single" w:sz="4" w:space="0" w:color="auto"/>
              <w:bottom w:val="single" w:sz="4" w:space="0" w:color="auto"/>
              <w:right w:val="single" w:sz="4" w:space="0" w:color="auto"/>
            </w:tcBorders>
            <w:hideMark/>
          </w:tcPr>
          <w:p w14:paraId="631362F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79C9CAF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3.73 (0.143) [3.8]</w:t>
            </w:r>
          </w:p>
        </w:tc>
        <w:tc>
          <w:tcPr>
            <w:tcW w:w="992" w:type="dxa"/>
            <w:tcBorders>
              <w:top w:val="single" w:sz="4" w:space="0" w:color="auto"/>
              <w:left w:val="single" w:sz="4" w:space="0" w:color="auto"/>
              <w:bottom w:val="single" w:sz="4" w:space="0" w:color="auto"/>
              <w:right w:val="single" w:sz="4" w:space="0" w:color="auto"/>
            </w:tcBorders>
            <w:hideMark/>
          </w:tcPr>
          <w:p w14:paraId="4D7D63D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5E6CFD3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6.20 (1.16) [18.8]</w:t>
            </w:r>
          </w:p>
        </w:tc>
        <w:tc>
          <w:tcPr>
            <w:tcW w:w="991" w:type="dxa"/>
            <w:tcBorders>
              <w:top w:val="single" w:sz="4" w:space="0" w:color="auto"/>
              <w:left w:val="single" w:sz="4" w:space="0" w:color="auto"/>
              <w:bottom w:val="single" w:sz="4" w:space="0" w:color="auto"/>
              <w:right w:val="single" w:sz="4" w:space="0" w:color="auto"/>
            </w:tcBorders>
            <w:hideMark/>
          </w:tcPr>
          <w:p w14:paraId="163AD7F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6A7CB07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6.73 (2.03) [30.1]</w:t>
            </w:r>
          </w:p>
        </w:tc>
        <w:tc>
          <w:tcPr>
            <w:tcW w:w="964" w:type="dxa"/>
            <w:gridSpan w:val="2"/>
            <w:tcBorders>
              <w:top w:val="single" w:sz="4" w:space="0" w:color="auto"/>
              <w:left w:val="single" w:sz="4" w:space="0" w:color="auto"/>
              <w:bottom w:val="single" w:sz="4" w:space="0" w:color="auto"/>
              <w:right w:val="single" w:sz="4" w:space="0" w:color="auto"/>
            </w:tcBorders>
            <w:hideMark/>
          </w:tcPr>
          <w:p w14:paraId="4C89CD5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14:paraId="5D97913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15.8 (10.8) [67.9]</w:t>
            </w:r>
          </w:p>
        </w:tc>
      </w:tr>
      <w:tr w:rsidR="009A128A" w14:paraId="4346DA42" w14:textId="77777777" w:rsidTr="009A128A">
        <w:tc>
          <w:tcPr>
            <w:cnfStyle w:val="001000000000" w:firstRow="0" w:lastRow="0" w:firstColumn="1" w:lastColumn="0" w:oddVBand="0" w:evenVBand="0" w:oddHBand="0" w:evenHBand="0" w:firstRowFirstColumn="0" w:firstRowLastColumn="0" w:lastRowFirstColumn="0" w:lastRowLastColumn="0"/>
            <w:tcW w:w="1293" w:type="dxa"/>
            <w:tcBorders>
              <w:top w:val="single" w:sz="4" w:space="0" w:color="auto"/>
            </w:tcBorders>
            <w:hideMark/>
          </w:tcPr>
          <w:p w14:paraId="059D7F6A" w14:textId="77777777" w:rsidR="009A128A" w:rsidRDefault="009A128A" w:rsidP="009A128A">
            <w:pPr>
              <w:spacing w:line="240" w:lineRule="auto"/>
              <w:rPr>
                <w:rFonts w:eastAsia="Calibri" w:cs="Arial"/>
                <w:szCs w:val="22"/>
                <w:lang w:eastAsia="en-US"/>
              </w:rPr>
            </w:pPr>
            <w:r>
              <w:rPr>
                <w:rFonts w:eastAsia="Calibri" w:cs="Arial"/>
                <w:szCs w:val="22"/>
                <w:lang w:eastAsia="en-US"/>
              </w:rPr>
              <w:lastRenderedPageBreak/>
              <w:t>V</w:t>
            </w:r>
            <w:r>
              <w:rPr>
                <w:rFonts w:eastAsia="Calibri" w:cs="Arial"/>
                <w:szCs w:val="22"/>
                <w:vertAlign w:val="subscript"/>
                <w:lang w:eastAsia="en-US"/>
              </w:rPr>
              <w:t>z</w:t>
            </w:r>
            <w:r>
              <w:rPr>
                <w:rFonts w:eastAsia="Calibri" w:cs="Arial"/>
                <w:szCs w:val="22"/>
                <w:lang w:eastAsia="en-US"/>
              </w:rPr>
              <w:t xml:space="preserve"> (L)</w:t>
            </w:r>
          </w:p>
        </w:tc>
        <w:tc>
          <w:tcPr>
            <w:tcW w:w="1015" w:type="dxa"/>
            <w:tcBorders>
              <w:top w:val="single" w:sz="4" w:space="0" w:color="auto"/>
              <w:left w:val="single" w:sz="4" w:space="0" w:color="auto"/>
              <w:bottom w:val="single" w:sz="4" w:space="0" w:color="auto"/>
              <w:right w:val="single" w:sz="4" w:space="0" w:color="auto"/>
            </w:tcBorders>
            <w:hideMark/>
          </w:tcPr>
          <w:p w14:paraId="062DA89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w:t>
            </w:r>
          </w:p>
        </w:tc>
        <w:tc>
          <w:tcPr>
            <w:tcW w:w="1556" w:type="dxa"/>
            <w:tcBorders>
              <w:top w:val="single" w:sz="4" w:space="0" w:color="auto"/>
              <w:left w:val="single" w:sz="4" w:space="0" w:color="auto"/>
              <w:bottom w:val="single" w:sz="4" w:space="0" w:color="auto"/>
              <w:right w:val="single" w:sz="4" w:space="0" w:color="auto"/>
            </w:tcBorders>
            <w:hideMark/>
          </w:tcPr>
          <w:p w14:paraId="20A8E98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3.99 (NC) [NC]</w:t>
            </w:r>
          </w:p>
        </w:tc>
        <w:tc>
          <w:tcPr>
            <w:tcW w:w="990" w:type="dxa"/>
            <w:tcBorders>
              <w:top w:val="single" w:sz="4" w:space="0" w:color="auto"/>
              <w:left w:val="single" w:sz="4" w:space="0" w:color="auto"/>
              <w:bottom w:val="single" w:sz="4" w:space="0" w:color="auto"/>
              <w:right w:val="single" w:sz="4" w:space="0" w:color="auto"/>
            </w:tcBorders>
            <w:hideMark/>
          </w:tcPr>
          <w:p w14:paraId="0B1440A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14:paraId="23021C1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3.80 (0.0297) [0.8]</w:t>
            </w:r>
          </w:p>
        </w:tc>
        <w:tc>
          <w:tcPr>
            <w:tcW w:w="992" w:type="dxa"/>
            <w:tcBorders>
              <w:top w:val="single" w:sz="4" w:space="0" w:color="auto"/>
              <w:left w:val="single" w:sz="4" w:space="0" w:color="auto"/>
              <w:bottom w:val="single" w:sz="4" w:space="0" w:color="auto"/>
              <w:right w:val="single" w:sz="4" w:space="0" w:color="auto"/>
            </w:tcBorders>
            <w:hideMark/>
          </w:tcPr>
          <w:p w14:paraId="22FD7AA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14:paraId="715609C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5.38 (1.42) [26.4]</w:t>
            </w:r>
          </w:p>
        </w:tc>
        <w:tc>
          <w:tcPr>
            <w:tcW w:w="991" w:type="dxa"/>
            <w:tcBorders>
              <w:top w:val="single" w:sz="4" w:space="0" w:color="auto"/>
              <w:left w:val="single" w:sz="4" w:space="0" w:color="auto"/>
              <w:bottom w:val="single" w:sz="4" w:space="0" w:color="auto"/>
              <w:right w:val="single" w:sz="4" w:space="0" w:color="auto"/>
            </w:tcBorders>
            <w:hideMark/>
          </w:tcPr>
          <w:p w14:paraId="0CC2770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14:paraId="1B5D301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6.94 (2.03) [29.2]</w:t>
            </w:r>
          </w:p>
        </w:tc>
        <w:tc>
          <w:tcPr>
            <w:tcW w:w="964" w:type="dxa"/>
            <w:gridSpan w:val="2"/>
            <w:tcBorders>
              <w:top w:val="single" w:sz="4" w:space="0" w:color="auto"/>
              <w:left w:val="single" w:sz="4" w:space="0" w:color="auto"/>
              <w:bottom w:val="single" w:sz="4" w:space="0" w:color="auto"/>
              <w:right w:val="single" w:sz="4" w:space="0" w:color="auto"/>
            </w:tcBorders>
            <w:hideMark/>
          </w:tcPr>
          <w:p w14:paraId="6109E4E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14:paraId="53A02F63"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18.5 (16.8) [91.0]</w:t>
            </w:r>
          </w:p>
        </w:tc>
      </w:tr>
    </w:tbl>
    <w:p w14:paraId="102FE208" w14:textId="77777777" w:rsidR="009A128A" w:rsidRDefault="009A128A" w:rsidP="009A128A">
      <w:pPr>
        <w:spacing w:line="240" w:lineRule="auto"/>
        <w:rPr>
          <w:rFonts w:eastAsia="Calibri" w:cs="Arial"/>
          <w:b/>
          <w:szCs w:val="22"/>
          <w:lang w:val="en-US" w:eastAsia="en-US"/>
        </w:rPr>
      </w:pPr>
    </w:p>
    <w:p w14:paraId="17FF0E65" w14:textId="77777777" w:rsidR="009A128A" w:rsidRDefault="009A128A" w:rsidP="009A128A">
      <w:pPr>
        <w:spacing w:line="240" w:lineRule="auto"/>
        <w:rPr>
          <w:rFonts w:eastAsia="Calibri" w:cs="Arial"/>
          <w:szCs w:val="22"/>
          <w:lang w:val="en-US" w:eastAsia="en-US"/>
        </w:rPr>
      </w:pPr>
      <w:r>
        <w:rPr>
          <w:rFonts w:eastAsia="Calibri" w:cs="Arial"/>
          <w:i/>
          <w:szCs w:val="22"/>
          <w:vertAlign w:val="superscript"/>
          <w:lang w:val="en-US" w:eastAsia="en-US"/>
        </w:rPr>
        <w:t>a</w:t>
      </w:r>
      <w:r>
        <w:rPr>
          <w:rFonts w:eastAsia="Calibri" w:cs="Arial"/>
          <w:szCs w:val="22"/>
          <w:lang w:val="en-US" w:eastAsia="en-US"/>
        </w:rPr>
        <w:t>Median range.</w:t>
      </w:r>
    </w:p>
    <w:p w14:paraId="2ED80917" w14:textId="77777777" w:rsidR="009A128A" w:rsidRDefault="009A128A" w:rsidP="009A128A">
      <w:pPr>
        <w:spacing w:line="240" w:lineRule="auto"/>
        <w:rPr>
          <w:rFonts w:eastAsia="Calibri" w:cs="Arial"/>
          <w:szCs w:val="22"/>
          <w:lang w:val="en-US" w:eastAsia="en-US"/>
        </w:rPr>
      </w:pPr>
    </w:p>
    <w:p w14:paraId="30E18D60" w14:textId="77777777" w:rsidR="009A128A" w:rsidRDefault="009A128A" w:rsidP="009A128A">
      <w:pPr>
        <w:spacing w:line="480" w:lineRule="auto"/>
        <w:rPr>
          <w:rFonts w:eastAsia="Calibri" w:cs="Arial"/>
          <w:szCs w:val="22"/>
          <w:lang w:val="en-US" w:eastAsia="en-US"/>
        </w:rPr>
      </w:pPr>
      <w:r>
        <w:rPr>
          <w:rFonts w:eastAsia="Calibri" w:cs="Arial"/>
          <w:szCs w:val="22"/>
          <w:lang w:val="en-US" w:eastAsia="en-US"/>
        </w:rPr>
        <w:t>AUC</w:t>
      </w:r>
      <w:r>
        <w:rPr>
          <w:rFonts w:eastAsia="Calibri" w:cs="Arial"/>
          <w:szCs w:val="22"/>
          <w:vertAlign w:val="subscript"/>
          <w:lang w:val="en-US" w:eastAsia="en-US"/>
        </w:rPr>
        <w:t>(0‒T)</w:t>
      </w:r>
      <w:r>
        <w:rPr>
          <w:rFonts w:eastAsia="Calibri" w:cs="Arial"/>
          <w:szCs w:val="22"/>
          <w:lang w:val="en-US" w:eastAsia="en-US"/>
        </w:rPr>
        <w:t>, area under the serum concentration</w:t>
      </w:r>
      <w:r>
        <w:rPr>
          <w:rFonts w:ascii="Gill Sans MT" w:eastAsia="Calibri" w:hAnsi="Gill Sans MT" w:cs="Arial"/>
          <w:szCs w:val="22"/>
          <w:lang w:val="en-US" w:eastAsia="en-US"/>
        </w:rPr>
        <w:t>–</w:t>
      </w:r>
      <w:r>
        <w:rPr>
          <w:rFonts w:eastAsia="Calibri" w:cs="Arial"/>
          <w:szCs w:val="22"/>
          <w:lang w:val="en-US" w:eastAsia="en-US"/>
        </w:rPr>
        <w:t>time curve from time 0 to the time of the last measurable concentration after drug administration; AUC</w:t>
      </w:r>
      <w:r>
        <w:rPr>
          <w:rFonts w:eastAsia="Calibri" w:cs="Arial"/>
          <w:szCs w:val="22"/>
          <w:vertAlign w:val="subscript"/>
          <w:lang w:val="en-US" w:eastAsia="en-US"/>
        </w:rPr>
        <w:t>(INF)</w:t>
      </w:r>
      <w:r>
        <w:rPr>
          <w:rFonts w:eastAsia="Calibri" w:cs="Arial"/>
          <w:szCs w:val="22"/>
          <w:lang w:val="en-US" w:eastAsia="en-US"/>
        </w:rPr>
        <w:t>, area under the serum concentration</w:t>
      </w:r>
      <w:r>
        <w:rPr>
          <w:rFonts w:ascii="Gill Sans MT" w:eastAsia="Calibri" w:hAnsi="Gill Sans MT" w:cs="Arial"/>
          <w:szCs w:val="22"/>
          <w:lang w:val="en-US" w:eastAsia="en-US"/>
        </w:rPr>
        <w:t>–</w:t>
      </w:r>
      <w:r>
        <w:rPr>
          <w:rFonts w:eastAsia="Calibri" w:cs="Arial"/>
          <w:szCs w:val="22"/>
          <w:lang w:val="en-US" w:eastAsia="en-US"/>
        </w:rPr>
        <w:t>time curve from time 0 extrapolated to infinity; CLT, total body clearance, calculated as Dose/AUC</w:t>
      </w:r>
      <w:r>
        <w:rPr>
          <w:rFonts w:eastAsia="Calibri" w:cs="Arial"/>
          <w:szCs w:val="22"/>
          <w:vertAlign w:val="subscript"/>
          <w:lang w:val="en-US" w:eastAsia="en-US"/>
        </w:rPr>
        <w:t>(INF)</w:t>
      </w:r>
      <w:r>
        <w:rPr>
          <w:rFonts w:eastAsia="Calibri" w:cs="Arial"/>
          <w:szCs w:val="22"/>
          <w:lang w:val="en-US" w:eastAsia="en-US"/>
        </w:rPr>
        <w:t>; C</w:t>
      </w:r>
      <w:r>
        <w:rPr>
          <w:rFonts w:eastAsia="Calibri" w:cs="Arial"/>
          <w:szCs w:val="22"/>
          <w:vertAlign w:val="subscript"/>
          <w:lang w:val="en-US" w:eastAsia="en-US"/>
        </w:rPr>
        <w:t>max</w:t>
      </w:r>
      <w:r>
        <w:rPr>
          <w:rFonts w:eastAsia="Calibri" w:cs="Arial"/>
          <w:szCs w:val="22"/>
          <w:lang w:val="en-US" w:eastAsia="en-US"/>
        </w:rPr>
        <w:t>, maximum observed serum drug concentration; CV, coefficient of variation; fext, percent of area under the serum concentration</w:t>
      </w:r>
      <w:r>
        <w:rPr>
          <w:rFonts w:ascii="Gill Sans MT" w:eastAsia="Calibri" w:hAnsi="Gill Sans MT" w:cs="Arial"/>
          <w:szCs w:val="22"/>
          <w:lang w:val="en-US" w:eastAsia="en-US"/>
        </w:rPr>
        <w:t>–</w:t>
      </w:r>
      <w:r>
        <w:rPr>
          <w:rFonts w:eastAsia="Calibri" w:cs="Arial"/>
          <w:szCs w:val="22"/>
          <w:lang w:val="en-US" w:eastAsia="en-US"/>
        </w:rPr>
        <w:t>time curve extrapolated to infinity; Kel, apparent first-order terminal rate constant; N, sample size; NC, not calculated; SD, standard deviation; T-HALF, terminal half-life, calculated as 0.693/Kel; T</w:t>
      </w:r>
      <w:r>
        <w:rPr>
          <w:rFonts w:eastAsia="Calibri" w:cs="Arial"/>
          <w:szCs w:val="22"/>
          <w:vertAlign w:val="subscript"/>
          <w:lang w:val="en-US" w:eastAsia="en-US"/>
        </w:rPr>
        <w:t>max</w:t>
      </w:r>
      <w:r>
        <w:rPr>
          <w:rFonts w:eastAsia="Calibri" w:cs="Arial"/>
          <w:szCs w:val="22"/>
          <w:lang w:val="en-US" w:eastAsia="en-US"/>
        </w:rPr>
        <w:t>, time of maximum observed serum drug concentration; V</w:t>
      </w:r>
      <w:r>
        <w:rPr>
          <w:rFonts w:eastAsia="Calibri" w:cs="Arial"/>
          <w:szCs w:val="22"/>
          <w:vertAlign w:val="subscript"/>
          <w:lang w:val="en-US" w:eastAsia="en-US"/>
        </w:rPr>
        <w:t>ss</w:t>
      </w:r>
      <w:r>
        <w:rPr>
          <w:rFonts w:eastAsia="Calibri" w:cs="Arial"/>
          <w:szCs w:val="22"/>
          <w:lang w:val="en-US" w:eastAsia="en-US"/>
        </w:rPr>
        <w:t>, volume of distribution at steady state; V</w:t>
      </w:r>
      <w:r>
        <w:rPr>
          <w:rFonts w:eastAsia="Calibri" w:cs="Arial"/>
          <w:szCs w:val="22"/>
          <w:vertAlign w:val="subscript"/>
          <w:lang w:val="en-US" w:eastAsia="en-US"/>
        </w:rPr>
        <w:t>z</w:t>
      </w:r>
      <w:r>
        <w:rPr>
          <w:rFonts w:eastAsia="Calibri" w:cs="Arial"/>
          <w:szCs w:val="22"/>
          <w:lang w:val="en-US" w:eastAsia="en-US"/>
        </w:rPr>
        <w:t>, volume of distribution based on the terminal phase.</w:t>
      </w:r>
    </w:p>
    <w:p w14:paraId="57F9636E" w14:textId="77777777" w:rsidR="009A128A" w:rsidRDefault="009A128A" w:rsidP="009A128A">
      <w:pPr>
        <w:spacing w:line="240" w:lineRule="auto"/>
        <w:rPr>
          <w:rFonts w:eastAsia="Calibri" w:cs="Arial"/>
          <w:szCs w:val="22"/>
          <w:lang w:val="en-US" w:eastAsia="en-US"/>
        </w:rPr>
      </w:pPr>
    </w:p>
    <w:p w14:paraId="15685EB6" w14:textId="77777777" w:rsidR="009A128A" w:rsidRDefault="009A128A" w:rsidP="009A128A">
      <w:pPr>
        <w:spacing w:line="240" w:lineRule="auto"/>
        <w:rPr>
          <w:rFonts w:eastAsia="Calibri" w:cs="Arial"/>
          <w:szCs w:val="22"/>
          <w:lang w:val="en-US" w:eastAsia="en-US"/>
        </w:rPr>
      </w:pPr>
      <w:r>
        <w:rPr>
          <w:rFonts w:eastAsia="Calibri" w:cs="Arial"/>
          <w:szCs w:val="22"/>
          <w:lang w:val="en-US" w:eastAsia="en-US"/>
        </w:rPr>
        <w:br w:type="page"/>
      </w:r>
    </w:p>
    <w:p w14:paraId="6006273C" w14:textId="77777777" w:rsidR="009A128A" w:rsidRDefault="009A128A" w:rsidP="009A128A">
      <w:pPr>
        <w:spacing w:line="240" w:lineRule="auto"/>
        <w:rPr>
          <w:b/>
        </w:rPr>
      </w:pPr>
      <w:r>
        <w:rPr>
          <w:rFonts w:eastAsia="Calibri" w:cs="Arial"/>
          <w:b/>
          <w:szCs w:val="22"/>
          <w:lang w:val="en-US" w:eastAsia="en-US"/>
        </w:rPr>
        <w:lastRenderedPageBreak/>
        <w:t xml:space="preserve">Supplementary Table S4. </w:t>
      </w:r>
      <w:r>
        <w:rPr>
          <w:b/>
        </w:rPr>
        <w:t>Dose-normalized AUC</w:t>
      </w:r>
      <w:r>
        <w:rPr>
          <w:b/>
          <w:vertAlign w:val="subscript"/>
        </w:rPr>
        <w:t>(INF)</w:t>
      </w:r>
      <w:r>
        <w:rPr>
          <w:b/>
        </w:rPr>
        <w:t>, AUC</w:t>
      </w:r>
      <w:r>
        <w:rPr>
          <w:b/>
          <w:vertAlign w:val="subscript"/>
        </w:rPr>
        <w:t>(0</w:t>
      </w:r>
      <w:r>
        <w:rPr>
          <w:b/>
          <w:vertAlign w:val="subscript"/>
        </w:rPr>
        <w:noBreakHyphen/>
        <w:t>T)</w:t>
      </w:r>
      <w:r>
        <w:rPr>
          <w:b/>
        </w:rPr>
        <w:t>, and C</w:t>
      </w:r>
      <w:r>
        <w:rPr>
          <w:b/>
          <w:vertAlign w:val="subscript"/>
        </w:rPr>
        <w:t>max</w:t>
      </w:r>
      <w:r>
        <w:rPr>
          <w:b/>
        </w:rPr>
        <w:t xml:space="preserve"> summary statistics following intravenous infusion of BMS</w:t>
      </w:r>
      <w:r>
        <w:rPr>
          <w:b/>
        </w:rPr>
        <w:noBreakHyphen/>
        <w:t>936559 in participants with sepsis (stratified by dose group)</w:t>
      </w:r>
    </w:p>
    <w:p w14:paraId="671C0EB3" w14:textId="77777777" w:rsidR="009A128A" w:rsidRDefault="009A128A" w:rsidP="009A128A">
      <w:pPr>
        <w:spacing w:line="240" w:lineRule="auto"/>
      </w:pPr>
    </w:p>
    <w:tbl>
      <w:tblPr>
        <w:tblStyle w:val="TableGrid"/>
        <w:tblW w:w="0" w:type="auto"/>
        <w:tblLook w:val="04A0" w:firstRow="1" w:lastRow="0" w:firstColumn="1" w:lastColumn="0" w:noHBand="0" w:noVBand="1"/>
      </w:tblPr>
      <w:tblGrid>
        <w:gridCol w:w="1221"/>
        <w:gridCol w:w="3864"/>
        <w:gridCol w:w="966"/>
        <w:gridCol w:w="1253"/>
        <w:gridCol w:w="1123"/>
        <w:gridCol w:w="1123"/>
        <w:gridCol w:w="1127"/>
        <w:gridCol w:w="983"/>
        <w:gridCol w:w="915"/>
        <w:gridCol w:w="1417"/>
      </w:tblGrid>
      <w:tr w:rsidR="009A128A" w14:paraId="344D2EEA"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hideMark/>
          </w:tcPr>
          <w:p w14:paraId="3A6CC411" w14:textId="77777777" w:rsidR="009A128A" w:rsidRDefault="009A128A" w:rsidP="009A128A">
            <w:pPr>
              <w:spacing w:line="240" w:lineRule="auto"/>
              <w:rPr>
                <w:rFonts w:eastAsia="Calibri" w:cs="Arial"/>
                <w:b/>
                <w:szCs w:val="22"/>
                <w:lang w:eastAsia="en-US"/>
              </w:rPr>
            </w:pPr>
            <w:r>
              <w:rPr>
                <w:rFonts w:eastAsia="Calibri" w:cs="Arial"/>
                <w:b/>
                <w:szCs w:val="22"/>
                <w:lang w:eastAsia="en-US"/>
              </w:rPr>
              <w:t>Dose (mg)</w:t>
            </w:r>
          </w:p>
        </w:tc>
        <w:tc>
          <w:tcPr>
            <w:tcW w:w="3969" w:type="dxa"/>
            <w:tcBorders>
              <w:top w:val="single" w:sz="4" w:space="0" w:color="auto"/>
              <w:left w:val="single" w:sz="4" w:space="0" w:color="auto"/>
              <w:bottom w:val="single" w:sz="4" w:space="0" w:color="auto"/>
              <w:right w:val="single" w:sz="4" w:space="0" w:color="auto"/>
            </w:tcBorders>
            <w:hideMark/>
          </w:tcPr>
          <w:p w14:paraId="79AA8E3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Variable</w:t>
            </w:r>
          </w:p>
        </w:tc>
        <w:tc>
          <w:tcPr>
            <w:tcW w:w="993" w:type="dxa"/>
            <w:tcBorders>
              <w:top w:val="single" w:sz="4" w:space="0" w:color="auto"/>
              <w:left w:val="single" w:sz="4" w:space="0" w:color="auto"/>
              <w:bottom w:val="single" w:sz="4" w:space="0" w:color="auto"/>
              <w:right w:val="single" w:sz="4" w:space="0" w:color="auto"/>
            </w:tcBorders>
            <w:hideMark/>
          </w:tcPr>
          <w:p w14:paraId="1F20116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N</w:t>
            </w:r>
          </w:p>
        </w:tc>
        <w:tc>
          <w:tcPr>
            <w:tcW w:w="1275" w:type="dxa"/>
            <w:tcBorders>
              <w:top w:val="single" w:sz="4" w:space="0" w:color="auto"/>
              <w:left w:val="single" w:sz="4" w:space="0" w:color="auto"/>
              <w:bottom w:val="single" w:sz="4" w:space="0" w:color="auto"/>
              <w:right w:val="single" w:sz="4" w:space="0" w:color="auto"/>
            </w:tcBorders>
            <w:hideMark/>
          </w:tcPr>
          <w:p w14:paraId="2C497D4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Mean</w:t>
            </w:r>
          </w:p>
        </w:tc>
        <w:tc>
          <w:tcPr>
            <w:tcW w:w="1134" w:type="dxa"/>
            <w:tcBorders>
              <w:top w:val="single" w:sz="4" w:space="0" w:color="auto"/>
              <w:left w:val="single" w:sz="4" w:space="0" w:color="auto"/>
              <w:bottom w:val="single" w:sz="4" w:space="0" w:color="auto"/>
              <w:right w:val="single" w:sz="4" w:space="0" w:color="auto"/>
            </w:tcBorders>
            <w:hideMark/>
          </w:tcPr>
          <w:p w14:paraId="1A570DB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SD</w:t>
            </w:r>
          </w:p>
        </w:tc>
        <w:tc>
          <w:tcPr>
            <w:tcW w:w="1134" w:type="dxa"/>
            <w:tcBorders>
              <w:top w:val="single" w:sz="4" w:space="0" w:color="auto"/>
              <w:left w:val="single" w:sz="4" w:space="0" w:color="auto"/>
              <w:bottom w:val="single" w:sz="4" w:space="0" w:color="auto"/>
              <w:right w:val="single" w:sz="4" w:space="0" w:color="auto"/>
            </w:tcBorders>
            <w:hideMark/>
          </w:tcPr>
          <w:p w14:paraId="18B5FCE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Min</w:t>
            </w:r>
          </w:p>
        </w:tc>
        <w:tc>
          <w:tcPr>
            <w:tcW w:w="1134" w:type="dxa"/>
            <w:tcBorders>
              <w:top w:val="single" w:sz="4" w:space="0" w:color="auto"/>
              <w:left w:val="single" w:sz="4" w:space="0" w:color="auto"/>
              <w:bottom w:val="single" w:sz="4" w:space="0" w:color="auto"/>
              <w:right w:val="single" w:sz="4" w:space="0" w:color="auto"/>
            </w:tcBorders>
            <w:hideMark/>
          </w:tcPr>
          <w:p w14:paraId="18B4C29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Median</w:t>
            </w:r>
          </w:p>
        </w:tc>
        <w:tc>
          <w:tcPr>
            <w:tcW w:w="993" w:type="dxa"/>
            <w:tcBorders>
              <w:top w:val="single" w:sz="4" w:space="0" w:color="auto"/>
              <w:left w:val="single" w:sz="4" w:space="0" w:color="auto"/>
              <w:bottom w:val="single" w:sz="4" w:space="0" w:color="auto"/>
              <w:right w:val="single" w:sz="4" w:space="0" w:color="auto"/>
            </w:tcBorders>
            <w:hideMark/>
          </w:tcPr>
          <w:p w14:paraId="699A51C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Max</w:t>
            </w:r>
          </w:p>
        </w:tc>
        <w:tc>
          <w:tcPr>
            <w:tcW w:w="922" w:type="dxa"/>
            <w:tcBorders>
              <w:top w:val="single" w:sz="4" w:space="0" w:color="auto"/>
              <w:left w:val="single" w:sz="4" w:space="0" w:color="auto"/>
              <w:bottom w:val="single" w:sz="4" w:space="0" w:color="auto"/>
              <w:right w:val="single" w:sz="4" w:space="0" w:color="auto"/>
            </w:tcBorders>
            <w:hideMark/>
          </w:tcPr>
          <w:p w14:paraId="603F41B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%CV</w:t>
            </w:r>
          </w:p>
        </w:tc>
        <w:tc>
          <w:tcPr>
            <w:tcW w:w="1422" w:type="dxa"/>
            <w:tcBorders>
              <w:top w:val="single" w:sz="4" w:space="0" w:color="auto"/>
              <w:left w:val="single" w:sz="4" w:space="0" w:color="auto"/>
              <w:bottom w:val="single" w:sz="4" w:space="0" w:color="auto"/>
              <w:right w:val="single" w:sz="4" w:space="0" w:color="auto"/>
            </w:tcBorders>
            <w:hideMark/>
          </w:tcPr>
          <w:p w14:paraId="75C8D2D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Geometric mean</w:t>
            </w:r>
          </w:p>
        </w:tc>
      </w:tr>
      <w:tr w:rsidR="009A128A" w14:paraId="687511C0" w14:textId="77777777" w:rsidTr="009A128A">
        <w:tc>
          <w:tcPr>
            <w:cnfStyle w:val="001000000000" w:firstRow="0" w:lastRow="0" w:firstColumn="1" w:lastColumn="0" w:oddVBand="0" w:evenVBand="0" w:oddHBand="0" w:evenHBand="0" w:firstRowFirstColumn="0" w:firstRowLastColumn="0" w:lastRowFirstColumn="0" w:lastRowLastColumn="0"/>
            <w:tcW w:w="1242" w:type="dxa"/>
            <w:hideMark/>
          </w:tcPr>
          <w:p w14:paraId="100D9277" w14:textId="77777777" w:rsidR="009A128A" w:rsidRDefault="009A128A" w:rsidP="009A128A">
            <w:pPr>
              <w:spacing w:line="240" w:lineRule="auto"/>
              <w:rPr>
                <w:rFonts w:eastAsia="Calibri" w:cs="Arial"/>
                <w:szCs w:val="22"/>
                <w:lang w:eastAsia="en-US"/>
              </w:rPr>
            </w:pPr>
            <w:r>
              <w:rPr>
                <w:rFonts w:eastAsia="Calibri" w:cs="Arial"/>
                <w:szCs w:val="22"/>
                <w:lang w:eastAsia="en-US"/>
              </w:rPr>
              <w:t>10</w:t>
            </w:r>
          </w:p>
        </w:tc>
        <w:tc>
          <w:tcPr>
            <w:tcW w:w="3969" w:type="dxa"/>
            <w:tcBorders>
              <w:top w:val="single" w:sz="4" w:space="0" w:color="auto"/>
              <w:left w:val="single" w:sz="4" w:space="0" w:color="auto"/>
              <w:bottom w:val="nil"/>
              <w:right w:val="single" w:sz="4" w:space="0" w:color="auto"/>
            </w:tcBorders>
            <w:hideMark/>
          </w:tcPr>
          <w:p w14:paraId="73B88F5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(INF)</w:t>
            </w:r>
            <w:r>
              <w:rPr>
                <w:lang w:val="fr-FR"/>
              </w:rPr>
              <w:t xml:space="preserve">/Dose </w:t>
            </w:r>
            <w:r>
              <w:rPr>
                <w:rFonts w:eastAsia="Calibri" w:cs="Arial"/>
                <w:szCs w:val="22"/>
                <w:lang w:val="fr-FR" w:eastAsia="en-US"/>
              </w:rPr>
              <w:t>µg•h/mL</w:t>
            </w:r>
            <w:r>
              <w:rPr>
                <w:lang w:val="fr-FR"/>
              </w:rPr>
              <w:t>/mg)</w:t>
            </w:r>
          </w:p>
        </w:tc>
        <w:tc>
          <w:tcPr>
            <w:tcW w:w="993" w:type="dxa"/>
            <w:tcBorders>
              <w:top w:val="single" w:sz="4" w:space="0" w:color="auto"/>
              <w:left w:val="single" w:sz="4" w:space="0" w:color="auto"/>
              <w:bottom w:val="nil"/>
              <w:right w:val="single" w:sz="4" w:space="0" w:color="auto"/>
            </w:tcBorders>
            <w:hideMark/>
          </w:tcPr>
          <w:p w14:paraId="0A5FA14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w:t>
            </w:r>
          </w:p>
        </w:tc>
        <w:tc>
          <w:tcPr>
            <w:tcW w:w="1275" w:type="dxa"/>
            <w:tcBorders>
              <w:top w:val="single" w:sz="4" w:space="0" w:color="auto"/>
              <w:left w:val="single" w:sz="4" w:space="0" w:color="auto"/>
              <w:bottom w:val="nil"/>
              <w:right w:val="single" w:sz="4" w:space="0" w:color="auto"/>
            </w:tcBorders>
            <w:vAlign w:val="center"/>
            <w:hideMark/>
          </w:tcPr>
          <w:p w14:paraId="11B9C0FC"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14.8</w:t>
            </w:r>
          </w:p>
        </w:tc>
        <w:tc>
          <w:tcPr>
            <w:tcW w:w="1134" w:type="dxa"/>
            <w:tcBorders>
              <w:top w:val="single" w:sz="4" w:space="0" w:color="auto"/>
              <w:left w:val="single" w:sz="4" w:space="0" w:color="auto"/>
              <w:bottom w:val="nil"/>
              <w:right w:val="single" w:sz="4" w:space="0" w:color="auto"/>
            </w:tcBorders>
            <w:vAlign w:val="center"/>
            <w:hideMark/>
          </w:tcPr>
          <w:p w14:paraId="1E2D47E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NC</w:t>
            </w:r>
          </w:p>
        </w:tc>
        <w:tc>
          <w:tcPr>
            <w:tcW w:w="1134" w:type="dxa"/>
            <w:tcBorders>
              <w:top w:val="single" w:sz="4" w:space="0" w:color="auto"/>
              <w:left w:val="single" w:sz="4" w:space="0" w:color="auto"/>
              <w:bottom w:val="nil"/>
              <w:right w:val="single" w:sz="4" w:space="0" w:color="auto"/>
            </w:tcBorders>
            <w:vAlign w:val="center"/>
            <w:hideMark/>
          </w:tcPr>
          <w:p w14:paraId="4A2B75C1"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14.8</w:t>
            </w:r>
          </w:p>
        </w:tc>
        <w:tc>
          <w:tcPr>
            <w:tcW w:w="1134" w:type="dxa"/>
            <w:tcBorders>
              <w:top w:val="single" w:sz="4" w:space="0" w:color="auto"/>
              <w:left w:val="single" w:sz="4" w:space="0" w:color="auto"/>
              <w:bottom w:val="nil"/>
              <w:right w:val="single" w:sz="4" w:space="0" w:color="auto"/>
            </w:tcBorders>
            <w:vAlign w:val="center"/>
            <w:hideMark/>
          </w:tcPr>
          <w:p w14:paraId="00513FF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14.8</w:t>
            </w:r>
          </w:p>
        </w:tc>
        <w:tc>
          <w:tcPr>
            <w:tcW w:w="993" w:type="dxa"/>
            <w:tcBorders>
              <w:top w:val="single" w:sz="4" w:space="0" w:color="auto"/>
              <w:left w:val="single" w:sz="4" w:space="0" w:color="auto"/>
              <w:bottom w:val="nil"/>
              <w:right w:val="single" w:sz="4" w:space="0" w:color="auto"/>
            </w:tcBorders>
            <w:vAlign w:val="center"/>
            <w:hideMark/>
          </w:tcPr>
          <w:p w14:paraId="48107C5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14.8</w:t>
            </w:r>
          </w:p>
        </w:tc>
        <w:tc>
          <w:tcPr>
            <w:tcW w:w="922" w:type="dxa"/>
            <w:tcBorders>
              <w:top w:val="single" w:sz="4" w:space="0" w:color="auto"/>
              <w:left w:val="single" w:sz="4" w:space="0" w:color="auto"/>
              <w:bottom w:val="nil"/>
              <w:right w:val="single" w:sz="4" w:space="0" w:color="auto"/>
            </w:tcBorders>
            <w:vAlign w:val="center"/>
            <w:hideMark/>
          </w:tcPr>
          <w:p w14:paraId="3B7EEE9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NC</w:t>
            </w:r>
          </w:p>
        </w:tc>
        <w:tc>
          <w:tcPr>
            <w:tcW w:w="1422" w:type="dxa"/>
            <w:tcBorders>
              <w:top w:val="single" w:sz="4" w:space="0" w:color="auto"/>
              <w:left w:val="single" w:sz="4" w:space="0" w:color="auto"/>
              <w:bottom w:val="nil"/>
              <w:right w:val="single" w:sz="4" w:space="0" w:color="auto"/>
            </w:tcBorders>
            <w:vAlign w:val="center"/>
            <w:hideMark/>
          </w:tcPr>
          <w:p w14:paraId="0F9529E6"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14.8</w:t>
            </w:r>
          </w:p>
        </w:tc>
      </w:tr>
      <w:tr w:rsidR="009A128A" w14:paraId="250E4ACE" w14:textId="77777777" w:rsidTr="009A128A">
        <w:tc>
          <w:tcPr>
            <w:cnfStyle w:val="001000000000" w:firstRow="0" w:lastRow="0" w:firstColumn="1" w:lastColumn="0" w:oddVBand="0" w:evenVBand="0" w:oddHBand="0" w:evenHBand="0" w:firstRowFirstColumn="0" w:firstRowLastColumn="0" w:lastRowFirstColumn="0" w:lastRowLastColumn="0"/>
            <w:tcW w:w="1242" w:type="dxa"/>
          </w:tcPr>
          <w:p w14:paraId="6E36F19A"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nil"/>
              <w:right w:val="single" w:sz="4" w:space="0" w:color="auto"/>
            </w:tcBorders>
            <w:hideMark/>
          </w:tcPr>
          <w:p w14:paraId="4CDF8EA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(0</w:t>
            </w:r>
            <w:r>
              <w:rPr>
                <w:vertAlign w:val="subscript"/>
                <w:lang w:val="fr-FR"/>
              </w:rPr>
              <w:noBreakHyphen/>
              <w:t>T)</w:t>
            </w:r>
            <w:r>
              <w:rPr>
                <w:lang w:val="fr-FR"/>
              </w:rPr>
              <w:t>/Dose (</w:t>
            </w:r>
            <w:r>
              <w:rPr>
                <w:rFonts w:eastAsia="Calibri" w:cs="Arial"/>
                <w:szCs w:val="22"/>
                <w:lang w:val="fr-FR" w:eastAsia="en-US"/>
              </w:rPr>
              <w:t>µg•h/mL</w:t>
            </w:r>
            <w:r>
              <w:rPr>
                <w:lang w:val="fr-FR"/>
              </w:rPr>
              <w:t>/mg)</w:t>
            </w:r>
          </w:p>
        </w:tc>
        <w:tc>
          <w:tcPr>
            <w:tcW w:w="993" w:type="dxa"/>
            <w:tcBorders>
              <w:top w:val="nil"/>
              <w:left w:val="single" w:sz="4" w:space="0" w:color="auto"/>
              <w:bottom w:val="nil"/>
              <w:right w:val="single" w:sz="4" w:space="0" w:color="auto"/>
            </w:tcBorders>
            <w:hideMark/>
          </w:tcPr>
          <w:p w14:paraId="3770006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nil"/>
              <w:right w:val="single" w:sz="4" w:space="0" w:color="auto"/>
            </w:tcBorders>
            <w:vAlign w:val="center"/>
            <w:hideMark/>
          </w:tcPr>
          <w:p w14:paraId="5ECCF6B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4.51</w:t>
            </w:r>
          </w:p>
        </w:tc>
        <w:tc>
          <w:tcPr>
            <w:tcW w:w="1134" w:type="dxa"/>
            <w:tcBorders>
              <w:top w:val="nil"/>
              <w:left w:val="single" w:sz="4" w:space="0" w:color="auto"/>
              <w:bottom w:val="nil"/>
              <w:right w:val="single" w:sz="4" w:space="0" w:color="auto"/>
            </w:tcBorders>
            <w:vAlign w:val="center"/>
            <w:hideMark/>
          </w:tcPr>
          <w:p w14:paraId="7821AF4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5.18</w:t>
            </w:r>
          </w:p>
        </w:tc>
        <w:tc>
          <w:tcPr>
            <w:tcW w:w="1134" w:type="dxa"/>
            <w:tcBorders>
              <w:top w:val="nil"/>
              <w:left w:val="single" w:sz="4" w:space="0" w:color="auto"/>
              <w:bottom w:val="nil"/>
              <w:right w:val="single" w:sz="4" w:space="0" w:color="auto"/>
            </w:tcBorders>
            <w:vAlign w:val="center"/>
            <w:hideMark/>
          </w:tcPr>
          <w:p w14:paraId="3F4D5C9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0.497</w:t>
            </w:r>
          </w:p>
        </w:tc>
        <w:tc>
          <w:tcPr>
            <w:tcW w:w="1134" w:type="dxa"/>
            <w:tcBorders>
              <w:top w:val="nil"/>
              <w:left w:val="single" w:sz="4" w:space="0" w:color="auto"/>
              <w:bottom w:val="nil"/>
              <w:right w:val="single" w:sz="4" w:space="0" w:color="auto"/>
            </w:tcBorders>
            <w:vAlign w:val="center"/>
            <w:hideMark/>
          </w:tcPr>
          <w:p w14:paraId="15E57F4C"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2.74</w:t>
            </w:r>
          </w:p>
        </w:tc>
        <w:tc>
          <w:tcPr>
            <w:tcW w:w="993" w:type="dxa"/>
            <w:tcBorders>
              <w:top w:val="nil"/>
              <w:left w:val="single" w:sz="4" w:space="0" w:color="auto"/>
              <w:bottom w:val="nil"/>
              <w:right w:val="single" w:sz="4" w:space="0" w:color="auto"/>
            </w:tcBorders>
            <w:vAlign w:val="center"/>
            <w:hideMark/>
          </w:tcPr>
          <w:p w14:paraId="20513EC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12.1</w:t>
            </w:r>
          </w:p>
        </w:tc>
        <w:tc>
          <w:tcPr>
            <w:tcW w:w="922" w:type="dxa"/>
            <w:tcBorders>
              <w:top w:val="nil"/>
              <w:left w:val="single" w:sz="4" w:space="0" w:color="auto"/>
              <w:bottom w:val="nil"/>
              <w:right w:val="single" w:sz="4" w:space="0" w:color="auto"/>
            </w:tcBorders>
            <w:vAlign w:val="center"/>
            <w:hideMark/>
          </w:tcPr>
          <w:p w14:paraId="67E3478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114.7</w:t>
            </w:r>
          </w:p>
        </w:tc>
        <w:tc>
          <w:tcPr>
            <w:tcW w:w="1422" w:type="dxa"/>
            <w:tcBorders>
              <w:top w:val="nil"/>
              <w:left w:val="single" w:sz="4" w:space="0" w:color="auto"/>
              <w:bottom w:val="nil"/>
              <w:right w:val="single" w:sz="4" w:space="0" w:color="auto"/>
            </w:tcBorders>
            <w:vAlign w:val="center"/>
            <w:hideMark/>
          </w:tcPr>
          <w:p w14:paraId="153B7543"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2.56</w:t>
            </w:r>
          </w:p>
        </w:tc>
      </w:tr>
      <w:tr w:rsidR="009A128A" w14:paraId="03132D66"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tcPr>
          <w:p w14:paraId="305894E8"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single" w:sz="4" w:space="0" w:color="auto"/>
              <w:right w:val="single" w:sz="4" w:space="0" w:color="auto"/>
            </w:tcBorders>
            <w:hideMark/>
          </w:tcPr>
          <w:p w14:paraId="51555A7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C</w:t>
            </w:r>
            <w:r>
              <w:rPr>
                <w:vertAlign w:val="subscript"/>
                <w:lang w:val="fr-FR"/>
              </w:rPr>
              <w:t>max</w:t>
            </w:r>
            <w:r>
              <w:rPr>
                <w:lang w:val="fr-FR"/>
              </w:rPr>
              <w:t>/Dose (</w:t>
            </w:r>
            <w:r>
              <w:rPr>
                <w:rFonts w:eastAsia="Calibri" w:cs="Arial"/>
                <w:szCs w:val="22"/>
                <w:lang w:val="fr-FR" w:eastAsia="en-US"/>
              </w:rPr>
              <w:t>µg/mL</w:t>
            </w:r>
            <w:r>
              <w:rPr>
                <w:lang w:val="fr-FR"/>
              </w:rPr>
              <w:t>/mg)</w:t>
            </w:r>
          </w:p>
        </w:tc>
        <w:tc>
          <w:tcPr>
            <w:tcW w:w="993" w:type="dxa"/>
            <w:tcBorders>
              <w:top w:val="nil"/>
              <w:left w:val="single" w:sz="4" w:space="0" w:color="auto"/>
              <w:bottom w:val="single" w:sz="4" w:space="0" w:color="auto"/>
              <w:right w:val="single" w:sz="4" w:space="0" w:color="auto"/>
            </w:tcBorders>
            <w:hideMark/>
          </w:tcPr>
          <w:p w14:paraId="527CDE2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single" w:sz="4" w:space="0" w:color="auto"/>
              <w:right w:val="single" w:sz="4" w:space="0" w:color="auto"/>
            </w:tcBorders>
            <w:vAlign w:val="center"/>
            <w:hideMark/>
          </w:tcPr>
          <w:p w14:paraId="1B62495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0.204</w:t>
            </w:r>
          </w:p>
        </w:tc>
        <w:tc>
          <w:tcPr>
            <w:tcW w:w="1134" w:type="dxa"/>
            <w:tcBorders>
              <w:top w:val="nil"/>
              <w:left w:val="single" w:sz="4" w:space="0" w:color="auto"/>
              <w:bottom w:val="single" w:sz="4" w:space="0" w:color="auto"/>
              <w:right w:val="single" w:sz="4" w:space="0" w:color="auto"/>
            </w:tcBorders>
            <w:vAlign w:val="center"/>
            <w:hideMark/>
          </w:tcPr>
          <w:p w14:paraId="24A5698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0.106</w:t>
            </w:r>
          </w:p>
        </w:tc>
        <w:tc>
          <w:tcPr>
            <w:tcW w:w="1134" w:type="dxa"/>
            <w:tcBorders>
              <w:top w:val="nil"/>
              <w:left w:val="single" w:sz="4" w:space="0" w:color="auto"/>
              <w:bottom w:val="single" w:sz="4" w:space="0" w:color="auto"/>
              <w:right w:val="single" w:sz="4" w:space="0" w:color="auto"/>
            </w:tcBorders>
            <w:vAlign w:val="center"/>
            <w:hideMark/>
          </w:tcPr>
          <w:p w14:paraId="78CE135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0.0891</w:t>
            </w:r>
          </w:p>
        </w:tc>
        <w:tc>
          <w:tcPr>
            <w:tcW w:w="1134" w:type="dxa"/>
            <w:tcBorders>
              <w:top w:val="nil"/>
              <w:left w:val="single" w:sz="4" w:space="0" w:color="auto"/>
              <w:bottom w:val="single" w:sz="4" w:space="0" w:color="auto"/>
              <w:right w:val="single" w:sz="4" w:space="0" w:color="auto"/>
            </w:tcBorders>
            <w:vAlign w:val="center"/>
            <w:hideMark/>
          </w:tcPr>
          <w:p w14:paraId="14C9E740"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0.190</w:t>
            </w:r>
          </w:p>
        </w:tc>
        <w:tc>
          <w:tcPr>
            <w:tcW w:w="993" w:type="dxa"/>
            <w:tcBorders>
              <w:top w:val="nil"/>
              <w:left w:val="single" w:sz="4" w:space="0" w:color="auto"/>
              <w:bottom w:val="single" w:sz="4" w:space="0" w:color="auto"/>
              <w:right w:val="single" w:sz="4" w:space="0" w:color="auto"/>
            </w:tcBorders>
            <w:vAlign w:val="center"/>
            <w:hideMark/>
          </w:tcPr>
          <w:p w14:paraId="20B93D85"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0.345</w:t>
            </w:r>
          </w:p>
        </w:tc>
        <w:tc>
          <w:tcPr>
            <w:tcW w:w="922" w:type="dxa"/>
            <w:tcBorders>
              <w:top w:val="nil"/>
              <w:left w:val="single" w:sz="4" w:space="0" w:color="auto"/>
              <w:bottom w:val="single" w:sz="4" w:space="0" w:color="auto"/>
              <w:right w:val="single" w:sz="4" w:space="0" w:color="auto"/>
            </w:tcBorders>
            <w:vAlign w:val="center"/>
            <w:hideMark/>
          </w:tcPr>
          <w:p w14:paraId="7D79E4CA"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51.9</w:t>
            </w:r>
          </w:p>
        </w:tc>
        <w:tc>
          <w:tcPr>
            <w:tcW w:w="1422" w:type="dxa"/>
            <w:tcBorders>
              <w:top w:val="nil"/>
              <w:left w:val="single" w:sz="4" w:space="0" w:color="auto"/>
              <w:bottom w:val="single" w:sz="4" w:space="0" w:color="auto"/>
              <w:right w:val="single" w:sz="4" w:space="0" w:color="auto"/>
            </w:tcBorders>
            <w:vAlign w:val="center"/>
            <w:hideMark/>
          </w:tcPr>
          <w:p w14:paraId="484B128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0.183</w:t>
            </w:r>
          </w:p>
        </w:tc>
      </w:tr>
      <w:tr w:rsidR="009A128A" w14:paraId="5BC1C465"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hideMark/>
          </w:tcPr>
          <w:p w14:paraId="11C15FCC" w14:textId="77777777" w:rsidR="009A128A" w:rsidRDefault="009A128A" w:rsidP="009A128A">
            <w:pPr>
              <w:spacing w:line="240" w:lineRule="auto"/>
              <w:rPr>
                <w:rFonts w:eastAsia="Calibri" w:cs="Arial"/>
                <w:szCs w:val="22"/>
                <w:lang w:eastAsia="en-US"/>
              </w:rPr>
            </w:pPr>
            <w:r>
              <w:rPr>
                <w:rFonts w:eastAsia="Calibri" w:cs="Arial"/>
                <w:szCs w:val="22"/>
                <w:lang w:eastAsia="en-US"/>
              </w:rPr>
              <w:t>30</w:t>
            </w:r>
          </w:p>
        </w:tc>
        <w:tc>
          <w:tcPr>
            <w:tcW w:w="3969" w:type="dxa"/>
            <w:tcBorders>
              <w:top w:val="single" w:sz="4" w:space="0" w:color="auto"/>
              <w:left w:val="single" w:sz="4" w:space="0" w:color="auto"/>
              <w:bottom w:val="nil"/>
              <w:right w:val="single" w:sz="4" w:space="0" w:color="auto"/>
            </w:tcBorders>
            <w:hideMark/>
          </w:tcPr>
          <w:p w14:paraId="4284E25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(INF)</w:t>
            </w:r>
            <w:r>
              <w:rPr>
                <w:lang w:val="fr-FR"/>
              </w:rPr>
              <w:t xml:space="preserve">/Dose </w:t>
            </w:r>
            <w:r>
              <w:rPr>
                <w:rFonts w:eastAsia="Calibri" w:cs="Arial"/>
                <w:szCs w:val="22"/>
                <w:lang w:val="fr-FR" w:eastAsia="en-US"/>
              </w:rPr>
              <w:t>µg•h/mL</w:t>
            </w:r>
            <w:r>
              <w:rPr>
                <w:lang w:val="fr-FR"/>
              </w:rPr>
              <w:t>/mg)</w:t>
            </w:r>
          </w:p>
        </w:tc>
        <w:tc>
          <w:tcPr>
            <w:tcW w:w="993" w:type="dxa"/>
            <w:tcBorders>
              <w:top w:val="single" w:sz="4" w:space="0" w:color="auto"/>
              <w:left w:val="single" w:sz="4" w:space="0" w:color="auto"/>
              <w:bottom w:val="nil"/>
              <w:right w:val="single" w:sz="4" w:space="0" w:color="auto"/>
            </w:tcBorders>
            <w:hideMark/>
          </w:tcPr>
          <w:p w14:paraId="7EECDEA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2</w:t>
            </w:r>
          </w:p>
        </w:tc>
        <w:tc>
          <w:tcPr>
            <w:tcW w:w="1275" w:type="dxa"/>
            <w:tcBorders>
              <w:top w:val="single" w:sz="4" w:space="0" w:color="auto"/>
              <w:left w:val="single" w:sz="4" w:space="0" w:color="auto"/>
              <w:bottom w:val="nil"/>
              <w:right w:val="single" w:sz="4" w:space="0" w:color="auto"/>
            </w:tcBorders>
            <w:vAlign w:val="center"/>
            <w:hideMark/>
          </w:tcPr>
          <w:p w14:paraId="60278B55"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15.6</w:t>
            </w:r>
          </w:p>
        </w:tc>
        <w:tc>
          <w:tcPr>
            <w:tcW w:w="1134" w:type="dxa"/>
            <w:tcBorders>
              <w:top w:val="single" w:sz="4" w:space="0" w:color="auto"/>
              <w:left w:val="single" w:sz="4" w:space="0" w:color="auto"/>
              <w:bottom w:val="nil"/>
              <w:right w:val="single" w:sz="4" w:space="0" w:color="auto"/>
            </w:tcBorders>
            <w:vAlign w:val="center"/>
            <w:hideMark/>
          </w:tcPr>
          <w:p w14:paraId="681918B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2.99</w:t>
            </w:r>
          </w:p>
        </w:tc>
        <w:tc>
          <w:tcPr>
            <w:tcW w:w="1134" w:type="dxa"/>
            <w:tcBorders>
              <w:top w:val="single" w:sz="4" w:space="0" w:color="auto"/>
              <w:left w:val="single" w:sz="4" w:space="0" w:color="auto"/>
              <w:bottom w:val="nil"/>
              <w:right w:val="single" w:sz="4" w:space="0" w:color="auto"/>
            </w:tcBorders>
            <w:vAlign w:val="center"/>
            <w:hideMark/>
          </w:tcPr>
          <w:p w14:paraId="25D6005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13.5</w:t>
            </w:r>
          </w:p>
        </w:tc>
        <w:tc>
          <w:tcPr>
            <w:tcW w:w="1134" w:type="dxa"/>
            <w:tcBorders>
              <w:top w:val="single" w:sz="4" w:space="0" w:color="auto"/>
              <w:left w:val="single" w:sz="4" w:space="0" w:color="auto"/>
              <w:bottom w:val="nil"/>
              <w:right w:val="single" w:sz="4" w:space="0" w:color="auto"/>
            </w:tcBorders>
            <w:vAlign w:val="center"/>
            <w:hideMark/>
          </w:tcPr>
          <w:p w14:paraId="1DD7FDF9"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15.6</w:t>
            </w:r>
          </w:p>
        </w:tc>
        <w:tc>
          <w:tcPr>
            <w:tcW w:w="993" w:type="dxa"/>
            <w:tcBorders>
              <w:top w:val="single" w:sz="4" w:space="0" w:color="auto"/>
              <w:left w:val="single" w:sz="4" w:space="0" w:color="auto"/>
              <w:bottom w:val="nil"/>
              <w:right w:val="single" w:sz="4" w:space="0" w:color="auto"/>
            </w:tcBorders>
            <w:vAlign w:val="center"/>
            <w:hideMark/>
          </w:tcPr>
          <w:p w14:paraId="0236F04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17.7</w:t>
            </w:r>
          </w:p>
        </w:tc>
        <w:tc>
          <w:tcPr>
            <w:tcW w:w="922" w:type="dxa"/>
            <w:tcBorders>
              <w:top w:val="single" w:sz="4" w:space="0" w:color="auto"/>
              <w:left w:val="single" w:sz="4" w:space="0" w:color="auto"/>
              <w:bottom w:val="nil"/>
              <w:right w:val="single" w:sz="4" w:space="0" w:color="auto"/>
            </w:tcBorders>
            <w:vAlign w:val="center"/>
            <w:hideMark/>
          </w:tcPr>
          <w:p w14:paraId="10ADB8A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19.2</w:t>
            </w:r>
          </w:p>
        </w:tc>
        <w:tc>
          <w:tcPr>
            <w:tcW w:w="1422" w:type="dxa"/>
            <w:tcBorders>
              <w:top w:val="single" w:sz="4" w:space="0" w:color="auto"/>
              <w:left w:val="single" w:sz="4" w:space="0" w:color="auto"/>
              <w:bottom w:val="nil"/>
              <w:right w:val="single" w:sz="4" w:space="0" w:color="auto"/>
            </w:tcBorders>
            <w:vAlign w:val="center"/>
            <w:hideMark/>
          </w:tcPr>
          <w:p w14:paraId="7392A49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15.5</w:t>
            </w:r>
          </w:p>
        </w:tc>
      </w:tr>
      <w:tr w:rsidR="009A128A" w14:paraId="23374061" w14:textId="77777777" w:rsidTr="009A128A">
        <w:tc>
          <w:tcPr>
            <w:cnfStyle w:val="001000000000" w:firstRow="0" w:lastRow="0" w:firstColumn="1" w:lastColumn="0" w:oddVBand="0" w:evenVBand="0" w:oddHBand="0" w:evenHBand="0" w:firstRowFirstColumn="0" w:firstRowLastColumn="0" w:lastRowFirstColumn="0" w:lastRowLastColumn="0"/>
            <w:tcW w:w="1242" w:type="dxa"/>
          </w:tcPr>
          <w:p w14:paraId="33983AB9"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nil"/>
              <w:right w:val="single" w:sz="4" w:space="0" w:color="auto"/>
            </w:tcBorders>
            <w:hideMark/>
          </w:tcPr>
          <w:p w14:paraId="7211917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(0</w:t>
            </w:r>
            <w:r>
              <w:rPr>
                <w:vertAlign w:val="subscript"/>
                <w:lang w:val="fr-FR"/>
              </w:rPr>
              <w:noBreakHyphen/>
              <w:t>T)</w:t>
            </w:r>
            <w:r>
              <w:rPr>
                <w:lang w:val="fr-FR"/>
              </w:rPr>
              <w:t>/Dose (</w:t>
            </w:r>
            <w:r>
              <w:rPr>
                <w:rFonts w:eastAsia="Calibri" w:cs="Arial"/>
                <w:szCs w:val="22"/>
                <w:lang w:val="fr-FR" w:eastAsia="en-US"/>
              </w:rPr>
              <w:t>µg•h/mL</w:t>
            </w:r>
            <w:r>
              <w:rPr>
                <w:lang w:val="fr-FR"/>
              </w:rPr>
              <w:t>/mg)</w:t>
            </w:r>
          </w:p>
        </w:tc>
        <w:tc>
          <w:tcPr>
            <w:tcW w:w="993" w:type="dxa"/>
            <w:tcBorders>
              <w:top w:val="nil"/>
              <w:left w:val="single" w:sz="4" w:space="0" w:color="auto"/>
              <w:bottom w:val="nil"/>
              <w:right w:val="single" w:sz="4" w:space="0" w:color="auto"/>
            </w:tcBorders>
            <w:hideMark/>
          </w:tcPr>
          <w:p w14:paraId="270750C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275" w:type="dxa"/>
            <w:tcBorders>
              <w:top w:val="nil"/>
              <w:left w:val="single" w:sz="4" w:space="0" w:color="auto"/>
              <w:bottom w:val="nil"/>
              <w:right w:val="single" w:sz="4" w:space="0" w:color="auto"/>
            </w:tcBorders>
            <w:vAlign w:val="center"/>
            <w:hideMark/>
          </w:tcPr>
          <w:p w14:paraId="5EB309E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10.7</w:t>
            </w:r>
          </w:p>
        </w:tc>
        <w:tc>
          <w:tcPr>
            <w:tcW w:w="1134" w:type="dxa"/>
            <w:tcBorders>
              <w:top w:val="nil"/>
              <w:left w:val="single" w:sz="4" w:space="0" w:color="auto"/>
              <w:bottom w:val="nil"/>
              <w:right w:val="single" w:sz="4" w:space="0" w:color="auto"/>
            </w:tcBorders>
            <w:vAlign w:val="center"/>
            <w:hideMark/>
          </w:tcPr>
          <w:p w14:paraId="158FEFC9"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6.27</w:t>
            </w:r>
          </w:p>
        </w:tc>
        <w:tc>
          <w:tcPr>
            <w:tcW w:w="1134" w:type="dxa"/>
            <w:tcBorders>
              <w:top w:val="nil"/>
              <w:left w:val="single" w:sz="4" w:space="0" w:color="auto"/>
              <w:bottom w:val="nil"/>
              <w:right w:val="single" w:sz="4" w:space="0" w:color="auto"/>
            </w:tcBorders>
            <w:vAlign w:val="center"/>
            <w:hideMark/>
          </w:tcPr>
          <w:p w14:paraId="4DEEB81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4.02</w:t>
            </w:r>
          </w:p>
        </w:tc>
        <w:tc>
          <w:tcPr>
            <w:tcW w:w="1134" w:type="dxa"/>
            <w:tcBorders>
              <w:top w:val="nil"/>
              <w:left w:val="single" w:sz="4" w:space="0" w:color="auto"/>
              <w:bottom w:val="nil"/>
              <w:right w:val="single" w:sz="4" w:space="0" w:color="auto"/>
            </w:tcBorders>
            <w:vAlign w:val="center"/>
            <w:hideMark/>
          </w:tcPr>
          <w:p w14:paraId="5A18AABC"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11.7</w:t>
            </w:r>
          </w:p>
        </w:tc>
        <w:tc>
          <w:tcPr>
            <w:tcW w:w="993" w:type="dxa"/>
            <w:tcBorders>
              <w:top w:val="nil"/>
              <w:left w:val="single" w:sz="4" w:space="0" w:color="auto"/>
              <w:bottom w:val="nil"/>
              <w:right w:val="single" w:sz="4" w:space="0" w:color="auto"/>
            </w:tcBorders>
            <w:vAlign w:val="center"/>
            <w:hideMark/>
          </w:tcPr>
          <w:p w14:paraId="7F5AD57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16.4</w:t>
            </w:r>
          </w:p>
        </w:tc>
        <w:tc>
          <w:tcPr>
            <w:tcW w:w="922" w:type="dxa"/>
            <w:tcBorders>
              <w:top w:val="nil"/>
              <w:left w:val="single" w:sz="4" w:space="0" w:color="auto"/>
              <w:bottom w:val="nil"/>
              <w:right w:val="single" w:sz="4" w:space="0" w:color="auto"/>
            </w:tcBorders>
            <w:vAlign w:val="center"/>
            <w:hideMark/>
          </w:tcPr>
          <w:p w14:paraId="5ABC615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58.5</w:t>
            </w:r>
          </w:p>
        </w:tc>
        <w:tc>
          <w:tcPr>
            <w:tcW w:w="1422" w:type="dxa"/>
            <w:tcBorders>
              <w:top w:val="nil"/>
              <w:left w:val="single" w:sz="4" w:space="0" w:color="auto"/>
              <w:bottom w:val="nil"/>
              <w:right w:val="single" w:sz="4" w:space="0" w:color="auto"/>
            </w:tcBorders>
            <w:vAlign w:val="center"/>
            <w:hideMark/>
          </w:tcPr>
          <w:p w14:paraId="07F027E5"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9.17</w:t>
            </w:r>
          </w:p>
        </w:tc>
      </w:tr>
      <w:tr w:rsidR="009A128A" w14:paraId="67EB4DD0"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tcPr>
          <w:p w14:paraId="19AD87F5"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single" w:sz="4" w:space="0" w:color="auto"/>
              <w:right w:val="single" w:sz="4" w:space="0" w:color="auto"/>
            </w:tcBorders>
            <w:hideMark/>
          </w:tcPr>
          <w:p w14:paraId="314576C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C</w:t>
            </w:r>
            <w:r>
              <w:rPr>
                <w:vertAlign w:val="subscript"/>
                <w:lang w:val="fr-FR"/>
              </w:rPr>
              <w:t>max</w:t>
            </w:r>
            <w:r>
              <w:rPr>
                <w:lang w:val="fr-FR"/>
              </w:rPr>
              <w:t>/Dose (</w:t>
            </w:r>
            <w:r>
              <w:rPr>
                <w:rFonts w:eastAsia="Calibri" w:cs="Arial"/>
                <w:szCs w:val="22"/>
                <w:lang w:val="fr-FR" w:eastAsia="en-US"/>
              </w:rPr>
              <w:t>µg/mL</w:t>
            </w:r>
            <w:r>
              <w:rPr>
                <w:lang w:val="fr-FR"/>
              </w:rPr>
              <w:t>/mg)</w:t>
            </w:r>
          </w:p>
        </w:tc>
        <w:tc>
          <w:tcPr>
            <w:tcW w:w="993" w:type="dxa"/>
            <w:tcBorders>
              <w:top w:val="nil"/>
              <w:left w:val="single" w:sz="4" w:space="0" w:color="auto"/>
              <w:bottom w:val="single" w:sz="4" w:space="0" w:color="auto"/>
              <w:right w:val="single" w:sz="4" w:space="0" w:color="auto"/>
            </w:tcBorders>
            <w:hideMark/>
          </w:tcPr>
          <w:p w14:paraId="50E99F2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275" w:type="dxa"/>
            <w:tcBorders>
              <w:top w:val="nil"/>
              <w:left w:val="single" w:sz="4" w:space="0" w:color="auto"/>
              <w:bottom w:val="single" w:sz="4" w:space="0" w:color="auto"/>
              <w:right w:val="single" w:sz="4" w:space="0" w:color="auto"/>
            </w:tcBorders>
            <w:vAlign w:val="center"/>
            <w:hideMark/>
          </w:tcPr>
          <w:p w14:paraId="2D8BA19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0.283</w:t>
            </w:r>
          </w:p>
        </w:tc>
        <w:tc>
          <w:tcPr>
            <w:tcW w:w="1134" w:type="dxa"/>
            <w:tcBorders>
              <w:top w:val="nil"/>
              <w:left w:val="single" w:sz="4" w:space="0" w:color="auto"/>
              <w:bottom w:val="single" w:sz="4" w:space="0" w:color="auto"/>
              <w:right w:val="single" w:sz="4" w:space="0" w:color="auto"/>
            </w:tcBorders>
            <w:vAlign w:val="center"/>
            <w:hideMark/>
          </w:tcPr>
          <w:p w14:paraId="60C2F273"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0.0693</w:t>
            </w:r>
          </w:p>
        </w:tc>
        <w:tc>
          <w:tcPr>
            <w:tcW w:w="1134" w:type="dxa"/>
            <w:tcBorders>
              <w:top w:val="nil"/>
              <w:left w:val="single" w:sz="4" w:space="0" w:color="auto"/>
              <w:bottom w:val="single" w:sz="4" w:space="0" w:color="auto"/>
              <w:right w:val="single" w:sz="4" w:space="0" w:color="auto"/>
            </w:tcBorders>
            <w:vAlign w:val="center"/>
            <w:hideMark/>
          </w:tcPr>
          <w:p w14:paraId="31DC026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0.203</w:t>
            </w:r>
          </w:p>
        </w:tc>
        <w:tc>
          <w:tcPr>
            <w:tcW w:w="1134" w:type="dxa"/>
            <w:tcBorders>
              <w:top w:val="nil"/>
              <w:left w:val="single" w:sz="4" w:space="0" w:color="auto"/>
              <w:bottom w:val="single" w:sz="4" w:space="0" w:color="auto"/>
              <w:right w:val="single" w:sz="4" w:space="0" w:color="auto"/>
            </w:tcBorders>
            <w:vAlign w:val="center"/>
            <w:hideMark/>
          </w:tcPr>
          <w:p w14:paraId="60547D49"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0.323</w:t>
            </w:r>
          </w:p>
        </w:tc>
        <w:tc>
          <w:tcPr>
            <w:tcW w:w="993" w:type="dxa"/>
            <w:tcBorders>
              <w:top w:val="nil"/>
              <w:left w:val="single" w:sz="4" w:space="0" w:color="auto"/>
              <w:bottom w:val="single" w:sz="4" w:space="0" w:color="auto"/>
              <w:right w:val="single" w:sz="4" w:space="0" w:color="auto"/>
            </w:tcBorders>
            <w:vAlign w:val="center"/>
            <w:hideMark/>
          </w:tcPr>
          <w:p w14:paraId="245733E3"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0.323</w:t>
            </w:r>
          </w:p>
        </w:tc>
        <w:tc>
          <w:tcPr>
            <w:tcW w:w="922" w:type="dxa"/>
            <w:tcBorders>
              <w:top w:val="nil"/>
              <w:left w:val="single" w:sz="4" w:space="0" w:color="auto"/>
              <w:bottom w:val="single" w:sz="4" w:space="0" w:color="auto"/>
              <w:right w:val="single" w:sz="4" w:space="0" w:color="auto"/>
            </w:tcBorders>
            <w:vAlign w:val="center"/>
            <w:hideMark/>
          </w:tcPr>
          <w:p w14:paraId="406E4130"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24.5</w:t>
            </w:r>
          </w:p>
        </w:tc>
        <w:tc>
          <w:tcPr>
            <w:tcW w:w="1422" w:type="dxa"/>
            <w:tcBorders>
              <w:top w:val="nil"/>
              <w:left w:val="single" w:sz="4" w:space="0" w:color="auto"/>
              <w:bottom w:val="single" w:sz="4" w:space="0" w:color="auto"/>
              <w:right w:val="single" w:sz="4" w:space="0" w:color="auto"/>
            </w:tcBorders>
            <w:vAlign w:val="center"/>
            <w:hideMark/>
          </w:tcPr>
          <w:p w14:paraId="60C7B15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0.277</w:t>
            </w:r>
          </w:p>
        </w:tc>
      </w:tr>
      <w:tr w:rsidR="009A128A" w14:paraId="0FA96E5B"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hideMark/>
          </w:tcPr>
          <w:p w14:paraId="49152464" w14:textId="77777777" w:rsidR="009A128A" w:rsidRDefault="009A128A" w:rsidP="009A128A">
            <w:pPr>
              <w:spacing w:line="240" w:lineRule="auto"/>
              <w:rPr>
                <w:rFonts w:eastAsia="Calibri" w:cs="Arial"/>
                <w:szCs w:val="22"/>
                <w:lang w:eastAsia="en-US"/>
              </w:rPr>
            </w:pPr>
            <w:r>
              <w:rPr>
                <w:rFonts w:eastAsia="Calibri" w:cs="Arial"/>
                <w:szCs w:val="22"/>
                <w:lang w:eastAsia="en-US"/>
              </w:rPr>
              <w:t>100</w:t>
            </w:r>
          </w:p>
        </w:tc>
        <w:tc>
          <w:tcPr>
            <w:tcW w:w="3969" w:type="dxa"/>
            <w:tcBorders>
              <w:top w:val="single" w:sz="4" w:space="0" w:color="auto"/>
              <w:left w:val="single" w:sz="4" w:space="0" w:color="auto"/>
              <w:bottom w:val="nil"/>
              <w:right w:val="single" w:sz="4" w:space="0" w:color="auto"/>
            </w:tcBorders>
            <w:hideMark/>
          </w:tcPr>
          <w:p w14:paraId="4B21E58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(INF)</w:t>
            </w:r>
            <w:r>
              <w:rPr>
                <w:lang w:val="fr-FR"/>
              </w:rPr>
              <w:t xml:space="preserve">/Dose </w:t>
            </w:r>
            <w:r>
              <w:rPr>
                <w:rFonts w:eastAsia="Calibri" w:cs="Arial"/>
                <w:szCs w:val="22"/>
                <w:lang w:val="fr-FR" w:eastAsia="en-US"/>
              </w:rPr>
              <w:t>µg•h/mL</w:t>
            </w:r>
            <w:r>
              <w:rPr>
                <w:lang w:val="fr-FR"/>
              </w:rPr>
              <w:t>/mg)</w:t>
            </w:r>
          </w:p>
        </w:tc>
        <w:tc>
          <w:tcPr>
            <w:tcW w:w="993" w:type="dxa"/>
            <w:tcBorders>
              <w:top w:val="single" w:sz="4" w:space="0" w:color="auto"/>
              <w:left w:val="single" w:sz="4" w:space="0" w:color="auto"/>
              <w:bottom w:val="nil"/>
              <w:right w:val="single" w:sz="4" w:space="0" w:color="auto"/>
            </w:tcBorders>
            <w:hideMark/>
          </w:tcPr>
          <w:p w14:paraId="6E6F0D4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single" w:sz="4" w:space="0" w:color="auto"/>
              <w:left w:val="single" w:sz="4" w:space="0" w:color="auto"/>
              <w:bottom w:val="nil"/>
              <w:right w:val="single" w:sz="4" w:space="0" w:color="auto"/>
            </w:tcBorders>
            <w:vAlign w:val="center"/>
            <w:hideMark/>
          </w:tcPr>
          <w:p w14:paraId="355E826A"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12.9</w:t>
            </w:r>
          </w:p>
        </w:tc>
        <w:tc>
          <w:tcPr>
            <w:tcW w:w="1134" w:type="dxa"/>
            <w:tcBorders>
              <w:top w:val="single" w:sz="4" w:space="0" w:color="auto"/>
              <w:left w:val="single" w:sz="4" w:space="0" w:color="auto"/>
              <w:bottom w:val="nil"/>
              <w:right w:val="single" w:sz="4" w:space="0" w:color="auto"/>
            </w:tcBorders>
            <w:vAlign w:val="center"/>
            <w:hideMark/>
          </w:tcPr>
          <w:p w14:paraId="05BDF9F3"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3.35</w:t>
            </w:r>
          </w:p>
        </w:tc>
        <w:tc>
          <w:tcPr>
            <w:tcW w:w="1134" w:type="dxa"/>
            <w:tcBorders>
              <w:top w:val="single" w:sz="4" w:space="0" w:color="auto"/>
              <w:left w:val="single" w:sz="4" w:space="0" w:color="auto"/>
              <w:bottom w:val="nil"/>
              <w:right w:val="single" w:sz="4" w:space="0" w:color="auto"/>
            </w:tcBorders>
            <w:vAlign w:val="center"/>
            <w:hideMark/>
          </w:tcPr>
          <w:p w14:paraId="642A7FC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8.44</w:t>
            </w:r>
          </w:p>
        </w:tc>
        <w:tc>
          <w:tcPr>
            <w:tcW w:w="1134" w:type="dxa"/>
            <w:tcBorders>
              <w:top w:val="single" w:sz="4" w:space="0" w:color="auto"/>
              <w:left w:val="single" w:sz="4" w:space="0" w:color="auto"/>
              <w:bottom w:val="nil"/>
              <w:right w:val="single" w:sz="4" w:space="0" w:color="auto"/>
            </w:tcBorders>
            <w:vAlign w:val="center"/>
            <w:hideMark/>
          </w:tcPr>
          <w:p w14:paraId="4D758881"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13.5</w:t>
            </w:r>
          </w:p>
        </w:tc>
        <w:tc>
          <w:tcPr>
            <w:tcW w:w="993" w:type="dxa"/>
            <w:tcBorders>
              <w:top w:val="single" w:sz="4" w:space="0" w:color="auto"/>
              <w:left w:val="single" w:sz="4" w:space="0" w:color="auto"/>
              <w:bottom w:val="nil"/>
              <w:right w:val="single" w:sz="4" w:space="0" w:color="auto"/>
            </w:tcBorders>
            <w:vAlign w:val="center"/>
            <w:hideMark/>
          </w:tcPr>
          <w:p w14:paraId="31029D13"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16.0</w:t>
            </w:r>
          </w:p>
        </w:tc>
        <w:tc>
          <w:tcPr>
            <w:tcW w:w="922" w:type="dxa"/>
            <w:tcBorders>
              <w:top w:val="single" w:sz="4" w:space="0" w:color="auto"/>
              <w:left w:val="single" w:sz="4" w:space="0" w:color="auto"/>
              <w:bottom w:val="nil"/>
              <w:right w:val="single" w:sz="4" w:space="0" w:color="auto"/>
            </w:tcBorders>
            <w:vAlign w:val="center"/>
            <w:hideMark/>
          </w:tcPr>
          <w:p w14:paraId="4C509E1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26.0</w:t>
            </w:r>
          </w:p>
        </w:tc>
        <w:tc>
          <w:tcPr>
            <w:tcW w:w="1422" w:type="dxa"/>
            <w:tcBorders>
              <w:top w:val="single" w:sz="4" w:space="0" w:color="auto"/>
              <w:left w:val="single" w:sz="4" w:space="0" w:color="auto"/>
              <w:bottom w:val="nil"/>
              <w:right w:val="single" w:sz="4" w:space="0" w:color="auto"/>
            </w:tcBorders>
            <w:vAlign w:val="center"/>
            <w:hideMark/>
          </w:tcPr>
          <w:p w14:paraId="4BCCECE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12.5</w:t>
            </w:r>
          </w:p>
        </w:tc>
      </w:tr>
      <w:tr w:rsidR="009A128A" w14:paraId="4C9D604A" w14:textId="77777777" w:rsidTr="009A128A">
        <w:tc>
          <w:tcPr>
            <w:cnfStyle w:val="001000000000" w:firstRow="0" w:lastRow="0" w:firstColumn="1" w:lastColumn="0" w:oddVBand="0" w:evenVBand="0" w:oddHBand="0" w:evenHBand="0" w:firstRowFirstColumn="0" w:firstRowLastColumn="0" w:lastRowFirstColumn="0" w:lastRowLastColumn="0"/>
            <w:tcW w:w="1242" w:type="dxa"/>
          </w:tcPr>
          <w:p w14:paraId="71FB4603"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nil"/>
              <w:right w:val="single" w:sz="4" w:space="0" w:color="auto"/>
            </w:tcBorders>
            <w:hideMark/>
          </w:tcPr>
          <w:p w14:paraId="4FB9E0B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(0</w:t>
            </w:r>
            <w:r>
              <w:rPr>
                <w:vertAlign w:val="subscript"/>
                <w:lang w:val="fr-FR"/>
              </w:rPr>
              <w:noBreakHyphen/>
              <w:t>T)</w:t>
            </w:r>
            <w:r>
              <w:rPr>
                <w:lang w:val="fr-FR"/>
              </w:rPr>
              <w:t>/Dose (</w:t>
            </w:r>
            <w:r>
              <w:rPr>
                <w:rFonts w:eastAsia="Calibri" w:cs="Arial"/>
                <w:szCs w:val="22"/>
                <w:lang w:val="fr-FR" w:eastAsia="en-US"/>
              </w:rPr>
              <w:t>µg•h/mL</w:t>
            </w:r>
            <w:r>
              <w:rPr>
                <w:lang w:val="fr-FR"/>
              </w:rPr>
              <w:t>/mg)</w:t>
            </w:r>
          </w:p>
        </w:tc>
        <w:tc>
          <w:tcPr>
            <w:tcW w:w="993" w:type="dxa"/>
            <w:tcBorders>
              <w:top w:val="nil"/>
              <w:left w:val="single" w:sz="4" w:space="0" w:color="auto"/>
              <w:bottom w:val="nil"/>
              <w:right w:val="single" w:sz="4" w:space="0" w:color="auto"/>
            </w:tcBorders>
            <w:hideMark/>
          </w:tcPr>
          <w:p w14:paraId="28EDCD0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nil"/>
              <w:right w:val="single" w:sz="4" w:space="0" w:color="auto"/>
            </w:tcBorders>
            <w:vAlign w:val="center"/>
            <w:hideMark/>
          </w:tcPr>
          <w:p w14:paraId="45DF608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12.6</w:t>
            </w:r>
          </w:p>
        </w:tc>
        <w:tc>
          <w:tcPr>
            <w:tcW w:w="1134" w:type="dxa"/>
            <w:tcBorders>
              <w:top w:val="nil"/>
              <w:left w:val="single" w:sz="4" w:space="0" w:color="auto"/>
              <w:bottom w:val="nil"/>
              <w:right w:val="single" w:sz="4" w:space="0" w:color="auto"/>
            </w:tcBorders>
            <w:vAlign w:val="center"/>
            <w:hideMark/>
          </w:tcPr>
          <w:p w14:paraId="25862256"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3.53</w:t>
            </w:r>
          </w:p>
        </w:tc>
        <w:tc>
          <w:tcPr>
            <w:tcW w:w="1134" w:type="dxa"/>
            <w:tcBorders>
              <w:top w:val="nil"/>
              <w:left w:val="single" w:sz="4" w:space="0" w:color="auto"/>
              <w:bottom w:val="nil"/>
              <w:right w:val="single" w:sz="4" w:space="0" w:color="auto"/>
            </w:tcBorders>
            <w:vAlign w:val="center"/>
            <w:hideMark/>
          </w:tcPr>
          <w:p w14:paraId="25DFFF2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7.82</w:t>
            </w:r>
          </w:p>
        </w:tc>
        <w:tc>
          <w:tcPr>
            <w:tcW w:w="1134" w:type="dxa"/>
            <w:tcBorders>
              <w:top w:val="nil"/>
              <w:left w:val="single" w:sz="4" w:space="0" w:color="auto"/>
              <w:bottom w:val="nil"/>
              <w:right w:val="single" w:sz="4" w:space="0" w:color="auto"/>
            </w:tcBorders>
            <w:vAlign w:val="center"/>
            <w:hideMark/>
          </w:tcPr>
          <w:p w14:paraId="1D4D5B8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13.4</w:t>
            </w:r>
          </w:p>
        </w:tc>
        <w:tc>
          <w:tcPr>
            <w:tcW w:w="993" w:type="dxa"/>
            <w:tcBorders>
              <w:top w:val="nil"/>
              <w:left w:val="single" w:sz="4" w:space="0" w:color="auto"/>
              <w:bottom w:val="nil"/>
              <w:right w:val="single" w:sz="4" w:space="0" w:color="auto"/>
            </w:tcBorders>
            <w:vAlign w:val="center"/>
            <w:hideMark/>
          </w:tcPr>
          <w:p w14:paraId="3BBE3A3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15.8</w:t>
            </w:r>
          </w:p>
        </w:tc>
        <w:tc>
          <w:tcPr>
            <w:tcW w:w="922" w:type="dxa"/>
            <w:tcBorders>
              <w:top w:val="nil"/>
              <w:left w:val="single" w:sz="4" w:space="0" w:color="auto"/>
              <w:bottom w:val="nil"/>
              <w:right w:val="single" w:sz="4" w:space="0" w:color="auto"/>
            </w:tcBorders>
            <w:vAlign w:val="center"/>
            <w:hideMark/>
          </w:tcPr>
          <w:p w14:paraId="0BCD2655"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28.0</w:t>
            </w:r>
          </w:p>
        </w:tc>
        <w:tc>
          <w:tcPr>
            <w:tcW w:w="1422" w:type="dxa"/>
            <w:tcBorders>
              <w:top w:val="nil"/>
              <w:left w:val="single" w:sz="4" w:space="0" w:color="auto"/>
              <w:bottom w:val="nil"/>
              <w:right w:val="single" w:sz="4" w:space="0" w:color="auto"/>
            </w:tcBorders>
            <w:vAlign w:val="center"/>
            <w:hideMark/>
          </w:tcPr>
          <w:p w14:paraId="58443B2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12.2</w:t>
            </w:r>
          </w:p>
        </w:tc>
      </w:tr>
      <w:tr w:rsidR="009A128A" w14:paraId="30B059DE"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tcPr>
          <w:p w14:paraId="4C83E806"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single" w:sz="4" w:space="0" w:color="auto"/>
              <w:right w:val="single" w:sz="4" w:space="0" w:color="auto"/>
            </w:tcBorders>
            <w:hideMark/>
          </w:tcPr>
          <w:p w14:paraId="7B6912A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C</w:t>
            </w:r>
            <w:r>
              <w:rPr>
                <w:vertAlign w:val="subscript"/>
                <w:lang w:val="fr-FR"/>
              </w:rPr>
              <w:t>max</w:t>
            </w:r>
            <w:r>
              <w:rPr>
                <w:lang w:val="fr-FR"/>
              </w:rPr>
              <w:t>/Dose (</w:t>
            </w:r>
            <w:r>
              <w:rPr>
                <w:rFonts w:eastAsia="Calibri" w:cs="Arial"/>
                <w:szCs w:val="22"/>
                <w:lang w:val="fr-FR" w:eastAsia="en-US"/>
              </w:rPr>
              <w:t>µg/mL</w:t>
            </w:r>
            <w:r>
              <w:rPr>
                <w:lang w:val="fr-FR"/>
              </w:rPr>
              <w:t>/mg)</w:t>
            </w:r>
          </w:p>
        </w:tc>
        <w:tc>
          <w:tcPr>
            <w:tcW w:w="993" w:type="dxa"/>
            <w:tcBorders>
              <w:top w:val="nil"/>
              <w:left w:val="single" w:sz="4" w:space="0" w:color="auto"/>
              <w:bottom w:val="single" w:sz="4" w:space="0" w:color="auto"/>
              <w:right w:val="single" w:sz="4" w:space="0" w:color="auto"/>
            </w:tcBorders>
            <w:hideMark/>
          </w:tcPr>
          <w:p w14:paraId="08FDA721"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single" w:sz="4" w:space="0" w:color="auto"/>
              <w:right w:val="single" w:sz="4" w:space="0" w:color="auto"/>
            </w:tcBorders>
            <w:vAlign w:val="center"/>
            <w:hideMark/>
          </w:tcPr>
          <w:p w14:paraId="0601464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0.158</w:t>
            </w:r>
          </w:p>
        </w:tc>
        <w:tc>
          <w:tcPr>
            <w:tcW w:w="1134" w:type="dxa"/>
            <w:tcBorders>
              <w:top w:val="nil"/>
              <w:left w:val="single" w:sz="4" w:space="0" w:color="auto"/>
              <w:bottom w:val="single" w:sz="4" w:space="0" w:color="auto"/>
              <w:right w:val="single" w:sz="4" w:space="0" w:color="auto"/>
            </w:tcBorders>
            <w:vAlign w:val="center"/>
            <w:hideMark/>
          </w:tcPr>
          <w:p w14:paraId="79F1C87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0.0397</w:t>
            </w:r>
          </w:p>
        </w:tc>
        <w:tc>
          <w:tcPr>
            <w:tcW w:w="1134" w:type="dxa"/>
            <w:tcBorders>
              <w:top w:val="nil"/>
              <w:left w:val="single" w:sz="4" w:space="0" w:color="auto"/>
              <w:bottom w:val="single" w:sz="4" w:space="0" w:color="auto"/>
              <w:right w:val="single" w:sz="4" w:space="0" w:color="auto"/>
            </w:tcBorders>
            <w:vAlign w:val="center"/>
            <w:hideMark/>
          </w:tcPr>
          <w:p w14:paraId="4BA5542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0.112</w:t>
            </w:r>
          </w:p>
        </w:tc>
        <w:tc>
          <w:tcPr>
            <w:tcW w:w="1134" w:type="dxa"/>
            <w:tcBorders>
              <w:top w:val="nil"/>
              <w:left w:val="single" w:sz="4" w:space="0" w:color="auto"/>
              <w:bottom w:val="single" w:sz="4" w:space="0" w:color="auto"/>
              <w:right w:val="single" w:sz="4" w:space="0" w:color="auto"/>
            </w:tcBorders>
            <w:vAlign w:val="center"/>
            <w:hideMark/>
          </w:tcPr>
          <w:p w14:paraId="209B2A6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0.163</w:t>
            </w:r>
          </w:p>
        </w:tc>
        <w:tc>
          <w:tcPr>
            <w:tcW w:w="993" w:type="dxa"/>
            <w:tcBorders>
              <w:top w:val="nil"/>
              <w:left w:val="single" w:sz="4" w:space="0" w:color="auto"/>
              <w:bottom w:val="single" w:sz="4" w:space="0" w:color="auto"/>
              <w:right w:val="single" w:sz="4" w:space="0" w:color="auto"/>
            </w:tcBorders>
            <w:vAlign w:val="center"/>
            <w:hideMark/>
          </w:tcPr>
          <w:p w14:paraId="7BB75689"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0.197</w:t>
            </w:r>
          </w:p>
        </w:tc>
        <w:tc>
          <w:tcPr>
            <w:tcW w:w="922" w:type="dxa"/>
            <w:tcBorders>
              <w:top w:val="nil"/>
              <w:left w:val="single" w:sz="4" w:space="0" w:color="auto"/>
              <w:bottom w:val="single" w:sz="4" w:space="0" w:color="auto"/>
              <w:right w:val="single" w:sz="4" w:space="0" w:color="auto"/>
            </w:tcBorders>
            <w:vAlign w:val="center"/>
            <w:hideMark/>
          </w:tcPr>
          <w:p w14:paraId="437FB5CA"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25.0</w:t>
            </w:r>
          </w:p>
        </w:tc>
        <w:tc>
          <w:tcPr>
            <w:tcW w:w="1422" w:type="dxa"/>
            <w:tcBorders>
              <w:top w:val="nil"/>
              <w:left w:val="single" w:sz="4" w:space="0" w:color="auto"/>
              <w:bottom w:val="single" w:sz="4" w:space="0" w:color="auto"/>
              <w:right w:val="single" w:sz="4" w:space="0" w:color="auto"/>
            </w:tcBorders>
            <w:vAlign w:val="center"/>
            <w:hideMark/>
          </w:tcPr>
          <w:p w14:paraId="156DCF2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0.155</w:t>
            </w:r>
          </w:p>
        </w:tc>
      </w:tr>
      <w:tr w:rsidR="009A128A" w14:paraId="7FE6B457"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hideMark/>
          </w:tcPr>
          <w:p w14:paraId="78745F8E" w14:textId="77777777" w:rsidR="009A128A" w:rsidRDefault="009A128A" w:rsidP="009A128A">
            <w:pPr>
              <w:spacing w:line="240" w:lineRule="auto"/>
              <w:rPr>
                <w:rFonts w:eastAsia="Calibri" w:cs="Arial"/>
                <w:szCs w:val="22"/>
                <w:lang w:eastAsia="en-US"/>
              </w:rPr>
            </w:pPr>
            <w:r>
              <w:rPr>
                <w:rFonts w:eastAsia="Calibri" w:cs="Arial"/>
                <w:szCs w:val="22"/>
                <w:lang w:eastAsia="en-US"/>
              </w:rPr>
              <w:t>300</w:t>
            </w:r>
          </w:p>
        </w:tc>
        <w:tc>
          <w:tcPr>
            <w:tcW w:w="3969" w:type="dxa"/>
            <w:tcBorders>
              <w:top w:val="single" w:sz="4" w:space="0" w:color="auto"/>
              <w:left w:val="single" w:sz="4" w:space="0" w:color="auto"/>
              <w:bottom w:val="nil"/>
              <w:right w:val="single" w:sz="4" w:space="0" w:color="auto"/>
            </w:tcBorders>
            <w:hideMark/>
          </w:tcPr>
          <w:p w14:paraId="2382B67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(INF)</w:t>
            </w:r>
            <w:r>
              <w:rPr>
                <w:lang w:val="fr-FR"/>
              </w:rPr>
              <w:t xml:space="preserve">/Dose </w:t>
            </w:r>
            <w:r>
              <w:rPr>
                <w:rFonts w:eastAsia="Calibri" w:cs="Arial"/>
                <w:szCs w:val="22"/>
                <w:lang w:val="fr-FR" w:eastAsia="en-US"/>
              </w:rPr>
              <w:t>µg•h/mL</w:t>
            </w:r>
            <w:r>
              <w:rPr>
                <w:lang w:val="fr-FR"/>
              </w:rPr>
              <w:t>/mg)</w:t>
            </w:r>
          </w:p>
        </w:tc>
        <w:tc>
          <w:tcPr>
            <w:tcW w:w="993" w:type="dxa"/>
            <w:tcBorders>
              <w:top w:val="single" w:sz="4" w:space="0" w:color="auto"/>
              <w:left w:val="single" w:sz="4" w:space="0" w:color="auto"/>
              <w:bottom w:val="nil"/>
              <w:right w:val="single" w:sz="4" w:space="0" w:color="auto"/>
            </w:tcBorders>
            <w:hideMark/>
          </w:tcPr>
          <w:p w14:paraId="689F7C1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single" w:sz="4" w:space="0" w:color="auto"/>
              <w:left w:val="single" w:sz="4" w:space="0" w:color="auto"/>
              <w:bottom w:val="nil"/>
              <w:right w:val="single" w:sz="4" w:space="0" w:color="auto"/>
            </w:tcBorders>
            <w:vAlign w:val="center"/>
            <w:hideMark/>
          </w:tcPr>
          <w:p w14:paraId="4968CF1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36.8</w:t>
            </w:r>
          </w:p>
        </w:tc>
        <w:tc>
          <w:tcPr>
            <w:tcW w:w="1134" w:type="dxa"/>
            <w:tcBorders>
              <w:top w:val="single" w:sz="4" w:space="0" w:color="auto"/>
              <w:left w:val="single" w:sz="4" w:space="0" w:color="auto"/>
              <w:bottom w:val="nil"/>
              <w:right w:val="single" w:sz="4" w:space="0" w:color="auto"/>
            </w:tcBorders>
            <w:vAlign w:val="center"/>
            <w:hideMark/>
          </w:tcPr>
          <w:p w14:paraId="54DE1A9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16.2</w:t>
            </w:r>
          </w:p>
        </w:tc>
        <w:tc>
          <w:tcPr>
            <w:tcW w:w="1134" w:type="dxa"/>
            <w:tcBorders>
              <w:top w:val="single" w:sz="4" w:space="0" w:color="auto"/>
              <w:left w:val="single" w:sz="4" w:space="0" w:color="auto"/>
              <w:bottom w:val="nil"/>
              <w:right w:val="single" w:sz="4" w:space="0" w:color="auto"/>
            </w:tcBorders>
            <w:vAlign w:val="center"/>
            <w:hideMark/>
          </w:tcPr>
          <w:p w14:paraId="67AF269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22.3</w:t>
            </w:r>
          </w:p>
        </w:tc>
        <w:tc>
          <w:tcPr>
            <w:tcW w:w="1134" w:type="dxa"/>
            <w:tcBorders>
              <w:top w:val="single" w:sz="4" w:space="0" w:color="auto"/>
              <w:left w:val="single" w:sz="4" w:space="0" w:color="auto"/>
              <w:bottom w:val="nil"/>
              <w:right w:val="single" w:sz="4" w:space="0" w:color="auto"/>
            </w:tcBorders>
            <w:vAlign w:val="center"/>
            <w:hideMark/>
          </w:tcPr>
          <w:p w14:paraId="4569365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33.6</w:t>
            </w:r>
          </w:p>
        </w:tc>
        <w:tc>
          <w:tcPr>
            <w:tcW w:w="993" w:type="dxa"/>
            <w:tcBorders>
              <w:top w:val="single" w:sz="4" w:space="0" w:color="auto"/>
              <w:left w:val="single" w:sz="4" w:space="0" w:color="auto"/>
              <w:bottom w:val="nil"/>
              <w:right w:val="single" w:sz="4" w:space="0" w:color="auto"/>
            </w:tcBorders>
            <w:vAlign w:val="center"/>
            <w:hideMark/>
          </w:tcPr>
          <w:p w14:paraId="70578C1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57.9</w:t>
            </w:r>
          </w:p>
        </w:tc>
        <w:tc>
          <w:tcPr>
            <w:tcW w:w="922" w:type="dxa"/>
            <w:tcBorders>
              <w:top w:val="single" w:sz="4" w:space="0" w:color="auto"/>
              <w:left w:val="single" w:sz="4" w:space="0" w:color="auto"/>
              <w:bottom w:val="nil"/>
              <w:right w:val="single" w:sz="4" w:space="0" w:color="auto"/>
            </w:tcBorders>
            <w:vAlign w:val="center"/>
            <w:hideMark/>
          </w:tcPr>
          <w:p w14:paraId="69A717D0"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43.9</w:t>
            </w:r>
          </w:p>
        </w:tc>
        <w:tc>
          <w:tcPr>
            <w:tcW w:w="1422" w:type="dxa"/>
            <w:tcBorders>
              <w:top w:val="single" w:sz="4" w:space="0" w:color="auto"/>
              <w:left w:val="single" w:sz="4" w:space="0" w:color="auto"/>
              <w:bottom w:val="nil"/>
              <w:right w:val="single" w:sz="4" w:space="0" w:color="auto"/>
            </w:tcBorders>
            <w:vAlign w:val="center"/>
            <w:hideMark/>
          </w:tcPr>
          <w:p w14:paraId="4A497A5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34.3</w:t>
            </w:r>
          </w:p>
        </w:tc>
      </w:tr>
      <w:tr w:rsidR="009A128A" w14:paraId="6364A1A6" w14:textId="77777777" w:rsidTr="009A128A">
        <w:tc>
          <w:tcPr>
            <w:cnfStyle w:val="001000000000" w:firstRow="0" w:lastRow="0" w:firstColumn="1" w:lastColumn="0" w:oddVBand="0" w:evenVBand="0" w:oddHBand="0" w:evenHBand="0" w:firstRowFirstColumn="0" w:firstRowLastColumn="0" w:lastRowFirstColumn="0" w:lastRowLastColumn="0"/>
            <w:tcW w:w="1242" w:type="dxa"/>
          </w:tcPr>
          <w:p w14:paraId="50A166EA"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nil"/>
              <w:right w:val="single" w:sz="4" w:space="0" w:color="auto"/>
            </w:tcBorders>
            <w:hideMark/>
          </w:tcPr>
          <w:p w14:paraId="5AF5FBD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(0</w:t>
            </w:r>
            <w:r>
              <w:rPr>
                <w:vertAlign w:val="subscript"/>
                <w:lang w:val="fr-FR"/>
              </w:rPr>
              <w:noBreakHyphen/>
              <w:t>T)</w:t>
            </w:r>
            <w:r>
              <w:rPr>
                <w:lang w:val="fr-FR"/>
              </w:rPr>
              <w:t>/Dose (</w:t>
            </w:r>
            <w:r>
              <w:rPr>
                <w:rFonts w:eastAsia="Calibri" w:cs="Arial"/>
                <w:szCs w:val="22"/>
                <w:lang w:val="fr-FR" w:eastAsia="en-US"/>
              </w:rPr>
              <w:t>µg•h/mL</w:t>
            </w:r>
            <w:r>
              <w:rPr>
                <w:lang w:val="fr-FR"/>
              </w:rPr>
              <w:t>/mg)</w:t>
            </w:r>
          </w:p>
        </w:tc>
        <w:tc>
          <w:tcPr>
            <w:tcW w:w="993" w:type="dxa"/>
            <w:tcBorders>
              <w:top w:val="nil"/>
              <w:left w:val="single" w:sz="4" w:space="0" w:color="auto"/>
              <w:bottom w:val="nil"/>
              <w:right w:val="single" w:sz="4" w:space="0" w:color="auto"/>
            </w:tcBorders>
            <w:hideMark/>
          </w:tcPr>
          <w:p w14:paraId="29CB6955"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nil"/>
              <w:right w:val="single" w:sz="4" w:space="0" w:color="auto"/>
            </w:tcBorders>
            <w:vAlign w:val="center"/>
            <w:hideMark/>
          </w:tcPr>
          <w:p w14:paraId="7B94AFE0"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36.1</w:t>
            </w:r>
          </w:p>
        </w:tc>
        <w:tc>
          <w:tcPr>
            <w:tcW w:w="1134" w:type="dxa"/>
            <w:tcBorders>
              <w:top w:val="nil"/>
              <w:left w:val="single" w:sz="4" w:space="0" w:color="auto"/>
              <w:bottom w:val="nil"/>
              <w:right w:val="single" w:sz="4" w:space="0" w:color="auto"/>
            </w:tcBorders>
            <w:vAlign w:val="center"/>
            <w:hideMark/>
          </w:tcPr>
          <w:p w14:paraId="122C27F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16.3</w:t>
            </w:r>
          </w:p>
        </w:tc>
        <w:tc>
          <w:tcPr>
            <w:tcW w:w="1134" w:type="dxa"/>
            <w:tcBorders>
              <w:top w:val="nil"/>
              <w:left w:val="single" w:sz="4" w:space="0" w:color="auto"/>
              <w:bottom w:val="nil"/>
              <w:right w:val="single" w:sz="4" w:space="0" w:color="auto"/>
            </w:tcBorders>
            <w:vAlign w:val="center"/>
            <w:hideMark/>
          </w:tcPr>
          <w:p w14:paraId="43056D9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22.3</w:t>
            </w:r>
          </w:p>
        </w:tc>
        <w:tc>
          <w:tcPr>
            <w:tcW w:w="1134" w:type="dxa"/>
            <w:tcBorders>
              <w:top w:val="nil"/>
              <w:left w:val="single" w:sz="4" w:space="0" w:color="auto"/>
              <w:bottom w:val="nil"/>
              <w:right w:val="single" w:sz="4" w:space="0" w:color="auto"/>
            </w:tcBorders>
            <w:vAlign w:val="center"/>
            <w:hideMark/>
          </w:tcPr>
          <w:p w14:paraId="424B262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32.3</w:t>
            </w:r>
          </w:p>
        </w:tc>
        <w:tc>
          <w:tcPr>
            <w:tcW w:w="993" w:type="dxa"/>
            <w:tcBorders>
              <w:top w:val="nil"/>
              <w:left w:val="single" w:sz="4" w:space="0" w:color="auto"/>
              <w:bottom w:val="nil"/>
              <w:right w:val="single" w:sz="4" w:space="0" w:color="auto"/>
            </w:tcBorders>
            <w:vAlign w:val="center"/>
            <w:hideMark/>
          </w:tcPr>
          <w:p w14:paraId="5803AB9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57.6</w:t>
            </w:r>
          </w:p>
        </w:tc>
        <w:tc>
          <w:tcPr>
            <w:tcW w:w="922" w:type="dxa"/>
            <w:tcBorders>
              <w:top w:val="nil"/>
              <w:left w:val="single" w:sz="4" w:space="0" w:color="auto"/>
              <w:bottom w:val="nil"/>
              <w:right w:val="single" w:sz="4" w:space="0" w:color="auto"/>
            </w:tcBorders>
            <w:vAlign w:val="center"/>
            <w:hideMark/>
          </w:tcPr>
          <w:p w14:paraId="1FDB932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45.0</w:t>
            </w:r>
          </w:p>
        </w:tc>
        <w:tc>
          <w:tcPr>
            <w:tcW w:w="1422" w:type="dxa"/>
            <w:tcBorders>
              <w:top w:val="nil"/>
              <w:left w:val="single" w:sz="4" w:space="0" w:color="auto"/>
              <w:bottom w:val="nil"/>
              <w:right w:val="single" w:sz="4" w:space="0" w:color="auto"/>
            </w:tcBorders>
            <w:vAlign w:val="center"/>
            <w:hideMark/>
          </w:tcPr>
          <w:p w14:paraId="45A844C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33.6</w:t>
            </w:r>
          </w:p>
        </w:tc>
      </w:tr>
      <w:tr w:rsidR="009A128A" w14:paraId="0076E2AB" w14:textId="77777777" w:rsidTr="009A128A">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tcPr>
          <w:p w14:paraId="269A3F17"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single" w:sz="4" w:space="0" w:color="auto"/>
              <w:right w:val="single" w:sz="4" w:space="0" w:color="auto"/>
            </w:tcBorders>
            <w:hideMark/>
          </w:tcPr>
          <w:p w14:paraId="06730A6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C</w:t>
            </w:r>
            <w:r>
              <w:rPr>
                <w:vertAlign w:val="subscript"/>
                <w:lang w:val="fr-FR"/>
              </w:rPr>
              <w:t>max</w:t>
            </w:r>
            <w:r>
              <w:rPr>
                <w:lang w:val="fr-FR"/>
              </w:rPr>
              <w:t>/Dose (</w:t>
            </w:r>
            <w:r>
              <w:rPr>
                <w:rFonts w:eastAsia="Calibri" w:cs="Arial"/>
                <w:szCs w:val="22"/>
                <w:lang w:val="fr-FR" w:eastAsia="en-US"/>
              </w:rPr>
              <w:t>µg/mL</w:t>
            </w:r>
            <w:r>
              <w:rPr>
                <w:lang w:val="fr-FR"/>
              </w:rPr>
              <w:t>/mg)</w:t>
            </w:r>
          </w:p>
        </w:tc>
        <w:tc>
          <w:tcPr>
            <w:tcW w:w="993" w:type="dxa"/>
            <w:tcBorders>
              <w:top w:val="nil"/>
              <w:left w:val="single" w:sz="4" w:space="0" w:color="auto"/>
              <w:bottom w:val="single" w:sz="4" w:space="0" w:color="auto"/>
              <w:right w:val="single" w:sz="4" w:space="0" w:color="auto"/>
            </w:tcBorders>
            <w:hideMark/>
          </w:tcPr>
          <w:p w14:paraId="0663025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single" w:sz="4" w:space="0" w:color="auto"/>
              <w:right w:val="single" w:sz="4" w:space="0" w:color="auto"/>
            </w:tcBorders>
            <w:vAlign w:val="center"/>
            <w:hideMark/>
          </w:tcPr>
          <w:p w14:paraId="1F5D6CD1"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0.269</w:t>
            </w:r>
          </w:p>
        </w:tc>
        <w:tc>
          <w:tcPr>
            <w:tcW w:w="1134" w:type="dxa"/>
            <w:tcBorders>
              <w:top w:val="nil"/>
              <w:left w:val="single" w:sz="4" w:space="0" w:color="auto"/>
              <w:bottom w:val="single" w:sz="4" w:space="0" w:color="auto"/>
              <w:right w:val="single" w:sz="4" w:space="0" w:color="auto"/>
            </w:tcBorders>
            <w:vAlign w:val="center"/>
            <w:hideMark/>
          </w:tcPr>
          <w:p w14:paraId="5E24640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0.0965</w:t>
            </w:r>
          </w:p>
        </w:tc>
        <w:tc>
          <w:tcPr>
            <w:tcW w:w="1134" w:type="dxa"/>
            <w:tcBorders>
              <w:top w:val="nil"/>
              <w:left w:val="single" w:sz="4" w:space="0" w:color="auto"/>
              <w:bottom w:val="single" w:sz="4" w:space="0" w:color="auto"/>
              <w:right w:val="single" w:sz="4" w:space="0" w:color="auto"/>
            </w:tcBorders>
            <w:vAlign w:val="center"/>
            <w:hideMark/>
          </w:tcPr>
          <w:p w14:paraId="351DE25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0.154</w:t>
            </w:r>
          </w:p>
        </w:tc>
        <w:tc>
          <w:tcPr>
            <w:tcW w:w="1134" w:type="dxa"/>
            <w:tcBorders>
              <w:top w:val="nil"/>
              <w:left w:val="single" w:sz="4" w:space="0" w:color="auto"/>
              <w:bottom w:val="single" w:sz="4" w:space="0" w:color="auto"/>
              <w:right w:val="single" w:sz="4" w:space="0" w:color="auto"/>
            </w:tcBorders>
            <w:vAlign w:val="center"/>
            <w:hideMark/>
          </w:tcPr>
          <w:p w14:paraId="56810B3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0.278</w:t>
            </w:r>
          </w:p>
        </w:tc>
        <w:tc>
          <w:tcPr>
            <w:tcW w:w="993" w:type="dxa"/>
            <w:tcBorders>
              <w:top w:val="nil"/>
              <w:left w:val="single" w:sz="4" w:space="0" w:color="auto"/>
              <w:bottom w:val="single" w:sz="4" w:space="0" w:color="auto"/>
              <w:right w:val="single" w:sz="4" w:space="0" w:color="auto"/>
            </w:tcBorders>
            <w:vAlign w:val="center"/>
            <w:hideMark/>
          </w:tcPr>
          <w:p w14:paraId="2F98B84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0.366</w:t>
            </w:r>
          </w:p>
        </w:tc>
        <w:tc>
          <w:tcPr>
            <w:tcW w:w="922" w:type="dxa"/>
            <w:tcBorders>
              <w:top w:val="nil"/>
              <w:left w:val="single" w:sz="4" w:space="0" w:color="auto"/>
              <w:bottom w:val="single" w:sz="4" w:space="0" w:color="auto"/>
              <w:right w:val="single" w:sz="4" w:space="0" w:color="auto"/>
            </w:tcBorders>
            <w:vAlign w:val="center"/>
            <w:hideMark/>
          </w:tcPr>
          <w:p w14:paraId="10E2D144"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35.9</w:t>
            </w:r>
          </w:p>
        </w:tc>
        <w:tc>
          <w:tcPr>
            <w:tcW w:w="1422" w:type="dxa"/>
            <w:tcBorders>
              <w:top w:val="nil"/>
              <w:left w:val="single" w:sz="4" w:space="0" w:color="auto"/>
              <w:bottom w:val="single" w:sz="4" w:space="0" w:color="auto"/>
              <w:right w:val="single" w:sz="4" w:space="0" w:color="auto"/>
            </w:tcBorders>
            <w:vAlign w:val="center"/>
            <w:hideMark/>
          </w:tcPr>
          <w:p w14:paraId="6882E42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0.255</w:t>
            </w:r>
          </w:p>
        </w:tc>
      </w:tr>
      <w:tr w:rsidR="009A128A" w14:paraId="53BF9CC0" w14:textId="77777777" w:rsidTr="009A128A">
        <w:tc>
          <w:tcPr>
            <w:cnfStyle w:val="001000000000" w:firstRow="0" w:lastRow="0" w:firstColumn="1" w:lastColumn="0" w:oddVBand="0" w:evenVBand="0" w:oddHBand="0" w:evenHBand="0" w:firstRowFirstColumn="0" w:firstRowLastColumn="0" w:lastRowFirstColumn="0" w:lastRowLastColumn="0"/>
            <w:tcW w:w="1242" w:type="dxa"/>
            <w:hideMark/>
          </w:tcPr>
          <w:p w14:paraId="6BE26654" w14:textId="77777777" w:rsidR="009A128A" w:rsidRDefault="009A128A" w:rsidP="009A128A">
            <w:pPr>
              <w:spacing w:line="240" w:lineRule="auto"/>
              <w:rPr>
                <w:rFonts w:eastAsia="Calibri" w:cs="Arial"/>
                <w:szCs w:val="22"/>
                <w:lang w:eastAsia="en-US"/>
              </w:rPr>
            </w:pPr>
            <w:r>
              <w:rPr>
                <w:rFonts w:eastAsia="Calibri" w:cs="Arial"/>
                <w:szCs w:val="22"/>
                <w:lang w:eastAsia="en-US"/>
              </w:rPr>
              <w:t>900</w:t>
            </w:r>
          </w:p>
        </w:tc>
        <w:tc>
          <w:tcPr>
            <w:tcW w:w="3969" w:type="dxa"/>
            <w:tcBorders>
              <w:top w:val="single" w:sz="4" w:space="0" w:color="auto"/>
              <w:left w:val="single" w:sz="4" w:space="0" w:color="auto"/>
              <w:bottom w:val="nil"/>
              <w:right w:val="single" w:sz="4" w:space="0" w:color="auto"/>
            </w:tcBorders>
            <w:hideMark/>
          </w:tcPr>
          <w:p w14:paraId="677C84C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(INF)</w:t>
            </w:r>
            <w:r>
              <w:rPr>
                <w:lang w:val="fr-FR"/>
              </w:rPr>
              <w:t xml:space="preserve">/Dose </w:t>
            </w:r>
            <w:r>
              <w:rPr>
                <w:rFonts w:eastAsia="Calibri" w:cs="Arial"/>
                <w:szCs w:val="22"/>
                <w:lang w:val="fr-FR" w:eastAsia="en-US"/>
              </w:rPr>
              <w:t>µg•h/mL</w:t>
            </w:r>
            <w:r>
              <w:rPr>
                <w:lang w:val="fr-FR"/>
              </w:rPr>
              <w:t>/mg)</w:t>
            </w:r>
          </w:p>
        </w:tc>
        <w:tc>
          <w:tcPr>
            <w:tcW w:w="993" w:type="dxa"/>
            <w:tcBorders>
              <w:top w:val="single" w:sz="4" w:space="0" w:color="auto"/>
              <w:left w:val="single" w:sz="4" w:space="0" w:color="auto"/>
              <w:bottom w:val="nil"/>
              <w:right w:val="single" w:sz="4" w:space="0" w:color="auto"/>
            </w:tcBorders>
            <w:hideMark/>
          </w:tcPr>
          <w:p w14:paraId="2EFF7B3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3</w:t>
            </w:r>
          </w:p>
        </w:tc>
        <w:tc>
          <w:tcPr>
            <w:tcW w:w="1275" w:type="dxa"/>
            <w:tcBorders>
              <w:top w:val="single" w:sz="4" w:space="0" w:color="auto"/>
              <w:left w:val="single" w:sz="4" w:space="0" w:color="auto"/>
              <w:bottom w:val="nil"/>
              <w:right w:val="single" w:sz="4" w:space="0" w:color="auto"/>
            </w:tcBorders>
            <w:vAlign w:val="center"/>
            <w:hideMark/>
          </w:tcPr>
          <w:p w14:paraId="1A270FE1"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13.0</w:t>
            </w:r>
          </w:p>
        </w:tc>
        <w:tc>
          <w:tcPr>
            <w:tcW w:w="1134" w:type="dxa"/>
            <w:tcBorders>
              <w:top w:val="single" w:sz="4" w:space="0" w:color="auto"/>
              <w:left w:val="single" w:sz="4" w:space="0" w:color="auto"/>
              <w:bottom w:val="nil"/>
              <w:right w:val="single" w:sz="4" w:space="0" w:color="auto"/>
            </w:tcBorders>
            <w:vAlign w:val="center"/>
            <w:hideMark/>
          </w:tcPr>
          <w:p w14:paraId="6798D9DE"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4.79</w:t>
            </w:r>
          </w:p>
        </w:tc>
        <w:tc>
          <w:tcPr>
            <w:tcW w:w="1134" w:type="dxa"/>
            <w:tcBorders>
              <w:top w:val="single" w:sz="4" w:space="0" w:color="auto"/>
              <w:left w:val="single" w:sz="4" w:space="0" w:color="auto"/>
              <w:bottom w:val="nil"/>
              <w:right w:val="single" w:sz="4" w:space="0" w:color="auto"/>
            </w:tcBorders>
            <w:vAlign w:val="center"/>
            <w:hideMark/>
          </w:tcPr>
          <w:p w14:paraId="6DEAFD27"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9.91</w:t>
            </w:r>
          </w:p>
        </w:tc>
        <w:tc>
          <w:tcPr>
            <w:tcW w:w="1134" w:type="dxa"/>
            <w:tcBorders>
              <w:top w:val="single" w:sz="4" w:space="0" w:color="auto"/>
              <w:left w:val="single" w:sz="4" w:space="0" w:color="auto"/>
              <w:bottom w:val="nil"/>
              <w:right w:val="single" w:sz="4" w:space="0" w:color="auto"/>
            </w:tcBorders>
            <w:vAlign w:val="center"/>
            <w:hideMark/>
          </w:tcPr>
          <w:p w14:paraId="6AFEA366"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10.6</w:t>
            </w:r>
          </w:p>
        </w:tc>
        <w:tc>
          <w:tcPr>
            <w:tcW w:w="993" w:type="dxa"/>
            <w:tcBorders>
              <w:top w:val="single" w:sz="4" w:space="0" w:color="auto"/>
              <w:left w:val="single" w:sz="4" w:space="0" w:color="auto"/>
              <w:bottom w:val="nil"/>
              <w:right w:val="single" w:sz="4" w:space="0" w:color="auto"/>
            </w:tcBorders>
            <w:vAlign w:val="center"/>
            <w:hideMark/>
          </w:tcPr>
          <w:p w14:paraId="45CF5EF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18.5</w:t>
            </w:r>
          </w:p>
        </w:tc>
        <w:tc>
          <w:tcPr>
            <w:tcW w:w="922" w:type="dxa"/>
            <w:tcBorders>
              <w:top w:val="single" w:sz="4" w:space="0" w:color="auto"/>
              <w:left w:val="single" w:sz="4" w:space="0" w:color="auto"/>
              <w:bottom w:val="nil"/>
              <w:right w:val="single" w:sz="4" w:space="0" w:color="auto"/>
            </w:tcBorders>
            <w:vAlign w:val="center"/>
            <w:hideMark/>
          </w:tcPr>
          <w:p w14:paraId="3F7BEF25"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36.8</w:t>
            </w:r>
          </w:p>
        </w:tc>
        <w:tc>
          <w:tcPr>
            <w:tcW w:w="1422" w:type="dxa"/>
            <w:tcBorders>
              <w:top w:val="single" w:sz="4" w:space="0" w:color="auto"/>
              <w:left w:val="single" w:sz="4" w:space="0" w:color="auto"/>
              <w:bottom w:val="nil"/>
              <w:right w:val="single" w:sz="4" w:space="0" w:color="auto"/>
            </w:tcBorders>
            <w:vAlign w:val="center"/>
            <w:hideMark/>
          </w:tcPr>
          <w:p w14:paraId="1092331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12.5</w:t>
            </w:r>
          </w:p>
        </w:tc>
      </w:tr>
      <w:tr w:rsidR="009A128A" w14:paraId="6067A09B" w14:textId="77777777" w:rsidTr="009A128A">
        <w:tc>
          <w:tcPr>
            <w:cnfStyle w:val="001000000000" w:firstRow="0" w:lastRow="0" w:firstColumn="1" w:lastColumn="0" w:oddVBand="0" w:evenVBand="0" w:oddHBand="0" w:evenHBand="0" w:firstRowFirstColumn="0" w:firstRowLastColumn="0" w:lastRowFirstColumn="0" w:lastRowLastColumn="0"/>
            <w:tcW w:w="1242" w:type="dxa"/>
          </w:tcPr>
          <w:p w14:paraId="78ED5AF2"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nil"/>
              <w:right w:val="single" w:sz="4" w:space="0" w:color="auto"/>
            </w:tcBorders>
            <w:hideMark/>
          </w:tcPr>
          <w:p w14:paraId="44C6F70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AUC</w:t>
            </w:r>
            <w:r>
              <w:rPr>
                <w:vertAlign w:val="subscript"/>
                <w:lang w:val="fr-FR"/>
              </w:rPr>
              <w:t>(0</w:t>
            </w:r>
            <w:r>
              <w:rPr>
                <w:vertAlign w:val="subscript"/>
                <w:lang w:val="fr-FR"/>
              </w:rPr>
              <w:noBreakHyphen/>
              <w:t>T)</w:t>
            </w:r>
            <w:r>
              <w:rPr>
                <w:lang w:val="fr-FR"/>
              </w:rPr>
              <w:t>/Dose (</w:t>
            </w:r>
            <w:r>
              <w:rPr>
                <w:rFonts w:eastAsia="Calibri" w:cs="Arial"/>
                <w:szCs w:val="22"/>
                <w:lang w:val="fr-FR" w:eastAsia="en-US"/>
              </w:rPr>
              <w:t>µg•h/mL</w:t>
            </w:r>
            <w:r>
              <w:rPr>
                <w:lang w:val="fr-FR"/>
              </w:rPr>
              <w:t>/mg)</w:t>
            </w:r>
          </w:p>
        </w:tc>
        <w:tc>
          <w:tcPr>
            <w:tcW w:w="993" w:type="dxa"/>
            <w:tcBorders>
              <w:top w:val="nil"/>
              <w:left w:val="single" w:sz="4" w:space="0" w:color="auto"/>
              <w:bottom w:val="nil"/>
              <w:right w:val="single" w:sz="4" w:space="0" w:color="auto"/>
            </w:tcBorders>
            <w:hideMark/>
          </w:tcPr>
          <w:p w14:paraId="1FFF2D18"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nil"/>
              <w:right w:val="single" w:sz="4" w:space="0" w:color="auto"/>
            </w:tcBorders>
            <w:vAlign w:val="center"/>
            <w:hideMark/>
          </w:tcPr>
          <w:p w14:paraId="1B71C6FD"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11.8</w:t>
            </w:r>
          </w:p>
        </w:tc>
        <w:tc>
          <w:tcPr>
            <w:tcW w:w="1134" w:type="dxa"/>
            <w:tcBorders>
              <w:top w:val="nil"/>
              <w:left w:val="single" w:sz="4" w:space="0" w:color="auto"/>
              <w:bottom w:val="nil"/>
              <w:right w:val="single" w:sz="4" w:space="0" w:color="auto"/>
            </w:tcBorders>
            <w:vAlign w:val="center"/>
            <w:hideMark/>
          </w:tcPr>
          <w:p w14:paraId="76EBA68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4.45</w:t>
            </w:r>
          </w:p>
        </w:tc>
        <w:tc>
          <w:tcPr>
            <w:tcW w:w="1134" w:type="dxa"/>
            <w:tcBorders>
              <w:top w:val="nil"/>
              <w:left w:val="single" w:sz="4" w:space="0" w:color="auto"/>
              <w:bottom w:val="nil"/>
              <w:right w:val="single" w:sz="4" w:space="0" w:color="auto"/>
            </w:tcBorders>
            <w:vAlign w:val="center"/>
            <w:hideMark/>
          </w:tcPr>
          <w:p w14:paraId="495FB7D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9.30</w:t>
            </w:r>
          </w:p>
        </w:tc>
        <w:tc>
          <w:tcPr>
            <w:tcW w:w="1134" w:type="dxa"/>
            <w:tcBorders>
              <w:top w:val="nil"/>
              <w:left w:val="single" w:sz="4" w:space="0" w:color="auto"/>
              <w:bottom w:val="nil"/>
              <w:right w:val="single" w:sz="4" w:space="0" w:color="auto"/>
            </w:tcBorders>
            <w:vAlign w:val="center"/>
            <w:hideMark/>
          </w:tcPr>
          <w:p w14:paraId="781BD105"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9.76</w:t>
            </w:r>
          </w:p>
        </w:tc>
        <w:tc>
          <w:tcPr>
            <w:tcW w:w="993" w:type="dxa"/>
            <w:tcBorders>
              <w:top w:val="nil"/>
              <w:left w:val="single" w:sz="4" w:space="0" w:color="auto"/>
              <w:bottom w:val="nil"/>
              <w:right w:val="single" w:sz="4" w:space="0" w:color="auto"/>
            </w:tcBorders>
            <w:vAlign w:val="center"/>
            <w:hideMark/>
          </w:tcPr>
          <w:p w14:paraId="5E2EB5E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18.5</w:t>
            </w:r>
          </w:p>
        </w:tc>
        <w:tc>
          <w:tcPr>
            <w:tcW w:w="922" w:type="dxa"/>
            <w:tcBorders>
              <w:top w:val="nil"/>
              <w:left w:val="single" w:sz="4" w:space="0" w:color="auto"/>
              <w:bottom w:val="nil"/>
              <w:right w:val="single" w:sz="4" w:space="0" w:color="auto"/>
            </w:tcBorders>
            <w:vAlign w:val="center"/>
            <w:hideMark/>
          </w:tcPr>
          <w:p w14:paraId="41067B40"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37.7</w:t>
            </w:r>
          </w:p>
        </w:tc>
        <w:tc>
          <w:tcPr>
            <w:tcW w:w="1422" w:type="dxa"/>
            <w:tcBorders>
              <w:top w:val="nil"/>
              <w:left w:val="single" w:sz="4" w:space="0" w:color="auto"/>
              <w:bottom w:val="nil"/>
              <w:right w:val="single" w:sz="4" w:space="0" w:color="auto"/>
            </w:tcBorders>
            <w:vAlign w:val="center"/>
            <w:hideMark/>
          </w:tcPr>
          <w:p w14:paraId="30B30F8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11.3</w:t>
            </w:r>
          </w:p>
        </w:tc>
      </w:tr>
      <w:tr w:rsidR="009A128A" w14:paraId="6596CF1B" w14:textId="77777777" w:rsidTr="009A128A">
        <w:tc>
          <w:tcPr>
            <w:cnfStyle w:val="001000000000" w:firstRow="0" w:lastRow="0" w:firstColumn="1" w:lastColumn="0" w:oddVBand="0" w:evenVBand="0" w:oddHBand="0" w:evenHBand="0" w:firstRowFirstColumn="0" w:firstRowLastColumn="0" w:lastRowFirstColumn="0" w:lastRowLastColumn="0"/>
            <w:tcW w:w="1242" w:type="dxa"/>
          </w:tcPr>
          <w:p w14:paraId="0289501A" w14:textId="77777777" w:rsidR="009A128A" w:rsidRDefault="009A128A" w:rsidP="009A128A">
            <w:pPr>
              <w:spacing w:line="240" w:lineRule="auto"/>
              <w:rPr>
                <w:rFonts w:eastAsia="Calibri" w:cs="Arial"/>
                <w:szCs w:val="22"/>
                <w:lang w:eastAsia="en-US"/>
              </w:rPr>
            </w:pPr>
          </w:p>
        </w:tc>
        <w:tc>
          <w:tcPr>
            <w:tcW w:w="3969" w:type="dxa"/>
            <w:tcBorders>
              <w:top w:val="nil"/>
              <w:left w:val="single" w:sz="4" w:space="0" w:color="auto"/>
              <w:bottom w:val="single" w:sz="4" w:space="0" w:color="auto"/>
              <w:right w:val="single" w:sz="4" w:space="0" w:color="auto"/>
            </w:tcBorders>
            <w:hideMark/>
          </w:tcPr>
          <w:p w14:paraId="68D2973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fr-FR" w:eastAsia="en-US"/>
              </w:rPr>
            </w:pPr>
            <w:r>
              <w:rPr>
                <w:lang w:val="fr-FR"/>
              </w:rPr>
              <w:t>C</w:t>
            </w:r>
            <w:r>
              <w:rPr>
                <w:vertAlign w:val="subscript"/>
                <w:lang w:val="fr-FR"/>
              </w:rPr>
              <w:t>max</w:t>
            </w:r>
            <w:r>
              <w:rPr>
                <w:lang w:val="fr-FR"/>
              </w:rPr>
              <w:t>/Dose (</w:t>
            </w:r>
            <w:r>
              <w:rPr>
                <w:rFonts w:eastAsia="Calibri" w:cs="Arial"/>
                <w:szCs w:val="22"/>
                <w:lang w:val="fr-FR" w:eastAsia="en-US"/>
              </w:rPr>
              <w:t>µg/mL</w:t>
            </w:r>
            <w:r>
              <w:rPr>
                <w:lang w:val="fr-FR"/>
              </w:rPr>
              <w:t>/mg)</w:t>
            </w:r>
          </w:p>
        </w:tc>
        <w:tc>
          <w:tcPr>
            <w:tcW w:w="993" w:type="dxa"/>
            <w:tcBorders>
              <w:top w:val="nil"/>
              <w:left w:val="single" w:sz="4" w:space="0" w:color="auto"/>
              <w:bottom w:val="single" w:sz="4" w:space="0" w:color="auto"/>
              <w:right w:val="single" w:sz="4" w:space="0" w:color="auto"/>
            </w:tcBorders>
            <w:hideMark/>
          </w:tcPr>
          <w:p w14:paraId="7200D5E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4</w:t>
            </w:r>
          </w:p>
        </w:tc>
        <w:tc>
          <w:tcPr>
            <w:tcW w:w="1275" w:type="dxa"/>
            <w:tcBorders>
              <w:top w:val="nil"/>
              <w:left w:val="single" w:sz="4" w:space="0" w:color="auto"/>
              <w:bottom w:val="single" w:sz="4" w:space="0" w:color="auto"/>
              <w:right w:val="single" w:sz="4" w:space="0" w:color="auto"/>
            </w:tcBorders>
            <w:vAlign w:val="center"/>
            <w:hideMark/>
          </w:tcPr>
          <w:p w14:paraId="251BE2F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0.155</w:t>
            </w:r>
          </w:p>
        </w:tc>
        <w:tc>
          <w:tcPr>
            <w:tcW w:w="1134" w:type="dxa"/>
            <w:tcBorders>
              <w:top w:val="nil"/>
              <w:left w:val="single" w:sz="4" w:space="0" w:color="auto"/>
              <w:bottom w:val="single" w:sz="4" w:space="0" w:color="auto"/>
              <w:right w:val="single" w:sz="4" w:space="0" w:color="auto"/>
            </w:tcBorders>
            <w:vAlign w:val="center"/>
            <w:hideMark/>
          </w:tcPr>
          <w:p w14:paraId="39DF70A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0.0516</w:t>
            </w:r>
          </w:p>
        </w:tc>
        <w:tc>
          <w:tcPr>
            <w:tcW w:w="1134" w:type="dxa"/>
            <w:tcBorders>
              <w:top w:val="nil"/>
              <w:left w:val="single" w:sz="4" w:space="0" w:color="auto"/>
              <w:bottom w:val="single" w:sz="4" w:space="0" w:color="auto"/>
              <w:right w:val="single" w:sz="4" w:space="0" w:color="auto"/>
            </w:tcBorders>
            <w:vAlign w:val="center"/>
            <w:hideMark/>
          </w:tcPr>
          <w:p w14:paraId="4BF19CB8"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0.115</w:t>
            </w:r>
          </w:p>
        </w:tc>
        <w:tc>
          <w:tcPr>
            <w:tcW w:w="1134" w:type="dxa"/>
            <w:tcBorders>
              <w:top w:val="nil"/>
              <w:left w:val="single" w:sz="4" w:space="0" w:color="auto"/>
              <w:bottom w:val="single" w:sz="4" w:space="0" w:color="auto"/>
              <w:right w:val="single" w:sz="4" w:space="0" w:color="auto"/>
            </w:tcBorders>
            <w:vAlign w:val="center"/>
            <w:hideMark/>
          </w:tcPr>
          <w:p w14:paraId="0F1627D2"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0.138</w:t>
            </w:r>
          </w:p>
        </w:tc>
        <w:tc>
          <w:tcPr>
            <w:tcW w:w="993" w:type="dxa"/>
            <w:tcBorders>
              <w:top w:val="nil"/>
              <w:left w:val="single" w:sz="4" w:space="0" w:color="auto"/>
              <w:bottom w:val="single" w:sz="4" w:space="0" w:color="auto"/>
              <w:right w:val="single" w:sz="4" w:space="0" w:color="auto"/>
            </w:tcBorders>
            <w:vAlign w:val="center"/>
            <w:hideMark/>
          </w:tcPr>
          <w:p w14:paraId="6002691F"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0.230</w:t>
            </w:r>
          </w:p>
        </w:tc>
        <w:tc>
          <w:tcPr>
            <w:tcW w:w="922" w:type="dxa"/>
            <w:tcBorders>
              <w:top w:val="nil"/>
              <w:left w:val="single" w:sz="4" w:space="0" w:color="auto"/>
              <w:bottom w:val="single" w:sz="4" w:space="0" w:color="auto"/>
              <w:right w:val="single" w:sz="4" w:space="0" w:color="auto"/>
            </w:tcBorders>
            <w:vAlign w:val="center"/>
            <w:hideMark/>
          </w:tcPr>
          <w:p w14:paraId="5787AF30"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33.2</w:t>
            </w:r>
          </w:p>
        </w:tc>
        <w:tc>
          <w:tcPr>
            <w:tcW w:w="1422" w:type="dxa"/>
            <w:tcBorders>
              <w:top w:val="nil"/>
              <w:left w:val="single" w:sz="4" w:space="0" w:color="auto"/>
              <w:bottom w:val="single" w:sz="4" w:space="0" w:color="auto"/>
              <w:right w:val="single" w:sz="4" w:space="0" w:color="auto"/>
            </w:tcBorders>
            <w:vAlign w:val="center"/>
            <w:hideMark/>
          </w:tcPr>
          <w:p w14:paraId="0B58B7FB" w14:textId="77777777" w:rsidR="009A128A" w:rsidRDefault="009A128A" w:rsidP="009A128A">
            <w:pPr>
              <w:pStyle w:val="BMSTableText"/>
              <w:spacing w:before="0" w:after="0"/>
              <w:cnfStyle w:val="000000000000" w:firstRow="0" w:lastRow="0" w:firstColumn="0" w:lastColumn="0" w:oddVBand="0" w:evenVBand="0" w:oddHBand="0" w:evenHBand="0" w:firstRowFirstColumn="0" w:firstRowLastColumn="0" w:lastRowFirstColumn="0" w:lastRowLastColumn="0"/>
            </w:pPr>
            <w:r>
              <w:t>0.150</w:t>
            </w:r>
          </w:p>
        </w:tc>
      </w:tr>
    </w:tbl>
    <w:p w14:paraId="65941E1E" w14:textId="77777777" w:rsidR="009A128A" w:rsidRDefault="009A128A" w:rsidP="009A128A">
      <w:pPr>
        <w:spacing w:line="480" w:lineRule="auto"/>
        <w:rPr>
          <w:rFonts w:eastAsia="Calibri" w:cs="Arial"/>
          <w:szCs w:val="22"/>
          <w:lang w:val="en-US" w:eastAsia="en-US"/>
        </w:rPr>
      </w:pPr>
      <w:r>
        <w:rPr>
          <w:rFonts w:eastAsia="Calibri" w:cs="Arial"/>
          <w:szCs w:val="22"/>
          <w:lang w:val="en-US" w:eastAsia="en-US"/>
        </w:rPr>
        <w:lastRenderedPageBreak/>
        <w:t>AUC</w:t>
      </w:r>
      <w:r>
        <w:rPr>
          <w:rFonts w:eastAsia="Calibri" w:cs="Arial"/>
          <w:szCs w:val="22"/>
          <w:vertAlign w:val="subscript"/>
          <w:lang w:val="en-US" w:eastAsia="en-US"/>
        </w:rPr>
        <w:t>(0‒T)</w:t>
      </w:r>
      <w:r>
        <w:rPr>
          <w:rFonts w:eastAsia="Calibri" w:cs="Arial"/>
          <w:szCs w:val="22"/>
          <w:lang w:val="en-US" w:eastAsia="en-US"/>
        </w:rPr>
        <w:t>, area under the serum concentration</w:t>
      </w:r>
      <w:r>
        <w:rPr>
          <w:rFonts w:ascii="Gill Sans MT" w:eastAsia="Calibri" w:hAnsi="Gill Sans MT" w:cs="Arial"/>
          <w:szCs w:val="22"/>
          <w:lang w:val="en-US" w:eastAsia="en-US"/>
        </w:rPr>
        <w:t>–</w:t>
      </w:r>
      <w:r>
        <w:rPr>
          <w:rFonts w:eastAsia="Calibri" w:cs="Arial"/>
          <w:szCs w:val="22"/>
          <w:lang w:val="en-US" w:eastAsia="en-US"/>
        </w:rPr>
        <w:t>time curve from time 0 to the time of the last measurable concentration after drug administration; AUC</w:t>
      </w:r>
      <w:r>
        <w:rPr>
          <w:rFonts w:eastAsia="Calibri" w:cs="Arial"/>
          <w:szCs w:val="22"/>
          <w:vertAlign w:val="subscript"/>
          <w:lang w:val="en-US" w:eastAsia="en-US"/>
        </w:rPr>
        <w:t>(INF)</w:t>
      </w:r>
      <w:r>
        <w:rPr>
          <w:rFonts w:eastAsia="Calibri" w:cs="Arial"/>
          <w:szCs w:val="22"/>
          <w:lang w:val="en-US" w:eastAsia="en-US"/>
        </w:rPr>
        <w:t>, area under the serum concentration</w:t>
      </w:r>
      <w:r>
        <w:rPr>
          <w:rFonts w:ascii="Gill Sans MT" w:eastAsia="Calibri" w:hAnsi="Gill Sans MT" w:cs="Arial"/>
          <w:szCs w:val="22"/>
          <w:lang w:val="en-US" w:eastAsia="en-US"/>
        </w:rPr>
        <w:t>–</w:t>
      </w:r>
      <w:r>
        <w:rPr>
          <w:rFonts w:eastAsia="Calibri" w:cs="Arial"/>
          <w:szCs w:val="22"/>
          <w:lang w:val="en-US" w:eastAsia="en-US"/>
        </w:rPr>
        <w:t>time curve from time 0 extrapolated to infinity; C</w:t>
      </w:r>
      <w:r>
        <w:rPr>
          <w:rFonts w:eastAsia="Calibri" w:cs="Arial"/>
          <w:szCs w:val="22"/>
          <w:vertAlign w:val="subscript"/>
          <w:lang w:val="en-US" w:eastAsia="en-US"/>
        </w:rPr>
        <w:t>max</w:t>
      </w:r>
      <w:r>
        <w:rPr>
          <w:rFonts w:eastAsia="Calibri" w:cs="Arial"/>
          <w:szCs w:val="22"/>
          <w:lang w:val="en-US" w:eastAsia="en-US"/>
        </w:rPr>
        <w:t xml:space="preserve">, maximum observed serum drug concentration; CV, coefficient of variation; N, sample size; SD, standard deviation. </w:t>
      </w:r>
      <w:r>
        <w:rPr>
          <w:rFonts w:eastAsia="Calibri" w:cs="Arial"/>
          <w:szCs w:val="22"/>
          <w:lang w:val="en-US" w:eastAsia="en-US"/>
        </w:rPr>
        <w:br w:type="page"/>
      </w:r>
    </w:p>
    <w:p w14:paraId="7E544088" w14:textId="77777777" w:rsidR="009A128A" w:rsidRDefault="009A128A" w:rsidP="009A128A">
      <w:pPr>
        <w:spacing w:line="240" w:lineRule="auto"/>
        <w:rPr>
          <w:rFonts w:eastAsia="Calibri" w:cs="Arial"/>
          <w:b/>
          <w:szCs w:val="22"/>
          <w:lang w:val="en-US" w:eastAsia="en-US"/>
        </w:rPr>
      </w:pPr>
      <w:r>
        <w:rPr>
          <w:rFonts w:eastAsia="Calibri" w:cs="Arial"/>
          <w:b/>
          <w:szCs w:val="22"/>
          <w:lang w:val="en-US" w:eastAsia="en-US"/>
        </w:rPr>
        <w:lastRenderedPageBreak/>
        <w:t>Supplementary Table S5. Dose proportionality assessment results for BMS-936559 10‒900 mg</w:t>
      </w:r>
    </w:p>
    <w:p w14:paraId="013CA73B" w14:textId="77777777" w:rsidR="009A128A" w:rsidRDefault="009A128A" w:rsidP="009A128A">
      <w:pPr>
        <w:spacing w:line="240" w:lineRule="auto"/>
        <w:rPr>
          <w:rFonts w:eastAsia="Calibri" w:cs="Arial"/>
          <w:b/>
          <w:szCs w:val="22"/>
          <w:lang w:val="en-US" w:eastAsia="en-US"/>
        </w:rPr>
      </w:pPr>
    </w:p>
    <w:tbl>
      <w:tblPr>
        <w:tblStyle w:val="TableGrid"/>
        <w:tblW w:w="0" w:type="auto"/>
        <w:tblLook w:val="04A0" w:firstRow="1" w:lastRow="0" w:firstColumn="1" w:lastColumn="0" w:noHBand="0" w:noVBand="1"/>
      </w:tblPr>
      <w:tblGrid>
        <w:gridCol w:w="2235"/>
        <w:gridCol w:w="2693"/>
        <w:gridCol w:w="3118"/>
        <w:gridCol w:w="2835"/>
      </w:tblGrid>
      <w:tr w:rsidR="009A128A" w14:paraId="5FA8392B"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0EE845CC" w14:textId="77777777" w:rsidR="009A128A" w:rsidRDefault="009A128A" w:rsidP="009A128A">
            <w:pPr>
              <w:spacing w:line="240" w:lineRule="auto"/>
              <w:rPr>
                <w:rFonts w:eastAsia="Calibri" w:cs="Arial"/>
                <w:b/>
                <w:szCs w:val="22"/>
                <w:lang w:eastAsia="en-US"/>
              </w:rPr>
            </w:pPr>
            <w:r>
              <w:rPr>
                <w:rFonts w:eastAsia="Calibri" w:cs="Arial"/>
                <w:b/>
                <w:szCs w:val="22"/>
                <w:lang w:eastAsia="en-US"/>
              </w:rPr>
              <w:t>PK parameter</w:t>
            </w:r>
          </w:p>
        </w:tc>
        <w:tc>
          <w:tcPr>
            <w:tcW w:w="2693" w:type="dxa"/>
            <w:tcBorders>
              <w:top w:val="single" w:sz="4" w:space="0" w:color="auto"/>
              <w:left w:val="single" w:sz="4" w:space="0" w:color="auto"/>
              <w:bottom w:val="single" w:sz="4" w:space="0" w:color="auto"/>
              <w:right w:val="single" w:sz="4" w:space="0" w:color="auto"/>
            </w:tcBorders>
            <w:hideMark/>
          </w:tcPr>
          <w:p w14:paraId="7FCA61E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Point estimate</w:t>
            </w:r>
          </w:p>
        </w:tc>
        <w:tc>
          <w:tcPr>
            <w:tcW w:w="3118" w:type="dxa"/>
            <w:tcBorders>
              <w:top w:val="single" w:sz="4" w:space="0" w:color="auto"/>
              <w:left w:val="single" w:sz="4" w:space="0" w:color="auto"/>
              <w:bottom w:val="single" w:sz="4" w:space="0" w:color="auto"/>
              <w:right w:val="single" w:sz="4" w:space="0" w:color="auto"/>
            </w:tcBorders>
            <w:hideMark/>
          </w:tcPr>
          <w:p w14:paraId="121AA224"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Lower confidence limit</w:t>
            </w:r>
          </w:p>
        </w:tc>
        <w:tc>
          <w:tcPr>
            <w:tcW w:w="2835" w:type="dxa"/>
            <w:tcBorders>
              <w:top w:val="single" w:sz="4" w:space="0" w:color="auto"/>
              <w:left w:val="single" w:sz="4" w:space="0" w:color="auto"/>
              <w:bottom w:val="single" w:sz="4" w:space="0" w:color="auto"/>
              <w:right w:val="single" w:sz="4" w:space="0" w:color="auto"/>
            </w:tcBorders>
            <w:hideMark/>
          </w:tcPr>
          <w:p w14:paraId="22CAF86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Cs w:val="22"/>
                <w:lang w:eastAsia="en-US"/>
              </w:rPr>
            </w:pPr>
            <w:r>
              <w:rPr>
                <w:rFonts w:eastAsia="Calibri" w:cs="Arial"/>
                <w:b/>
                <w:szCs w:val="22"/>
                <w:lang w:eastAsia="en-US"/>
              </w:rPr>
              <w:t>Upper confidence limit</w:t>
            </w:r>
          </w:p>
        </w:tc>
      </w:tr>
      <w:tr w:rsidR="009A128A" w14:paraId="25ED5831" w14:textId="77777777" w:rsidTr="009A128A">
        <w:tc>
          <w:tcPr>
            <w:cnfStyle w:val="001000000000" w:firstRow="0" w:lastRow="0" w:firstColumn="1" w:lastColumn="0" w:oddVBand="0" w:evenVBand="0" w:oddHBand="0" w:evenHBand="0" w:firstRowFirstColumn="0" w:firstRowLastColumn="0" w:lastRowFirstColumn="0" w:lastRowLastColumn="0"/>
            <w:tcW w:w="10881" w:type="dxa"/>
            <w:gridSpan w:val="4"/>
            <w:hideMark/>
          </w:tcPr>
          <w:p w14:paraId="53A617D6" w14:textId="77777777" w:rsidR="009A128A" w:rsidRDefault="009A128A" w:rsidP="009A128A">
            <w:pPr>
              <w:tabs>
                <w:tab w:val="left" w:pos="5265"/>
              </w:tabs>
              <w:spacing w:line="240" w:lineRule="auto"/>
              <w:jc w:val="center"/>
              <w:rPr>
                <w:rFonts w:eastAsia="Calibri" w:cs="Arial"/>
                <w:b/>
                <w:szCs w:val="22"/>
                <w:lang w:eastAsia="en-US"/>
              </w:rPr>
            </w:pPr>
            <w:r>
              <w:rPr>
                <w:rFonts w:eastAsia="Calibri" w:cs="Arial"/>
                <w:b/>
                <w:szCs w:val="22"/>
                <w:lang w:eastAsia="en-US"/>
              </w:rPr>
              <w:t>Including 300 mg dose group</w:t>
            </w:r>
          </w:p>
        </w:tc>
      </w:tr>
      <w:tr w:rsidR="009A128A" w14:paraId="7E0123F5"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1D5D1569" w14:textId="77777777" w:rsidR="009A128A" w:rsidRDefault="009A128A" w:rsidP="009A128A">
            <w:pPr>
              <w:spacing w:line="240" w:lineRule="auto"/>
              <w:rPr>
                <w:rFonts w:eastAsia="Calibri" w:cs="Arial"/>
                <w:szCs w:val="22"/>
                <w:lang w:eastAsia="en-US"/>
              </w:rPr>
            </w:pPr>
            <w:r>
              <w:rPr>
                <w:rFonts w:eastAsia="Calibri" w:cs="Arial"/>
                <w:szCs w:val="22"/>
                <w:lang w:eastAsia="en-US"/>
              </w:rPr>
              <w:t>C</w:t>
            </w:r>
            <w:r>
              <w:rPr>
                <w:rFonts w:eastAsia="Calibri" w:cs="Arial"/>
                <w:szCs w:val="22"/>
                <w:vertAlign w:val="subscript"/>
                <w:lang w:eastAsia="en-US"/>
              </w:rPr>
              <w:t>max</w:t>
            </w:r>
          </w:p>
        </w:tc>
        <w:tc>
          <w:tcPr>
            <w:tcW w:w="2693" w:type="dxa"/>
            <w:tcBorders>
              <w:top w:val="single" w:sz="4" w:space="0" w:color="auto"/>
              <w:left w:val="single" w:sz="4" w:space="0" w:color="auto"/>
              <w:bottom w:val="single" w:sz="4" w:space="0" w:color="auto"/>
              <w:right w:val="single" w:sz="4" w:space="0" w:color="auto"/>
            </w:tcBorders>
            <w:hideMark/>
          </w:tcPr>
          <w:p w14:paraId="170B2D2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0.9636</w:t>
            </w:r>
          </w:p>
        </w:tc>
        <w:tc>
          <w:tcPr>
            <w:tcW w:w="3118" w:type="dxa"/>
            <w:tcBorders>
              <w:top w:val="single" w:sz="4" w:space="0" w:color="auto"/>
              <w:left w:val="single" w:sz="4" w:space="0" w:color="auto"/>
              <w:bottom w:val="single" w:sz="4" w:space="0" w:color="auto"/>
              <w:right w:val="single" w:sz="4" w:space="0" w:color="auto"/>
            </w:tcBorders>
            <w:hideMark/>
          </w:tcPr>
          <w:p w14:paraId="22D0A42A"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0.85794</w:t>
            </w:r>
          </w:p>
        </w:tc>
        <w:tc>
          <w:tcPr>
            <w:tcW w:w="2835" w:type="dxa"/>
            <w:tcBorders>
              <w:top w:val="single" w:sz="4" w:space="0" w:color="auto"/>
              <w:left w:val="single" w:sz="4" w:space="0" w:color="auto"/>
              <w:bottom w:val="single" w:sz="4" w:space="0" w:color="auto"/>
              <w:right w:val="single" w:sz="4" w:space="0" w:color="auto"/>
            </w:tcBorders>
            <w:hideMark/>
          </w:tcPr>
          <w:p w14:paraId="3936950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1.0692</w:t>
            </w:r>
          </w:p>
        </w:tc>
      </w:tr>
      <w:tr w:rsidR="009A128A" w14:paraId="0C8F6179"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0CCD6119" w14:textId="77777777" w:rsidR="009A128A" w:rsidRDefault="009A128A" w:rsidP="009A128A">
            <w:pPr>
              <w:spacing w:line="240" w:lineRule="auto"/>
              <w:rPr>
                <w:rFonts w:eastAsia="Calibri" w:cs="Arial"/>
                <w:szCs w:val="22"/>
                <w:lang w:eastAsia="en-US"/>
              </w:rPr>
            </w:pPr>
            <w:r>
              <w:rPr>
                <w:rFonts w:eastAsia="Calibri" w:cs="Arial"/>
                <w:szCs w:val="22"/>
                <w:lang w:eastAsia="en-US"/>
              </w:rPr>
              <w:t>AUC</w:t>
            </w:r>
            <w:r>
              <w:rPr>
                <w:rFonts w:eastAsia="Calibri" w:cs="Arial"/>
                <w:szCs w:val="22"/>
                <w:vertAlign w:val="subscript"/>
                <w:lang w:eastAsia="en-US"/>
              </w:rPr>
              <w:t>(0‒T)</w:t>
            </w:r>
          </w:p>
        </w:tc>
        <w:tc>
          <w:tcPr>
            <w:tcW w:w="2693" w:type="dxa"/>
            <w:tcBorders>
              <w:top w:val="single" w:sz="4" w:space="0" w:color="auto"/>
              <w:left w:val="single" w:sz="4" w:space="0" w:color="auto"/>
              <w:bottom w:val="single" w:sz="4" w:space="0" w:color="auto"/>
              <w:right w:val="single" w:sz="4" w:space="0" w:color="auto"/>
            </w:tcBorders>
            <w:hideMark/>
          </w:tcPr>
          <w:p w14:paraId="3E12AF8F"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1.2696</w:t>
            </w:r>
          </w:p>
        </w:tc>
        <w:tc>
          <w:tcPr>
            <w:tcW w:w="3118" w:type="dxa"/>
            <w:tcBorders>
              <w:top w:val="single" w:sz="4" w:space="0" w:color="auto"/>
              <w:left w:val="single" w:sz="4" w:space="0" w:color="auto"/>
              <w:bottom w:val="single" w:sz="4" w:space="0" w:color="auto"/>
              <w:right w:val="single" w:sz="4" w:space="0" w:color="auto"/>
            </w:tcBorders>
            <w:hideMark/>
          </w:tcPr>
          <w:p w14:paraId="6DE5D29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1.0815</w:t>
            </w:r>
          </w:p>
        </w:tc>
        <w:tc>
          <w:tcPr>
            <w:tcW w:w="2835" w:type="dxa"/>
            <w:tcBorders>
              <w:top w:val="single" w:sz="4" w:space="0" w:color="auto"/>
              <w:left w:val="single" w:sz="4" w:space="0" w:color="auto"/>
              <w:bottom w:val="single" w:sz="4" w:space="0" w:color="auto"/>
              <w:right w:val="single" w:sz="4" w:space="0" w:color="auto"/>
            </w:tcBorders>
            <w:hideMark/>
          </w:tcPr>
          <w:p w14:paraId="24CDF72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1.4576</w:t>
            </w:r>
          </w:p>
        </w:tc>
      </w:tr>
      <w:tr w:rsidR="009A128A" w14:paraId="4C4F8228"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739B0B50" w14:textId="77777777" w:rsidR="009A128A" w:rsidRDefault="009A128A" w:rsidP="009A128A">
            <w:pPr>
              <w:spacing w:line="240" w:lineRule="auto"/>
              <w:rPr>
                <w:rFonts w:eastAsia="Calibri" w:cs="Arial"/>
                <w:szCs w:val="22"/>
                <w:lang w:eastAsia="en-US"/>
              </w:rPr>
            </w:pPr>
            <w:r>
              <w:rPr>
                <w:rFonts w:eastAsia="Calibri" w:cs="Arial"/>
                <w:szCs w:val="22"/>
                <w:lang w:eastAsia="en-US"/>
              </w:rPr>
              <w:t>AUC</w:t>
            </w:r>
            <w:r>
              <w:rPr>
                <w:rFonts w:eastAsia="Calibri" w:cs="Arial"/>
                <w:szCs w:val="22"/>
                <w:vertAlign w:val="subscript"/>
                <w:lang w:eastAsia="en-US"/>
              </w:rPr>
              <w:t>(INF)</w:t>
            </w:r>
          </w:p>
        </w:tc>
        <w:tc>
          <w:tcPr>
            <w:tcW w:w="2693" w:type="dxa"/>
            <w:tcBorders>
              <w:top w:val="single" w:sz="4" w:space="0" w:color="auto"/>
              <w:left w:val="single" w:sz="4" w:space="0" w:color="auto"/>
              <w:bottom w:val="single" w:sz="4" w:space="0" w:color="auto"/>
              <w:right w:val="single" w:sz="4" w:space="0" w:color="auto"/>
            </w:tcBorders>
            <w:hideMark/>
          </w:tcPr>
          <w:p w14:paraId="1E0DEA4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1.0591</w:t>
            </w:r>
          </w:p>
        </w:tc>
        <w:tc>
          <w:tcPr>
            <w:tcW w:w="3118" w:type="dxa"/>
            <w:tcBorders>
              <w:top w:val="single" w:sz="4" w:space="0" w:color="auto"/>
              <w:left w:val="single" w:sz="4" w:space="0" w:color="auto"/>
              <w:bottom w:val="single" w:sz="4" w:space="0" w:color="auto"/>
              <w:right w:val="single" w:sz="4" w:space="0" w:color="auto"/>
            </w:tcBorders>
            <w:hideMark/>
          </w:tcPr>
          <w:p w14:paraId="16E1AD7E"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0.86118</w:t>
            </w:r>
          </w:p>
        </w:tc>
        <w:tc>
          <w:tcPr>
            <w:tcW w:w="2835" w:type="dxa"/>
            <w:tcBorders>
              <w:top w:val="single" w:sz="4" w:space="0" w:color="auto"/>
              <w:left w:val="single" w:sz="4" w:space="0" w:color="auto"/>
              <w:bottom w:val="single" w:sz="4" w:space="0" w:color="auto"/>
              <w:right w:val="single" w:sz="4" w:space="0" w:color="auto"/>
            </w:tcBorders>
            <w:hideMark/>
          </w:tcPr>
          <w:p w14:paraId="6AC96C60"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1.257</w:t>
            </w:r>
          </w:p>
        </w:tc>
      </w:tr>
      <w:tr w:rsidR="009A128A" w14:paraId="568D6DA7" w14:textId="77777777" w:rsidTr="009A128A">
        <w:tc>
          <w:tcPr>
            <w:cnfStyle w:val="001000000000" w:firstRow="0" w:lastRow="0" w:firstColumn="1" w:lastColumn="0" w:oddVBand="0" w:evenVBand="0" w:oddHBand="0" w:evenHBand="0" w:firstRowFirstColumn="0" w:firstRowLastColumn="0" w:lastRowFirstColumn="0" w:lastRowLastColumn="0"/>
            <w:tcW w:w="10881" w:type="dxa"/>
            <w:gridSpan w:val="4"/>
            <w:hideMark/>
          </w:tcPr>
          <w:p w14:paraId="214105EF" w14:textId="77777777" w:rsidR="009A128A" w:rsidRDefault="009A128A" w:rsidP="009A128A">
            <w:pPr>
              <w:spacing w:line="240" w:lineRule="auto"/>
              <w:jc w:val="center"/>
              <w:rPr>
                <w:rFonts w:eastAsia="Calibri" w:cs="Arial"/>
                <w:b/>
                <w:szCs w:val="22"/>
                <w:lang w:eastAsia="en-US"/>
              </w:rPr>
            </w:pPr>
            <w:r>
              <w:rPr>
                <w:rFonts w:eastAsia="Calibri" w:cs="Arial"/>
                <w:b/>
                <w:szCs w:val="22"/>
                <w:lang w:eastAsia="en-US"/>
              </w:rPr>
              <w:t>Excluding 300 mg dose group</w:t>
            </w:r>
          </w:p>
        </w:tc>
      </w:tr>
      <w:tr w:rsidR="009A128A" w14:paraId="3A0169E2"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0AB4729E" w14:textId="77777777" w:rsidR="009A128A" w:rsidRDefault="009A128A" w:rsidP="009A128A">
            <w:pPr>
              <w:spacing w:line="240" w:lineRule="auto"/>
              <w:rPr>
                <w:rFonts w:eastAsia="Calibri" w:cs="Arial"/>
                <w:szCs w:val="22"/>
                <w:lang w:eastAsia="en-US"/>
              </w:rPr>
            </w:pPr>
            <w:r>
              <w:rPr>
                <w:rFonts w:eastAsia="Calibri" w:cs="Arial"/>
                <w:szCs w:val="22"/>
                <w:lang w:eastAsia="en-US"/>
              </w:rPr>
              <w:t>C</w:t>
            </w:r>
            <w:r>
              <w:rPr>
                <w:rFonts w:eastAsia="Calibri" w:cs="Arial"/>
                <w:szCs w:val="22"/>
                <w:vertAlign w:val="subscript"/>
                <w:lang w:eastAsia="en-US"/>
              </w:rPr>
              <w:t>max</w:t>
            </w:r>
          </w:p>
        </w:tc>
        <w:tc>
          <w:tcPr>
            <w:tcW w:w="2693" w:type="dxa"/>
            <w:tcBorders>
              <w:top w:val="single" w:sz="4" w:space="0" w:color="auto"/>
              <w:left w:val="single" w:sz="4" w:space="0" w:color="auto"/>
              <w:bottom w:val="single" w:sz="4" w:space="0" w:color="auto"/>
              <w:right w:val="single" w:sz="4" w:space="0" w:color="auto"/>
            </w:tcBorders>
            <w:hideMark/>
          </w:tcPr>
          <w:p w14:paraId="479DCDCC"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0.9244</w:t>
            </w:r>
          </w:p>
        </w:tc>
        <w:tc>
          <w:tcPr>
            <w:tcW w:w="3118" w:type="dxa"/>
            <w:tcBorders>
              <w:top w:val="single" w:sz="4" w:space="0" w:color="auto"/>
              <w:left w:val="single" w:sz="4" w:space="0" w:color="auto"/>
              <w:bottom w:val="single" w:sz="4" w:space="0" w:color="auto"/>
              <w:right w:val="single" w:sz="4" w:space="0" w:color="auto"/>
            </w:tcBorders>
            <w:hideMark/>
          </w:tcPr>
          <w:p w14:paraId="0BECE002"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0.81715</w:t>
            </w:r>
          </w:p>
        </w:tc>
        <w:tc>
          <w:tcPr>
            <w:tcW w:w="2835" w:type="dxa"/>
            <w:tcBorders>
              <w:top w:val="single" w:sz="4" w:space="0" w:color="auto"/>
              <w:left w:val="single" w:sz="4" w:space="0" w:color="auto"/>
              <w:bottom w:val="single" w:sz="4" w:space="0" w:color="auto"/>
              <w:right w:val="single" w:sz="4" w:space="0" w:color="auto"/>
            </w:tcBorders>
            <w:hideMark/>
          </w:tcPr>
          <w:p w14:paraId="195A587D"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1.0316</w:t>
            </w:r>
          </w:p>
        </w:tc>
      </w:tr>
      <w:tr w:rsidR="009A128A" w14:paraId="797B5D69"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6347DEF6" w14:textId="77777777" w:rsidR="009A128A" w:rsidRDefault="009A128A" w:rsidP="009A128A">
            <w:pPr>
              <w:spacing w:line="240" w:lineRule="auto"/>
              <w:rPr>
                <w:rFonts w:eastAsia="Calibri" w:cs="Arial"/>
                <w:szCs w:val="22"/>
                <w:lang w:eastAsia="en-US"/>
              </w:rPr>
            </w:pPr>
            <w:r>
              <w:rPr>
                <w:rFonts w:eastAsia="Calibri" w:cs="Arial"/>
                <w:szCs w:val="22"/>
                <w:lang w:eastAsia="en-US"/>
              </w:rPr>
              <w:t>AUC</w:t>
            </w:r>
            <w:r>
              <w:rPr>
                <w:rFonts w:eastAsia="Calibri" w:cs="Arial"/>
                <w:szCs w:val="22"/>
                <w:vertAlign w:val="subscript"/>
                <w:lang w:eastAsia="en-US"/>
              </w:rPr>
              <w:t>(0‒T)</w:t>
            </w:r>
          </w:p>
        </w:tc>
        <w:tc>
          <w:tcPr>
            <w:tcW w:w="2693" w:type="dxa"/>
            <w:tcBorders>
              <w:top w:val="single" w:sz="4" w:space="0" w:color="auto"/>
              <w:left w:val="single" w:sz="4" w:space="0" w:color="auto"/>
              <w:bottom w:val="single" w:sz="4" w:space="0" w:color="auto"/>
              <w:right w:val="single" w:sz="4" w:space="0" w:color="auto"/>
            </w:tcBorders>
            <w:hideMark/>
          </w:tcPr>
          <w:p w14:paraId="574177B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1.1746</w:t>
            </w:r>
          </w:p>
        </w:tc>
        <w:tc>
          <w:tcPr>
            <w:tcW w:w="3118" w:type="dxa"/>
            <w:tcBorders>
              <w:top w:val="single" w:sz="4" w:space="0" w:color="auto"/>
              <w:left w:val="single" w:sz="4" w:space="0" w:color="auto"/>
              <w:bottom w:val="single" w:sz="4" w:space="0" w:color="auto"/>
              <w:right w:val="single" w:sz="4" w:space="0" w:color="auto"/>
            </w:tcBorders>
            <w:hideMark/>
          </w:tcPr>
          <w:p w14:paraId="059B1E26"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1.0059</w:t>
            </w:r>
          </w:p>
        </w:tc>
        <w:tc>
          <w:tcPr>
            <w:tcW w:w="2835" w:type="dxa"/>
            <w:tcBorders>
              <w:top w:val="single" w:sz="4" w:space="0" w:color="auto"/>
              <w:left w:val="single" w:sz="4" w:space="0" w:color="auto"/>
              <w:bottom w:val="single" w:sz="4" w:space="0" w:color="auto"/>
              <w:right w:val="single" w:sz="4" w:space="0" w:color="auto"/>
            </w:tcBorders>
            <w:hideMark/>
          </w:tcPr>
          <w:p w14:paraId="2AE049C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1.3432</w:t>
            </w:r>
          </w:p>
        </w:tc>
      </w:tr>
      <w:tr w:rsidR="009A128A" w14:paraId="7AFA2F63" w14:textId="77777777" w:rsidTr="009A128A">
        <w:tc>
          <w:tcPr>
            <w:cnfStyle w:val="001000000000" w:firstRow="0" w:lastRow="0" w:firstColumn="1" w:lastColumn="0" w:oddVBand="0" w:evenVBand="0" w:oddHBand="0" w:evenHBand="0" w:firstRowFirstColumn="0" w:firstRowLastColumn="0" w:lastRowFirstColumn="0" w:lastRowLastColumn="0"/>
            <w:tcW w:w="2235" w:type="dxa"/>
            <w:hideMark/>
          </w:tcPr>
          <w:p w14:paraId="0CBB8A98" w14:textId="77777777" w:rsidR="009A128A" w:rsidRDefault="009A128A" w:rsidP="009A128A">
            <w:pPr>
              <w:spacing w:line="240" w:lineRule="auto"/>
              <w:rPr>
                <w:rFonts w:eastAsia="Calibri" w:cs="Arial"/>
                <w:szCs w:val="22"/>
                <w:lang w:eastAsia="en-US"/>
              </w:rPr>
            </w:pPr>
            <w:r>
              <w:rPr>
                <w:rFonts w:eastAsia="Calibri" w:cs="Arial"/>
                <w:szCs w:val="22"/>
                <w:lang w:eastAsia="en-US"/>
              </w:rPr>
              <w:t>AUC</w:t>
            </w:r>
            <w:r>
              <w:rPr>
                <w:rFonts w:eastAsia="Calibri" w:cs="Arial"/>
                <w:szCs w:val="22"/>
                <w:vertAlign w:val="subscript"/>
                <w:lang w:eastAsia="en-US"/>
              </w:rPr>
              <w:t>(INF)</w:t>
            </w:r>
          </w:p>
        </w:tc>
        <w:tc>
          <w:tcPr>
            <w:tcW w:w="2693" w:type="dxa"/>
            <w:tcBorders>
              <w:top w:val="single" w:sz="4" w:space="0" w:color="auto"/>
              <w:left w:val="single" w:sz="4" w:space="0" w:color="auto"/>
              <w:bottom w:val="single" w:sz="4" w:space="0" w:color="auto"/>
              <w:right w:val="single" w:sz="4" w:space="0" w:color="auto"/>
            </w:tcBorders>
            <w:hideMark/>
          </w:tcPr>
          <w:p w14:paraId="11C0B007"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0.95471</w:t>
            </w:r>
          </w:p>
        </w:tc>
        <w:tc>
          <w:tcPr>
            <w:tcW w:w="3118" w:type="dxa"/>
            <w:tcBorders>
              <w:top w:val="single" w:sz="4" w:space="0" w:color="auto"/>
              <w:left w:val="single" w:sz="4" w:space="0" w:color="auto"/>
              <w:bottom w:val="single" w:sz="4" w:space="0" w:color="auto"/>
              <w:right w:val="single" w:sz="4" w:space="0" w:color="auto"/>
            </w:tcBorders>
            <w:hideMark/>
          </w:tcPr>
          <w:p w14:paraId="282DC8F9"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0.85107</w:t>
            </w:r>
          </w:p>
        </w:tc>
        <w:tc>
          <w:tcPr>
            <w:tcW w:w="2835" w:type="dxa"/>
            <w:tcBorders>
              <w:top w:val="single" w:sz="4" w:space="0" w:color="auto"/>
              <w:left w:val="single" w:sz="4" w:space="0" w:color="auto"/>
              <w:bottom w:val="single" w:sz="4" w:space="0" w:color="auto"/>
              <w:right w:val="single" w:sz="4" w:space="0" w:color="auto"/>
            </w:tcBorders>
            <w:hideMark/>
          </w:tcPr>
          <w:p w14:paraId="7F83B66B" w14:textId="77777777" w:rsidR="009A128A" w:rsidRDefault="009A128A" w:rsidP="009A128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eastAsia="en-US"/>
              </w:rPr>
            </w:pPr>
            <w:r>
              <w:rPr>
                <w:rFonts w:eastAsia="Calibri" w:cs="Arial"/>
                <w:szCs w:val="22"/>
                <w:lang w:eastAsia="en-US"/>
              </w:rPr>
              <w:t>1.0584</w:t>
            </w:r>
          </w:p>
        </w:tc>
      </w:tr>
    </w:tbl>
    <w:p w14:paraId="6AF8E75E" w14:textId="77777777" w:rsidR="009A128A" w:rsidRDefault="009A128A" w:rsidP="009A128A">
      <w:pPr>
        <w:spacing w:line="240" w:lineRule="auto"/>
        <w:rPr>
          <w:rFonts w:eastAsia="Calibri" w:cs="Arial"/>
          <w:szCs w:val="22"/>
          <w:lang w:val="en-US" w:eastAsia="en-US"/>
        </w:rPr>
      </w:pPr>
    </w:p>
    <w:p w14:paraId="69D0EB78" w14:textId="77777777" w:rsidR="009A128A" w:rsidRDefault="009A128A" w:rsidP="009A128A">
      <w:pPr>
        <w:spacing w:line="480" w:lineRule="auto"/>
        <w:rPr>
          <w:rFonts w:eastAsia="Calibri" w:cs="Arial"/>
          <w:szCs w:val="22"/>
          <w:lang w:val="en-US" w:eastAsia="en-US"/>
        </w:rPr>
      </w:pPr>
      <w:r>
        <w:rPr>
          <w:rFonts w:eastAsia="Calibri" w:cs="Arial"/>
          <w:szCs w:val="22"/>
          <w:lang w:val="en-US" w:eastAsia="en-US"/>
        </w:rPr>
        <w:t xml:space="preserve">The criteria limits calculated for assessment of dose proportionality were determined using the values of </w:t>
      </w:r>
      <w:r>
        <w:rPr>
          <w:rFonts w:cs="Arial"/>
          <w:lang w:val="en-US"/>
        </w:rPr>
        <w:t>θ</w:t>
      </w:r>
      <w:r>
        <w:rPr>
          <w:rFonts w:eastAsia="Calibri" w:cs="Arial"/>
          <w:szCs w:val="22"/>
          <w:vertAlign w:val="subscript"/>
          <w:lang w:val="en-US" w:eastAsia="en-US"/>
        </w:rPr>
        <w:t>L</w:t>
      </w:r>
      <w:r>
        <w:rPr>
          <w:rFonts w:eastAsia="Calibri" w:cs="Arial"/>
          <w:szCs w:val="22"/>
          <w:lang w:val="en-US" w:eastAsia="en-US"/>
        </w:rPr>
        <w:t xml:space="preserve"> = 0.5 and </w:t>
      </w:r>
      <w:r>
        <w:rPr>
          <w:rFonts w:cs="Arial"/>
          <w:lang w:val="en-US"/>
        </w:rPr>
        <w:t>θ</w:t>
      </w:r>
      <w:r>
        <w:rPr>
          <w:rFonts w:eastAsia="Calibri" w:cs="Arial"/>
          <w:szCs w:val="22"/>
          <w:vertAlign w:val="subscript"/>
          <w:lang w:val="en-US" w:eastAsia="en-US"/>
        </w:rPr>
        <w:t>H</w:t>
      </w:r>
      <w:r>
        <w:rPr>
          <w:rFonts w:eastAsia="Calibri" w:cs="Arial"/>
          <w:szCs w:val="22"/>
          <w:lang w:val="en-US" w:eastAsia="en-US"/>
        </w:rPr>
        <w:t xml:space="preserve"> = 2.0, where </w:t>
      </w:r>
      <w:r>
        <w:rPr>
          <w:rFonts w:cs="Arial"/>
          <w:lang w:val="en-US"/>
        </w:rPr>
        <w:t>θ</w:t>
      </w:r>
      <w:r>
        <w:rPr>
          <w:rFonts w:eastAsia="Calibri" w:cs="Arial"/>
          <w:szCs w:val="22"/>
          <w:vertAlign w:val="subscript"/>
          <w:lang w:val="en-US" w:eastAsia="en-US"/>
        </w:rPr>
        <w:t>L</w:t>
      </w:r>
      <w:r>
        <w:rPr>
          <w:rFonts w:eastAsia="Calibri" w:cs="Arial"/>
          <w:szCs w:val="22"/>
          <w:lang w:val="en-US" w:eastAsia="en-US"/>
        </w:rPr>
        <w:t xml:space="preserve"> and </w:t>
      </w:r>
      <w:r>
        <w:rPr>
          <w:rFonts w:cs="Arial"/>
          <w:lang w:val="en-US"/>
        </w:rPr>
        <w:t>θ</w:t>
      </w:r>
      <w:r>
        <w:rPr>
          <w:rFonts w:eastAsia="Calibri" w:cs="Arial"/>
          <w:szCs w:val="22"/>
          <w:vertAlign w:val="subscript"/>
          <w:lang w:val="en-US" w:eastAsia="en-US"/>
        </w:rPr>
        <w:t>H</w:t>
      </w:r>
      <w:r>
        <w:rPr>
          <w:rFonts w:eastAsia="Calibri" w:cs="Arial"/>
          <w:szCs w:val="22"/>
          <w:lang w:val="en-US" w:eastAsia="en-US"/>
        </w:rPr>
        <w:t xml:space="preserve"> are the lower and upper limits for the ratio of dose-normalized geometric mean values. To meet the dose proportionality criteria, the calculated point estimate for the exponent of the power function and associated upper and lower confidence limits must be contained wholly within the calculated CI criteria limits. Because the highest administered dose was 900 mg and the lowest administered dose was 10 mg, the CI criteria limits based on </w:t>
      </w:r>
      <w:r>
        <w:rPr>
          <w:rFonts w:cs="Arial"/>
          <w:lang w:val="en-US"/>
        </w:rPr>
        <w:t>θ</w:t>
      </w:r>
      <w:r>
        <w:rPr>
          <w:rFonts w:eastAsia="Calibri" w:cs="Arial"/>
          <w:szCs w:val="22"/>
          <w:vertAlign w:val="subscript"/>
          <w:lang w:val="en-US" w:eastAsia="en-US"/>
        </w:rPr>
        <w:t>L</w:t>
      </w:r>
      <w:r>
        <w:rPr>
          <w:rFonts w:eastAsia="Calibri" w:cs="Arial"/>
          <w:szCs w:val="22"/>
          <w:lang w:val="en-US" w:eastAsia="en-US"/>
        </w:rPr>
        <w:t xml:space="preserve"> = 0.5 and </w:t>
      </w:r>
      <w:r>
        <w:rPr>
          <w:rFonts w:cs="Arial"/>
          <w:lang w:val="en-US"/>
        </w:rPr>
        <w:t>θ</w:t>
      </w:r>
      <w:r>
        <w:rPr>
          <w:rFonts w:eastAsia="Calibri" w:cs="Arial"/>
          <w:szCs w:val="22"/>
          <w:vertAlign w:val="subscript"/>
          <w:lang w:val="en-US" w:eastAsia="en-US"/>
        </w:rPr>
        <w:t>H</w:t>
      </w:r>
      <w:r>
        <w:rPr>
          <w:rFonts w:eastAsia="Calibri" w:cs="Arial"/>
          <w:szCs w:val="22"/>
          <w:lang w:val="en-US" w:eastAsia="en-US"/>
        </w:rPr>
        <w:t xml:space="preserve"> = 2.0 were 0.84596 and 1.154, respectively.</w:t>
      </w:r>
    </w:p>
    <w:p w14:paraId="0EE65135" w14:textId="77777777" w:rsidR="009A128A" w:rsidRDefault="009A128A" w:rsidP="009A128A">
      <w:pPr>
        <w:spacing w:line="480" w:lineRule="auto"/>
        <w:rPr>
          <w:rFonts w:eastAsia="Calibri" w:cs="Arial"/>
          <w:b/>
          <w:szCs w:val="22"/>
          <w:lang w:val="en-US" w:eastAsia="en-US"/>
        </w:rPr>
      </w:pPr>
      <w:r>
        <w:rPr>
          <w:rFonts w:eastAsia="Calibri" w:cs="Arial"/>
          <w:szCs w:val="22"/>
          <w:lang w:val="en-US" w:eastAsia="en-US"/>
        </w:rPr>
        <w:t>AUC</w:t>
      </w:r>
      <w:r>
        <w:rPr>
          <w:rFonts w:eastAsia="Calibri" w:cs="Arial"/>
          <w:szCs w:val="22"/>
          <w:vertAlign w:val="subscript"/>
          <w:lang w:val="en-US" w:eastAsia="en-US"/>
        </w:rPr>
        <w:t>(0‒T)</w:t>
      </w:r>
      <w:r>
        <w:rPr>
          <w:rFonts w:eastAsia="Calibri" w:cs="Arial"/>
          <w:szCs w:val="22"/>
          <w:lang w:val="en-US" w:eastAsia="en-US"/>
        </w:rPr>
        <w:t>, area under the serum concentration</w:t>
      </w:r>
      <w:r>
        <w:rPr>
          <w:rFonts w:ascii="Gill Sans MT" w:eastAsia="Calibri" w:hAnsi="Gill Sans MT" w:cs="Arial"/>
          <w:szCs w:val="22"/>
          <w:lang w:val="en-US" w:eastAsia="en-US"/>
        </w:rPr>
        <w:t>–</w:t>
      </w:r>
      <w:r>
        <w:rPr>
          <w:rFonts w:eastAsia="Calibri" w:cs="Arial"/>
          <w:szCs w:val="22"/>
          <w:lang w:val="en-US" w:eastAsia="en-US"/>
        </w:rPr>
        <w:t>time curve from time 0 to the time of the last measurable concentration after drug administration; AUC</w:t>
      </w:r>
      <w:r>
        <w:rPr>
          <w:rFonts w:eastAsia="Calibri" w:cs="Arial"/>
          <w:szCs w:val="22"/>
          <w:vertAlign w:val="subscript"/>
          <w:lang w:val="en-US" w:eastAsia="en-US"/>
        </w:rPr>
        <w:t>(INF)</w:t>
      </w:r>
      <w:r>
        <w:rPr>
          <w:rFonts w:eastAsia="Calibri" w:cs="Arial"/>
          <w:szCs w:val="22"/>
          <w:lang w:val="en-US" w:eastAsia="en-US"/>
        </w:rPr>
        <w:t>, area under the serum concentration</w:t>
      </w:r>
      <w:r>
        <w:rPr>
          <w:rFonts w:ascii="Gill Sans MT" w:eastAsia="Calibri" w:hAnsi="Gill Sans MT" w:cs="Arial"/>
          <w:szCs w:val="22"/>
          <w:lang w:val="en-US" w:eastAsia="en-US"/>
        </w:rPr>
        <w:t>–</w:t>
      </w:r>
      <w:r>
        <w:rPr>
          <w:rFonts w:eastAsia="Calibri" w:cs="Arial"/>
          <w:szCs w:val="22"/>
          <w:lang w:val="en-US" w:eastAsia="en-US"/>
        </w:rPr>
        <w:t>time curve from time 0 extrapolated to infinity; CI, confidence interval; C</w:t>
      </w:r>
      <w:r>
        <w:rPr>
          <w:rFonts w:eastAsia="Calibri" w:cs="Arial"/>
          <w:szCs w:val="22"/>
          <w:vertAlign w:val="subscript"/>
          <w:lang w:val="en-US" w:eastAsia="en-US"/>
        </w:rPr>
        <w:t>max</w:t>
      </w:r>
      <w:r>
        <w:rPr>
          <w:rFonts w:eastAsia="Calibri" w:cs="Arial"/>
          <w:szCs w:val="22"/>
          <w:lang w:val="en-US" w:eastAsia="en-US"/>
        </w:rPr>
        <w:t>, maximum observed serum drug concentration.</w:t>
      </w:r>
    </w:p>
    <w:p w14:paraId="34C62656" w14:textId="77777777" w:rsidR="009A128A" w:rsidRDefault="009A128A" w:rsidP="009A128A">
      <w:pPr>
        <w:spacing w:line="240" w:lineRule="auto"/>
        <w:rPr>
          <w:rFonts w:eastAsia="Calibri" w:cs="Arial"/>
          <w:b/>
          <w:szCs w:val="22"/>
          <w:lang w:val="en-US" w:eastAsia="en-US"/>
        </w:rPr>
        <w:sectPr w:rsidR="009A128A">
          <w:pgSz w:w="16838" w:h="11906" w:orient="landscape"/>
          <w:pgMar w:top="1418" w:right="1418" w:bottom="1418" w:left="1418" w:header="284" w:footer="720" w:gutter="0"/>
          <w:cols w:space="720"/>
        </w:sectPr>
      </w:pPr>
    </w:p>
    <w:p w14:paraId="7E6D4964" w14:textId="59A934C5" w:rsidR="002650B3" w:rsidRDefault="002650B3" w:rsidP="002650B3">
      <w:pPr>
        <w:spacing w:after="200" w:line="276" w:lineRule="auto"/>
        <w:rPr>
          <w:rFonts w:eastAsia="Calibri" w:cs="Arial"/>
          <w:b/>
          <w:szCs w:val="22"/>
          <w:lang w:val="en-US" w:eastAsia="en-US"/>
        </w:rPr>
      </w:pPr>
      <w:r w:rsidRPr="00C861C4">
        <w:rPr>
          <w:rFonts w:eastAsia="Calibri" w:cs="Arial"/>
          <w:b/>
          <w:szCs w:val="22"/>
          <w:lang w:val="en-US" w:eastAsia="en-US"/>
        </w:rPr>
        <w:lastRenderedPageBreak/>
        <w:t xml:space="preserve">Supplementary Figure S1. Study participant </w:t>
      </w:r>
      <w:r>
        <w:rPr>
          <w:rFonts w:eastAsia="Calibri" w:cs="Arial"/>
          <w:b/>
          <w:szCs w:val="22"/>
          <w:lang w:val="en-US" w:eastAsia="en-US"/>
        </w:rPr>
        <w:t>flow chart</w:t>
      </w:r>
    </w:p>
    <w:p w14:paraId="41A57518" w14:textId="77777777" w:rsidR="002650B3" w:rsidRDefault="002650B3" w:rsidP="002650B3">
      <w:pPr>
        <w:spacing w:after="200" w:line="276" w:lineRule="auto"/>
        <w:rPr>
          <w:rFonts w:eastAsia="Calibri" w:cs="Arial"/>
          <w:b/>
          <w:szCs w:val="22"/>
          <w:lang w:val="en-US" w:eastAsia="en-US"/>
        </w:rPr>
      </w:pPr>
    </w:p>
    <w:p w14:paraId="0389E5A0" w14:textId="77777777" w:rsidR="002650B3" w:rsidRPr="00C861C4" w:rsidRDefault="002650B3" w:rsidP="002650B3">
      <w:pPr>
        <w:spacing w:after="200" w:line="276" w:lineRule="auto"/>
        <w:rPr>
          <w:rFonts w:eastAsia="Calibri" w:cs="Arial"/>
          <w:b/>
          <w:szCs w:val="22"/>
          <w:lang w:val="en-US" w:eastAsia="en-US"/>
        </w:rPr>
      </w:pPr>
    </w:p>
    <w:p w14:paraId="5C3ADEAD" w14:textId="77777777" w:rsidR="002650B3" w:rsidRPr="00C861C4" w:rsidRDefault="002650B3" w:rsidP="002650B3">
      <w:pPr>
        <w:spacing w:after="200" w:line="276" w:lineRule="auto"/>
        <w:rPr>
          <w:rFonts w:eastAsia="Calibri" w:cs="Arial"/>
          <w:b/>
          <w:szCs w:val="22"/>
          <w:lang w:val="en-US" w:eastAsia="en-US"/>
        </w:rPr>
      </w:pPr>
      <w:r w:rsidRPr="00637F33">
        <w:rPr>
          <w:noProof/>
          <w:lang w:val="en-US" w:eastAsia="en-US"/>
        </w:rPr>
        <w:drawing>
          <wp:inline distT="0" distB="0" distL="0" distR="0" wp14:anchorId="66BEC91E" wp14:editId="4036750A">
            <wp:extent cx="5759450" cy="592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5925588"/>
                    </a:xfrm>
                    <a:prstGeom prst="rect">
                      <a:avLst/>
                    </a:prstGeom>
                  </pic:spPr>
                </pic:pic>
              </a:graphicData>
            </a:graphic>
          </wp:inline>
        </w:drawing>
      </w:r>
    </w:p>
    <w:p w14:paraId="597D6B7D" w14:textId="77777777" w:rsidR="002650B3" w:rsidRPr="00637F33" w:rsidRDefault="002650B3" w:rsidP="002650B3">
      <w:pPr>
        <w:spacing w:after="200" w:line="276" w:lineRule="auto"/>
        <w:rPr>
          <w:rFonts w:eastAsia="Calibri" w:cs="Arial"/>
          <w:szCs w:val="22"/>
          <w:lang w:val="en-US" w:eastAsia="en-US"/>
        </w:rPr>
      </w:pPr>
      <w:r w:rsidRPr="00637F33">
        <w:rPr>
          <w:rFonts w:eastAsia="Calibri" w:cs="Arial"/>
          <w:szCs w:val="22"/>
          <w:lang w:val="en-US" w:eastAsia="en-US"/>
        </w:rPr>
        <w:t>*One of the two participants listed as ‘other’ completed Day 90 but the Case Report Form did not record this status.</w:t>
      </w:r>
    </w:p>
    <w:p w14:paraId="3B916FAE" w14:textId="77777777" w:rsidR="002650B3" w:rsidRPr="00C861C4" w:rsidRDefault="002650B3" w:rsidP="002650B3">
      <w:pPr>
        <w:spacing w:after="200" w:line="276" w:lineRule="auto"/>
        <w:rPr>
          <w:rFonts w:eastAsia="Calibri" w:cs="Arial"/>
          <w:b/>
          <w:szCs w:val="22"/>
          <w:lang w:val="en-US" w:eastAsia="en-US"/>
        </w:rPr>
      </w:pPr>
    </w:p>
    <w:p w14:paraId="557634CF" w14:textId="77777777" w:rsidR="002650B3" w:rsidRPr="00C861C4" w:rsidRDefault="002650B3" w:rsidP="002650B3">
      <w:pPr>
        <w:spacing w:after="200" w:line="276" w:lineRule="auto"/>
        <w:rPr>
          <w:rFonts w:eastAsia="Calibri" w:cs="Arial"/>
          <w:b/>
          <w:szCs w:val="22"/>
          <w:lang w:val="en-US" w:eastAsia="en-US"/>
        </w:rPr>
      </w:pPr>
    </w:p>
    <w:p w14:paraId="32D4D7CB" w14:textId="77777777" w:rsidR="002650B3" w:rsidRPr="00C861C4" w:rsidRDefault="002650B3" w:rsidP="002650B3">
      <w:pPr>
        <w:spacing w:line="240" w:lineRule="auto"/>
        <w:rPr>
          <w:rFonts w:eastAsia="Calibri" w:cs="Arial"/>
          <w:b/>
          <w:szCs w:val="22"/>
          <w:lang w:val="en-US" w:eastAsia="en-US"/>
        </w:rPr>
      </w:pPr>
      <w:r w:rsidRPr="00C861C4">
        <w:rPr>
          <w:rFonts w:eastAsia="Calibri" w:cs="Arial"/>
          <w:b/>
          <w:szCs w:val="22"/>
          <w:lang w:val="en-US" w:eastAsia="en-US"/>
        </w:rPr>
        <w:br w:type="page"/>
      </w:r>
    </w:p>
    <w:p w14:paraId="2A67647C" w14:textId="5BC922F8" w:rsidR="002650B3" w:rsidRDefault="002650B3" w:rsidP="002650B3">
      <w:pPr>
        <w:spacing w:after="200" w:line="276" w:lineRule="auto"/>
        <w:rPr>
          <w:rFonts w:eastAsia="Calibri" w:cs="Arial"/>
          <w:b/>
          <w:szCs w:val="22"/>
          <w:lang w:val="en-US" w:eastAsia="en-US"/>
        </w:rPr>
      </w:pPr>
      <w:r w:rsidRPr="00C861C4">
        <w:rPr>
          <w:rFonts w:eastAsia="Calibri" w:cs="Arial"/>
          <w:b/>
          <w:szCs w:val="22"/>
          <w:lang w:val="en-US" w:eastAsia="en-US"/>
        </w:rPr>
        <w:lastRenderedPageBreak/>
        <w:t>Supplementary Figure S2. Mean (SD) overlay plots of BMS</w:t>
      </w:r>
      <w:r>
        <w:rPr>
          <w:rFonts w:eastAsia="Calibri" w:cs="Arial"/>
          <w:b/>
          <w:szCs w:val="22"/>
          <w:lang w:val="en-US" w:eastAsia="en-US"/>
        </w:rPr>
        <w:t>-</w:t>
      </w:r>
      <w:r w:rsidRPr="00C861C4">
        <w:rPr>
          <w:rFonts w:eastAsia="Calibri" w:cs="Arial"/>
          <w:b/>
          <w:szCs w:val="22"/>
          <w:lang w:val="en-US" w:eastAsia="en-US"/>
        </w:rPr>
        <w:t>936559 serum concentration</w:t>
      </w:r>
      <w:r>
        <w:rPr>
          <w:rFonts w:ascii="Gill Sans MT" w:eastAsia="Calibri" w:hAnsi="Gill Sans MT" w:cs="Arial"/>
          <w:b/>
          <w:szCs w:val="22"/>
          <w:lang w:val="en-US" w:eastAsia="en-US"/>
        </w:rPr>
        <w:t>–</w:t>
      </w:r>
      <w:r w:rsidRPr="00C861C4">
        <w:rPr>
          <w:rFonts w:eastAsia="Calibri" w:cs="Arial"/>
          <w:b/>
          <w:szCs w:val="22"/>
          <w:lang w:val="en-US" w:eastAsia="en-US"/>
        </w:rPr>
        <w:t>time profiles following intravenous infusion of BMS-936559 in participants with sepsis-associated immuno</w:t>
      </w:r>
      <w:r>
        <w:rPr>
          <w:rFonts w:eastAsia="Calibri" w:cs="Arial"/>
          <w:b/>
          <w:szCs w:val="22"/>
          <w:lang w:val="en-US" w:eastAsia="en-US"/>
        </w:rPr>
        <w:t>suppression</w:t>
      </w:r>
    </w:p>
    <w:p w14:paraId="5B86A570" w14:textId="77777777" w:rsidR="002650B3" w:rsidRDefault="002650B3" w:rsidP="002650B3">
      <w:pPr>
        <w:spacing w:after="200" w:line="276" w:lineRule="auto"/>
        <w:rPr>
          <w:rFonts w:eastAsia="Calibri" w:cs="Arial"/>
          <w:b/>
          <w:szCs w:val="22"/>
          <w:lang w:val="en-US" w:eastAsia="en-US"/>
        </w:rPr>
      </w:pPr>
      <w:r w:rsidRPr="004C4AD4">
        <w:rPr>
          <w:noProof/>
          <w:lang w:val="en-US" w:eastAsia="en-US"/>
        </w:rPr>
        <w:drawing>
          <wp:inline distT="0" distB="0" distL="0" distR="0" wp14:anchorId="0434E51E" wp14:editId="7C465343">
            <wp:extent cx="6109605" cy="481965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b="625"/>
                    <a:stretch/>
                  </pic:blipFill>
                  <pic:spPr bwMode="auto">
                    <a:xfrm>
                      <a:off x="0" y="0"/>
                      <a:ext cx="6112644" cy="4822047"/>
                    </a:xfrm>
                    <a:prstGeom prst="rect">
                      <a:avLst/>
                    </a:prstGeom>
                    <a:ln>
                      <a:noFill/>
                    </a:ln>
                    <a:extLst>
                      <a:ext uri="{53640926-AAD7-44D8-BBD7-CCE9431645EC}">
                        <a14:shadowObscured xmlns:a14="http://schemas.microsoft.com/office/drawing/2010/main"/>
                      </a:ext>
                    </a:extLst>
                  </pic:spPr>
                </pic:pic>
              </a:graphicData>
            </a:graphic>
          </wp:inline>
        </w:drawing>
      </w:r>
    </w:p>
    <w:p w14:paraId="5785A2F6" w14:textId="77777777" w:rsidR="002650B3" w:rsidRPr="00C861C4" w:rsidRDefault="002650B3" w:rsidP="002650B3">
      <w:pPr>
        <w:spacing w:after="200" w:line="276" w:lineRule="auto"/>
        <w:rPr>
          <w:rFonts w:eastAsia="Calibri" w:cs="Arial"/>
          <w:szCs w:val="22"/>
          <w:lang w:val="en-US" w:eastAsia="en-US"/>
        </w:rPr>
      </w:pPr>
      <w:r w:rsidRPr="00C861C4">
        <w:rPr>
          <w:rFonts w:eastAsia="Calibri" w:cs="Arial"/>
          <w:szCs w:val="22"/>
          <w:lang w:val="en-US" w:eastAsia="en-US"/>
        </w:rPr>
        <w:t>SD, standard deviation</w:t>
      </w:r>
      <w:r>
        <w:rPr>
          <w:rFonts w:eastAsia="Calibri" w:cs="Arial"/>
          <w:szCs w:val="22"/>
          <w:lang w:val="en-US" w:eastAsia="en-US"/>
        </w:rPr>
        <w:t>.</w:t>
      </w:r>
    </w:p>
    <w:p w14:paraId="3CC99913" w14:textId="77777777" w:rsidR="002650B3" w:rsidRDefault="002650B3" w:rsidP="002650B3">
      <w:pPr>
        <w:spacing w:line="240" w:lineRule="auto"/>
        <w:rPr>
          <w:rFonts w:eastAsia="Calibri" w:cs="Arial"/>
          <w:b/>
          <w:szCs w:val="22"/>
          <w:lang w:val="en-US" w:eastAsia="en-US"/>
        </w:rPr>
      </w:pPr>
      <w:r>
        <w:rPr>
          <w:rFonts w:eastAsia="Calibri" w:cs="Arial"/>
          <w:b/>
          <w:szCs w:val="22"/>
          <w:lang w:val="en-US" w:eastAsia="en-US"/>
        </w:rPr>
        <w:br w:type="page"/>
      </w:r>
    </w:p>
    <w:p w14:paraId="1D024259" w14:textId="77777777" w:rsidR="002650B3" w:rsidRDefault="002650B3" w:rsidP="002650B3">
      <w:pPr>
        <w:spacing w:after="200" w:line="276" w:lineRule="auto"/>
        <w:rPr>
          <w:rFonts w:eastAsia="Calibri" w:cs="Arial"/>
          <w:b/>
          <w:szCs w:val="22"/>
          <w:lang w:val="en-US" w:eastAsia="en-US"/>
        </w:rPr>
        <w:sectPr w:rsidR="002650B3" w:rsidSect="00AC4012">
          <w:pgSz w:w="11906" w:h="16838" w:code="9"/>
          <w:pgMar w:top="1418" w:right="1418" w:bottom="1418" w:left="1418" w:header="284" w:footer="720" w:gutter="0"/>
          <w:cols w:space="720"/>
          <w:docGrid w:linePitch="326"/>
        </w:sectPr>
      </w:pPr>
    </w:p>
    <w:p w14:paraId="7AB81F01" w14:textId="188BB2D5" w:rsidR="002650B3" w:rsidRDefault="002650B3" w:rsidP="002650B3">
      <w:pPr>
        <w:spacing w:after="200" w:line="276" w:lineRule="auto"/>
        <w:rPr>
          <w:rFonts w:eastAsia="Calibri" w:cs="Arial"/>
          <w:b/>
          <w:szCs w:val="22"/>
          <w:lang w:val="en-US" w:eastAsia="en-US"/>
        </w:rPr>
      </w:pPr>
      <w:r>
        <w:rPr>
          <w:rFonts w:eastAsia="Calibri" w:cs="Arial"/>
          <w:b/>
          <w:szCs w:val="22"/>
          <w:lang w:val="en-US" w:eastAsia="en-US"/>
        </w:rPr>
        <w:lastRenderedPageBreak/>
        <w:t>Supplementary Figure S3</w:t>
      </w:r>
      <w:r w:rsidRPr="00C21658">
        <w:rPr>
          <w:rFonts w:eastAsia="Calibri" w:cs="Arial"/>
          <w:b/>
          <w:szCs w:val="22"/>
          <w:lang w:val="en-US" w:eastAsia="en-US"/>
        </w:rPr>
        <w:t>.</w:t>
      </w:r>
      <w:r>
        <w:rPr>
          <w:rFonts w:eastAsia="Calibri" w:cs="Arial"/>
          <w:b/>
          <w:szCs w:val="22"/>
          <w:lang w:val="en-US" w:eastAsia="en-US"/>
        </w:rPr>
        <w:t xml:space="preserve"> Interleukin-6 levels over time (semi-log plot)</w:t>
      </w:r>
    </w:p>
    <w:p w14:paraId="048A5EEE" w14:textId="1370ED5B" w:rsidR="002650B3" w:rsidRDefault="003F163D" w:rsidP="002650B3">
      <w:pPr>
        <w:spacing w:after="200" w:line="276" w:lineRule="auto"/>
        <w:rPr>
          <w:rFonts w:eastAsia="Calibri" w:cs="Arial"/>
          <w:b/>
          <w:szCs w:val="22"/>
          <w:lang w:val="en-US" w:eastAsia="en-US"/>
        </w:rPr>
      </w:pPr>
      <w:r w:rsidRPr="003F163D">
        <w:rPr>
          <w:noProof/>
        </w:rPr>
        <w:drawing>
          <wp:inline distT="0" distB="0" distL="0" distR="0" wp14:anchorId="6E4E6D95" wp14:editId="0490F2F6">
            <wp:extent cx="8882062"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04"/>
                    <a:stretch/>
                  </pic:blipFill>
                  <pic:spPr bwMode="auto">
                    <a:xfrm>
                      <a:off x="0" y="0"/>
                      <a:ext cx="8882062" cy="3619500"/>
                    </a:xfrm>
                    <a:prstGeom prst="rect">
                      <a:avLst/>
                    </a:prstGeom>
                    <a:ln>
                      <a:noFill/>
                    </a:ln>
                    <a:extLst>
                      <a:ext uri="{53640926-AAD7-44D8-BBD7-CCE9431645EC}">
                        <a14:shadowObscured xmlns:a14="http://schemas.microsoft.com/office/drawing/2010/main"/>
                      </a:ext>
                    </a:extLst>
                  </pic:spPr>
                </pic:pic>
              </a:graphicData>
            </a:graphic>
          </wp:inline>
        </w:drawing>
      </w:r>
    </w:p>
    <w:p w14:paraId="60BC5B24" w14:textId="77777777" w:rsidR="002650B3" w:rsidRDefault="002650B3" w:rsidP="002650B3">
      <w:pPr>
        <w:spacing w:after="200" w:line="276" w:lineRule="auto"/>
        <w:rPr>
          <w:rFonts w:eastAsia="Calibri" w:cs="Arial"/>
          <w:szCs w:val="22"/>
          <w:lang w:val="en-US" w:eastAsia="en-US"/>
        </w:rPr>
      </w:pPr>
      <w:r>
        <w:rPr>
          <w:rFonts w:eastAsia="Calibri" w:cs="Arial"/>
          <w:szCs w:val="22"/>
          <w:lang w:val="en-US" w:eastAsia="en-US"/>
        </w:rPr>
        <w:t>Separate c</w:t>
      </w:r>
      <w:r w:rsidRPr="00617EDB">
        <w:rPr>
          <w:rFonts w:eastAsia="Calibri" w:cs="Arial"/>
          <w:szCs w:val="22"/>
          <w:lang w:val="en-US" w:eastAsia="en-US"/>
        </w:rPr>
        <w:t>olors represent individual participants</w:t>
      </w:r>
      <w:r>
        <w:rPr>
          <w:rFonts w:eastAsia="Calibri" w:cs="Arial"/>
          <w:szCs w:val="22"/>
          <w:lang w:val="en-US" w:eastAsia="en-US"/>
        </w:rPr>
        <w:t>.</w:t>
      </w:r>
    </w:p>
    <w:p w14:paraId="35015E54" w14:textId="77777777" w:rsidR="002650B3" w:rsidRPr="00617EDB" w:rsidRDefault="002650B3" w:rsidP="002650B3">
      <w:pPr>
        <w:spacing w:after="200" w:line="276" w:lineRule="auto"/>
        <w:rPr>
          <w:rFonts w:eastAsia="Calibri" w:cs="Arial"/>
          <w:szCs w:val="22"/>
          <w:lang w:val="en-US" w:eastAsia="en-US"/>
        </w:rPr>
      </w:pPr>
      <w:r>
        <w:rPr>
          <w:rFonts w:eastAsia="Calibri" w:cs="Arial"/>
          <w:szCs w:val="22"/>
          <w:lang w:val="en-US" w:eastAsia="en-US"/>
        </w:rPr>
        <w:t>IL, interleukin.</w:t>
      </w:r>
    </w:p>
    <w:p w14:paraId="108C85B9" w14:textId="77777777" w:rsidR="002650B3" w:rsidRDefault="002650B3" w:rsidP="002650B3">
      <w:pPr>
        <w:spacing w:line="240" w:lineRule="auto"/>
        <w:rPr>
          <w:rFonts w:eastAsia="Calibri" w:cs="Arial"/>
          <w:szCs w:val="22"/>
          <w:lang w:val="en-US" w:eastAsia="en-US"/>
        </w:rPr>
      </w:pPr>
      <w:r>
        <w:rPr>
          <w:rFonts w:eastAsia="Calibri" w:cs="Arial"/>
          <w:szCs w:val="22"/>
          <w:lang w:val="en-US" w:eastAsia="en-US"/>
        </w:rPr>
        <w:br w:type="page"/>
      </w:r>
    </w:p>
    <w:p w14:paraId="79F2CF70" w14:textId="2CE58F28" w:rsidR="002650B3" w:rsidRDefault="002650B3" w:rsidP="002650B3">
      <w:pPr>
        <w:spacing w:after="200" w:line="276" w:lineRule="auto"/>
        <w:rPr>
          <w:rFonts w:eastAsia="Calibri" w:cs="Arial"/>
          <w:b/>
          <w:szCs w:val="22"/>
          <w:lang w:val="en-US" w:eastAsia="en-US"/>
        </w:rPr>
      </w:pPr>
      <w:r>
        <w:rPr>
          <w:rFonts w:eastAsia="Calibri" w:cs="Arial"/>
          <w:b/>
          <w:szCs w:val="22"/>
          <w:lang w:val="en-US" w:eastAsia="en-US"/>
        </w:rPr>
        <w:lastRenderedPageBreak/>
        <w:t>Supplementary Figure S4</w:t>
      </w:r>
      <w:r w:rsidRPr="00C21658">
        <w:rPr>
          <w:rFonts w:eastAsia="Calibri" w:cs="Arial"/>
          <w:b/>
          <w:szCs w:val="22"/>
          <w:lang w:val="en-US" w:eastAsia="en-US"/>
        </w:rPr>
        <w:t>.</w:t>
      </w:r>
      <w:r>
        <w:rPr>
          <w:rFonts w:eastAsia="Calibri" w:cs="Arial"/>
          <w:b/>
          <w:szCs w:val="22"/>
          <w:lang w:val="en-US" w:eastAsia="en-US"/>
        </w:rPr>
        <w:t xml:space="preserve"> Interleukin-8 levels over time (semi-log plot)</w:t>
      </w:r>
    </w:p>
    <w:p w14:paraId="730CF598" w14:textId="330DA053" w:rsidR="002650B3" w:rsidRDefault="003F163D" w:rsidP="002650B3">
      <w:pPr>
        <w:spacing w:after="200" w:line="276" w:lineRule="auto"/>
        <w:rPr>
          <w:rFonts w:eastAsia="Calibri" w:cs="Arial"/>
          <w:b/>
          <w:szCs w:val="22"/>
          <w:lang w:val="en-US" w:eastAsia="en-US"/>
        </w:rPr>
      </w:pPr>
      <w:r w:rsidRPr="003F163D">
        <w:rPr>
          <w:noProof/>
        </w:rPr>
        <w:drawing>
          <wp:inline distT="0" distB="0" distL="0" distR="0" wp14:anchorId="2CCC63EC" wp14:editId="67B7E42D">
            <wp:extent cx="8891270" cy="363029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1270" cy="3630295"/>
                    </a:xfrm>
                    <a:prstGeom prst="rect">
                      <a:avLst/>
                    </a:prstGeom>
                  </pic:spPr>
                </pic:pic>
              </a:graphicData>
            </a:graphic>
          </wp:inline>
        </w:drawing>
      </w:r>
    </w:p>
    <w:p w14:paraId="241F988B" w14:textId="77777777" w:rsidR="002650B3" w:rsidRPr="00617EDB" w:rsidRDefault="002650B3" w:rsidP="002650B3">
      <w:pPr>
        <w:spacing w:after="200" w:line="276" w:lineRule="auto"/>
        <w:rPr>
          <w:rFonts w:eastAsia="Calibri" w:cs="Arial"/>
          <w:szCs w:val="22"/>
          <w:lang w:val="en-US" w:eastAsia="en-US"/>
        </w:rPr>
      </w:pPr>
      <w:r>
        <w:rPr>
          <w:rFonts w:eastAsia="Calibri" w:cs="Arial"/>
          <w:szCs w:val="22"/>
          <w:lang w:val="en-US" w:eastAsia="en-US"/>
        </w:rPr>
        <w:t>Separate c</w:t>
      </w:r>
      <w:r w:rsidRPr="00617EDB">
        <w:rPr>
          <w:rFonts w:eastAsia="Calibri" w:cs="Arial"/>
          <w:szCs w:val="22"/>
          <w:lang w:val="en-US" w:eastAsia="en-US"/>
        </w:rPr>
        <w:t>olors represent individual participants</w:t>
      </w:r>
      <w:r>
        <w:rPr>
          <w:rFonts w:eastAsia="Calibri" w:cs="Arial"/>
          <w:szCs w:val="22"/>
          <w:lang w:val="en-US" w:eastAsia="en-US"/>
        </w:rPr>
        <w:t>.</w:t>
      </w:r>
    </w:p>
    <w:p w14:paraId="6B2BC9B6" w14:textId="77777777" w:rsidR="002650B3" w:rsidRPr="00617EDB" w:rsidRDefault="002650B3" w:rsidP="002650B3">
      <w:pPr>
        <w:spacing w:after="200" w:line="276" w:lineRule="auto"/>
        <w:rPr>
          <w:rFonts w:eastAsia="Calibri" w:cs="Arial"/>
          <w:szCs w:val="22"/>
          <w:lang w:val="en-US" w:eastAsia="en-US"/>
        </w:rPr>
      </w:pPr>
      <w:r>
        <w:rPr>
          <w:rFonts w:eastAsia="Calibri" w:cs="Arial"/>
          <w:szCs w:val="22"/>
          <w:lang w:val="en-US" w:eastAsia="en-US"/>
        </w:rPr>
        <w:t>IL, interleukin.</w:t>
      </w:r>
    </w:p>
    <w:p w14:paraId="09E63452" w14:textId="77777777" w:rsidR="002650B3" w:rsidRDefault="002650B3" w:rsidP="002650B3">
      <w:pPr>
        <w:spacing w:line="240" w:lineRule="auto"/>
        <w:rPr>
          <w:rFonts w:eastAsia="Calibri" w:cs="Arial"/>
          <w:szCs w:val="22"/>
          <w:lang w:val="en-US" w:eastAsia="en-US"/>
        </w:rPr>
      </w:pPr>
    </w:p>
    <w:p w14:paraId="5F71E22A" w14:textId="77777777" w:rsidR="002650B3" w:rsidRDefault="002650B3" w:rsidP="002650B3">
      <w:pPr>
        <w:spacing w:line="240" w:lineRule="auto"/>
        <w:rPr>
          <w:rFonts w:eastAsia="Calibri" w:cs="Arial"/>
          <w:b/>
          <w:szCs w:val="22"/>
          <w:lang w:val="en-US" w:eastAsia="en-US"/>
        </w:rPr>
      </w:pPr>
      <w:r>
        <w:rPr>
          <w:rFonts w:eastAsia="Calibri" w:cs="Arial"/>
          <w:b/>
          <w:szCs w:val="22"/>
          <w:lang w:val="en-US" w:eastAsia="en-US"/>
        </w:rPr>
        <w:br w:type="page"/>
      </w:r>
    </w:p>
    <w:p w14:paraId="2EFE3DD3" w14:textId="170198ED" w:rsidR="002650B3" w:rsidRDefault="002650B3" w:rsidP="002650B3">
      <w:pPr>
        <w:spacing w:after="200" w:line="276" w:lineRule="auto"/>
        <w:rPr>
          <w:rFonts w:eastAsia="Calibri" w:cs="Arial"/>
          <w:b/>
          <w:szCs w:val="22"/>
          <w:lang w:val="en-US" w:eastAsia="en-US"/>
        </w:rPr>
      </w:pPr>
      <w:r>
        <w:rPr>
          <w:rFonts w:eastAsia="Calibri" w:cs="Arial"/>
          <w:b/>
          <w:szCs w:val="22"/>
          <w:lang w:val="en-US" w:eastAsia="en-US"/>
        </w:rPr>
        <w:lastRenderedPageBreak/>
        <w:t>Supplementary Figure S5</w:t>
      </w:r>
      <w:r w:rsidRPr="00C21658">
        <w:rPr>
          <w:rFonts w:eastAsia="Calibri" w:cs="Arial"/>
          <w:b/>
          <w:szCs w:val="22"/>
          <w:lang w:val="en-US" w:eastAsia="en-US"/>
        </w:rPr>
        <w:t>.</w:t>
      </w:r>
      <w:r>
        <w:rPr>
          <w:rFonts w:eastAsia="Calibri" w:cs="Arial"/>
          <w:b/>
          <w:szCs w:val="22"/>
          <w:lang w:val="en-US" w:eastAsia="en-US"/>
        </w:rPr>
        <w:t xml:space="preserve"> Interleukin-10 levels over time (semi-log plot)</w:t>
      </w:r>
    </w:p>
    <w:p w14:paraId="6A9695F3" w14:textId="5636C05C" w:rsidR="002650B3" w:rsidRDefault="00937B38" w:rsidP="002650B3">
      <w:pPr>
        <w:spacing w:after="200" w:line="276" w:lineRule="auto"/>
        <w:rPr>
          <w:rFonts w:eastAsia="Calibri" w:cs="Arial"/>
          <w:szCs w:val="22"/>
          <w:lang w:val="en-US" w:eastAsia="en-US"/>
        </w:rPr>
      </w:pPr>
      <w:r w:rsidRPr="00937B38">
        <w:rPr>
          <w:noProof/>
        </w:rPr>
        <w:drawing>
          <wp:inline distT="0" distB="0" distL="0" distR="0" wp14:anchorId="0D7E7446" wp14:editId="30F24629">
            <wp:extent cx="8891270" cy="363220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32200"/>
                    </a:xfrm>
                    <a:prstGeom prst="rect">
                      <a:avLst/>
                    </a:prstGeom>
                  </pic:spPr>
                </pic:pic>
              </a:graphicData>
            </a:graphic>
          </wp:inline>
        </w:drawing>
      </w:r>
    </w:p>
    <w:p w14:paraId="0A957C03" w14:textId="77777777" w:rsidR="002650B3" w:rsidRDefault="002650B3" w:rsidP="002650B3">
      <w:pPr>
        <w:spacing w:after="200" w:line="276" w:lineRule="auto"/>
        <w:rPr>
          <w:rFonts w:eastAsia="Calibri" w:cs="Arial"/>
          <w:szCs w:val="22"/>
          <w:lang w:val="en-US" w:eastAsia="en-US"/>
        </w:rPr>
      </w:pPr>
      <w:r>
        <w:rPr>
          <w:rFonts w:eastAsia="Calibri" w:cs="Arial"/>
          <w:szCs w:val="22"/>
          <w:lang w:val="en-US" w:eastAsia="en-US"/>
        </w:rPr>
        <w:t>Separate c</w:t>
      </w:r>
      <w:r w:rsidRPr="00617EDB">
        <w:rPr>
          <w:rFonts w:eastAsia="Calibri" w:cs="Arial"/>
          <w:szCs w:val="22"/>
          <w:lang w:val="en-US" w:eastAsia="en-US"/>
        </w:rPr>
        <w:t>olors represent individual participants</w:t>
      </w:r>
      <w:r>
        <w:rPr>
          <w:rFonts w:eastAsia="Calibri" w:cs="Arial"/>
          <w:szCs w:val="22"/>
          <w:lang w:val="en-US" w:eastAsia="en-US"/>
        </w:rPr>
        <w:t>.</w:t>
      </w:r>
    </w:p>
    <w:p w14:paraId="23C32288" w14:textId="77777777" w:rsidR="002650B3" w:rsidRPr="00617EDB" w:rsidRDefault="002650B3" w:rsidP="002650B3">
      <w:pPr>
        <w:spacing w:after="200" w:line="276" w:lineRule="auto"/>
        <w:rPr>
          <w:rFonts w:eastAsia="Calibri" w:cs="Arial"/>
          <w:szCs w:val="22"/>
          <w:lang w:val="en-US" w:eastAsia="en-US"/>
        </w:rPr>
      </w:pPr>
      <w:r>
        <w:rPr>
          <w:rFonts w:eastAsia="Calibri" w:cs="Arial"/>
          <w:szCs w:val="22"/>
          <w:lang w:val="en-US" w:eastAsia="en-US"/>
        </w:rPr>
        <w:t>IL, interleukin.</w:t>
      </w:r>
    </w:p>
    <w:p w14:paraId="10109207" w14:textId="77777777" w:rsidR="002650B3" w:rsidRPr="00487112" w:rsidRDefault="002650B3" w:rsidP="002650B3">
      <w:pPr>
        <w:spacing w:line="240" w:lineRule="auto"/>
        <w:rPr>
          <w:rFonts w:eastAsia="Calibri" w:cs="Arial"/>
          <w:szCs w:val="22"/>
          <w:lang w:val="en-US" w:eastAsia="en-US"/>
        </w:rPr>
      </w:pPr>
      <w:r>
        <w:rPr>
          <w:rFonts w:eastAsia="Calibri" w:cs="Arial"/>
          <w:szCs w:val="22"/>
          <w:lang w:val="en-US" w:eastAsia="en-US"/>
        </w:rPr>
        <w:fldChar w:fldCharType="begin"/>
      </w:r>
      <w:r>
        <w:rPr>
          <w:rFonts w:eastAsia="Calibri" w:cs="Arial"/>
          <w:szCs w:val="22"/>
          <w:lang w:val="en-US" w:eastAsia="en-US"/>
        </w:rPr>
        <w:instrText xml:space="preserve"> ADDIN </w:instrText>
      </w:r>
      <w:r>
        <w:rPr>
          <w:rFonts w:eastAsia="Calibri" w:cs="Arial"/>
          <w:szCs w:val="22"/>
          <w:lang w:val="en-US" w:eastAsia="en-US"/>
        </w:rPr>
        <w:fldChar w:fldCharType="end"/>
      </w:r>
    </w:p>
    <w:p w14:paraId="06A65258" w14:textId="78FB417C" w:rsidR="006F71C8" w:rsidRPr="00414C03" w:rsidRDefault="006F71C8" w:rsidP="00B51876">
      <w:pPr>
        <w:spacing w:line="480" w:lineRule="auto"/>
        <w:rPr>
          <w:rFonts w:eastAsia="Calibri" w:cs="Arial"/>
          <w:szCs w:val="22"/>
          <w:lang w:val="en-US" w:eastAsia="en-US"/>
        </w:rPr>
      </w:pPr>
    </w:p>
    <w:sectPr w:rsidR="006F71C8" w:rsidRPr="00414C03" w:rsidSect="002650B3">
      <w:pgSz w:w="16838" w:h="11906" w:orient="landscape" w:code="9"/>
      <w:pgMar w:top="1418" w:right="1418" w:bottom="1418" w:left="1418"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F486" w14:textId="77777777" w:rsidR="009A3802" w:rsidRDefault="009A3802" w:rsidP="00B03176">
      <w:pPr>
        <w:pStyle w:val="Instructions"/>
      </w:pPr>
      <w:r>
        <w:separator/>
      </w:r>
    </w:p>
  </w:endnote>
  <w:endnote w:type="continuationSeparator" w:id="0">
    <w:p w14:paraId="6C93C7BF" w14:textId="77777777" w:rsidR="009A3802" w:rsidRDefault="009A3802" w:rsidP="00B03176">
      <w:pPr>
        <w:pStyle w:val="Instructions"/>
      </w:pPr>
      <w:r>
        <w:continuationSeparator/>
      </w:r>
    </w:p>
  </w:endnote>
  <w:endnote w:type="continuationNotice" w:id="1">
    <w:p w14:paraId="7910BD22" w14:textId="77777777" w:rsidR="009A3802" w:rsidRDefault="009A38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F0B0" w14:textId="77777777" w:rsidR="009A3802" w:rsidRDefault="009A3802"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06A27" w14:textId="77777777" w:rsidR="009A3802" w:rsidRDefault="009A3802" w:rsidP="0022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9692" w14:textId="10AD5D33" w:rsidR="009A3802" w:rsidRDefault="009A3802"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A71">
      <w:rPr>
        <w:rStyle w:val="PageNumber"/>
        <w:noProof/>
      </w:rPr>
      <w:t>18</w:t>
    </w:r>
    <w:r>
      <w:rPr>
        <w:rStyle w:val="PageNumber"/>
      </w:rPr>
      <w:fldChar w:fldCharType="end"/>
    </w:r>
  </w:p>
  <w:p w14:paraId="27D555A7" w14:textId="77777777" w:rsidR="009A3802" w:rsidRDefault="009A3802" w:rsidP="00A15C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3C57" w14:textId="77777777" w:rsidR="009A3802" w:rsidRDefault="009A3802" w:rsidP="00B03176">
      <w:pPr>
        <w:pStyle w:val="Instructions"/>
      </w:pPr>
      <w:r>
        <w:separator/>
      </w:r>
    </w:p>
  </w:footnote>
  <w:footnote w:type="continuationSeparator" w:id="0">
    <w:p w14:paraId="3CBC00C1" w14:textId="77777777" w:rsidR="009A3802" w:rsidRDefault="009A3802" w:rsidP="00B03176">
      <w:pPr>
        <w:pStyle w:val="Instructions"/>
      </w:pPr>
      <w:r>
        <w:continuationSeparator/>
      </w:r>
    </w:p>
  </w:footnote>
  <w:footnote w:type="continuationNotice" w:id="1">
    <w:p w14:paraId="28D60C34" w14:textId="77777777" w:rsidR="009A3802" w:rsidRDefault="009A38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6D3"/>
    <w:multiLevelType w:val="hybridMultilevel"/>
    <w:tmpl w:val="EF52A116"/>
    <w:lvl w:ilvl="0" w:tplc="0809001B">
      <w:start w:val="1"/>
      <w:numFmt w:val="lowerRoman"/>
      <w:lvlText w:val="%1."/>
      <w:lvlJc w:val="right"/>
      <w:pPr>
        <w:ind w:left="1560" w:hanging="360"/>
      </w:pPr>
    </w:lvl>
    <w:lvl w:ilvl="1" w:tplc="0809001B">
      <w:start w:val="1"/>
      <w:numFmt w:val="lowerRoman"/>
      <w:lvlText w:val="%2."/>
      <w:lvlJc w:val="righ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F9F022E"/>
    <w:multiLevelType w:val="hybridMultilevel"/>
    <w:tmpl w:val="DAC2D8C8"/>
    <w:lvl w:ilvl="0" w:tplc="08090017">
      <w:start w:val="1"/>
      <w:numFmt w:val="lowerLetter"/>
      <w:lvlText w:val="%1)"/>
      <w:lvlJc w:val="left"/>
      <w:pPr>
        <w:ind w:left="360" w:hanging="360"/>
      </w:pPr>
      <w:rPr>
        <w:rFonts w:hint="default"/>
      </w:rPr>
    </w:lvl>
    <w:lvl w:ilvl="1" w:tplc="27788FC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D37EE"/>
    <w:multiLevelType w:val="hybridMultilevel"/>
    <w:tmpl w:val="AD7CF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F7807"/>
    <w:multiLevelType w:val="hybridMultilevel"/>
    <w:tmpl w:val="F230D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D6968"/>
    <w:multiLevelType w:val="hybridMultilevel"/>
    <w:tmpl w:val="1D78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925AE"/>
    <w:multiLevelType w:val="hybridMultilevel"/>
    <w:tmpl w:val="5DF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42EBD"/>
    <w:multiLevelType w:val="multilevel"/>
    <w:tmpl w:val="343A0F8E"/>
    <w:styleLink w:val="Bulletlist"/>
    <w:lvl w:ilvl="0">
      <w:start w:val="1"/>
      <w:numFmt w:val="bullet"/>
      <w:lvlText w:val=""/>
      <w:lvlJc w:val="left"/>
      <w:pPr>
        <w:tabs>
          <w:tab w:val="num" w:pos="284"/>
        </w:tabs>
        <w:ind w:left="284" w:hanging="284"/>
      </w:pPr>
      <w:rPr>
        <w:rFonts w:ascii="Symbol" w:hAnsi="Symbol" w:hint="default"/>
        <w:color w:val="FF8C01"/>
      </w:rPr>
    </w:lvl>
    <w:lvl w:ilvl="1">
      <w:start w:val="1"/>
      <w:numFmt w:val="bullet"/>
      <w:lvlRestart w:val="0"/>
      <w:lvlText w:val="–"/>
      <w:lvlJc w:val="left"/>
      <w:pPr>
        <w:tabs>
          <w:tab w:val="num" w:pos="567"/>
        </w:tabs>
        <w:ind w:left="567" w:hanging="283"/>
      </w:pPr>
      <w:rPr>
        <w:rFonts w:ascii="Arial" w:hAnsi="Arial" w:hint="default"/>
        <w:color w:val="FF8C01"/>
        <w:sz w:val="22"/>
      </w:rPr>
    </w:lvl>
    <w:lvl w:ilvl="2">
      <w:start w:val="1"/>
      <w:numFmt w:val="bullet"/>
      <w:lvlRestart w:val="0"/>
      <w:lvlText w:val=""/>
      <w:lvlJc w:val="left"/>
      <w:pPr>
        <w:tabs>
          <w:tab w:val="num" w:pos="851"/>
        </w:tabs>
        <w:ind w:left="851" w:hanging="284"/>
      </w:pPr>
      <w:rPr>
        <w:rFonts w:ascii="Symbol" w:hAnsi="Symbol" w:hint="default"/>
        <w:color w:val="FF8C01"/>
      </w:rPr>
    </w:lvl>
    <w:lvl w:ilvl="3">
      <w:start w:val="1"/>
      <w:numFmt w:val="bullet"/>
      <w:lvlRestart w:val="0"/>
      <w:lvlText w:val="–"/>
      <w:lvlJc w:val="left"/>
      <w:pPr>
        <w:tabs>
          <w:tab w:val="num" w:pos="1134"/>
        </w:tabs>
        <w:ind w:left="1134" w:hanging="283"/>
      </w:pPr>
      <w:rPr>
        <w:rFonts w:ascii="Arial" w:hAnsi="Arial" w:hint="default"/>
        <w:color w:val="FF8C01"/>
        <w:sz w:val="22"/>
      </w:rPr>
    </w:lvl>
    <w:lvl w:ilvl="4">
      <w:start w:val="1"/>
      <w:numFmt w:val="bullet"/>
      <w:lvlRestart w:val="0"/>
      <w:pStyle w:val="Bulletlevel5"/>
      <w:lvlText w:val=""/>
      <w:lvlJc w:val="left"/>
      <w:pPr>
        <w:tabs>
          <w:tab w:val="num" w:pos="1418"/>
        </w:tabs>
        <w:ind w:left="1418" w:hanging="284"/>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7" w15:restartNumberingAfterBreak="0">
    <w:nsid w:val="236E6673"/>
    <w:multiLevelType w:val="multilevel"/>
    <w:tmpl w:val="143A40E2"/>
    <w:styleLink w:val="Bulletlist0"/>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8" w15:restartNumberingAfterBreak="0">
    <w:nsid w:val="24F32E37"/>
    <w:multiLevelType w:val="hybridMultilevel"/>
    <w:tmpl w:val="7340C8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65C3EC0"/>
    <w:multiLevelType w:val="hybridMultilevel"/>
    <w:tmpl w:val="F64C7F6C"/>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2F6F08"/>
    <w:multiLevelType w:val="hybridMultilevel"/>
    <w:tmpl w:val="8C9CA96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F7D5E"/>
    <w:multiLevelType w:val="hybridMultilevel"/>
    <w:tmpl w:val="893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E107A"/>
    <w:multiLevelType w:val="multilevel"/>
    <w:tmpl w:val="A3801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0004B7"/>
    <w:multiLevelType w:val="hybridMultilevel"/>
    <w:tmpl w:val="03460A00"/>
    <w:lvl w:ilvl="0" w:tplc="B7A4C422">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E511248"/>
    <w:multiLevelType w:val="hybridMultilevel"/>
    <w:tmpl w:val="F1E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850A4"/>
    <w:multiLevelType w:val="multilevel"/>
    <w:tmpl w:val="343A0F8E"/>
    <w:numStyleLink w:val="Bulletlist"/>
  </w:abstractNum>
  <w:abstractNum w:abstractNumId="16" w15:restartNumberingAfterBreak="0">
    <w:nsid w:val="4BBC1D50"/>
    <w:multiLevelType w:val="hybridMultilevel"/>
    <w:tmpl w:val="664C0C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F559C"/>
    <w:multiLevelType w:val="multilevel"/>
    <w:tmpl w:val="CE36854E"/>
    <w:styleLink w:val="ListBullets"/>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14" w:hanging="354"/>
      </w:pPr>
      <w:rPr>
        <w:rFonts w:ascii="Arial" w:hAnsi="Aria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pStyle w:val="ListBullet4"/>
      <w:lvlText w:val="–"/>
      <w:lvlJc w:val="left"/>
      <w:pPr>
        <w:ind w:left="1429" w:hanging="357"/>
      </w:pPr>
      <w:rPr>
        <w:rFonts w:ascii="Arial" w:hAnsi="Arial" w:hint="default"/>
        <w:color w:val="auto"/>
      </w:rPr>
    </w:lvl>
    <w:lvl w:ilvl="4">
      <w:start w:val="1"/>
      <w:numFmt w:val="bullet"/>
      <w:pStyle w:val="ListBullet5"/>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3B2E5B"/>
    <w:multiLevelType w:val="hybridMultilevel"/>
    <w:tmpl w:val="363E738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01D28"/>
    <w:multiLevelType w:val="hybridMultilevel"/>
    <w:tmpl w:val="CF44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25C4A"/>
    <w:multiLevelType w:val="multilevel"/>
    <w:tmpl w:val="143A40E2"/>
    <w:numStyleLink w:val="Bulletlist0"/>
  </w:abstractNum>
  <w:abstractNum w:abstractNumId="21" w15:restartNumberingAfterBreak="0">
    <w:nsid w:val="669937F2"/>
    <w:multiLevelType w:val="hybridMultilevel"/>
    <w:tmpl w:val="F916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C430A"/>
    <w:multiLevelType w:val="hybridMultilevel"/>
    <w:tmpl w:val="43A2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4185B"/>
    <w:multiLevelType w:val="hybridMultilevel"/>
    <w:tmpl w:val="1EE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5436F"/>
    <w:multiLevelType w:val="hybridMultilevel"/>
    <w:tmpl w:val="7C9C0D52"/>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A058A"/>
    <w:multiLevelType w:val="multilevel"/>
    <w:tmpl w:val="CE36854E"/>
    <w:numStyleLink w:val="ListBullets"/>
  </w:abstractNum>
  <w:num w:numId="1">
    <w:abstractNumId w:val="6"/>
  </w:num>
  <w:num w:numId="2">
    <w:abstractNumId w:val="15"/>
  </w:num>
  <w:num w:numId="3">
    <w:abstractNumId w:val="7"/>
  </w:num>
  <w:num w:numId="4">
    <w:abstractNumId w:val="20"/>
    <w:lvlOverride w:ilvl="0">
      <w:lvl w:ilvl="0">
        <w:numFmt w:val="decimal"/>
        <w:lvlText w:val=""/>
        <w:lvlJc w:val="left"/>
      </w:lvl>
    </w:lvlOverride>
    <w:lvlOverride w:ilvl="1">
      <w:lvl w:ilvl="1">
        <w:start w:val="1"/>
        <w:numFmt w:val="bullet"/>
        <w:lvlRestart w:val="0"/>
        <w:pStyle w:val="Bulletlevel2"/>
        <w:lvlText w:val="–"/>
        <w:lvlJc w:val="left"/>
        <w:pPr>
          <w:tabs>
            <w:tab w:val="num" w:pos="567"/>
          </w:tabs>
          <w:ind w:left="567" w:hanging="283"/>
        </w:pPr>
        <w:rPr>
          <w:rFonts w:ascii="Arial" w:hAnsi="Arial" w:hint="default"/>
          <w:color w:val="auto"/>
          <w:sz w:val="22"/>
        </w:rPr>
      </w:lvl>
    </w:lvlOverride>
    <w:lvlOverride w:ilvl="2">
      <w:lvl w:ilvl="2">
        <w:start w:val="1"/>
        <w:numFmt w:val="bullet"/>
        <w:lvlRestart w:val="0"/>
        <w:pStyle w:val="Bulletlevel3"/>
        <w:lvlText w:val=""/>
        <w:lvlJc w:val="left"/>
        <w:pPr>
          <w:tabs>
            <w:tab w:val="num" w:pos="851"/>
          </w:tabs>
          <w:ind w:left="851" w:hanging="284"/>
        </w:pPr>
        <w:rPr>
          <w:rFonts w:ascii="Symbol" w:hAnsi="Symbol" w:hint="default"/>
          <w:color w:val="auto"/>
        </w:rPr>
      </w:lvl>
    </w:lvlOverride>
  </w:num>
  <w:num w:numId="5">
    <w:abstractNumId w:val="17"/>
  </w:num>
  <w:num w:numId="6">
    <w:abstractNumId w:val="25"/>
  </w:num>
  <w:num w:numId="7">
    <w:abstractNumId w:val="19"/>
  </w:num>
  <w:num w:numId="8">
    <w:abstractNumId w:val="22"/>
  </w:num>
  <w:num w:numId="9">
    <w:abstractNumId w:val="21"/>
  </w:num>
  <w:num w:numId="10">
    <w:abstractNumId w:val="2"/>
  </w:num>
  <w:num w:numId="11">
    <w:abstractNumId w:val="18"/>
  </w:num>
  <w:num w:numId="12">
    <w:abstractNumId w:val="1"/>
  </w:num>
  <w:num w:numId="13">
    <w:abstractNumId w:val="0"/>
  </w:num>
  <w:num w:numId="14">
    <w:abstractNumId w:val="9"/>
  </w:num>
  <w:num w:numId="15">
    <w:abstractNumId w:val="24"/>
  </w:num>
  <w:num w:numId="16">
    <w:abstractNumId w:val="10"/>
  </w:num>
  <w:num w:numId="17">
    <w:abstractNumId w:val="11"/>
  </w:num>
  <w:num w:numId="18">
    <w:abstractNumId w:val="14"/>
  </w:num>
  <w:num w:numId="19">
    <w:abstractNumId w:val="5"/>
  </w:num>
  <w:num w:numId="20">
    <w:abstractNumId w:val="23"/>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 182707&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drprtwsx9z58e0fw8vd2tg5tpxpv2tdtrz&quot;&gt;EN.BMSgeneticdisease@chameleon-uk.com&lt;record-ids&gt;&lt;item&gt;171&lt;/item&gt;&lt;item&gt;173&lt;/item&gt;&lt;item&gt;174&lt;/item&gt;&lt;item&gt;175&lt;/item&gt;&lt;item&gt;177&lt;/item&gt;&lt;item&gt;178&lt;/item&gt;&lt;item&gt;179&lt;/item&gt;&lt;item&gt;180&lt;/item&gt;&lt;item&gt;181&lt;/item&gt;&lt;item&gt;182&lt;/item&gt;&lt;item&gt;183&lt;/item&gt;&lt;item&gt;185&lt;/item&gt;&lt;item&gt;187&lt;/item&gt;&lt;item&gt;188&lt;/item&gt;&lt;item&gt;189&lt;/item&gt;&lt;item&gt;191&lt;/item&gt;&lt;item&gt;192&lt;/item&gt;&lt;item&gt;193&lt;/item&gt;&lt;item&gt;196&lt;/item&gt;&lt;item&gt;198&lt;/item&gt;&lt;item&gt;199&lt;/item&gt;&lt;item&gt;200&lt;/item&gt;&lt;item&gt;203&lt;/item&gt;&lt;item&gt;204&lt;/item&gt;&lt;item&gt;205&lt;/item&gt;&lt;item&gt;206&lt;/item&gt;&lt;item&gt;208&lt;/item&gt;&lt;item&gt;209&lt;/item&gt;&lt;item&gt;210&lt;/item&gt;&lt;item&gt;212&lt;/item&gt;&lt;item&gt;213&lt;/item&gt;&lt;item&gt;215&lt;/item&gt;&lt;item&gt;216&lt;/item&gt;&lt;item&gt;217&lt;/item&gt;&lt;item&gt;218&lt;/item&gt;&lt;item&gt;219&lt;/item&gt;&lt;item&gt;220&lt;/item&gt;&lt;item&gt;222&lt;/item&gt;&lt;item&gt;223&lt;/item&gt;&lt;item&gt;224&lt;/item&gt;&lt;item&gt;226&lt;/item&gt;&lt;item&gt;228&lt;/item&gt;&lt;item&gt;229&lt;/item&gt;&lt;item&gt;230&lt;/item&gt;&lt;item&gt;231&lt;/item&gt;&lt;item&gt;232&lt;/item&gt;&lt;item&gt;234&lt;/item&gt;&lt;item&gt;251&lt;/item&gt;&lt;item&gt;252&lt;/item&gt;&lt;item&gt;253&lt;/item&gt;&lt;/record-ids&gt;&lt;/item&gt;&lt;/Libraries&gt;"/>
  </w:docVars>
  <w:rsids>
    <w:rsidRoot w:val="00E67386"/>
    <w:rsid w:val="000001A7"/>
    <w:rsid w:val="00000EEB"/>
    <w:rsid w:val="00001148"/>
    <w:rsid w:val="000017FA"/>
    <w:rsid w:val="00002B5F"/>
    <w:rsid w:val="00003746"/>
    <w:rsid w:val="00004C5A"/>
    <w:rsid w:val="000077E7"/>
    <w:rsid w:val="00011B72"/>
    <w:rsid w:val="00011FA8"/>
    <w:rsid w:val="000139A4"/>
    <w:rsid w:val="00013B93"/>
    <w:rsid w:val="00014B7A"/>
    <w:rsid w:val="0001533C"/>
    <w:rsid w:val="00017E03"/>
    <w:rsid w:val="0002198F"/>
    <w:rsid w:val="00021C86"/>
    <w:rsid w:val="00022083"/>
    <w:rsid w:val="00022619"/>
    <w:rsid w:val="00023B61"/>
    <w:rsid w:val="00025032"/>
    <w:rsid w:val="00025213"/>
    <w:rsid w:val="000263A3"/>
    <w:rsid w:val="00027661"/>
    <w:rsid w:val="00027786"/>
    <w:rsid w:val="000279A6"/>
    <w:rsid w:val="00030420"/>
    <w:rsid w:val="00030946"/>
    <w:rsid w:val="00030E69"/>
    <w:rsid w:val="00031104"/>
    <w:rsid w:val="0003264F"/>
    <w:rsid w:val="00034853"/>
    <w:rsid w:val="000349B7"/>
    <w:rsid w:val="000352D4"/>
    <w:rsid w:val="00035793"/>
    <w:rsid w:val="00035B3D"/>
    <w:rsid w:val="00036042"/>
    <w:rsid w:val="00036C1D"/>
    <w:rsid w:val="0003735C"/>
    <w:rsid w:val="00042CE2"/>
    <w:rsid w:val="0004311B"/>
    <w:rsid w:val="0004408D"/>
    <w:rsid w:val="0004457B"/>
    <w:rsid w:val="000449B2"/>
    <w:rsid w:val="00045E16"/>
    <w:rsid w:val="00046098"/>
    <w:rsid w:val="00051291"/>
    <w:rsid w:val="00051747"/>
    <w:rsid w:val="00052B9A"/>
    <w:rsid w:val="00053E32"/>
    <w:rsid w:val="0005476F"/>
    <w:rsid w:val="000547DB"/>
    <w:rsid w:val="0006164C"/>
    <w:rsid w:val="00064520"/>
    <w:rsid w:val="0006514F"/>
    <w:rsid w:val="00065551"/>
    <w:rsid w:val="000701F5"/>
    <w:rsid w:val="000735A8"/>
    <w:rsid w:val="00073ECF"/>
    <w:rsid w:val="000743FF"/>
    <w:rsid w:val="00074601"/>
    <w:rsid w:val="00074E56"/>
    <w:rsid w:val="00076437"/>
    <w:rsid w:val="000804CE"/>
    <w:rsid w:val="0008177A"/>
    <w:rsid w:val="00081B3B"/>
    <w:rsid w:val="00081DE9"/>
    <w:rsid w:val="0008392C"/>
    <w:rsid w:val="00084C0F"/>
    <w:rsid w:val="00085477"/>
    <w:rsid w:val="0008642E"/>
    <w:rsid w:val="000864FC"/>
    <w:rsid w:val="000867C9"/>
    <w:rsid w:val="000868CA"/>
    <w:rsid w:val="00087836"/>
    <w:rsid w:val="000936C9"/>
    <w:rsid w:val="0009377E"/>
    <w:rsid w:val="0009510E"/>
    <w:rsid w:val="000A0D9B"/>
    <w:rsid w:val="000A1CBC"/>
    <w:rsid w:val="000A1DFF"/>
    <w:rsid w:val="000A2989"/>
    <w:rsid w:val="000A2B95"/>
    <w:rsid w:val="000A2CBA"/>
    <w:rsid w:val="000A533F"/>
    <w:rsid w:val="000A7602"/>
    <w:rsid w:val="000B015D"/>
    <w:rsid w:val="000B0E4F"/>
    <w:rsid w:val="000B244B"/>
    <w:rsid w:val="000B2EDB"/>
    <w:rsid w:val="000B43F7"/>
    <w:rsid w:val="000B46CB"/>
    <w:rsid w:val="000B4FA7"/>
    <w:rsid w:val="000B7547"/>
    <w:rsid w:val="000B7BDD"/>
    <w:rsid w:val="000C1C04"/>
    <w:rsid w:val="000C3261"/>
    <w:rsid w:val="000C4671"/>
    <w:rsid w:val="000C6474"/>
    <w:rsid w:val="000C6504"/>
    <w:rsid w:val="000C6A29"/>
    <w:rsid w:val="000C6D33"/>
    <w:rsid w:val="000D0254"/>
    <w:rsid w:val="000D0314"/>
    <w:rsid w:val="000D0D6B"/>
    <w:rsid w:val="000D2098"/>
    <w:rsid w:val="000D2ACE"/>
    <w:rsid w:val="000D3CA9"/>
    <w:rsid w:val="000E149A"/>
    <w:rsid w:val="000E3CE6"/>
    <w:rsid w:val="000E4886"/>
    <w:rsid w:val="000E53EF"/>
    <w:rsid w:val="000E5BFE"/>
    <w:rsid w:val="000E5D12"/>
    <w:rsid w:val="000E71AC"/>
    <w:rsid w:val="000E7D1E"/>
    <w:rsid w:val="000E7DB8"/>
    <w:rsid w:val="000F06BC"/>
    <w:rsid w:val="000F0851"/>
    <w:rsid w:val="000F0A11"/>
    <w:rsid w:val="000F1291"/>
    <w:rsid w:val="000F12E6"/>
    <w:rsid w:val="000F1AB4"/>
    <w:rsid w:val="000F1B01"/>
    <w:rsid w:val="000F1B35"/>
    <w:rsid w:val="000F2AD7"/>
    <w:rsid w:val="000F4C06"/>
    <w:rsid w:val="000F5023"/>
    <w:rsid w:val="000F6C3C"/>
    <w:rsid w:val="000F7B7E"/>
    <w:rsid w:val="0010174A"/>
    <w:rsid w:val="00101D57"/>
    <w:rsid w:val="001031AC"/>
    <w:rsid w:val="00105D00"/>
    <w:rsid w:val="00105F0B"/>
    <w:rsid w:val="00106628"/>
    <w:rsid w:val="00106FD3"/>
    <w:rsid w:val="00107C97"/>
    <w:rsid w:val="0011014B"/>
    <w:rsid w:val="00112342"/>
    <w:rsid w:val="00112751"/>
    <w:rsid w:val="00113DC8"/>
    <w:rsid w:val="001145A7"/>
    <w:rsid w:val="001163B6"/>
    <w:rsid w:val="00117FF6"/>
    <w:rsid w:val="00121D1E"/>
    <w:rsid w:val="00122F98"/>
    <w:rsid w:val="001243EF"/>
    <w:rsid w:val="00125E0B"/>
    <w:rsid w:val="001266C0"/>
    <w:rsid w:val="001273F7"/>
    <w:rsid w:val="00127B55"/>
    <w:rsid w:val="00127FBC"/>
    <w:rsid w:val="001302FB"/>
    <w:rsid w:val="0013116C"/>
    <w:rsid w:val="00131B6C"/>
    <w:rsid w:val="00134542"/>
    <w:rsid w:val="001348C0"/>
    <w:rsid w:val="0013637B"/>
    <w:rsid w:val="00141005"/>
    <w:rsid w:val="00142DC8"/>
    <w:rsid w:val="00144053"/>
    <w:rsid w:val="00145574"/>
    <w:rsid w:val="001458BD"/>
    <w:rsid w:val="00146C02"/>
    <w:rsid w:val="00147977"/>
    <w:rsid w:val="0015132D"/>
    <w:rsid w:val="00151CE5"/>
    <w:rsid w:val="00151E3F"/>
    <w:rsid w:val="0015208C"/>
    <w:rsid w:val="001548D8"/>
    <w:rsid w:val="0015573E"/>
    <w:rsid w:val="00155849"/>
    <w:rsid w:val="00157CB2"/>
    <w:rsid w:val="0016119D"/>
    <w:rsid w:val="00161D0D"/>
    <w:rsid w:val="00162059"/>
    <w:rsid w:val="00162597"/>
    <w:rsid w:val="00163357"/>
    <w:rsid w:val="00163DD0"/>
    <w:rsid w:val="00164298"/>
    <w:rsid w:val="00164626"/>
    <w:rsid w:val="001653D9"/>
    <w:rsid w:val="001662F5"/>
    <w:rsid w:val="00166BEF"/>
    <w:rsid w:val="00167FC4"/>
    <w:rsid w:val="00170B0D"/>
    <w:rsid w:val="001713ED"/>
    <w:rsid w:val="0017180B"/>
    <w:rsid w:val="001723EF"/>
    <w:rsid w:val="001756BD"/>
    <w:rsid w:val="00176C30"/>
    <w:rsid w:val="001802A0"/>
    <w:rsid w:val="00180A31"/>
    <w:rsid w:val="00180A48"/>
    <w:rsid w:val="001818D1"/>
    <w:rsid w:val="00181AAC"/>
    <w:rsid w:val="0018279B"/>
    <w:rsid w:val="00182B04"/>
    <w:rsid w:val="00182C5C"/>
    <w:rsid w:val="00183177"/>
    <w:rsid w:val="0018363F"/>
    <w:rsid w:val="001836DF"/>
    <w:rsid w:val="00183A42"/>
    <w:rsid w:val="001842F3"/>
    <w:rsid w:val="00184B1F"/>
    <w:rsid w:val="00185C34"/>
    <w:rsid w:val="00185CC1"/>
    <w:rsid w:val="001874AD"/>
    <w:rsid w:val="00187793"/>
    <w:rsid w:val="0019228E"/>
    <w:rsid w:val="0019234D"/>
    <w:rsid w:val="001927D5"/>
    <w:rsid w:val="00193263"/>
    <w:rsid w:val="0019394F"/>
    <w:rsid w:val="00194115"/>
    <w:rsid w:val="00194CFF"/>
    <w:rsid w:val="00196D07"/>
    <w:rsid w:val="0019737D"/>
    <w:rsid w:val="0019741F"/>
    <w:rsid w:val="001976A6"/>
    <w:rsid w:val="001A0208"/>
    <w:rsid w:val="001A0511"/>
    <w:rsid w:val="001A166E"/>
    <w:rsid w:val="001A1683"/>
    <w:rsid w:val="001A24E5"/>
    <w:rsid w:val="001A4BB9"/>
    <w:rsid w:val="001A5A57"/>
    <w:rsid w:val="001A643B"/>
    <w:rsid w:val="001A6DF8"/>
    <w:rsid w:val="001B1460"/>
    <w:rsid w:val="001B2455"/>
    <w:rsid w:val="001B2B28"/>
    <w:rsid w:val="001B5437"/>
    <w:rsid w:val="001B60F9"/>
    <w:rsid w:val="001B6E5A"/>
    <w:rsid w:val="001B77BD"/>
    <w:rsid w:val="001C0ED3"/>
    <w:rsid w:val="001C1C04"/>
    <w:rsid w:val="001C2211"/>
    <w:rsid w:val="001C2274"/>
    <w:rsid w:val="001C3632"/>
    <w:rsid w:val="001C3CDA"/>
    <w:rsid w:val="001C40AB"/>
    <w:rsid w:val="001C5D58"/>
    <w:rsid w:val="001C5DDD"/>
    <w:rsid w:val="001D0548"/>
    <w:rsid w:val="001D0A42"/>
    <w:rsid w:val="001D1379"/>
    <w:rsid w:val="001D1635"/>
    <w:rsid w:val="001D1A75"/>
    <w:rsid w:val="001D3A2A"/>
    <w:rsid w:val="001D4C3D"/>
    <w:rsid w:val="001D78C6"/>
    <w:rsid w:val="001D7F1B"/>
    <w:rsid w:val="001E07DB"/>
    <w:rsid w:val="001E0CA3"/>
    <w:rsid w:val="001E14DB"/>
    <w:rsid w:val="001E3527"/>
    <w:rsid w:val="001E3A18"/>
    <w:rsid w:val="001E3F19"/>
    <w:rsid w:val="001E5743"/>
    <w:rsid w:val="001E57BD"/>
    <w:rsid w:val="001E703D"/>
    <w:rsid w:val="001E746E"/>
    <w:rsid w:val="001E787A"/>
    <w:rsid w:val="001F178A"/>
    <w:rsid w:val="001F29F0"/>
    <w:rsid w:val="001F2DE0"/>
    <w:rsid w:val="001F3253"/>
    <w:rsid w:val="001F33C2"/>
    <w:rsid w:val="001F35F3"/>
    <w:rsid w:val="001F48D6"/>
    <w:rsid w:val="001F6F1F"/>
    <w:rsid w:val="001F7222"/>
    <w:rsid w:val="00202805"/>
    <w:rsid w:val="0020350C"/>
    <w:rsid w:val="00203A0D"/>
    <w:rsid w:val="002060E7"/>
    <w:rsid w:val="0020613E"/>
    <w:rsid w:val="002065EC"/>
    <w:rsid w:val="00206B5A"/>
    <w:rsid w:val="00207118"/>
    <w:rsid w:val="0021045D"/>
    <w:rsid w:val="0021549D"/>
    <w:rsid w:val="00215A18"/>
    <w:rsid w:val="00216DBD"/>
    <w:rsid w:val="00217741"/>
    <w:rsid w:val="00220172"/>
    <w:rsid w:val="002226DB"/>
    <w:rsid w:val="002227AF"/>
    <w:rsid w:val="002227C2"/>
    <w:rsid w:val="0022414E"/>
    <w:rsid w:val="002244C1"/>
    <w:rsid w:val="00225813"/>
    <w:rsid w:val="002261EA"/>
    <w:rsid w:val="00227647"/>
    <w:rsid w:val="002279DE"/>
    <w:rsid w:val="00227FE9"/>
    <w:rsid w:val="00231C6B"/>
    <w:rsid w:val="00232B3D"/>
    <w:rsid w:val="00232D54"/>
    <w:rsid w:val="00232DB0"/>
    <w:rsid w:val="00237DB0"/>
    <w:rsid w:val="00237DB2"/>
    <w:rsid w:val="00240B84"/>
    <w:rsid w:val="0024122B"/>
    <w:rsid w:val="002418B1"/>
    <w:rsid w:val="0024212A"/>
    <w:rsid w:val="00242E8F"/>
    <w:rsid w:val="002443CC"/>
    <w:rsid w:val="00244C89"/>
    <w:rsid w:val="002456DD"/>
    <w:rsid w:val="00246C50"/>
    <w:rsid w:val="00247FC8"/>
    <w:rsid w:val="00250055"/>
    <w:rsid w:val="002508DB"/>
    <w:rsid w:val="002518C3"/>
    <w:rsid w:val="0025448D"/>
    <w:rsid w:val="00256B87"/>
    <w:rsid w:val="00256DC1"/>
    <w:rsid w:val="00257044"/>
    <w:rsid w:val="002578A1"/>
    <w:rsid w:val="00257977"/>
    <w:rsid w:val="00262AB0"/>
    <w:rsid w:val="00263594"/>
    <w:rsid w:val="002642E2"/>
    <w:rsid w:val="00264EA8"/>
    <w:rsid w:val="00264F68"/>
    <w:rsid w:val="002650B3"/>
    <w:rsid w:val="00267364"/>
    <w:rsid w:val="00267F76"/>
    <w:rsid w:val="00271137"/>
    <w:rsid w:val="00271915"/>
    <w:rsid w:val="002723DB"/>
    <w:rsid w:val="00274489"/>
    <w:rsid w:val="00277CF1"/>
    <w:rsid w:val="00280758"/>
    <w:rsid w:val="00280797"/>
    <w:rsid w:val="00281982"/>
    <w:rsid w:val="0028238B"/>
    <w:rsid w:val="00282BA0"/>
    <w:rsid w:val="002837A9"/>
    <w:rsid w:val="002839F5"/>
    <w:rsid w:val="00283A60"/>
    <w:rsid w:val="0028420B"/>
    <w:rsid w:val="002847F0"/>
    <w:rsid w:val="00284CA7"/>
    <w:rsid w:val="00285330"/>
    <w:rsid w:val="002858F6"/>
    <w:rsid w:val="00285AC1"/>
    <w:rsid w:val="0028650C"/>
    <w:rsid w:val="00286E31"/>
    <w:rsid w:val="00290B84"/>
    <w:rsid w:val="00292080"/>
    <w:rsid w:val="0029320A"/>
    <w:rsid w:val="00293450"/>
    <w:rsid w:val="002942AD"/>
    <w:rsid w:val="002948C5"/>
    <w:rsid w:val="00294E11"/>
    <w:rsid w:val="00295930"/>
    <w:rsid w:val="00296D76"/>
    <w:rsid w:val="002A0D13"/>
    <w:rsid w:val="002A0EAC"/>
    <w:rsid w:val="002A1250"/>
    <w:rsid w:val="002A61D6"/>
    <w:rsid w:val="002A7A3C"/>
    <w:rsid w:val="002B02A9"/>
    <w:rsid w:val="002B1814"/>
    <w:rsid w:val="002B25C0"/>
    <w:rsid w:val="002B2768"/>
    <w:rsid w:val="002B4351"/>
    <w:rsid w:val="002B47B7"/>
    <w:rsid w:val="002B6412"/>
    <w:rsid w:val="002B6EFF"/>
    <w:rsid w:val="002C0030"/>
    <w:rsid w:val="002C0353"/>
    <w:rsid w:val="002C0A08"/>
    <w:rsid w:val="002C0EA8"/>
    <w:rsid w:val="002C7BD4"/>
    <w:rsid w:val="002D09D3"/>
    <w:rsid w:val="002D225E"/>
    <w:rsid w:val="002D2C55"/>
    <w:rsid w:val="002D44F6"/>
    <w:rsid w:val="002D53AC"/>
    <w:rsid w:val="002D6D03"/>
    <w:rsid w:val="002E0B8F"/>
    <w:rsid w:val="002E0D33"/>
    <w:rsid w:val="002E1AAB"/>
    <w:rsid w:val="002E21D7"/>
    <w:rsid w:val="002E3530"/>
    <w:rsid w:val="002E415A"/>
    <w:rsid w:val="002E602D"/>
    <w:rsid w:val="002E6247"/>
    <w:rsid w:val="002F208D"/>
    <w:rsid w:val="002F2195"/>
    <w:rsid w:val="002F50D5"/>
    <w:rsid w:val="002F5A18"/>
    <w:rsid w:val="002F62C8"/>
    <w:rsid w:val="002F6A02"/>
    <w:rsid w:val="0030046D"/>
    <w:rsid w:val="0030094B"/>
    <w:rsid w:val="00300A16"/>
    <w:rsid w:val="00301521"/>
    <w:rsid w:val="00301726"/>
    <w:rsid w:val="003026FE"/>
    <w:rsid w:val="00304C52"/>
    <w:rsid w:val="00306842"/>
    <w:rsid w:val="00306B53"/>
    <w:rsid w:val="00307863"/>
    <w:rsid w:val="003107A7"/>
    <w:rsid w:val="00310C6E"/>
    <w:rsid w:val="00313BD0"/>
    <w:rsid w:val="00317250"/>
    <w:rsid w:val="00317C63"/>
    <w:rsid w:val="00317D1C"/>
    <w:rsid w:val="003210DE"/>
    <w:rsid w:val="003215AB"/>
    <w:rsid w:val="00321903"/>
    <w:rsid w:val="00321D74"/>
    <w:rsid w:val="0032570A"/>
    <w:rsid w:val="00325D22"/>
    <w:rsid w:val="00326184"/>
    <w:rsid w:val="00327D57"/>
    <w:rsid w:val="00327EAA"/>
    <w:rsid w:val="003319C1"/>
    <w:rsid w:val="0033315A"/>
    <w:rsid w:val="00335073"/>
    <w:rsid w:val="003353FC"/>
    <w:rsid w:val="003364ED"/>
    <w:rsid w:val="00340C1F"/>
    <w:rsid w:val="00342EEF"/>
    <w:rsid w:val="00344430"/>
    <w:rsid w:val="00345135"/>
    <w:rsid w:val="00345937"/>
    <w:rsid w:val="00347AFA"/>
    <w:rsid w:val="00347DE5"/>
    <w:rsid w:val="003510AD"/>
    <w:rsid w:val="003523FD"/>
    <w:rsid w:val="003538F1"/>
    <w:rsid w:val="0035432E"/>
    <w:rsid w:val="00354B88"/>
    <w:rsid w:val="0035721E"/>
    <w:rsid w:val="00360278"/>
    <w:rsid w:val="003628CB"/>
    <w:rsid w:val="00362EB8"/>
    <w:rsid w:val="00364C91"/>
    <w:rsid w:val="00365019"/>
    <w:rsid w:val="00366925"/>
    <w:rsid w:val="00366B11"/>
    <w:rsid w:val="0036704B"/>
    <w:rsid w:val="00372628"/>
    <w:rsid w:val="003736FC"/>
    <w:rsid w:val="00374E4C"/>
    <w:rsid w:val="003754F8"/>
    <w:rsid w:val="00375F64"/>
    <w:rsid w:val="00377484"/>
    <w:rsid w:val="00377E0C"/>
    <w:rsid w:val="003802BA"/>
    <w:rsid w:val="0038341D"/>
    <w:rsid w:val="0038469F"/>
    <w:rsid w:val="003858D6"/>
    <w:rsid w:val="00390538"/>
    <w:rsid w:val="00390693"/>
    <w:rsid w:val="00390F4C"/>
    <w:rsid w:val="00391340"/>
    <w:rsid w:val="0039207F"/>
    <w:rsid w:val="0039219A"/>
    <w:rsid w:val="003925D7"/>
    <w:rsid w:val="00392CCE"/>
    <w:rsid w:val="00393591"/>
    <w:rsid w:val="00394E7B"/>
    <w:rsid w:val="003956FE"/>
    <w:rsid w:val="00397677"/>
    <w:rsid w:val="00397870"/>
    <w:rsid w:val="003A1A17"/>
    <w:rsid w:val="003A397D"/>
    <w:rsid w:val="003A40D6"/>
    <w:rsid w:val="003A425F"/>
    <w:rsid w:val="003A4C7F"/>
    <w:rsid w:val="003A520D"/>
    <w:rsid w:val="003A6707"/>
    <w:rsid w:val="003A7611"/>
    <w:rsid w:val="003B08F0"/>
    <w:rsid w:val="003B2389"/>
    <w:rsid w:val="003B44BF"/>
    <w:rsid w:val="003B52BF"/>
    <w:rsid w:val="003B6F95"/>
    <w:rsid w:val="003B7DEE"/>
    <w:rsid w:val="003C03D0"/>
    <w:rsid w:val="003C081A"/>
    <w:rsid w:val="003C28C4"/>
    <w:rsid w:val="003C5B8A"/>
    <w:rsid w:val="003C6210"/>
    <w:rsid w:val="003C65DD"/>
    <w:rsid w:val="003C70CD"/>
    <w:rsid w:val="003D0B5D"/>
    <w:rsid w:val="003D1BB1"/>
    <w:rsid w:val="003D2305"/>
    <w:rsid w:val="003D32E7"/>
    <w:rsid w:val="003D679D"/>
    <w:rsid w:val="003D7793"/>
    <w:rsid w:val="003E1A3E"/>
    <w:rsid w:val="003E2364"/>
    <w:rsid w:val="003E2B7E"/>
    <w:rsid w:val="003E334B"/>
    <w:rsid w:val="003E3756"/>
    <w:rsid w:val="003E42E9"/>
    <w:rsid w:val="003E48EA"/>
    <w:rsid w:val="003E4F3E"/>
    <w:rsid w:val="003E5A60"/>
    <w:rsid w:val="003E5DB9"/>
    <w:rsid w:val="003E5E92"/>
    <w:rsid w:val="003E70DD"/>
    <w:rsid w:val="003E7EB9"/>
    <w:rsid w:val="003E7F20"/>
    <w:rsid w:val="003F163D"/>
    <w:rsid w:val="003F34A8"/>
    <w:rsid w:val="003F3A32"/>
    <w:rsid w:val="003F3C8D"/>
    <w:rsid w:val="003F4944"/>
    <w:rsid w:val="003F6141"/>
    <w:rsid w:val="003F75F0"/>
    <w:rsid w:val="003F7C0B"/>
    <w:rsid w:val="0040167E"/>
    <w:rsid w:val="00402EBB"/>
    <w:rsid w:val="0040440F"/>
    <w:rsid w:val="0040511A"/>
    <w:rsid w:val="00405FCC"/>
    <w:rsid w:val="004063D5"/>
    <w:rsid w:val="00407122"/>
    <w:rsid w:val="00407A27"/>
    <w:rsid w:val="004118D8"/>
    <w:rsid w:val="004125EA"/>
    <w:rsid w:val="0041266F"/>
    <w:rsid w:val="004126BB"/>
    <w:rsid w:val="004131B5"/>
    <w:rsid w:val="00413C47"/>
    <w:rsid w:val="0041406A"/>
    <w:rsid w:val="00414642"/>
    <w:rsid w:val="00414C03"/>
    <w:rsid w:val="00414EAD"/>
    <w:rsid w:val="00415E26"/>
    <w:rsid w:val="0041620A"/>
    <w:rsid w:val="00417D39"/>
    <w:rsid w:val="00417EDD"/>
    <w:rsid w:val="00420F02"/>
    <w:rsid w:val="00422A37"/>
    <w:rsid w:val="0042508D"/>
    <w:rsid w:val="004256D3"/>
    <w:rsid w:val="00425856"/>
    <w:rsid w:val="0042620E"/>
    <w:rsid w:val="00426814"/>
    <w:rsid w:val="00427A41"/>
    <w:rsid w:val="00427EAA"/>
    <w:rsid w:val="004309C0"/>
    <w:rsid w:val="00431CC7"/>
    <w:rsid w:val="004321E7"/>
    <w:rsid w:val="004329F0"/>
    <w:rsid w:val="00433355"/>
    <w:rsid w:val="0043706E"/>
    <w:rsid w:val="00437A18"/>
    <w:rsid w:val="004421F4"/>
    <w:rsid w:val="00442360"/>
    <w:rsid w:val="00442DDC"/>
    <w:rsid w:val="00443CB7"/>
    <w:rsid w:val="004455BC"/>
    <w:rsid w:val="00446F73"/>
    <w:rsid w:val="00447812"/>
    <w:rsid w:val="004503F5"/>
    <w:rsid w:val="0045326B"/>
    <w:rsid w:val="00453944"/>
    <w:rsid w:val="00455303"/>
    <w:rsid w:val="00455C87"/>
    <w:rsid w:val="00457367"/>
    <w:rsid w:val="004621DC"/>
    <w:rsid w:val="00463950"/>
    <w:rsid w:val="00463CB0"/>
    <w:rsid w:val="00463F0E"/>
    <w:rsid w:val="00464034"/>
    <w:rsid w:val="004640EF"/>
    <w:rsid w:val="004702D7"/>
    <w:rsid w:val="004708F5"/>
    <w:rsid w:val="00471C7F"/>
    <w:rsid w:val="004737E4"/>
    <w:rsid w:val="0047479C"/>
    <w:rsid w:val="00474A74"/>
    <w:rsid w:val="00474DE2"/>
    <w:rsid w:val="00475B6F"/>
    <w:rsid w:val="00475C13"/>
    <w:rsid w:val="004761CC"/>
    <w:rsid w:val="00480958"/>
    <w:rsid w:val="004810FB"/>
    <w:rsid w:val="00482450"/>
    <w:rsid w:val="00482848"/>
    <w:rsid w:val="00483A01"/>
    <w:rsid w:val="00486427"/>
    <w:rsid w:val="00487112"/>
    <w:rsid w:val="00487DE1"/>
    <w:rsid w:val="00490BEE"/>
    <w:rsid w:val="00493664"/>
    <w:rsid w:val="00494BF2"/>
    <w:rsid w:val="00495BE4"/>
    <w:rsid w:val="00495D15"/>
    <w:rsid w:val="00496279"/>
    <w:rsid w:val="00496C59"/>
    <w:rsid w:val="004A0FF8"/>
    <w:rsid w:val="004A19A9"/>
    <w:rsid w:val="004A339E"/>
    <w:rsid w:val="004A4AEF"/>
    <w:rsid w:val="004A4BA8"/>
    <w:rsid w:val="004A5502"/>
    <w:rsid w:val="004A575E"/>
    <w:rsid w:val="004A5EF9"/>
    <w:rsid w:val="004B00D1"/>
    <w:rsid w:val="004B0E7E"/>
    <w:rsid w:val="004B442C"/>
    <w:rsid w:val="004B5FA4"/>
    <w:rsid w:val="004B6021"/>
    <w:rsid w:val="004B602D"/>
    <w:rsid w:val="004B6C2C"/>
    <w:rsid w:val="004B6C68"/>
    <w:rsid w:val="004B707B"/>
    <w:rsid w:val="004B770A"/>
    <w:rsid w:val="004C0280"/>
    <w:rsid w:val="004C3702"/>
    <w:rsid w:val="004C38E8"/>
    <w:rsid w:val="004C40EB"/>
    <w:rsid w:val="004C4AD4"/>
    <w:rsid w:val="004C4B70"/>
    <w:rsid w:val="004C749A"/>
    <w:rsid w:val="004D055F"/>
    <w:rsid w:val="004D0576"/>
    <w:rsid w:val="004D104F"/>
    <w:rsid w:val="004D1E00"/>
    <w:rsid w:val="004D2579"/>
    <w:rsid w:val="004D2D86"/>
    <w:rsid w:val="004D3141"/>
    <w:rsid w:val="004D3166"/>
    <w:rsid w:val="004D3228"/>
    <w:rsid w:val="004D4168"/>
    <w:rsid w:val="004D796E"/>
    <w:rsid w:val="004D7F74"/>
    <w:rsid w:val="004E0D93"/>
    <w:rsid w:val="004E1AE9"/>
    <w:rsid w:val="004E1D5D"/>
    <w:rsid w:val="004E3290"/>
    <w:rsid w:val="004E3BED"/>
    <w:rsid w:val="004E47AC"/>
    <w:rsid w:val="004E55BE"/>
    <w:rsid w:val="004E566D"/>
    <w:rsid w:val="004E5679"/>
    <w:rsid w:val="004E62A1"/>
    <w:rsid w:val="004E687C"/>
    <w:rsid w:val="004E6A35"/>
    <w:rsid w:val="004F007D"/>
    <w:rsid w:val="004F20C4"/>
    <w:rsid w:val="004F2ADB"/>
    <w:rsid w:val="004F30AD"/>
    <w:rsid w:val="004F4453"/>
    <w:rsid w:val="004F499C"/>
    <w:rsid w:val="004F4C47"/>
    <w:rsid w:val="004F69ED"/>
    <w:rsid w:val="004F7202"/>
    <w:rsid w:val="004F7D1D"/>
    <w:rsid w:val="004F7D29"/>
    <w:rsid w:val="00500395"/>
    <w:rsid w:val="0050146F"/>
    <w:rsid w:val="00501BD6"/>
    <w:rsid w:val="0050305F"/>
    <w:rsid w:val="005036DC"/>
    <w:rsid w:val="00503FF9"/>
    <w:rsid w:val="005050EC"/>
    <w:rsid w:val="0050742A"/>
    <w:rsid w:val="005076A0"/>
    <w:rsid w:val="00512A6E"/>
    <w:rsid w:val="0051429B"/>
    <w:rsid w:val="0051516C"/>
    <w:rsid w:val="0051545F"/>
    <w:rsid w:val="00515702"/>
    <w:rsid w:val="00516410"/>
    <w:rsid w:val="00517507"/>
    <w:rsid w:val="00517762"/>
    <w:rsid w:val="00517AA9"/>
    <w:rsid w:val="00520EAE"/>
    <w:rsid w:val="00522203"/>
    <w:rsid w:val="00522497"/>
    <w:rsid w:val="00522B99"/>
    <w:rsid w:val="0052466E"/>
    <w:rsid w:val="005255B6"/>
    <w:rsid w:val="00525AC6"/>
    <w:rsid w:val="00525D98"/>
    <w:rsid w:val="00527474"/>
    <w:rsid w:val="00527994"/>
    <w:rsid w:val="00532AAF"/>
    <w:rsid w:val="005347A3"/>
    <w:rsid w:val="00534D18"/>
    <w:rsid w:val="00534DB1"/>
    <w:rsid w:val="00534DCD"/>
    <w:rsid w:val="00536D2E"/>
    <w:rsid w:val="005404C6"/>
    <w:rsid w:val="0054080A"/>
    <w:rsid w:val="00541ACB"/>
    <w:rsid w:val="00542211"/>
    <w:rsid w:val="0054376F"/>
    <w:rsid w:val="00543F63"/>
    <w:rsid w:val="00545321"/>
    <w:rsid w:val="0054726F"/>
    <w:rsid w:val="005505F2"/>
    <w:rsid w:val="005535B8"/>
    <w:rsid w:val="005542D1"/>
    <w:rsid w:val="00554D28"/>
    <w:rsid w:val="005555B7"/>
    <w:rsid w:val="00555702"/>
    <w:rsid w:val="0055574D"/>
    <w:rsid w:val="00555E52"/>
    <w:rsid w:val="0055622A"/>
    <w:rsid w:val="00556FC7"/>
    <w:rsid w:val="00557459"/>
    <w:rsid w:val="00560760"/>
    <w:rsid w:val="00560CD9"/>
    <w:rsid w:val="00562936"/>
    <w:rsid w:val="00562AA7"/>
    <w:rsid w:val="00563343"/>
    <w:rsid w:val="005635C6"/>
    <w:rsid w:val="00563BC9"/>
    <w:rsid w:val="00564734"/>
    <w:rsid w:val="0056687B"/>
    <w:rsid w:val="0056742E"/>
    <w:rsid w:val="00567A71"/>
    <w:rsid w:val="00571142"/>
    <w:rsid w:val="00571C5C"/>
    <w:rsid w:val="005732DC"/>
    <w:rsid w:val="005737AA"/>
    <w:rsid w:val="00574143"/>
    <w:rsid w:val="00574428"/>
    <w:rsid w:val="0057503E"/>
    <w:rsid w:val="005758F5"/>
    <w:rsid w:val="00576CEE"/>
    <w:rsid w:val="00577305"/>
    <w:rsid w:val="005777EA"/>
    <w:rsid w:val="00577BE6"/>
    <w:rsid w:val="00580B78"/>
    <w:rsid w:val="00581146"/>
    <w:rsid w:val="00582616"/>
    <w:rsid w:val="00582877"/>
    <w:rsid w:val="00582C56"/>
    <w:rsid w:val="00583E50"/>
    <w:rsid w:val="00585552"/>
    <w:rsid w:val="005863E1"/>
    <w:rsid w:val="00587523"/>
    <w:rsid w:val="00587AA0"/>
    <w:rsid w:val="005963ED"/>
    <w:rsid w:val="005972EF"/>
    <w:rsid w:val="00597594"/>
    <w:rsid w:val="0059761E"/>
    <w:rsid w:val="005A0117"/>
    <w:rsid w:val="005A05D3"/>
    <w:rsid w:val="005A0B93"/>
    <w:rsid w:val="005A15DA"/>
    <w:rsid w:val="005A1D38"/>
    <w:rsid w:val="005A2617"/>
    <w:rsid w:val="005A3634"/>
    <w:rsid w:val="005A3CFD"/>
    <w:rsid w:val="005A4099"/>
    <w:rsid w:val="005A4D40"/>
    <w:rsid w:val="005A66A8"/>
    <w:rsid w:val="005A7406"/>
    <w:rsid w:val="005A7B62"/>
    <w:rsid w:val="005B09EC"/>
    <w:rsid w:val="005B12E2"/>
    <w:rsid w:val="005B14FC"/>
    <w:rsid w:val="005B2CDB"/>
    <w:rsid w:val="005B2FFA"/>
    <w:rsid w:val="005B331E"/>
    <w:rsid w:val="005B3909"/>
    <w:rsid w:val="005B4E94"/>
    <w:rsid w:val="005B5668"/>
    <w:rsid w:val="005B5F8C"/>
    <w:rsid w:val="005B7717"/>
    <w:rsid w:val="005B77A2"/>
    <w:rsid w:val="005B7D81"/>
    <w:rsid w:val="005C2C39"/>
    <w:rsid w:val="005C4523"/>
    <w:rsid w:val="005C5E23"/>
    <w:rsid w:val="005C5E87"/>
    <w:rsid w:val="005C5FD3"/>
    <w:rsid w:val="005C6196"/>
    <w:rsid w:val="005D319B"/>
    <w:rsid w:val="005D4232"/>
    <w:rsid w:val="005D4495"/>
    <w:rsid w:val="005D524B"/>
    <w:rsid w:val="005D5ABE"/>
    <w:rsid w:val="005D63BF"/>
    <w:rsid w:val="005D6928"/>
    <w:rsid w:val="005D6E6D"/>
    <w:rsid w:val="005E0896"/>
    <w:rsid w:val="005E0B82"/>
    <w:rsid w:val="005E0D16"/>
    <w:rsid w:val="005E1623"/>
    <w:rsid w:val="005E1FFC"/>
    <w:rsid w:val="005E2FCE"/>
    <w:rsid w:val="005E515B"/>
    <w:rsid w:val="005E586E"/>
    <w:rsid w:val="005E5AD0"/>
    <w:rsid w:val="005E5E0E"/>
    <w:rsid w:val="005E6FB4"/>
    <w:rsid w:val="005E750E"/>
    <w:rsid w:val="005E7F15"/>
    <w:rsid w:val="005F21F7"/>
    <w:rsid w:val="005F3E84"/>
    <w:rsid w:val="005F42F7"/>
    <w:rsid w:val="005F6536"/>
    <w:rsid w:val="00600A07"/>
    <w:rsid w:val="00603C7D"/>
    <w:rsid w:val="00603CCF"/>
    <w:rsid w:val="00604992"/>
    <w:rsid w:val="00604C21"/>
    <w:rsid w:val="0060547D"/>
    <w:rsid w:val="00607C33"/>
    <w:rsid w:val="00611754"/>
    <w:rsid w:val="00611A92"/>
    <w:rsid w:val="00616B4D"/>
    <w:rsid w:val="00616E4F"/>
    <w:rsid w:val="00617EDB"/>
    <w:rsid w:val="006211FD"/>
    <w:rsid w:val="006239C9"/>
    <w:rsid w:val="00624CE2"/>
    <w:rsid w:val="00625860"/>
    <w:rsid w:val="00627A83"/>
    <w:rsid w:val="00627CCD"/>
    <w:rsid w:val="00630197"/>
    <w:rsid w:val="006315EB"/>
    <w:rsid w:val="00633068"/>
    <w:rsid w:val="00633353"/>
    <w:rsid w:val="00634716"/>
    <w:rsid w:val="00637F33"/>
    <w:rsid w:val="00641630"/>
    <w:rsid w:val="00641E98"/>
    <w:rsid w:val="006424ED"/>
    <w:rsid w:val="00643416"/>
    <w:rsid w:val="0065189D"/>
    <w:rsid w:val="006521AE"/>
    <w:rsid w:val="00653218"/>
    <w:rsid w:val="00654DAE"/>
    <w:rsid w:val="00656ADF"/>
    <w:rsid w:val="0065700A"/>
    <w:rsid w:val="00657179"/>
    <w:rsid w:val="00657A08"/>
    <w:rsid w:val="006642EA"/>
    <w:rsid w:val="006646B4"/>
    <w:rsid w:val="00667B5C"/>
    <w:rsid w:val="0067032A"/>
    <w:rsid w:val="006708A0"/>
    <w:rsid w:val="0067162C"/>
    <w:rsid w:val="00673C95"/>
    <w:rsid w:val="00673DE7"/>
    <w:rsid w:val="006740D6"/>
    <w:rsid w:val="00675294"/>
    <w:rsid w:val="00675B5C"/>
    <w:rsid w:val="00676B3B"/>
    <w:rsid w:val="00681323"/>
    <w:rsid w:val="006814A4"/>
    <w:rsid w:val="00681C3E"/>
    <w:rsid w:val="00681E99"/>
    <w:rsid w:val="00683331"/>
    <w:rsid w:val="006840D9"/>
    <w:rsid w:val="00684A33"/>
    <w:rsid w:val="00685A53"/>
    <w:rsid w:val="0068669C"/>
    <w:rsid w:val="00692705"/>
    <w:rsid w:val="00692A64"/>
    <w:rsid w:val="00692FC0"/>
    <w:rsid w:val="0069320C"/>
    <w:rsid w:val="0069553D"/>
    <w:rsid w:val="0069787C"/>
    <w:rsid w:val="006A17C4"/>
    <w:rsid w:val="006A515E"/>
    <w:rsid w:val="006A5E83"/>
    <w:rsid w:val="006A70E4"/>
    <w:rsid w:val="006A79CE"/>
    <w:rsid w:val="006B05D0"/>
    <w:rsid w:val="006B1A95"/>
    <w:rsid w:val="006B26DD"/>
    <w:rsid w:val="006B27E0"/>
    <w:rsid w:val="006B296C"/>
    <w:rsid w:val="006B40F9"/>
    <w:rsid w:val="006B4366"/>
    <w:rsid w:val="006B4687"/>
    <w:rsid w:val="006B612B"/>
    <w:rsid w:val="006B6145"/>
    <w:rsid w:val="006B6631"/>
    <w:rsid w:val="006C0F19"/>
    <w:rsid w:val="006C10EB"/>
    <w:rsid w:val="006C1260"/>
    <w:rsid w:val="006C23A5"/>
    <w:rsid w:val="006C2620"/>
    <w:rsid w:val="006C4FDB"/>
    <w:rsid w:val="006C6174"/>
    <w:rsid w:val="006C643E"/>
    <w:rsid w:val="006C74F8"/>
    <w:rsid w:val="006D00BF"/>
    <w:rsid w:val="006D0998"/>
    <w:rsid w:val="006D0FA0"/>
    <w:rsid w:val="006D133A"/>
    <w:rsid w:val="006D455F"/>
    <w:rsid w:val="006D5D97"/>
    <w:rsid w:val="006D5DA5"/>
    <w:rsid w:val="006D757E"/>
    <w:rsid w:val="006D7A1F"/>
    <w:rsid w:val="006E1F25"/>
    <w:rsid w:val="006E203D"/>
    <w:rsid w:val="006E4E4A"/>
    <w:rsid w:val="006E790B"/>
    <w:rsid w:val="006F3006"/>
    <w:rsid w:val="006F37D7"/>
    <w:rsid w:val="006F408D"/>
    <w:rsid w:val="006F4D77"/>
    <w:rsid w:val="006F56FD"/>
    <w:rsid w:val="006F610F"/>
    <w:rsid w:val="006F63CC"/>
    <w:rsid w:val="006F6824"/>
    <w:rsid w:val="006F71C8"/>
    <w:rsid w:val="00701399"/>
    <w:rsid w:val="007020A8"/>
    <w:rsid w:val="0070239F"/>
    <w:rsid w:val="007065D3"/>
    <w:rsid w:val="0071059E"/>
    <w:rsid w:val="0071091F"/>
    <w:rsid w:val="00710EC1"/>
    <w:rsid w:val="00711298"/>
    <w:rsid w:val="0071354E"/>
    <w:rsid w:val="00714BC4"/>
    <w:rsid w:val="0071524B"/>
    <w:rsid w:val="00715C5B"/>
    <w:rsid w:val="00715DBA"/>
    <w:rsid w:val="00715F3A"/>
    <w:rsid w:val="007161FB"/>
    <w:rsid w:val="00717FD6"/>
    <w:rsid w:val="00721D94"/>
    <w:rsid w:val="007222B1"/>
    <w:rsid w:val="00722475"/>
    <w:rsid w:val="007225FC"/>
    <w:rsid w:val="00724C37"/>
    <w:rsid w:val="007253B6"/>
    <w:rsid w:val="00725E26"/>
    <w:rsid w:val="00726B1A"/>
    <w:rsid w:val="0072766E"/>
    <w:rsid w:val="007303FA"/>
    <w:rsid w:val="00730619"/>
    <w:rsid w:val="007308E4"/>
    <w:rsid w:val="00730B59"/>
    <w:rsid w:val="007342E6"/>
    <w:rsid w:val="00735984"/>
    <w:rsid w:val="00735AF5"/>
    <w:rsid w:val="00736772"/>
    <w:rsid w:val="007373F2"/>
    <w:rsid w:val="007405E7"/>
    <w:rsid w:val="00741FB5"/>
    <w:rsid w:val="00743E69"/>
    <w:rsid w:val="007445B1"/>
    <w:rsid w:val="00751B13"/>
    <w:rsid w:val="007532E1"/>
    <w:rsid w:val="00753922"/>
    <w:rsid w:val="00753C97"/>
    <w:rsid w:val="007549B7"/>
    <w:rsid w:val="0075640F"/>
    <w:rsid w:val="00757430"/>
    <w:rsid w:val="00760258"/>
    <w:rsid w:val="00760F46"/>
    <w:rsid w:val="00760FED"/>
    <w:rsid w:val="007627C4"/>
    <w:rsid w:val="0076297B"/>
    <w:rsid w:val="00762DEB"/>
    <w:rsid w:val="00764451"/>
    <w:rsid w:val="00766F3B"/>
    <w:rsid w:val="0076702F"/>
    <w:rsid w:val="00770339"/>
    <w:rsid w:val="007707EA"/>
    <w:rsid w:val="007751D8"/>
    <w:rsid w:val="007752FD"/>
    <w:rsid w:val="00777441"/>
    <w:rsid w:val="0077771E"/>
    <w:rsid w:val="00777A62"/>
    <w:rsid w:val="00780047"/>
    <w:rsid w:val="0078542E"/>
    <w:rsid w:val="00785631"/>
    <w:rsid w:val="0078581C"/>
    <w:rsid w:val="00786787"/>
    <w:rsid w:val="00787AD6"/>
    <w:rsid w:val="00790330"/>
    <w:rsid w:val="0079346A"/>
    <w:rsid w:val="00793492"/>
    <w:rsid w:val="00795530"/>
    <w:rsid w:val="00795B7B"/>
    <w:rsid w:val="00796F41"/>
    <w:rsid w:val="00797313"/>
    <w:rsid w:val="007A3501"/>
    <w:rsid w:val="007A592C"/>
    <w:rsid w:val="007A6404"/>
    <w:rsid w:val="007A7FD0"/>
    <w:rsid w:val="007B0644"/>
    <w:rsid w:val="007B3448"/>
    <w:rsid w:val="007B5C2A"/>
    <w:rsid w:val="007B6153"/>
    <w:rsid w:val="007B6394"/>
    <w:rsid w:val="007B69E6"/>
    <w:rsid w:val="007B70C7"/>
    <w:rsid w:val="007C1D88"/>
    <w:rsid w:val="007C61A9"/>
    <w:rsid w:val="007C6D73"/>
    <w:rsid w:val="007C7214"/>
    <w:rsid w:val="007D0559"/>
    <w:rsid w:val="007D1159"/>
    <w:rsid w:val="007D14B0"/>
    <w:rsid w:val="007D18F6"/>
    <w:rsid w:val="007D2A0A"/>
    <w:rsid w:val="007D3F24"/>
    <w:rsid w:val="007D43C5"/>
    <w:rsid w:val="007D4737"/>
    <w:rsid w:val="007D4A28"/>
    <w:rsid w:val="007D5FA8"/>
    <w:rsid w:val="007D63B0"/>
    <w:rsid w:val="007D769C"/>
    <w:rsid w:val="007D7EB0"/>
    <w:rsid w:val="007E06C1"/>
    <w:rsid w:val="007E0805"/>
    <w:rsid w:val="007E1837"/>
    <w:rsid w:val="007E3AE5"/>
    <w:rsid w:val="007E4234"/>
    <w:rsid w:val="007E467D"/>
    <w:rsid w:val="007E60B5"/>
    <w:rsid w:val="007E6C54"/>
    <w:rsid w:val="007F11CE"/>
    <w:rsid w:val="007F480E"/>
    <w:rsid w:val="007F4B46"/>
    <w:rsid w:val="007F57F3"/>
    <w:rsid w:val="007F6415"/>
    <w:rsid w:val="007F73AF"/>
    <w:rsid w:val="0080116F"/>
    <w:rsid w:val="00801ADB"/>
    <w:rsid w:val="008027FF"/>
    <w:rsid w:val="00802A13"/>
    <w:rsid w:val="00802E09"/>
    <w:rsid w:val="00802E53"/>
    <w:rsid w:val="008031DA"/>
    <w:rsid w:val="00803BAB"/>
    <w:rsid w:val="008075E5"/>
    <w:rsid w:val="00810A8A"/>
    <w:rsid w:val="00812137"/>
    <w:rsid w:val="00812190"/>
    <w:rsid w:val="00816F4C"/>
    <w:rsid w:val="00817086"/>
    <w:rsid w:val="008202F8"/>
    <w:rsid w:val="0082092F"/>
    <w:rsid w:val="00821EB4"/>
    <w:rsid w:val="008227F0"/>
    <w:rsid w:val="00823006"/>
    <w:rsid w:val="008232E6"/>
    <w:rsid w:val="008240AC"/>
    <w:rsid w:val="00824316"/>
    <w:rsid w:val="008245A3"/>
    <w:rsid w:val="008264AC"/>
    <w:rsid w:val="00826751"/>
    <w:rsid w:val="00826ADA"/>
    <w:rsid w:val="008274E9"/>
    <w:rsid w:val="008278D1"/>
    <w:rsid w:val="008317DA"/>
    <w:rsid w:val="00833438"/>
    <w:rsid w:val="0083362F"/>
    <w:rsid w:val="00834A70"/>
    <w:rsid w:val="00834F37"/>
    <w:rsid w:val="00835850"/>
    <w:rsid w:val="008358FC"/>
    <w:rsid w:val="0083650A"/>
    <w:rsid w:val="008371D8"/>
    <w:rsid w:val="00837EFC"/>
    <w:rsid w:val="00841BBE"/>
    <w:rsid w:val="00841BF2"/>
    <w:rsid w:val="008425CB"/>
    <w:rsid w:val="00843CF5"/>
    <w:rsid w:val="008459DD"/>
    <w:rsid w:val="008460B1"/>
    <w:rsid w:val="0084673F"/>
    <w:rsid w:val="0085139F"/>
    <w:rsid w:val="00851548"/>
    <w:rsid w:val="0085232D"/>
    <w:rsid w:val="00853B0A"/>
    <w:rsid w:val="00854402"/>
    <w:rsid w:val="008570E8"/>
    <w:rsid w:val="008626D4"/>
    <w:rsid w:val="00862C2B"/>
    <w:rsid w:val="00863FB3"/>
    <w:rsid w:val="00864C6B"/>
    <w:rsid w:val="00864EAB"/>
    <w:rsid w:val="00865957"/>
    <w:rsid w:val="00866311"/>
    <w:rsid w:val="00866BE8"/>
    <w:rsid w:val="00867FB2"/>
    <w:rsid w:val="00870617"/>
    <w:rsid w:val="00870CFC"/>
    <w:rsid w:val="00871C66"/>
    <w:rsid w:val="008724C0"/>
    <w:rsid w:val="008726A5"/>
    <w:rsid w:val="0087317D"/>
    <w:rsid w:val="00873313"/>
    <w:rsid w:val="00873CC1"/>
    <w:rsid w:val="00873EED"/>
    <w:rsid w:val="00875AAD"/>
    <w:rsid w:val="00876D37"/>
    <w:rsid w:val="008802A5"/>
    <w:rsid w:val="00881299"/>
    <w:rsid w:val="00883569"/>
    <w:rsid w:val="00883697"/>
    <w:rsid w:val="008836DD"/>
    <w:rsid w:val="00885C01"/>
    <w:rsid w:val="00886167"/>
    <w:rsid w:val="00886C9E"/>
    <w:rsid w:val="00886CF7"/>
    <w:rsid w:val="00887691"/>
    <w:rsid w:val="00887C0C"/>
    <w:rsid w:val="00887C28"/>
    <w:rsid w:val="008919E2"/>
    <w:rsid w:val="00892422"/>
    <w:rsid w:val="00892A5E"/>
    <w:rsid w:val="0089391D"/>
    <w:rsid w:val="008956BC"/>
    <w:rsid w:val="00895BDC"/>
    <w:rsid w:val="0089733D"/>
    <w:rsid w:val="008A14AF"/>
    <w:rsid w:val="008A2952"/>
    <w:rsid w:val="008A3249"/>
    <w:rsid w:val="008A3847"/>
    <w:rsid w:val="008A3956"/>
    <w:rsid w:val="008A41EA"/>
    <w:rsid w:val="008A5293"/>
    <w:rsid w:val="008A5C9C"/>
    <w:rsid w:val="008B048E"/>
    <w:rsid w:val="008B1C4D"/>
    <w:rsid w:val="008B30D1"/>
    <w:rsid w:val="008B4476"/>
    <w:rsid w:val="008B5F6E"/>
    <w:rsid w:val="008B6CB2"/>
    <w:rsid w:val="008B7486"/>
    <w:rsid w:val="008B7966"/>
    <w:rsid w:val="008B7F98"/>
    <w:rsid w:val="008C0121"/>
    <w:rsid w:val="008C35B8"/>
    <w:rsid w:val="008C490D"/>
    <w:rsid w:val="008C52A1"/>
    <w:rsid w:val="008C6C10"/>
    <w:rsid w:val="008C7B35"/>
    <w:rsid w:val="008D079E"/>
    <w:rsid w:val="008D3EC0"/>
    <w:rsid w:val="008D3FC0"/>
    <w:rsid w:val="008D3FD1"/>
    <w:rsid w:val="008D43A1"/>
    <w:rsid w:val="008D60F0"/>
    <w:rsid w:val="008D79FF"/>
    <w:rsid w:val="008D7AEE"/>
    <w:rsid w:val="008D7C17"/>
    <w:rsid w:val="008E1EDD"/>
    <w:rsid w:val="008E3E67"/>
    <w:rsid w:val="008E3F5B"/>
    <w:rsid w:val="008E45D4"/>
    <w:rsid w:val="008E4F16"/>
    <w:rsid w:val="008E5B27"/>
    <w:rsid w:val="008E69E1"/>
    <w:rsid w:val="008E7235"/>
    <w:rsid w:val="008F068F"/>
    <w:rsid w:val="008F2F58"/>
    <w:rsid w:val="008F2FEC"/>
    <w:rsid w:val="008F3BB1"/>
    <w:rsid w:val="008F4168"/>
    <w:rsid w:val="008F55E7"/>
    <w:rsid w:val="008F6353"/>
    <w:rsid w:val="0090781B"/>
    <w:rsid w:val="009079F1"/>
    <w:rsid w:val="00912310"/>
    <w:rsid w:val="00912905"/>
    <w:rsid w:val="00913784"/>
    <w:rsid w:val="00913A37"/>
    <w:rsid w:val="00913EE6"/>
    <w:rsid w:val="009157E5"/>
    <w:rsid w:val="00915895"/>
    <w:rsid w:val="00917DE9"/>
    <w:rsid w:val="009211F4"/>
    <w:rsid w:val="00922070"/>
    <w:rsid w:val="00922366"/>
    <w:rsid w:val="00923081"/>
    <w:rsid w:val="00923D23"/>
    <w:rsid w:val="00924D22"/>
    <w:rsid w:val="00924DD3"/>
    <w:rsid w:val="00926FE3"/>
    <w:rsid w:val="009306B2"/>
    <w:rsid w:val="0093100B"/>
    <w:rsid w:val="00933032"/>
    <w:rsid w:val="009331B0"/>
    <w:rsid w:val="00934D87"/>
    <w:rsid w:val="00935834"/>
    <w:rsid w:val="00935D7F"/>
    <w:rsid w:val="0093771D"/>
    <w:rsid w:val="00937B38"/>
    <w:rsid w:val="00940025"/>
    <w:rsid w:val="00942F8A"/>
    <w:rsid w:val="009440F1"/>
    <w:rsid w:val="009441B2"/>
    <w:rsid w:val="00944D02"/>
    <w:rsid w:val="0094565E"/>
    <w:rsid w:val="00945EB3"/>
    <w:rsid w:val="00946014"/>
    <w:rsid w:val="0094689C"/>
    <w:rsid w:val="00946CF7"/>
    <w:rsid w:val="00951629"/>
    <w:rsid w:val="00952A24"/>
    <w:rsid w:val="009538F2"/>
    <w:rsid w:val="00953C45"/>
    <w:rsid w:val="00953CA2"/>
    <w:rsid w:val="00954105"/>
    <w:rsid w:val="0095633B"/>
    <w:rsid w:val="0095660F"/>
    <w:rsid w:val="00956C3F"/>
    <w:rsid w:val="00956F21"/>
    <w:rsid w:val="00960487"/>
    <w:rsid w:val="009624BA"/>
    <w:rsid w:val="00963AF3"/>
    <w:rsid w:val="009648AD"/>
    <w:rsid w:val="00964998"/>
    <w:rsid w:val="00965E10"/>
    <w:rsid w:val="009664FF"/>
    <w:rsid w:val="00966A3F"/>
    <w:rsid w:val="00967404"/>
    <w:rsid w:val="0097000E"/>
    <w:rsid w:val="009703DC"/>
    <w:rsid w:val="00970A01"/>
    <w:rsid w:val="00975C91"/>
    <w:rsid w:val="00976384"/>
    <w:rsid w:val="00976C9D"/>
    <w:rsid w:val="00977336"/>
    <w:rsid w:val="00977419"/>
    <w:rsid w:val="00981C6C"/>
    <w:rsid w:val="0098235F"/>
    <w:rsid w:val="0098410F"/>
    <w:rsid w:val="00984993"/>
    <w:rsid w:val="009864DE"/>
    <w:rsid w:val="00987E2B"/>
    <w:rsid w:val="00987EB5"/>
    <w:rsid w:val="0099035F"/>
    <w:rsid w:val="0099057C"/>
    <w:rsid w:val="00990872"/>
    <w:rsid w:val="00990C2F"/>
    <w:rsid w:val="00991A98"/>
    <w:rsid w:val="0099216E"/>
    <w:rsid w:val="00992510"/>
    <w:rsid w:val="00992741"/>
    <w:rsid w:val="0099359A"/>
    <w:rsid w:val="00993AB1"/>
    <w:rsid w:val="00994300"/>
    <w:rsid w:val="00994F42"/>
    <w:rsid w:val="009953BB"/>
    <w:rsid w:val="009960E6"/>
    <w:rsid w:val="0099652C"/>
    <w:rsid w:val="00996600"/>
    <w:rsid w:val="00996A84"/>
    <w:rsid w:val="009A128A"/>
    <w:rsid w:val="009A17DF"/>
    <w:rsid w:val="009A2A75"/>
    <w:rsid w:val="009A2B3D"/>
    <w:rsid w:val="009A3040"/>
    <w:rsid w:val="009A3802"/>
    <w:rsid w:val="009A4E87"/>
    <w:rsid w:val="009A6E34"/>
    <w:rsid w:val="009A6E85"/>
    <w:rsid w:val="009B017A"/>
    <w:rsid w:val="009B10B0"/>
    <w:rsid w:val="009B2198"/>
    <w:rsid w:val="009B5339"/>
    <w:rsid w:val="009B6409"/>
    <w:rsid w:val="009B73F4"/>
    <w:rsid w:val="009B7EE9"/>
    <w:rsid w:val="009C0F93"/>
    <w:rsid w:val="009C1768"/>
    <w:rsid w:val="009C2E07"/>
    <w:rsid w:val="009C4826"/>
    <w:rsid w:val="009C57F4"/>
    <w:rsid w:val="009C7922"/>
    <w:rsid w:val="009D075D"/>
    <w:rsid w:val="009D0938"/>
    <w:rsid w:val="009D1556"/>
    <w:rsid w:val="009D3E42"/>
    <w:rsid w:val="009D432A"/>
    <w:rsid w:val="009D5DDC"/>
    <w:rsid w:val="009D78D3"/>
    <w:rsid w:val="009D7B94"/>
    <w:rsid w:val="009D7C09"/>
    <w:rsid w:val="009E04A0"/>
    <w:rsid w:val="009E11C4"/>
    <w:rsid w:val="009E1E53"/>
    <w:rsid w:val="009E2F2E"/>
    <w:rsid w:val="009E3FE2"/>
    <w:rsid w:val="009E4DE6"/>
    <w:rsid w:val="009E57E0"/>
    <w:rsid w:val="009E5CF2"/>
    <w:rsid w:val="009E7325"/>
    <w:rsid w:val="009E7558"/>
    <w:rsid w:val="009F02C8"/>
    <w:rsid w:val="009F081C"/>
    <w:rsid w:val="009F0F5F"/>
    <w:rsid w:val="009F1B64"/>
    <w:rsid w:val="009F1E48"/>
    <w:rsid w:val="009F2277"/>
    <w:rsid w:val="009F495B"/>
    <w:rsid w:val="009F5249"/>
    <w:rsid w:val="009F5F18"/>
    <w:rsid w:val="009F6034"/>
    <w:rsid w:val="00A016AB"/>
    <w:rsid w:val="00A01EAC"/>
    <w:rsid w:val="00A06B62"/>
    <w:rsid w:val="00A07259"/>
    <w:rsid w:val="00A07B43"/>
    <w:rsid w:val="00A10B3F"/>
    <w:rsid w:val="00A10E54"/>
    <w:rsid w:val="00A11256"/>
    <w:rsid w:val="00A11B73"/>
    <w:rsid w:val="00A14424"/>
    <w:rsid w:val="00A148C8"/>
    <w:rsid w:val="00A15C5B"/>
    <w:rsid w:val="00A16CE1"/>
    <w:rsid w:val="00A16D56"/>
    <w:rsid w:val="00A1777B"/>
    <w:rsid w:val="00A21353"/>
    <w:rsid w:val="00A221B7"/>
    <w:rsid w:val="00A22307"/>
    <w:rsid w:val="00A22CD6"/>
    <w:rsid w:val="00A234E9"/>
    <w:rsid w:val="00A2423D"/>
    <w:rsid w:val="00A25349"/>
    <w:rsid w:val="00A30F33"/>
    <w:rsid w:val="00A31BC3"/>
    <w:rsid w:val="00A31EEC"/>
    <w:rsid w:val="00A3580E"/>
    <w:rsid w:val="00A3611F"/>
    <w:rsid w:val="00A36131"/>
    <w:rsid w:val="00A370F5"/>
    <w:rsid w:val="00A4089C"/>
    <w:rsid w:val="00A40F87"/>
    <w:rsid w:val="00A41DFC"/>
    <w:rsid w:val="00A426C7"/>
    <w:rsid w:val="00A42795"/>
    <w:rsid w:val="00A43590"/>
    <w:rsid w:val="00A43C49"/>
    <w:rsid w:val="00A44E43"/>
    <w:rsid w:val="00A471F1"/>
    <w:rsid w:val="00A4777D"/>
    <w:rsid w:val="00A50694"/>
    <w:rsid w:val="00A51C6A"/>
    <w:rsid w:val="00A55851"/>
    <w:rsid w:val="00A55E17"/>
    <w:rsid w:val="00A565AA"/>
    <w:rsid w:val="00A57310"/>
    <w:rsid w:val="00A57828"/>
    <w:rsid w:val="00A6012D"/>
    <w:rsid w:val="00A61321"/>
    <w:rsid w:val="00A63AFE"/>
    <w:rsid w:val="00A63DA5"/>
    <w:rsid w:val="00A63DCA"/>
    <w:rsid w:val="00A6455C"/>
    <w:rsid w:val="00A64D3D"/>
    <w:rsid w:val="00A65F8F"/>
    <w:rsid w:val="00A666BF"/>
    <w:rsid w:val="00A725BF"/>
    <w:rsid w:val="00A73455"/>
    <w:rsid w:val="00A755D6"/>
    <w:rsid w:val="00A758F7"/>
    <w:rsid w:val="00A76333"/>
    <w:rsid w:val="00A765AA"/>
    <w:rsid w:val="00A77292"/>
    <w:rsid w:val="00A77F1A"/>
    <w:rsid w:val="00A8064A"/>
    <w:rsid w:val="00A80870"/>
    <w:rsid w:val="00A80B35"/>
    <w:rsid w:val="00A80B75"/>
    <w:rsid w:val="00A81071"/>
    <w:rsid w:val="00A81A73"/>
    <w:rsid w:val="00A82248"/>
    <w:rsid w:val="00A82FB1"/>
    <w:rsid w:val="00A84AEE"/>
    <w:rsid w:val="00A84C8A"/>
    <w:rsid w:val="00A85907"/>
    <w:rsid w:val="00A86AF9"/>
    <w:rsid w:val="00A872F6"/>
    <w:rsid w:val="00A919FE"/>
    <w:rsid w:val="00A927C9"/>
    <w:rsid w:val="00A9430C"/>
    <w:rsid w:val="00A94A6A"/>
    <w:rsid w:val="00A94D02"/>
    <w:rsid w:val="00A95EAC"/>
    <w:rsid w:val="00A97323"/>
    <w:rsid w:val="00AA0374"/>
    <w:rsid w:val="00AA0B83"/>
    <w:rsid w:val="00AA1BFE"/>
    <w:rsid w:val="00AA3779"/>
    <w:rsid w:val="00AA3DB1"/>
    <w:rsid w:val="00AA40DB"/>
    <w:rsid w:val="00AA591D"/>
    <w:rsid w:val="00AA6532"/>
    <w:rsid w:val="00AA79A3"/>
    <w:rsid w:val="00AA79F5"/>
    <w:rsid w:val="00AA7BD0"/>
    <w:rsid w:val="00AB2555"/>
    <w:rsid w:val="00AB30EA"/>
    <w:rsid w:val="00AB440C"/>
    <w:rsid w:val="00AB6096"/>
    <w:rsid w:val="00AB61B0"/>
    <w:rsid w:val="00AC17FB"/>
    <w:rsid w:val="00AC2B42"/>
    <w:rsid w:val="00AC358C"/>
    <w:rsid w:val="00AC3A4E"/>
    <w:rsid w:val="00AC3E06"/>
    <w:rsid w:val="00AC4012"/>
    <w:rsid w:val="00AC49D2"/>
    <w:rsid w:val="00AC6321"/>
    <w:rsid w:val="00AC7D12"/>
    <w:rsid w:val="00AD0D8C"/>
    <w:rsid w:val="00AD14A2"/>
    <w:rsid w:val="00AD1622"/>
    <w:rsid w:val="00AD1C82"/>
    <w:rsid w:val="00AD1CBB"/>
    <w:rsid w:val="00AD2D65"/>
    <w:rsid w:val="00AD497B"/>
    <w:rsid w:val="00AD5005"/>
    <w:rsid w:val="00AD530D"/>
    <w:rsid w:val="00AD5329"/>
    <w:rsid w:val="00AD5E9B"/>
    <w:rsid w:val="00AD6512"/>
    <w:rsid w:val="00AD6792"/>
    <w:rsid w:val="00AE19C2"/>
    <w:rsid w:val="00AE1AB4"/>
    <w:rsid w:val="00AE32DE"/>
    <w:rsid w:val="00AE4865"/>
    <w:rsid w:val="00AE4C36"/>
    <w:rsid w:val="00AE5846"/>
    <w:rsid w:val="00AF3240"/>
    <w:rsid w:val="00AF32C1"/>
    <w:rsid w:val="00AF53AC"/>
    <w:rsid w:val="00B021B0"/>
    <w:rsid w:val="00B028B9"/>
    <w:rsid w:val="00B03176"/>
    <w:rsid w:val="00B045DE"/>
    <w:rsid w:val="00B100F6"/>
    <w:rsid w:val="00B1095A"/>
    <w:rsid w:val="00B10F7B"/>
    <w:rsid w:val="00B14CDD"/>
    <w:rsid w:val="00B14E5E"/>
    <w:rsid w:val="00B1513B"/>
    <w:rsid w:val="00B16B9A"/>
    <w:rsid w:val="00B17248"/>
    <w:rsid w:val="00B20089"/>
    <w:rsid w:val="00B2286C"/>
    <w:rsid w:val="00B24421"/>
    <w:rsid w:val="00B2581B"/>
    <w:rsid w:val="00B263E8"/>
    <w:rsid w:val="00B2697E"/>
    <w:rsid w:val="00B26C41"/>
    <w:rsid w:val="00B2759B"/>
    <w:rsid w:val="00B27BF9"/>
    <w:rsid w:val="00B35340"/>
    <w:rsid w:val="00B35E08"/>
    <w:rsid w:val="00B40B5B"/>
    <w:rsid w:val="00B40BDD"/>
    <w:rsid w:val="00B40E60"/>
    <w:rsid w:val="00B42EE6"/>
    <w:rsid w:val="00B45945"/>
    <w:rsid w:val="00B45FF7"/>
    <w:rsid w:val="00B46121"/>
    <w:rsid w:val="00B472CB"/>
    <w:rsid w:val="00B47ADD"/>
    <w:rsid w:val="00B47D25"/>
    <w:rsid w:val="00B502D2"/>
    <w:rsid w:val="00B50510"/>
    <w:rsid w:val="00B51810"/>
    <w:rsid w:val="00B51876"/>
    <w:rsid w:val="00B521B4"/>
    <w:rsid w:val="00B52A37"/>
    <w:rsid w:val="00B52DF4"/>
    <w:rsid w:val="00B533DB"/>
    <w:rsid w:val="00B55200"/>
    <w:rsid w:val="00B56A0F"/>
    <w:rsid w:val="00B5724A"/>
    <w:rsid w:val="00B577C5"/>
    <w:rsid w:val="00B57FD4"/>
    <w:rsid w:val="00B61655"/>
    <w:rsid w:val="00B63430"/>
    <w:rsid w:val="00B63A29"/>
    <w:rsid w:val="00B63EFC"/>
    <w:rsid w:val="00B63F52"/>
    <w:rsid w:val="00B64108"/>
    <w:rsid w:val="00B642FB"/>
    <w:rsid w:val="00B65621"/>
    <w:rsid w:val="00B7054E"/>
    <w:rsid w:val="00B70663"/>
    <w:rsid w:val="00B71CC9"/>
    <w:rsid w:val="00B72A3B"/>
    <w:rsid w:val="00B72CE7"/>
    <w:rsid w:val="00B73673"/>
    <w:rsid w:val="00B7412E"/>
    <w:rsid w:val="00B759B8"/>
    <w:rsid w:val="00B759ED"/>
    <w:rsid w:val="00B75BCB"/>
    <w:rsid w:val="00B77203"/>
    <w:rsid w:val="00B8034A"/>
    <w:rsid w:val="00B80494"/>
    <w:rsid w:val="00B806DB"/>
    <w:rsid w:val="00B811E2"/>
    <w:rsid w:val="00B83FC1"/>
    <w:rsid w:val="00B858DF"/>
    <w:rsid w:val="00B85D10"/>
    <w:rsid w:val="00B8628A"/>
    <w:rsid w:val="00B86570"/>
    <w:rsid w:val="00B86CC3"/>
    <w:rsid w:val="00B91D90"/>
    <w:rsid w:val="00B927D0"/>
    <w:rsid w:val="00B938EF"/>
    <w:rsid w:val="00B94073"/>
    <w:rsid w:val="00B95AB8"/>
    <w:rsid w:val="00B97642"/>
    <w:rsid w:val="00B97A2B"/>
    <w:rsid w:val="00B97A9E"/>
    <w:rsid w:val="00BA02DD"/>
    <w:rsid w:val="00BA0676"/>
    <w:rsid w:val="00BA08A8"/>
    <w:rsid w:val="00BA15C7"/>
    <w:rsid w:val="00BA221A"/>
    <w:rsid w:val="00BA28E2"/>
    <w:rsid w:val="00BA3A94"/>
    <w:rsid w:val="00BB0BC4"/>
    <w:rsid w:val="00BB3E20"/>
    <w:rsid w:val="00BB3E66"/>
    <w:rsid w:val="00BB442C"/>
    <w:rsid w:val="00BB4AD6"/>
    <w:rsid w:val="00BB5932"/>
    <w:rsid w:val="00BB6AEF"/>
    <w:rsid w:val="00BB75C1"/>
    <w:rsid w:val="00BC1327"/>
    <w:rsid w:val="00BC3027"/>
    <w:rsid w:val="00BC42EC"/>
    <w:rsid w:val="00BC4708"/>
    <w:rsid w:val="00BC47EC"/>
    <w:rsid w:val="00BC5E66"/>
    <w:rsid w:val="00BD0F69"/>
    <w:rsid w:val="00BD133E"/>
    <w:rsid w:val="00BD1359"/>
    <w:rsid w:val="00BD14F1"/>
    <w:rsid w:val="00BD1AF5"/>
    <w:rsid w:val="00BD3F37"/>
    <w:rsid w:val="00BD556C"/>
    <w:rsid w:val="00BD55EF"/>
    <w:rsid w:val="00BD6537"/>
    <w:rsid w:val="00BD72D3"/>
    <w:rsid w:val="00BD735C"/>
    <w:rsid w:val="00BD7F31"/>
    <w:rsid w:val="00BE04A9"/>
    <w:rsid w:val="00BE10B7"/>
    <w:rsid w:val="00BE1DB7"/>
    <w:rsid w:val="00BE20D5"/>
    <w:rsid w:val="00BE253E"/>
    <w:rsid w:val="00BE4645"/>
    <w:rsid w:val="00BE4777"/>
    <w:rsid w:val="00BE5723"/>
    <w:rsid w:val="00BE7D1F"/>
    <w:rsid w:val="00BE7DCE"/>
    <w:rsid w:val="00BF0656"/>
    <w:rsid w:val="00BF15BA"/>
    <w:rsid w:val="00BF182D"/>
    <w:rsid w:val="00BF2991"/>
    <w:rsid w:val="00BF357D"/>
    <w:rsid w:val="00BF3BF0"/>
    <w:rsid w:val="00BF609D"/>
    <w:rsid w:val="00BF6F84"/>
    <w:rsid w:val="00BF7572"/>
    <w:rsid w:val="00BF7B52"/>
    <w:rsid w:val="00C0110F"/>
    <w:rsid w:val="00C027D6"/>
    <w:rsid w:val="00C03A13"/>
    <w:rsid w:val="00C03B99"/>
    <w:rsid w:val="00C03E27"/>
    <w:rsid w:val="00C07319"/>
    <w:rsid w:val="00C12B34"/>
    <w:rsid w:val="00C13193"/>
    <w:rsid w:val="00C140C5"/>
    <w:rsid w:val="00C2128C"/>
    <w:rsid w:val="00C21658"/>
    <w:rsid w:val="00C234B2"/>
    <w:rsid w:val="00C23D10"/>
    <w:rsid w:val="00C2534C"/>
    <w:rsid w:val="00C25E68"/>
    <w:rsid w:val="00C27079"/>
    <w:rsid w:val="00C34F1B"/>
    <w:rsid w:val="00C3504D"/>
    <w:rsid w:val="00C3721C"/>
    <w:rsid w:val="00C40213"/>
    <w:rsid w:val="00C41B68"/>
    <w:rsid w:val="00C42206"/>
    <w:rsid w:val="00C430EE"/>
    <w:rsid w:val="00C434F2"/>
    <w:rsid w:val="00C43BEC"/>
    <w:rsid w:val="00C44FC7"/>
    <w:rsid w:val="00C46F7F"/>
    <w:rsid w:val="00C472DF"/>
    <w:rsid w:val="00C4750B"/>
    <w:rsid w:val="00C5152B"/>
    <w:rsid w:val="00C51A7E"/>
    <w:rsid w:val="00C52BDC"/>
    <w:rsid w:val="00C55A31"/>
    <w:rsid w:val="00C568F1"/>
    <w:rsid w:val="00C601FD"/>
    <w:rsid w:val="00C61645"/>
    <w:rsid w:val="00C61D47"/>
    <w:rsid w:val="00C62B7B"/>
    <w:rsid w:val="00C62D71"/>
    <w:rsid w:val="00C63289"/>
    <w:rsid w:val="00C63573"/>
    <w:rsid w:val="00C63F94"/>
    <w:rsid w:val="00C641B1"/>
    <w:rsid w:val="00C64E51"/>
    <w:rsid w:val="00C66049"/>
    <w:rsid w:val="00C7066C"/>
    <w:rsid w:val="00C70B46"/>
    <w:rsid w:val="00C738E9"/>
    <w:rsid w:val="00C74C84"/>
    <w:rsid w:val="00C757CF"/>
    <w:rsid w:val="00C75D93"/>
    <w:rsid w:val="00C769E6"/>
    <w:rsid w:val="00C7704E"/>
    <w:rsid w:val="00C77275"/>
    <w:rsid w:val="00C77977"/>
    <w:rsid w:val="00C80E2B"/>
    <w:rsid w:val="00C8265F"/>
    <w:rsid w:val="00C84BD1"/>
    <w:rsid w:val="00C85522"/>
    <w:rsid w:val="00C858B6"/>
    <w:rsid w:val="00C861C4"/>
    <w:rsid w:val="00C87636"/>
    <w:rsid w:val="00C96B8F"/>
    <w:rsid w:val="00C96FED"/>
    <w:rsid w:val="00C97A96"/>
    <w:rsid w:val="00C97EC3"/>
    <w:rsid w:val="00CA2247"/>
    <w:rsid w:val="00CA2AE9"/>
    <w:rsid w:val="00CA54BD"/>
    <w:rsid w:val="00CA5528"/>
    <w:rsid w:val="00CA6579"/>
    <w:rsid w:val="00CA69BD"/>
    <w:rsid w:val="00CB0E92"/>
    <w:rsid w:val="00CB11C3"/>
    <w:rsid w:val="00CB1A88"/>
    <w:rsid w:val="00CB28EB"/>
    <w:rsid w:val="00CB3642"/>
    <w:rsid w:val="00CB56DA"/>
    <w:rsid w:val="00CB6BD8"/>
    <w:rsid w:val="00CB79F1"/>
    <w:rsid w:val="00CC05CF"/>
    <w:rsid w:val="00CC2E46"/>
    <w:rsid w:val="00CC3595"/>
    <w:rsid w:val="00CC4A95"/>
    <w:rsid w:val="00CC57C2"/>
    <w:rsid w:val="00CC68D3"/>
    <w:rsid w:val="00CC76D9"/>
    <w:rsid w:val="00CC7851"/>
    <w:rsid w:val="00CC7AAE"/>
    <w:rsid w:val="00CC7D1D"/>
    <w:rsid w:val="00CC7F02"/>
    <w:rsid w:val="00CD13BF"/>
    <w:rsid w:val="00CD3948"/>
    <w:rsid w:val="00CD4DAC"/>
    <w:rsid w:val="00CD4E17"/>
    <w:rsid w:val="00CD539C"/>
    <w:rsid w:val="00CD5E20"/>
    <w:rsid w:val="00CD62B4"/>
    <w:rsid w:val="00CD6F76"/>
    <w:rsid w:val="00CE02E6"/>
    <w:rsid w:val="00CE1E89"/>
    <w:rsid w:val="00CE3D28"/>
    <w:rsid w:val="00CE5D9B"/>
    <w:rsid w:val="00CE6A96"/>
    <w:rsid w:val="00CE77E4"/>
    <w:rsid w:val="00CF1369"/>
    <w:rsid w:val="00CF1C91"/>
    <w:rsid w:val="00CF1E28"/>
    <w:rsid w:val="00CF292B"/>
    <w:rsid w:val="00CF2B9C"/>
    <w:rsid w:val="00CF2F1D"/>
    <w:rsid w:val="00CF313F"/>
    <w:rsid w:val="00CF3DA3"/>
    <w:rsid w:val="00CF5FB9"/>
    <w:rsid w:val="00CF73C0"/>
    <w:rsid w:val="00CF7564"/>
    <w:rsid w:val="00CF7A39"/>
    <w:rsid w:val="00CF7BE6"/>
    <w:rsid w:val="00D013E8"/>
    <w:rsid w:val="00D024CA"/>
    <w:rsid w:val="00D02E35"/>
    <w:rsid w:val="00D02EEC"/>
    <w:rsid w:val="00D0308F"/>
    <w:rsid w:val="00D04BA2"/>
    <w:rsid w:val="00D06803"/>
    <w:rsid w:val="00D06AC9"/>
    <w:rsid w:val="00D06EC7"/>
    <w:rsid w:val="00D10285"/>
    <w:rsid w:val="00D11CEF"/>
    <w:rsid w:val="00D127B9"/>
    <w:rsid w:val="00D148C4"/>
    <w:rsid w:val="00D14BA6"/>
    <w:rsid w:val="00D14F3B"/>
    <w:rsid w:val="00D15C05"/>
    <w:rsid w:val="00D1624E"/>
    <w:rsid w:val="00D17341"/>
    <w:rsid w:val="00D20E89"/>
    <w:rsid w:val="00D21464"/>
    <w:rsid w:val="00D23549"/>
    <w:rsid w:val="00D241B0"/>
    <w:rsid w:val="00D27123"/>
    <w:rsid w:val="00D2795F"/>
    <w:rsid w:val="00D3011E"/>
    <w:rsid w:val="00D31779"/>
    <w:rsid w:val="00D320A1"/>
    <w:rsid w:val="00D32E6B"/>
    <w:rsid w:val="00D35EA7"/>
    <w:rsid w:val="00D37B16"/>
    <w:rsid w:val="00D40463"/>
    <w:rsid w:val="00D40DCC"/>
    <w:rsid w:val="00D41DBC"/>
    <w:rsid w:val="00D42835"/>
    <w:rsid w:val="00D43446"/>
    <w:rsid w:val="00D43653"/>
    <w:rsid w:val="00D43B25"/>
    <w:rsid w:val="00D43D58"/>
    <w:rsid w:val="00D44FDE"/>
    <w:rsid w:val="00D454D8"/>
    <w:rsid w:val="00D45CF9"/>
    <w:rsid w:val="00D46730"/>
    <w:rsid w:val="00D46A74"/>
    <w:rsid w:val="00D47C60"/>
    <w:rsid w:val="00D50BF6"/>
    <w:rsid w:val="00D51863"/>
    <w:rsid w:val="00D529C2"/>
    <w:rsid w:val="00D53215"/>
    <w:rsid w:val="00D544C7"/>
    <w:rsid w:val="00D54775"/>
    <w:rsid w:val="00D54921"/>
    <w:rsid w:val="00D552BA"/>
    <w:rsid w:val="00D55653"/>
    <w:rsid w:val="00D56CA9"/>
    <w:rsid w:val="00D61ABF"/>
    <w:rsid w:val="00D62C0B"/>
    <w:rsid w:val="00D62CCF"/>
    <w:rsid w:val="00D63CDE"/>
    <w:rsid w:val="00D64B57"/>
    <w:rsid w:val="00D662E8"/>
    <w:rsid w:val="00D66D26"/>
    <w:rsid w:val="00D67D38"/>
    <w:rsid w:val="00D70631"/>
    <w:rsid w:val="00D71545"/>
    <w:rsid w:val="00D716BB"/>
    <w:rsid w:val="00D71A83"/>
    <w:rsid w:val="00D71C2E"/>
    <w:rsid w:val="00D72A07"/>
    <w:rsid w:val="00D73F5C"/>
    <w:rsid w:val="00D75C18"/>
    <w:rsid w:val="00D76042"/>
    <w:rsid w:val="00D768AE"/>
    <w:rsid w:val="00D77AE3"/>
    <w:rsid w:val="00D82767"/>
    <w:rsid w:val="00D83915"/>
    <w:rsid w:val="00D849E3"/>
    <w:rsid w:val="00D857D6"/>
    <w:rsid w:val="00D86124"/>
    <w:rsid w:val="00D90695"/>
    <w:rsid w:val="00D9344D"/>
    <w:rsid w:val="00D93FEB"/>
    <w:rsid w:val="00D95739"/>
    <w:rsid w:val="00DA06CD"/>
    <w:rsid w:val="00DA0986"/>
    <w:rsid w:val="00DA1A1F"/>
    <w:rsid w:val="00DA37F0"/>
    <w:rsid w:val="00DA3C55"/>
    <w:rsid w:val="00DA3FFA"/>
    <w:rsid w:val="00DA5211"/>
    <w:rsid w:val="00DA61CD"/>
    <w:rsid w:val="00DA6BFA"/>
    <w:rsid w:val="00DA6FC0"/>
    <w:rsid w:val="00DA7E53"/>
    <w:rsid w:val="00DB206A"/>
    <w:rsid w:val="00DB2829"/>
    <w:rsid w:val="00DB3F7C"/>
    <w:rsid w:val="00DB5320"/>
    <w:rsid w:val="00DB60FC"/>
    <w:rsid w:val="00DB6500"/>
    <w:rsid w:val="00DB68DC"/>
    <w:rsid w:val="00DB7D9E"/>
    <w:rsid w:val="00DC0994"/>
    <w:rsid w:val="00DC1EC9"/>
    <w:rsid w:val="00DC2C85"/>
    <w:rsid w:val="00DC3180"/>
    <w:rsid w:val="00DC349D"/>
    <w:rsid w:val="00DC47B3"/>
    <w:rsid w:val="00DC4C14"/>
    <w:rsid w:val="00DC4EAA"/>
    <w:rsid w:val="00DC54A5"/>
    <w:rsid w:val="00DC5DFC"/>
    <w:rsid w:val="00DC64BC"/>
    <w:rsid w:val="00DC7A86"/>
    <w:rsid w:val="00DC7BAC"/>
    <w:rsid w:val="00DD0DAC"/>
    <w:rsid w:val="00DD1452"/>
    <w:rsid w:val="00DD1702"/>
    <w:rsid w:val="00DD22F5"/>
    <w:rsid w:val="00DD27E0"/>
    <w:rsid w:val="00DD3475"/>
    <w:rsid w:val="00DD36C3"/>
    <w:rsid w:val="00DD58F1"/>
    <w:rsid w:val="00DD5F8D"/>
    <w:rsid w:val="00DD66BA"/>
    <w:rsid w:val="00DD7378"/>
    <w:rsid w:val="00DE08EB"/>
    <w:rsid w:val="00DE0CD8"/>
    <w:rsid w:val="00DE1179"/>
    <w:rsid w:val="00DE1F4A"/>
    <w:rsid w:val="00DE4245"/>
    <w:rsid w:val="00DE4BF1"/>
    <w:rsid w:val="00DE6F87"/>
    <w:rsid w:val="00DE750F"/>
    <w:rsid w:val="00DE790E"/>
    <w:rsid w:val="00DF0345"/>
    <w:rsid w:val="00DF2313"/>
    <w:rsid w:val="00DF3323"/>
    <w:rsid w:val="00DF3971"/>
    <w:rsid w:val="00DF3C89"/>
    <w:rsid w:val="00DF5EE2"/>
    <w:rsid w:val="00DF6C01"/>
    <w:rsid w:val="00DF758F"/>
    <w:rsid w:val="00DF76BC"/>
    <w:rsid w:val="00E00C41"/>
    <w:rsid w:val="00E033FA"/>
    <w:rsid w:val="00E03551"/>
    <w:rsid w:val="00E036C9"/>
    <w:rsid w:val="00E04210"/>
    <w:rsid w:val="00E0472D"/>
    <w:rsid w:val="00E04764"/>
    <w:rsid w:val="00E05115"/>
    <w:rsid w:val="00E05C7E"/>
    <w:rsid w:val="00E105B4"/>
    <w:rsid w:val="00E1157A"/>
    <w:rsid w:val="00E12D96"/>
    <w:rsid w:val="00E13A9D"/>
    <w:rsid w:val="00E170A2"/>
    <w:rsid w:val="00E17B5A"/>
    <w:rsid w:val="00E20522"/>
    <w:rsid w:val="00E226EF"/>
    <w:rsid w:val="00E242D0"/>
    <w:rsid w:val="00E24A8D"/>
    <w:rsid w:val="00E24ADF"/>
    <w:rsid w:val="00E26033"/>
    <w:rsid w:val="00E260C2"/>
    <w:rsid w:val="00E26201"/>
    <w:rsid w:val="00E27D5E"/>
    <w:rsid w:val="00E27FA6"/>
    <w:rsid w:val="00E304D4"/>
    <w:rsid w:val="00E33407"/>
    <w:rsid w:val="00E35C2B"/>
    <w:rsid w:val="00E360CC"/>
    <w:rsid w:val="00E3746F"/>
    <w:rsid w:val="00E41614"/>
    <w:rsid w:val="00E416B3"/>
    <w:rsid w:val="00E42783"/>
    <w:rsid w:val="00E45301"/>
    <w:rsid w:val="00E45A48"/>
    <w:rsid w:val="00E46551"/>
    <w:rsid w:val="00E46893"/>
    <w:rsid w:val="00E46ED5"/>
    <w:rsid w:val="00E54C57"/>
    <w:rsid w:val="00E560A0"/>
    <w:rsid w:val="00E57269"/>
    <w:rsid w:val="00E577F3"/>
    <w:rsid w:val="00E57822"/>
    <w:rsid w:val="00E601D4"/>
    <w:rsid w:val="00E60B40"/>
    <w:rsid w:val="00E6158C"/>
    <w:rsid w:val="00E6235D"/>
    <w:rsid w:val="00E62A2C"/>
    <w:rsid w:val="00E62D23"/>
    <w:rsid w:val="00E63D7F"/>
    <w:rsid w:val="00E64741"/>
    <w:rsid w:val="00E66FC6"/>
    <w:rsid w:val="00E67386"/>
    <w:rsid w:val="00E676F0"/>
    <w:rsid w:val="00E67711"/>
    <w:rsid w:val="00E71230"/>
    <w:rsid w:val="00E71A25"/>
    <w:rsid w:val="00E71D75"/>
    <w:rsid w:val="00E72CC2"/>
    <w:rsid w:val="00E74AF7"/>
    <w:rsid w:val="00E7518A"/>
    <w:rsid w:val="00E756CC"/>
    <w:rsid w:val="00E7660A"/>
    <w:rsid w:val="00E774A2"/>
    <w:rsid w:val="00E8011B"/>
    <w:rsid w:val="00E802B3"/>
    <w:rsid w:val="00E81AB6"/>
    <w:rsid w:val="00E8283E"/>
    <w:rsid w:val="00E868ED"/>
    <w:rsid w:val="00E87571"/>
    <w:rsid w:val="00E87608"/>
    <w:rsid w:val="00E90ADC"/>
    <w:rsid w:val="00E93B97"/>
    <w:rsid w:val="00E952FC"/>
    <w:rsid w:val="00E95A37"/>
    <w:rsid w:val="00E96B92"/>
    <w:rsid w:val="00E96DBE"/>
    <w:rsid w:val="00E97758"/>
    <w:rsid w:val="00E977B0"/>
    <w:rsid w:val="00E978EC"/>
    <w:rsid w:val="00EA5987"/>
    <w:rsid w:val="00EA64FE"/>
    <w:rsid w:val="00EA6656"/>
    <w:rsid w:val="00EA75CF"/>
    <w:rsid w:val="00EB04B2"/>
    <w:rsid w:val="00EB06D5"/>
    <w:rsid w:val="00EB385C"/>
    <w:rsid w:val="00EB58F5"/>
    <w:rsid w:val="00EB605C"/>
    <w:rsid w:val="00EB6F95"/>
    <w:rsid w:val="00EB6FA9"/>
    <w:rsid w:val="00EB7B27"/>
    <w:rsid w:val="00EC17D9"/>
    <w:rsid w:val="00EC32C3"/>
    <w:rsid w:val="00EC35C5"/>
    <w:rsid w:val="00EC4615"/>
    <w:rsid w:val="00ED0652"/>
    <w:rsid w:val="00ED2E13"/>
    <w:rsid w:val="00ED3F03"/>
    <w:rsid w:val="00ED4C0C"/>
    <w:rsid w:val="00ED5D63"/>
    <w:rsid w:val="00ED5EAD"/>
    <w:rsid w:val="00ED63AB"/>
    <w:rsid w:val="00ED688E"/>
    <w:rsid w:val="00ED7B67"/>
    <w:rsid w:val="00EE19DA"/>
    <w:rsid w:val="00EE1A24"/>
    <w:rsid w:val="00EE4CCC"/>
    <w:rsid w:val="00EE5833"/>
    <w:rsid w:val="00EE6108"/>
    <w:rsid w:val="00EE61E9"/>
    <w:rsid w:val="00EE789A"/>
    <w:rsid w:val="00EE7F4C"/>
    <w:rsid w:val="00EF1237"/>
    <w:rsid w:val="00EF19AC"/>
    <w:rsid w:val="00EF1E4A"/>
    <w:rsid w:val="00EF35E3"/>
    <w:rsid w:val="00EF4167"/>
    <w:rsid w:val="00EF533E"/>
    <w:rsid w:val="00EF53A7"/>
    <w:rsid w:val="00EF566C"/>
    <w:rsid w:val="00EF5E0C"/>
    <w:rsid w:val="00F00086"/>
    <w:rsid w:val="00F00A03"/>
    <w:rsid w:val="00F00BBB"/>
    <w:rsid w:val="00F010CA"/>
    <w:rsid w:val="00F03E6D"/>
    <w:rsid w:val="00F1169F"/>
    <w:rsid w:val="00F116BE"/>
    <w:rsid w:val="00F1460B"/>
    <w:rsid w:val="00F14868"/>
    <w:rsid w:val="00F14E69"/>
    <w:rsid w:val="00F15427"/>
    <w:rsid w:val="00F1635F"/>
    <w:rsid w:val="00F1705C"/>
    <w:rsid w:val="00F177D6"/>
    <w:rsid w:val="00F20283"/>
    <w:rsid w:val="00F2128A"/>
    <w:rsid w:val="00F21372"/>
    <w:rsid w:val="00F21A22"/>
    <w:rsid w:val="00F2219C"/>
    <w:rsid w:val="00F229C2"/>
    <w:rsid w:val="00F237F5"/>
    <w:rsid w:val="00F23C03"/>
    <w:rsid w:val="00F23F83"/>
    <w:rsid w:val="00F2449A"/>
    <w:rsid w:val="00F2457E"/>
    <w:rsid w:val="00F27E63"/>
    <w:rsid w:val="00F330A9"/>
    <w:rsid w:val="00F34025"/>
    <w:rsid w:val="00F34404"/>
    <w:rsid w:val="00F35560"/>
    <w:rsid w:val="00F4101E"/>
    <w:rsid w:val="00F44996"/>
    <w:rsid w:val="00F44DE8"/>
    <w:rsid w:val="00F455A4"/>
    <w:rsid w:val="00F45C50"/>
    <w:rsid w:val="00F45CC4"/>
    <w:rsid w:val="00F4663E"/>
    <w:rsid w:val="00F47D9A"/>
    <w:rsid w:val="00F47FB1"/>
    <w:rsid w:val="00F51393"/>
    <w:rsid w:val="00F522DA"/>
    <w:rsid w:val="00F528D6"/>
    <w:rsid w:val="00F5391E"/>
    <w:rsid w:val="00F53B2F"/>
    <w:rsid w:val="00F53D78"/>
    <w:rsid w:val="00F53EC1"/>
    <w:rsid w:val="00F558D9"/>
    <w:rsid w:val="00F5723C"/>
    <w:rsid w:val="00F60246"/>
    <w:rsid w:val="00F61787"/>
    <w:rsid w:val="00F62729"/>
    <w:rsid w:val="00F6340A"/>
    <w:rsid w:val="00F63617"/>
    <w:rsid w:val="00F63B89"/>
    <w:rsid w:val="00F64BCE"/>
    <w:rsid w:val="00F65F26"/>
    <w:rsid w:val="00F664A9"/>
    <w:rsid w:val="00F67B96"/>
    <w:rsid w:val="00F700BB"/>
    <w:rsid w:val="00F71EE5"/>
    <w:rsid w:val="00F73729"/>
    <w:rsid w:val="00F7460D"/>
    <w:rsid w:val="00F74994"/>
    <w:rsid w:val="00F76128"/>
    <w:rsid w:val="00F76725"/>
    <w:rsid w:val="00F77581"/>
    <w:rsid w:val="00F803C1"/>
    <w:rsid w:val="00F81684"/>
    <w:rsid w:val="00F81938"/>
    <w:rsid w:val="00F822C1"/>
    <w:rsid w:val="00F8255F"/>
    <w:rsid w:val="00F83AFC"/>
    <w:rsid w:val="00F8430F"/>
    <w:rsid w:val="00F84C27"/>
    <w:rsid w:val="00F85689"/>
    <w:rsid w:val="00F85D40"/>
    <w:rsid w:val="00F874AC"/>
    <w:rsid w:val="00F87D64"/>
    <w:rsid w:val="00F905E4"/>
    <w:rsid w:val="00F910A0"/>
    <w:rsid w:val="00F92953"/>
    <w:rsid w:val="00F955B2"/>
    <w:rsid w:val="00F9612A"/>
    <w:rsid w:val="00F96BC4"/>
    <w:rsid w:val="00F96F2F"/>
    <w:rsid w:val="00F9726E"/>
    <w:rsid w:val="00F9749F"/>
    <w:rsid w:val="00F974E7"/>
    <w:rsid w:val="00FA05AA"/>
    <w:rsid w:val="00FA08B6"/>
    <w:rsid w:val="00FA0F1F"/>
    <w:rsid w:val="00FA321B"/>
    <w:rsid w:val="00FA33E3"/>
    <w:rsid w:val="00FA3CA4"/>
    <w:rsid w:val="00FA4CAC"/>
    <w:rsid w:val="00FA6642"/>
    <w:rsid w:val="00FA68ED"/>
    <w:rsid w:val="00FA7827"/>
    <w:rsid w:val="00FA7E90"/>
    <w:rsid w:val="00FB039D"/>
    <w:rsid w:val="00FB0DB9"/>
    <w:rsid w:val="00FB0FAC"/>
    <w:rsid w:val="00FB27EC"/>
    <w:rsid w:val="00FB285C"/>
    <w:rsid w:val="00FB29CE"/>
    <w:rsid w:val="00FB350B"/>
    <w:rsid w:val="00FB3E2E"/>
    <w:rsid w:val="00FB48B3"/>
    <w:rsid w:val="00FB695A"/>
    <w:rsid w:val="00FB737F"/>
    <w:rsid w:val="00FB766B"/>
    <w:rsid w:val="00FC019B"/>
    <w:rsid w:val="00FC075A"/>
    <w:rsid w:val="00FC0B78"/>
    <w:rsid w:val="00FC1616"/>
    <w:rsid w:val="00FC23DC"/>
    <w:rsid w:val="00FC2475"/>
    <w:rsid w:val="00FC3501"/>
    <w:rsid w:val="00FC372C"/>
    <w:rsid w:val="00FC3B76"/>
    <w:rsid w:val="00FC471D"/>
    <w:rsid w:val="00FC704C"/>
    <w:rsid w:val="00FC72AE"/>
    <w:rsid w:val="00FC7583"/>
    <w:rsid w:val="00FD02E8"/>
    <w:rsid w:val="00FD11ED"/>
    <w:rsid w:val="00FD4292"/>
    <w:rsid w:val="00FD42B1"/>
    <w:rsid w:val="00FD5278"/>
    <w:rsid w:val="00FD57C2"/>
    <w:rsid w:val="00FD5C0D"/>
    <w:rsid w:val="00FD6107"/>
    <w:rsid w:val="00FD6787"/>
    <w:rsid w:val="00FE0A71"/>
    <w:rsid w:val="00FE269D"/>
    <w:rsid w:val="00FE3DA1"/>
    <w:rsid w:val="00FE67B6"/>
    <w:rsid w:val="00FE744B"/>
    <w:rsid w:val="00FE7E04"/>
    <w:rsid w:val="00FF05C3"/>
    <w:rsid w:val="00FF0955"/>
    <w:rsid w:val="00FF0BFD"/>
    <w:rsid w:val="00FF3A3E"/>
    <w:rsid w:val="00FF4725"/>
    <w:rsid w:val="00FF690B"/>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13697C"/>
  <w15:docId w15:val="{E4D4720A-5BC0-4F6A-AA14-C22A50FE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432E"/>
    <w:pPr>
      <w:spacing w:line="360" w:lineRule="auto"/>
    </w:pPr>
    <w:rPr>
      <w:rFonts w:ascii="Arial" w:hAnsi="Arial"/>
      <w:sz w:val="22"/>
      <w:lang w:val="en-GB" w:eastAsia="en-GB"/>
    </w:rPr>
  </w:style>
  <w:style w:type="paragraph" w:styleId="Heading1">
    <w:name w:val="heading 1"/>
    <w:basedOn w:val="Normal"/>
    <w:next w:val="Normal"/>
    <w:semiHidden/>
    <w:qFormat/>
    <w:rsid w:val="0094689C"/>
    <w:pPr>
      <w:keepNext/>
      <w:spacing w:before="240" w:after="60"/>
      <w:jc w:val="center"/>
      <w:outlineLvl w:val="0"/>
    </w:pPr>
    <w:rPr>
      <w:b/>
      <w:sz w:val="28"/>
    </w:rPr>
  </w:style>
  <w:style w:type="paragraph" w:styleId="Heading2">
    <w:name w:val="heading 2"/>
    <w:basedOn w:val="Normal"/>
    <w:next w:val="Normal"/>
    <w:link w:val="Heading2Char"/>
    <w:semiHidden/>
    <w:qFormat/>
    <w:rsid w:val="00C3721C"/>
    <w:pPr>
      <w:keepNext/>
      <w:tabs>
        <w:tab w:val="left" w:pos="1134"/>
      </w:tabs>
      <w:jc w:val="center"/>
      <w:outlineLvl w:val="1"/>
    </w:pPr>
    <w:rPr>
      <w:rFonts w:ascii="Times New Roman" w:hAnsi="Times New Roman"/>
      <w:b/>
    </w:rPr>
  </w:style>
  <w:style w:type="paragraph" w:styleId="Heading3">
    <w:name w:val="heading 3"/>
    <w:basedOn w:val="Normal"/>
    <w:next w:val="Normal"/>
    <w:semiHidden/>
    <w:qFormat/>
    <w:rsid w:val="00C3721C"/>
    <w:pPr>
      <w:keepNext/>
      <w:outlineLvl w:val="2"/>
    </w:pPr>
    <w:rPr>
      <w:rFonts w:ascii="Times New Roman" w:hAnsi="Times New Roman"/>
      <w:i/>
    </w:rPr>
  </w:style>
  <w:style w:type="paragraph" w:styleId="Heading4">
    <w:name w:val="heading 4"/>
    <w:basedOn w:val="Text"/>
    <w:next w:val="Text"/>
    <w:semiHidden/>
    <w:qFormat/>
    <w:rsid w:val="005255B6"/>
    <w:pPr>
      <w:keepNext/>
      <w:jc w:val="center"/>
      <w:outlineLvl w:val="3"/>
    </w:pPr>
    <w:rPr>
      <w:i/>
      <w:sz w:val="24"/>
    </w:rPr>
  </w:style>
  <w:style w:type="paragraph" w:styleId="Heading5">
    <w:name w:val="heading 5"/>
    <w:basedOn w:val="Normal"/>
    <w:next w:val="Normal"/>
    <w:semiHidden/>
    <w:qFormat/>
    <w:rsid w:val="00C3721C"/>
    <w:pPr>
      <w:keepNext/>
      <w:jc w:val="center"/>
      <w:outlineLvl w:val="4"/>
    </w:pPr>
    <w:rPr>
      <w:rFonts w:ascii="Times New Roman" w:hAnsi="Times New Roman"/>
      <w:b/>
      <w:sz w:val="36"/>
    </w:rPr>
  </w:style>
  <w:style w:type="paragraph" w:styleId="Heading6">
    <w:name w:val="heading 6"/>
    <w:basedOn w:val="Normal"/>
    <w:next w:val="Normal"/>
    <w:semiHidden/>
    <w:qFormat/>
    <w:rsid w:val="00C3721C"/>
    <w:pPr>
      <w:keepNext/>
      <w:tabs>
        <w:tab w:val="left" w:pos="1701"/>
      </w:tabs>
      <w:outlineLvl w:val="5"/>
    </w:pPr>
    <w:rPr>
      <w:b/>
      <w:sz w:val="20"/>
    </w:rPr>
  </w:style>
  <w:style w:type="paragraph" w:styleId="Heading7">
    <w:name w:val="heading 7"/>
    <w:basedOn w:val="Normal"/>
    <w:next w:val="Normal"/>
    <w:semiHidden/>
    <w:qFormat/>
    <w:rsid w:val="00C3721C"/>
    <w:pPr>
      <w:keepNext/>
      <w:spacing w:after="200"/>
      <w:outlineLvl w:val="6"/>
    </w:pPr>
    <w:rPr>
      <w:rFonts w:ascii="Times New Roman" w:hAnsi="Times New Roman"/>
      <w:b/>
      <w:sz w:val="28"/>
    </w:rPr>
  </w:style>
  <w:style w:type="paragraph" w:styleId="Heading8">
    <w:name w:val="heading 8"/>
    <w:basedOn w:val="Normal"/>
    <w:next w:val="Normal"/>
    <w:semiHidden/>
    <w:qFormat/>
    <w:rsid w:val="00C3721C"/>
    <w:pPr>
      <w:keepNext/>
      <w:spacing w:after="200"/>
      <w:outlineLvl w:val="7"/>
    </w:pPr>
    <w:rPr>
      <w:b/>
      <w:i/>
    </w:rPr>
  </w:style>
  <w:style w:type="paragraph" w:styleId="Heading9">
    <w:name w:val="heading 9"/>
    <w:basedOn w:val="Normal"/>
    <w:next w:val="Normal"/>
    <w:semiHidden/>
    <w:qFormat/>
    <w:rsid w:val="00C3721C"/>
    <w:pPr>
      <w:keepNext/>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3721C"/>
    <w:pPr>
      <w:framePr w:w="7920" w:h="1980" w:hRule="exact" w:hSpace="180" w:wrap="auto" w:hAnchor="page" w:xAlign="center" w:yAlign="bottom"/>
      <w:ind w:left="2880"/>
    </w:pPr>
    <w:rPr>
      <w:b/>
      <w:sz w:val="28"/>
    </w:rPr>
  </w:style>
  <w:style w:type="paragraph" w:styleId="Header">
    <w:name w:val="header"/>
    <w:basedOn w:val="Normal"/>
    <w:semiHidden/>
    <w:rsid w:val="00C3721C"/>
    <w:pPr>
      <w:tabs>
        <w:tab w:val="center" w:pos="4536"/>
        <w:tab w:val="right" w:pos="9072"/>
      </w:tabs>
    </w:pPr>
    <w:rPr>
      <w:sz w:val="20"/>
    </w:rPr>
  </w:style>
  <w:style w:type="paragraph" w:styleId="Footer">
    <w:name w:val="footer"/>
    <w:basedOn w:val="Normal"/>
    <w:rsid w:val="00C3721C"/>
    <w:pPr>
      <w:tabs>
        <w:tab w:val="center" w:pos="4536"/>
        <w:tab w:val="right" w:pos="9072"/>
      </w:tabs>
    </w:pPr>
    <w:rPr>
      <w:snapToGrid w:val="0"/>
      <w:sz w:val="20"/>
      <w:lang w:eastAsia="en-US"/>
    </w:rPr>
  </w:style>
  <w:style w:type="paragraph" w:customStyle="1" w:styleId="Instructions">
    <w:name w:val="Instructions"/>
    <w:basedOn w:val="Normal"/>
    <w:next w:val="Text"/>
    <w:link w:val="InstructionsChar"/>
    <w:rsid w:val="00027661"/>
    <w:rPr>
      <w:rFonts w:cs="Arial"/>
      <w:bCs/>
      <w:i/>
      <w:iCs/>
      <w:sz w:val="20"/>
    </w:rPr>
  </w:style>
  <w:style w:type="character" w:styleId="PageNumber">
    <w:name w:val="page number"/>
    <w:basedOn w:val="DefaultParagraphFont"/>
    <w:rsid w:val="002226DB"/>
    <w:rPr>
      <w:rFonts w:ascii="Arial" w:hAnsi="Arial"/>
      <w:sz w:val="20"/>
    </w:rPr>
  </w:style>
  <w:style w:type="paragraph" w:styleId="BalloonText">
    <w:name w:val="Balloon Text"/>
    <w:basedOn w:val="Normal"/>
    <w:semiHidden/>
    <w:rsid w:val="003C28C4"/>
    <w:rPr>
      <w:rFonts w:ascii="Tahoma" w:hAnsi="Tahoma"/>
      <w:sz w:val="16"/>
      <w:szCs w:val="16"/>
    </w:rPr>
  </w:style>
  <w:style w:type="numbering" w:customStyle="1" w:styleId="Bulletlist0">
    <w:name w:val="Bullet list"/>
    <w:basedOn w:val="NoList"/>
    <w:semiHidden/>
    <w:rsid w:val="002E6247"/>
    <w:pPr>
      <w:numPr>
        <w:numId w:val="3"/>
      </w:numPr>
    </w:pPr>
  </w:style>
  <w:style w:type="numbering" w:customStyle="1" w:styleId="Bulletlist">
    <w:name w:val="*Bullet list"/>
    <w:semiHidden/>
    <w:rsid w:val="004B602D"/>
    <w:pPr>
      <w:numPr>
        <w:numId w:val="1"/>
      </w:numPr>
    </w:pPr>
  </w:style>
  <w:style w:type="paragraph" w:customStyle="1" w:styleId="Text">
    <w:name w:val="Text"/>
    <w:basedOn w:val="Normal"/>
    <w:link w:val="TextChar"/>
    <w:uiPriority w:val="99"/>
    <w:rsid w:val="008570E8"/>
    <w:rPr>
      <w:lang w:eastAsia="en-US"/>
    </w:rPr>
  </w:style>
  <w:style w:type="table" w:styleId="TableGrid">
    <w:name w:val="Table Grid"/>
    <w:basedOn w:val="TableNormal"/>
    <w:uiPriority w:val="39"/>
    <w:rsid w:val="009F5F18"/>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jc w:val="center"/>
    </w:tr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Bulletlevel1">
    <w:name w:val="Bullet level 1"/>
    <w:basedOn w:val="Bulletlevel3"/>
    <w:semiHidden/>
    <w:rsid w:val="00A666BF"/>
    <w:pPr>
      <w:tabs>
        <w:tab w:val="clear" w:pos="851"/>
        <w:tab w:val="num" w:pos="284"/>
      </w:tabs>
      <w:ind w:left="284"/>
    </w:pPr>
  </w:style>
  <w:style w:type="paragraph" w:customStyle="1" w:styleId="Bulletlevel2">
    <w:name w:val="Bullet level 2"/>
    <w:basedOn w:val="Text"/>
    <w:semiHidden/>
    <w:rsid w:val="0059761E"/>
    <w:pPr>
      <w:numPr>
        <w:ilvl w:val="1"/>
        <w:numId w:val="4"/>
      </w:numPr>
    </w:pPr>
    <w:rPr>
      <w:lang w:eastAsia="en-GB"/>
    </w:rPr>
  </w:style>
  <w:style w:type="paragraph" w:customStyle="1" w:styleId="Bulletlevel3">
    <w:name w:val="Bullet level 3"/>
    <w:basedOn w:val="Text"/>
    <w:semiHidden/>
    <w:rsid w:val="0059761E"/>
    <w:pPr>
      <w:numPr>
        <w:ilvl w:val="2"/>
        <w:numId w:val="4"/>
      </w:numPr>
    </w:pPr>
  </w:style>
  <w:style w:type="paragraph" w:customStyle="1" w:styleId="Bulletlevel4">
    <w:name w:val="Bullet level 4"/>
    <w:basedOn w:val="Text"/>
    <w:semiHidden/>
    <w:rsid w:val="00A1777B"/>
    <w:pPr>
      <w:numPr>
        <w:ilvl w:val="3"/>
        <w:numId w:val="4"/>
      </w:numPr>
      <w:ind w:left="1135" w:hanging="284"/>
    </w:pPr>
  </w:style>
  <w:style w:type="paragraph" w:customStyle="1" w:styleId="Bulletlevel5">
    <w:name w:val="*Bullet level 5"/>
    <w:basedOn w:val="Normal"/>
    <w:semiHidden/>
    <w:rsid w:val="004B602D"/>
    <w:pPr>
      <w:numPr>
        <w:ilvl w:val="4"/>
        <w:numId w:val="2"/>
      </w:numPr>
    </w:pPr>
  </w:style>
  <w:style w:type="paragraph" w:styleId="BodyText">
    <w:name w:val="Body Text"/>
    <w:basedOn w:val="Normal"/>
    <w:link w:val="BodyTextChar"/>
    <w:semiHidden/>
    <w:rsid w:val="00D15C05"/>
    <w:rPr>
      <w:rFonts w:cs="Arial"/>
      <w:sz w:val="24"/>
      <w:szCs w:val="22"/>
      <w:lang w:eastAsia="en-US"/>
    </w:rPr>
  </w:style>
  <w:style w:type="paragraph" w:customStyle="1" w:styleId="Manuscriptheading1">
    <w:name w:val="Manuscript heading 1"/>
    <w:basedOn w:val="Heading1"/>
    <w:next w:val="Text"/>
    <w:rsid w:val="008D7AEE"/>
    <w:rPr>
      <w:rFonts w:cs="Arial"/>
      <w:sz w:val="32"/>
      <w:szCs w:val="28"/>
      <w:lang w:eastAsia="en-US"/>
    </w:rPr>
  </w:style>
  <w:style w:type="character" w:customStyle="1" w:styleId="InstructionsChar">
    <w:name w:val="Instructions Char"/>
    <w:basedOn w:val="DefaultParagraphFont"/>
    <w:link w:val="Instructions"/>
    <w:rsid w:val="00027661"/>
    <w:rPr>
      <w:rFonts w:ascii="Arial" w:hAnsi="Arial" w:cs="Arial"/>
      <w:bCs/>
      <w:i/>
      <w:iCs/>
      <w:lang w:val="en-GB" w:eastAsia="en-GB" w:bidi="ar-SA"/>
    </w:rPr>
  </w:style>
  <w:style w:type="paragraph" w:customStyle="1" w:styleId="Manuscriptheading2">
    <w:name w:val="Manuscript heading 2"/>
    <w:basedOn w:val="Heading2"/>
    <w:next w:val="Text"/>
    <w:link w:val="Manuscriptheading2CharChar"/>
    <w:rsid w:val="005255B6"/>
    <w:pPr>
      <w:spacing w:before="240" w:after="60"/>
      <w:jc w:val="left"/>
    </w:pPr>
    <w:rPr>
      <w:rFonts w:ascii="Arial" w:hAnsi="Arial" w:cs="Arial"/>
      <w:bCs/>
      <w:sz w:val="28"/>
      <w:szCs w:val="24"/>
      <w:lang w:val="en-US" w:eastAsia="en-US"/>
    </w:rPr>
  </w:style>
  <w:style w:type="paragraph" w:customStyle="1" w:styleId="Manuscriptheading3">
    <w:name w:val="Manuscript heading 3"/>
    <w:basedOn w:val="Heading3"/>
    <w:next w:val="Text"/>
    <w:rsid w:val="005255B6"/>
    <w:pPr>
      <w:spacing w:before="240" w:after="60"/>
    </w:pPr>
    <w:rPr>
      <w:rFonts w:ascii="Arial" w:hAnsi="Arial" w:cs="Arial"/>
      <w:b/>
      <w:bCs/>
      <w:i w:val="0"/>
      <w:sz w:val="24"/>
      <w:szCs w:val="24"/>
      <w:lang w:val="en-US" w:eastAsia="en-US"/>
    </w:rPr>
  </w:style>
  <w:style w:type="character" w:customStyle="1" w:styleId="TextChar">
    <w:name w:val="Text Char"/>
    <w:basedOn w:val="DefaultParagraphFont"/>
    <w:link w:val="Text"/>
    <w:uiPriority w:val="99"/>
    <w:rsid w:val="008570E8"/>
    <w:rPr>
      <w:rFonts w:ascii="Arial" w:hAnsi="Arial"/>
      <w:sz w:val="22"/>
      <w:lang w:val="en-GB" w:eastAsia="en-US" w:bidi="ar-SA"/>
    </w:rPr>
  </w:style>
  <w:style w:type="character" w:customStyle="1" w:styleId="Heading2Char">
    <w:name w:val="Heading 2 Char"/>
    <w:basedOn w:val="DefaultParagraphFont"/>
    <w:link w:val="Heading2"/>
    <w:semiHidden/>
    <w:rsid w:val="0035432E"/>
    <w:rPr>
      <w:b/>
      <w:sz w:val="22"/>
      <w:lang w:val="en-GB" w:eastAsia="en-GB"/>
    </w:rPr>
  </w:style>
  <w:style w:type="character" w:customStyle="1" w:styleId="Manuscriptheading2CharChar">
    <w:name w:val="Manuscript heading 2 Char Char"/>
    <w:basedOn w:val="Heading2Char"/>
    <w:link w:val="Manuscriptheading2"/>
    <w:rsid w:val="005255B6"/>
    <w:rPr>
      <w:rFonts w:ascii="Arial" w:hAnsi="Arial" w:cs="Arial"/>
      <w:b/>
      <w:bCs/>
      <w:sz w:val="28"/>
      <w:szCs w:val="24"/>
      <w:lang w:val="en-US" w:eastAsia="en-US"/>
    </w:rPr>
  </w:style>
  <w:style w:type="paragraph" w:customStyle="1" w:styleId="Manuscriptheading4">
    <w:name w:val="Manuscript heading 4"/>
    <w:basedOn w:val="Heading4"/>
    <w:next w:val="Text"/>
    <w:rsid w:val="005255B6"/>
    <w:pPr>
      <w:spacing w:before="240" w:after="60"/>
      <w:jc w:val="left"/>
    </w:pPr>
  </w:style>
  <w:style w:type="paragraph" w:styleId="ListBullet">
    <w:name w:val="List Bullet"/>
    <w:basedOn w:val="Normal"/>
    <w:rsid w:val="008724C0"/>
    <w:pPr>
      <w:numPr>
        <w:numId w:val="6"/>
      </w:numPr>
      <w:contextualSpacing/>
    </w:pPr>
  </w:style>
  <w:style w:type="character" w:customStyle="1" w:styleId="BodyTextChar">
    <w:name w:val="Body Text Char"/>
    <w:basedOn w:val="DefaultParagraphFont"/>
    <w:link w:val="BodyText"/>
    <w:semiHidden/>
    <w:rsid w:val="00FA33E3"/>
    <w:rPr>
      <w:rFonts w:ascii="Arial" w:hAnsi="Arial" w:cs="Arial"/>
      <w:sz w:val="24"/>
      <w:szCs w:val="22"/>
      <w:lang w:val="en-GB"/>
    </w:rPr>
  </w:style>
  <w:style w:type="numbering" w:customStyle="1" w:styleId="ListBullets">
    <w:name w:val="ListBullets"/>
    <w:uiPriority w:val="99"/>
    <w:rsid w:val="008724C0"/>
    <w:pPr>
      <w:numPr>
        <w:numId w:val="5"/>
      </w:numPr>
    </w:pPr>
  </w:style>
  <w:style w:type="paragraph" w:styleId="ListBullet2">
    <w:name w:val="List Bullet 2"/>
    <w:basedOn w:val="Normal"/>
    <w:rsid w:val="008724C0"/>
    <w:pPr>
      <w:numPr>
        <w:ilvl w:val="1"/>
        <w:numId w:val="6"/>
      </w:numPr>
      <w:contextualSpacing/>
    </w:pPr>
  </w:style>
  <w:style w:type="paragraph" w:styleId="ListBullet3">
    <w:name w:val="List Bullet 3"/>
    <w:basedOn w:val="Normal"/>
    <w:rsid w:val="008724C0"/>
    <w:pPr>
      <w:numPr>
        <w:ilvl w:val="2"/>
        <w:numId w:val="6"/>
      </w:numPr>
      <w:contextualSpacing/>
    </w:pPr>
  </w:style>
  <w:style w:type="paragraph" w:styleId="ListBullet4">
    <w:name w:val="List Bullet 4"/>
    <w:basedOn w:val="Normal"/>
    <w:rsid w:val="008724C0"/>
    <w:pPr>
      <w:numPr>
        <w:ilvl w:val="3"/>
        <w:numId w:val="6"/>
      </w:numPr>
      <w:contextualSpacing/>
    </w:pPr>
  </w:style>
  <w:style w:type="paragraph" w:styleId="ListBullet5">
    <w:name w:val="List Bullet 5"/>
    <w:basedOn w:val="Normal"/>
    <w:rsid w:val="008724C0"/>
    <w:pPr>
      <w:numPr>
        <w:ilvl w:val="4"/>
        <w:numId w:val="6"/>
      </w:numPr>
      <w:contextualSpacing/>
    </w:pPr>
  </w:style>
  <w:style w:type="character" w:styleId="Hyperlink">
    <w:name w:val="Hyperlink"/>
    <w:basedOn w:val="DefaultParagraphFont"/>
    <w:rsid w:val="0004457B"/>
    <w:rPr>
      <w:color w:val="0000FF" w:themeColor="hyperlink"/>
      <w:u w:val="single"/>
    </w:rPr>
  </w:style>
  <w:style w:type="character" w:styleId="CommentReference">
    <w:name w:val="annotation reference"/>
    <w:basedOn w:val="DefaultParagraphFont"/>
    <w:rsid w:val="007D0559"/>
    <w:rPr>
      <w:sz w:val="16"/>
      <w:szCs w:val="16"/>
    </w:rPr>
  </w:style>
  <w:style w:type="paragraph" w:styleId="CommentText">
    <w:name w:val="annotation text"/>
    <w:basedOn w:val="Normal"/>
    <w:link w:val="CommentTextChar"/>
    <w:rsid w:val="007D0559"/>
    <w:pPr>
      <w:spacing w:line="240" w:lineRule="auto"/>
    </w:pPr>
    <w:rPr>
      <w:sz w:val="20"/>
    </w:rPr>
  </w:style>
  <w:style w:type="character" w:customStyle="1" w:styleId="CommentTextChar">
    <w:name w:val="Comment Text Char"/>
    <w:basedOn w:val="DefaultParagraphFont"/>
    <w:link w:val="CommentText"/>
    <w:rsid w:val="007D0559"/>
    <w:rPr>
      <w:rFonts w:ascii="Arial" w:hAnsi="Arial"/>
      <w:lang w:val="en-GB" w:eastAsia="en-GB"/>
    </w:rPr>
  </w:style>
  <w:style w:type="paragraph" w:styleId="CommentSubject">
    <w:name w:val="annotation subject"/>
    <w:basedOn w:val="CommentText"/>
    <w:next w:val="CommentText"/>
    <w:link w:val="CommentSubjectChar"/>
    <w:rsid w:val="007D0559"/>
    <w:rPr>
      <w:b/>
      <w:bCs/>
    </w:rPr>
  </w:style>
  <w:style w:type="character" w:customStyle="1" w:styleId="CommentSubjectChar">
    <w:name w:val="Comment Subject Char"/>
    <w:basedOn w:val="CommentTextChar"/>
    <w:link w:val="CommentSubject"/>
    <w:rsid w:val="007D0559"/>
    <w:rPr>
      <w:rFonts w:ascii="Arial" w:hAnsi="Arial"/>
      <w:b/>
      <w:bCs/>
      <w:lang w:val="en-GB" w:eastAsia="en-GB"/>
    </w:rPr>
  </w:style>
  <w:style w:type="paragraph" w:styleId="ListParagraph">
    <w:name w:val="List Paragraph"/>
    <w:basedOn w:val="Normal"/>
    <w:uiPriority w:val="34"/>
    <w:qFormat/>
    <w:rsid w:val="00DB2829"/>
    <w:pPr>
      <w:ind w:left="720"/>
      <w:contextualSpacing/>
    </w:pPr>
  </w:style>
  <w:style w:type="character" w:styleId="FollowedHyperlink">
    <w:name w:val="FollowedHyperlink"/>
    <w:basedOn w:val="DefaultParagraphFont"/>
    <w:semiHidden/>
    <w:unhideWhenUsed/>
    <w:rsid w:val="00D04BA2"/>
    <w:rPr>
      <w:color w:val="800080" w:themeColor="followedHyperlink"/>
      <w:u w:val="single"/>
    </w:rPr>
  </w:style>
  <w:style w:type="paragraph" w:styleId="Revision">
    <w:name w:val="Revision"/>
    <w:hidden/>
    <w:uiPriority w:val="99"/>
    <w:semiHidden/>
    <w:rsid w:val="00271915"/>
    <w:rPr>
      <w:rFonts w:ascii="Arial" w:hAnsi="Arial"/>
      <w:sz w:val="22"/>
      <w:lang w:val="en-GB" w:eastAsia="en-GB"/>
    </w:rPr>
  </w:style>
  <w:style w:type="paragraph" w:customStyle="1" w:styleId="Default">
    <w:name w:val="Default"/>
    <w:rsid w:val="00DF76BC"/>
    <w:pPr>
      <w:autoSpaceDE w:val="0"/>
      <w:autoSpaceDN w:val="0"/>
      <w:adjustRightInd w:val="0"/>
    </w:pPr>
    <w:rPr>
      <w:rFonts w:ascii="ITC Symbol Std Medium" w:hAnsi="ITC Symbol Std Medium" w:cs="ITC Symbol Std Medium"/>
      <w:color w:val="000000"/>
      <w:sz w:val="24"/>
      <w:szCs w:val="24"/>
    </w:rPr>
  </w:style>
  <w:style w:type="paragraph" w:customStyle="1" w:styleId="EndNoteBibliographyTitle">
    <w:name w:val="EndNote Bibliography Title"/>
    <w:basedOn w:val="Normal"/>
    <w:link w:val="EndNoteBibliographyTitleChar"/>
    <w:rsid w:val="00A6455C"/>
    <w:pPr>
      <w:jc w:val="center"/>
    </w:pPr>
    <w:rPr>
      <w:rFonts w:cs="Arial"/>
      <w:noProof/>
    </w:rPr>
  </w:style>
  <w:style w:type="character" w:customStyle="1" w:styleId="EndNoteBibliographyTitleChar">
    <w:name w:val="EndNote Bibliography Title Char"/>
    <w:basedOn w:val="TextChar"/>
    <w:link w:val="EndNoteBibliographyTitle"/>
    <w:rsid w:val="00A6455C"/>
    <w:rPr>
      <w:rFonts w:ascii="Arial" w:hAnsi="Arial" w:cs="Arial"/>
      <w:noProof/>
      <w:sz w:val="22"/>
      <w:lang w:val="en-GB" w:eastAsia="en-GB" w:bidi="ar-SA"/>
    </w:rPr>
  </w:style>
  <w:style w:type="paragraph" w:customStyle="1" w:styleId="EndNoteBibliography">
    <w:name w:val="EndNote Bibliography"/>
    <w:basedOn w:val="Normal"/>
    <w:link w:val="EndNoteBibliographyChar"/>
    <w:rsid w:val="00A6455C"/>
    <w:pPr>
      <w:spacing w:line="240" w:lineRule="auto"/>
    </w:pPr>
    <w:rPr>
      <w:rFonts w:cs="Arial"/>
      <w:noProof/>
    </w:rPr>
  </w:style>
  <w:style w:type="character" w:customStyle="1" w:styleId="EndNoteBibliographyChar">
    <w:name w:val="EndNote Bibliography Char"/>
    <w:basedOn w:val="TextChar"/>
    <w:link w:val="EndNoteBibliography"/>
    <w:rsid w:val="00A6455C"/>
    <w:rPr>
      <w:rFonts w:ascii="Arial" w:hAnsi="Arial" w:cs="Arial"/>
      <w:noProof/>
      <w:sz w:val="22"/>
      <w:lang w:val="en-GB" w:eastAsia="en-GB" w:bidi="ar-SA"/>
    </w:rPr>
  </w:style>
  <w:style w:type="paragraph" w:customStyle="1" w:styleId="BMSTableText">
    <w:name w:val="BMS Table Text"/>
    <w:link w:val="BMSTableTextChar"/>
    <w:rsid w:val="001F48D6"/>
    <w:pPr>
      <w:tabs>
        <w:tab w:val="left" w:pos="360"/>
      </w:tabs>
      <w:spacing w:before="60" w:after="60"/>
      <w:jc w:val="center"/>
    </w:pPr>
  </w:style>
  <w:style w:type="character" w:customStyle="1" w:styleId="BMSTableTextChar">
    <w:name w:val="BMS Table Text Char"/>
    <w:link w:val="BMSTableText"/>
    <w:rsid w:val="001F48D6"/>
  </w:style>
  <w:style w:type="paragraph" w:styleId="NormalWeb">
    <w:name w:val="Normal (Web)"/>
    <w:basedOn w:val="Normal"/>
    <w:uiPriority w:val="99"/>
    <w:semiHidden/>
    <w:unhideWhenUsed/>
    <w:rsid w:val="00A43590"/>
    <w:pPr>
      <w:spacing w:before="100" w:beforeAutospacing="1" w:after="100" w:afterAutospacing="1" w:line="240" w:lineRule="auto"/>
    </w:pPr>
    <w:rPr>
      <w:rFonts w:ascii="Times New Roman" w:eastAsiaTheme="minorEastAsia" w:hAnsi="Times New Roman"/>
      <w:sz w:val="24"/>
      <w:szCs w:val="24"/>
      <w:lang w:val="en-US" w:eastAsia="en-US"/>
    </w:rPr>
  </w:style>
  <w:style w:type="character" w:customStyle="1" w:styleId="UnresolvedMention1">
    <w:name w:val="Unresolved Mention1"/>
    <w:basedOn w:val="DefaultParagraphFont"/>
    <w:uiPriority w:val="99"/>
    <w:semiHidden/>
    <w:unhideWhenUsed/>
    <w:rsid w:val="00A565AA"/>
    <w:rPr>
      <w:color w:val="808080"/>
      <w:shd w:val="clear" w:color="auto" w:fill="E6E6E6"/>
    </w:rPr>
  </w:style>
  <w:style w:type="character" w:customStyle="1" w:styleId="UnresolvedMention2">
    <w:name w:val="Unresolved Mention2"/>
    <w:basedOn w:val="DefaultParagraphFont"/>
    <w:uiPriority w:val="99"/>
    <w:semiHidden/>
    <w:unhideWhenUsed/>
    <w:rsid w:val="0070239F"/>
    <w:rPr>
      <w:color w:val="808080"/>
      <w:shd w:val="clear" w:color="auto" w:fill="E6E6E6"/>
    </w:rPr>
  </w:style>
  <w:style w:type="character" w:customStyle="1" w:styleId="UnresolvedMention3">
    <w:name w:val="Unresolved Mention3"/>
    <w:basedOn w:val="DefaultParagraphFont"/>
    <w:uiPriority w:val="99"/>
    <w:semiHidden/>
    <w:unhideWhenUsed/>
    <w:rsid w:val="008E3E67"/>
    <w:rPr>
      <w:color w:val="808080"/>
      <w:shd w:val="clear" w:color="auto" w:fill="E6E6E6"/>
    </w:rPr>
  </w:style>
  <w:style w:type="character" w:styleId="UnresolvedMention">
    <w:name w:val="Unresolved Mention"/>
    <w:basedOn w:val="DefaultParagraphFont"/>
    <w:uiPriority w:val="99"/>
    <w:semiHidden/>
    <w:unhideWhenUsed/>
    <w:rsid w:val="00541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6483">
      <w:bodyDiv w:val="1"/>
      <w:marLeft w:val="0"/>
      <w:marRight w:val="0"/>
      <w:marTop w:val="0"/>
      <w:marBottom w:val="0"/>
      <w:divBdr>
        <w:top w:val="none" w:sz="0" w:space="0" w:color="auto"/>
        <w:left w:val="none" w:sz="0" w:space="0" w:color="auto"/>
        <w:bottom w:val="none" w:sz="0" w:space="0" w:color="auto"/>
        <w:right w:val="none" w:sz="0" w:space="0" w:color="auto"/>
      </w:divBdr>
    </w:div>
    <w:div w:id="193228369">
      <w:bodyDiv w:val="1"/>
      <w:marLeft w:val="0"/>
      <w:marRight w:val="0"/>
      <w:marTop w:val="0"/>
      <w:marBottom w:val="0"/>
      <w:divBdr>
        <w:top w:val="none" w:sz="0" w:space="0" w:color="auto"/>
        <w:left w:val="none" w:sz="0" w:space="0" w:color="auto"/>
        <w:bottom w:val="none" w:sz="0" w:space="0" w:color="auto"/>
        <w:right w:val="none" w:sz="0" w:space="0" w:color="auto"/>
      </w:divBdr>
    </w:div>
    <w:div w:id="249505506">
      <w:bodyDiv w:val="1"/>
      <w:marLeft w:val="0"/>
      <w:marRight w:val="0"/>
      <w:marTop w:val="0"/>
      <w:marBottom w:val="0"/>
      <w:divBdr>
        <w:top w:val="none" w:sz="0" w:space="0" w:color="auto"/>
        <w:left w:val="none" w:sz="0" w:space="0" w:color="auto"/>
        <w:bottom w:val="none" w:sz="0" w:space="0" w:color="auto"/>
        <w:right w:val="none" w:sz="0" w:space="0" w:color="auto"/>
      </w:divBdr>
    </w:div>
    <w:div w:id="302195311">
      <w:bodyDiv w:val="1"/>
      <w:marLeft w:val="0"/>
      <w:marRight w:val="0"/>
      <w:marTop w:val="0"/>
      <w:marBottom w:val="0"/>
      <w:divBdr>
        <w:top w:val="none" w:sz="0" w:space="0" w:color="auto"/>
        <w:left w:val="none" w:sz="0" w:space="0" w:color="auto"/>
        <w:bottom w:val="none" w:sz="0" w:space="0" w:color="auto"/>
        <w:right w:val="none" w:sz="0" w:space="0" w:color="auto"/>
      </w:divBdr>
      <w:divsChild>
        <w:div w:id="34936987">
          <w:marLeft w:val="360"/>
          <w:marRight w:val="0"/>
          <w:marTop w:val="0"/>
          <w:marBottom w:val="0"/>
          <w:divBdr>
            <w:top w:val="none" w:sz="0" w:space="0" w:color="auto"/>
            <w:left w:val="none" w:sz="0" w:space="0" w:color="auto"/>
            <w:bottom w:val="none" w:sz="0" w:space="0" w:color="auto"/>
            <w:right w:val="none" w:sz="0" w:space="0" w:color="auto"/>
          </w:divBdr>
        </w:div>
        <w:div w:id="1546873550">
          <w:marLeft w:val="360"/>
          <w:marRight w:val="0"/>
          <w:marTop w:val="0"/>
          <w:marBottom w:val="0"/>
          <w:divBdr>
            <w:top w:val="none" w:sz="0" w:space="0" w:color="auto"/>
            <w:left w:val="none" w:sz="0" w:space="0" w:color="auto"/>
            <w:bottom w:val="none" w:sz="0" w:space="0" w:color="auto"/>
            <w:right w:val="none" w:sz="0" w:space="0" w:color="auto"/>
          </w:divBdr>
        </w:div>
        <w:div w:id="2147156682">
          <w:marLeft w:val="360"/>
          <w:marRight w:val="0"/>
          <w:marTop w:val="0"/>
          <w:marBottom w:val="0"/>
          <w:divBdr>
            <w:top w:val="none" w:sz="0" w:space="0" w:color="auto"/>
            <w:left w:val="none" w:sz="0" w:space="0" w:color="auto"/>
            <w:bottom w:val="none" w:sz="0" w:space="0" w:color="auto"/>
            <w:right w:val="none" w:sz="0" w:space="0" w:color="auto"/>
          </w:divBdr>
        </w:div>
      </w:divsChild>
    </w:div>
    <w:div w:id="313602393">
      <w:bodyDiv w:val="1"/>
      <w:marLeft w:val="0"/>
      <w:marRight w:val="0"/>
      <w:marTop w:val="0"/>
      <w:marBottom w:val="0"/>
      <w:divBdr>
        <w:top w:val="none" w:sz="0" w:space="0" w:color="auto"/>
        <w:left w:val="none" w:sz="0" w:space="0" w:color="auto"/>
        <w:bottom w:val="none" w:sz="0" w:space="0" w:color="auto"/>
        <w:right w:val="none" w:sz="0" w:space="0" w:color="auto"/>
      </w:divBdr>
    </w:div>
    <w:div w:id="379524730">
      <w:bodyDiv w:val="1"/>
      <w:marLeft w:val="0"/>
      <w:marRight w:val="0"/>
      <w:marTop w:val="0"/>
      <w:marBottom w:val="0"/>
      <w:divBdr>
        <w:top w:val="none" w:sz="0" w:space="0" w:color="auto"/>
        <w:left w:val="none" w:sz="0" w:space="0" w:color="auto"/>
        <w:bottom w:val="none" w:sz="0" w:space="0" w:color="auto"/>
        <w:right w:val="none" w:sz="0" w:space="0" w:color="auto"/>
      </w:divBdr>
    </w:div>
    <w:div w:id="392193023">
      <w:bodyDiv w:val="1"/>
      <w:marLeft w:val="0"/>
      <w:marRight w:val="0"/>
      <w:marTop w:val="0"/>
      <w:marBottom w:val="0"/>
      <w:divBdr>
        <w:top w:val="none" w:sz="0" w:space="0" w:color="auto"/>
        <w:left w:val="none" w:sz="0" w:space="0" w:color="auto"/>
        <w:bottom w:val="none" w:sz="0" w:space="0" w:color="auto"/>
        <w:right w:val="none" w:sz="0" w:space="0" w:color="auto"/>
      </w:divBdr>
    </w:div>
    <w:div w:id="902714633">
      <w:bodyDiv w:val="1"/>
      <w:marLeft w:val="0"/>
      <w:marRight w:val="0"/>
      <w:marTop w:val="0"/>
      <w:marBottom w:val="0"/>
      <w:divBdr>
        <w:top w:val="none" w:sz="0" w:space="0" w:color="auto"/>
        <w:left w:val="none" w:sz="0" w:space="0" w:color="auto"/>
        <w:bottom w:val="none" w:sz="0" w:space="0" w:color="auto"/>
        <w:right w:val="none" w:sz="0" w:space="0" w:color="auto"/>
      </w:divBdr>
    </w:div>
    <w:div w:id="1066298362">
      <w:bodyDiv w:val="1"/>
      <w:marLeft w:val="0"/>
      <w:marRight w:val="0"/>
      <w:marTop w:val="0"/>
      <w:marBottom w:val="0"/>
      <w:divBdr>
        <w:top w:val="none" w:sz="0" w:space="0" w:color="auto"/>
        <w:left w:val="none" w:sz="0" w:space="0" w:color="auto"/>
        <w:bottom w:val="none" w:sz="0" w:space="0" w:color="auto"/>
        <w:right w:val="none" w:sz="0" w:space="0" w:color="auto"/>
      </w:divBdr>
    </w:div>
    <w:div w:id="1497071043">
      <w:bodyDiv w:val="1"/>
      <w:marLeft w:val="0"/>
      <w:marRight w:val="0"/>
      <w:marTop w:val="0"/>
      <w:marBottom w:val="0"/>
      <w:divBdr>
        <w:top w:val="none" w:sz="0" w:space="0" w:color="auto"/>
        <w:left w:val="none" w:sz="0" w:space="0" w:color="auto"/>
        <w:bottom w:val="none" w:sz="0" w:space="0" w:color="auto"/>
        <w:right w:val="none" w:sz="0" w:space="0" w:color="auto"/>
      </w:divBdr>
    </w:div>
    <w:div w:id="1518034447">
      <w:bodyDiv w:val="1"/>
      <w:marLeft w:val="0"/>
      <w:marRight w:val="0"/>
      <w:marTop w:val="0"/>
      <w:marBottom w:val="0"/>
      <w:divBdr>
        <w:top w:val="none" w:sz="0" w:space="0" w:color="auto"/>
        <w:left w:val="none" w:sz="0" w:space="0" w:color="auto"/>
        <w:bottom w:val="none" w:sz="0" w:space="0" w:color="auto"/>
        <w:right w:val="none" w:sz="0" w:space="0" w:color="auto"/>
      </w:divBdr>
    </w:div>
    <w:div w:id="1587885357">
      <w:bodyDiv w:val="1"/>
      <w:marLeft w:val="0"/>
      <w:marRight w:val="0"/>
      <w:marTop w:val="0"/>
      <w:marBottom w:val="0"/>
      <w:divBdr>
        <w:top w:val="none" w:sz="0" w:space="0" w:color="auto"/>
        <w:left w:val="none" w:sz="0" w:space="0" w:color="auto"/>
        <w:bottom w:val="none" w:sz="0" w:space="0" w:color="auto"/>
        <w:right w:val="none" w:sz="0" w:space="0" w:color="auto"/>
      </w:divBdr>
    </w:div>
    <w:div w:id="1734111554">
      <w:bodyDiv w:val="1"/>
      <w:marLeft w:val="0"/>
      <w:marRight w:val="0"/>
      <w:marTop w:val="0"/>
      <w:marBottom w:val="0"/>
      <w:divBdr>
        <w:top w:val="none" w:sz="0" w:space="0" w:color="auto"/>
        <w:left w:val="none" w:sz="0" w:space="0" w:color="auto"/>
        <w:bottom w:val="none" w:sz="0" w:space="0" w:color="auto"/>
        <w:right w:val="none" w:sz="0" w:space="0" w:color="auto"/>
      </w:divBdr>
    </w:div>
    <w:div w:id="1753504526">
      <w:bodyDiv w:val="1"/>
      <w:marLeft w:val="0"/>
      <w:marRight w:val="0"/>
      <w:marTop w:val="0"/>
      <w:marBottom w:val="0"/>
      <w:divBdr>
        <w:top w:val="none" w:sz="0" w:space="0" w:color="auto"/>
        <w:left w:val="none" w:sz="0" w:space="0" w:color="auto"/>
        <w:bottom w:val="none" w:sz="0" w:space="0" w:color="auto"/>
        <w:right w:val="none" w:sz="0" w:space="0" w:color="auto"/>
      </w:divBdr>
    </w:div>
    <w:div w:id="1798988402">
      <w:bodyDiv w:val="1"/>
      <w:marLeft w:val="0"/>
      <w:marRight w:val="0"/>
      <w:marTop w:val="0"/>
      <w:marBottom w:val="0"/>
      <w:divBdr>
        <w:top w:val="none" w:sz="0" w:space="0" w:color="auto"/>
        <w:left w:val="none" w:sz="0" w:space="0" w:color="auto"/>
        <w:bottom w:val="none" w:sz="0" w:space="0" w:color="auto"/>
        <w:right w:val="none" w:sz="0" w:space="0" w:color="auto"/>
      </w:divBdr>
    </w:div>
    <w:div w:id="1898127058">
      <w:bodyDiv w:val="1"/>
      <w:marLeft w:val="0"/>
      <w:marRight w:val="0"/>
      <w:marTop w:val="0"/>
      <w:marBottom w:val="0"/>
      <w:divBdr>
        <w:top w:val="none" w:sz="0" w:space="0" w:color="auto"/>
        <w:left w:val="none" w:sz="0" w:space="0" w:color="auto"/>
        <w:bottom w:val="none" w:sz="0" w:space="0" w:color="auto"/>
        <w:right w:val="none" w:sz="0" w:space="0" w:color="auto"/>
      </w:divBdr>
    </w:div>
    <w:div w:id="1920556345">
      <w:bodyDiv w:val="1"/>
      <w:marLeft w:val="0"/>
      <w:marRight w:val="0"/>
      <w:marTop w:val="0"/>
      <w:marBottom w:val="0"/>
      <w:divBdr>
        <w:top w:val="none" w:sz="0" w:space="0" w:color="auto"/>
        <w:left w:val="none" w:sz="0" w:space="0" w:color="auto"/>
        <w:bottom w:val="none" w:sz="0" w:space="0" w:color="auto"/>
        <w:right w:val="none" w:sz="0" w:space="0" w:color="auto"/>
      </w:divBdr>
      <w:divsChild>
        <w:div w:id="88431761">
          <w:marLeft w:val="994"/>
          <w:marRight w:val="0"/>
          <w:marTop w:val="0"/>
          <w:marBottom w:val="0"/>
          <w:divBdr>
            <w:top w:val="none" w:sz="0" w:space="0" w:color="auto"/>
            <w:left w:val="none" w:sz="0" w:space="0" w:color="auto"/>
            <w:bottom w:val="none" w:sz="0" w:space="0" w:color="auto"/>
            <w:right w:val="none" w:sz="0" w:space="0" w:color="auto"/>
          </w:divBdr>
        </w:div>
        <w:div w:id="160973555">
          <w:marLeft w:val="994"/>
          <w:marRight w:val="0"/>
          <w:marTop w:val="0"/>
          <w:marBottom w:val="0"/>
          <w:divBdr>
            <w:top w:val="none" w:sz="0" w:space="0" w:color="auto"/>
            <w:left w:val="none" w:sz="0" w:space="0" w:color="auto"/>
            <w:bottom w:val="none" w:sz="0" w:space="0" w:color="auto"/>
            <w:right w:val="none" w:sz="0" w:space="0" w:color="auto"/>
          </w:divBdr>
        </w:div>
        <w:div w:id="673339991">
          <w:marLeft w:val="994"/>
          <w:marRight w:val="0"/>
          <w:marTop w:val="0"/>
          <w:marBottom w:val="0"/>
          <w:divBdr>
            <w:top w:val="none" w:sz="0" w:space="0" w:color="auto"/>
            <w:left w:val="none" w:sz="0" w:space="0" w:color="auto"/>
            <w:bottom w:val="none" w:sz="0" w:space="0" w:color="auto"/>
            <w:right w:val="none" w:sz="0" w:space="0" w:color="auto"/>
          </w:divBdr>
        </w:div>
        <w:div w:id="1553619627">
          <w:marLeft w:val="994"/>
          <w:marRight w:val="0"/>
          <w:marTop w:val="0"/>
          <w:marBottom w:val="0"/>
          <w:divBdr>
            <w:top w:val="none" w:sz="0" w:space="0" w:color="auto"/>
            <w:left w:val="none" w:sz="0" w:space="0" w:color="auto"/>
            <w:bottom w:val="none" w:sz="0" w:space="0" w:color="auto"/>
            <w:right w:val="none" w:sz="0" w:space="0" w:color="auto"/>
          </w:divBdr>
        </w:div>
        <w:div w:id="2104102100">
          <w:marLeft w:val="274"/>
          <w:marRight w:val="0"/>
          <w:marTop w:val="0"/>
          <w:marBottom w:val="0"/>
          <w:divBdr>
            <w:top w:val="none" w:sz="0" w:space="0" w:color="auto"/>
            <w:left w:val="none" w:sz="0" w:space="0" w:color="auto"/>
            <w:bottom w:val="none" w:sz="0" w:space="0" w:color="auto"/>
            <w:right w:val="none" w:sz="0" w:space="0" w:color="auto"/>
          </w:divBdr>
        </w:div>
      </w:divsChild>
    </w:div>
    <w:div w:id="20298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FCC2-7457-4B67-AA24-DD0EBD7A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3541</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Chameleon Communications International</Company>
  <LinksUpToDate>false</LinksUpToDate>
  <CharactersWithSpaces>23371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Owens</dc:creator>
  <cp:lastModifiedBy>Geraint Owens</cp:lastModifiedBy>
  <cp:revision>3</cp:revision>
  <cp:lastPrinted>2018-11-07T15:01:00Z</cp:lastPrinted>
  <dcterms:created xsi:type="dcterms:W3CDTF">2018-11-19T19:58:00Z</dcterms:created>
  <dcterms:modified xsi:type="dcterms:W3CDTF">2018-11-19T19:59:00Z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