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C5FA" w14:textId="77777777" w:rsidR="00A8237B" w:rsidRPr="00A8237B" w:rsidRDefault="00A8237B" w:rsidP="00D7711F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A8237B">
        <w:rPr>
          <w:b/>
          <w:sz w:val="20"/>
          <w:szCs w:val="20"/>
          <w:u w:val="single"/>
        </w:rPr>
        <w:t>Figure legends (Figures E1-E16)</w:t>
      </w:r>
    </w:p>
    <w:p w14:paraId="4C45E9AD" w14:textId="77777777" w:rsidR="00A8237B" w:rsidRDefault="00A8237B" w:rsidP="00D7711F">
      <w:pPr>
        <w:rPr>
          <w:b/>
          <w:sz w:val="20"/>
          <w:szCs w:val="20"/>
        </w:rPr>
      </w:pPr>
    </w:p>
    <w:p w14:paraId="3122743B" w14:textId="77777777" w:rsidR="00D7711F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E1:</w:t>
      </w:r>
      <w:r>
        <w:rPr>
          <w:sz w:val="20"/>
          <w:szCs w:val="20"/>
        </w:rPr>
        <w:t xml:space="preserve"> M</w:t>
      </w:r>
      <w:r w:rsidRPr="00D95688">
        <w:rPr>
          <w:sz w:val="20"/>
          <w:szCs w:val="20"/>
        </w:rPr>
        <w:t>ortality</w:t>
      </w:r>
      <w:r>
        <w:rPr>
          <w:sz w:val="20"/>
          <w:szCs w:val="20"/>
        </w:rPr>
        <w:t xml:space="preserve"> (a</w:t>
      </w:r>
      <w:r w:rsidRPr="00D95688">
        <w:rPr>
          <w:sz w:val="20"/>
          <w:szCs w:val="20"/>
        </w:rPr>
        <w:t xml:space="preserve">djusted </w:t>
      </w:r>
      <w:r>
        <w:rPr>
          <w:sz w:val="20"/>
          <w:szCs w:val="20"/>
        </w:rPr>
        <w:t>odds ratio, 95% confidence interval)</w:t>
      </w:r>
      <w:r w:rsidRPr="00D95688">
        <w:rPr>
          <w:sz w:val="20"/>
          <w:szCs w:val="20"/>
        </w:rPr>
        <w:t xml:space="preserve"> for all sepsis cases</w:t>
      </w:r>
      <w:r>
        <w:rPr>
          <w:sz w:val="20"/>
          <w:szCs w:val="20"/>
        </w:rPr>
        <w:t xml:space="preserve"> according to body mass index category</w:t>
      </w:r>
    </w:p>
    <w:p w14:paraId="11D1C1DF" w14:textId="77777777" w:rsidR="00D7711F" w:rsidRDefault="00D7711F" w:rsidP="00D7711F">
      <w:pPr>
        <w:rPr>
          <w:sz w:val="20"/>
          <w:szCs w:val="20"/>
        </w:rPr>
      </w:pPr>
    </w:p>
    <w:p w14:paraId="37073199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E2: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 </w:t>
      </w:r>
      <w:r w:rsidRPr="00D95688">
        <w:rPr>
          <w:sz w:val="20"/>
          <w:szCs w:val="20"/>
        </w:rPr>
        <w:t xml:space="preserve">stratified by </w:t>
      </w:r>
      <w:r w:rsidR="008043A8">
        <w:rPr>
          <w:sz w:val="20"/>
          <w:szCs w:val="20"/>
        </w:rPr>
        <w:t xml:space="preserve">5 </w:t>
      </w:r>
      <w:r w:rsidRPr="00D95688">
        <w:rPr>
          <w:sz w:val="20"/>
          <w:szCs w:val="20"/>
        </w:rPr>
        <w:t>age groups</w:t>
      </w:r>
      <w:r w:rsidR="00AE2F94">
        <w:rPr>
          <w:sz w:val="20"/>
          <w:szCs w:val="20"/>
        </w:rPr>
        <w:t xml:space="preserve"> (20-45 years vs. 46-55 years vs. 56-65 years vs. 66-76 years vs. 76+ years)</w:t>
      </w:r>
    </w:p>
    <w:p w14:paraId="2A068D28" w14:textId="77777777" w:rsidR="00D7711F" w:rsidRPr="00D95688" w:rsidRDefault="00D7711F" w:rsidP="00D7711F">
      <w:pPr>
        <w:rPr>
          <w:sz w:val="20"/>
          <w:szCs w:val="20"/>
        </w:rPr>
      </w:pPr>
    </w:p>
    <w:p w14:paraId="5861F173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E3: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gender</w:t>
      </w:r>
      <w:r w:rsidR="008043A8">
        <w:rPr>
          <w:sz w:val="20"/>
          <w:szCs w:val="20"/>
        </w:rPr>
        <w:t xml:space="preserve"> (male vs. female)</w:t>
      </w:r>
    </w:p>
    <w:p w14:paraId="4078B247" w14:textId="77777777" w:rsidR="00D7711F" w:rsidRDefault="00D7711F">
      <w:pPr>
        <w:rPr>
          <w:sz w:val="20"/>
          <w:szCs w:val="20"/>
        </w:rPr>
      </w:pPr>
    </w:p>
    <w:p w14:paraId="715C1E0A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E4: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ethnicity</w:t>
      </w:r>
      <w:r w:rsidR="008043A8">
        <w:rPr>
          <w:sz w:val="20"/>
          <w:szCs w:val="20"/>
        </w:rPr>
        <w:t xml:space="preserve"> (black vs. white)</w:t>
      </w:r>
    </w:p>
    <w:p w14:paraId="75F95413" w14:textId="77777777" w:rsidR="00D7711F" w:rsidRDefault="00D7711F">
      <w:pPr>
        <w:rPr>
          <w:sz w:val="20"/>
          <w:szCs w:val="20"/>
        </w:rPr>
      </w:pPr>
    </w:p>
    <w:p w14:paraId="791B5336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E5: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</w:t>
      </w:r>
      <w:proofErr w:type="spellStart"/>
      <w:r w:rsidRPr="00D95688">
        <w:rPr>
          <w:sz w:val="20"/>
          <w:szCs w:val="20"/>
        </w:rPr>
        <w:t>Elixhauser</w:t>
      </w:r>
      <w:proofErr w:type="spellEnd"/>
      <w:r w:rsidRPr="00D95688">
        <w:rPr>
          <w:sz w:val="20"/>
          <w:szCs w:val="20"/>
        </w:rPr>
        <w:t xml:space="preserve"> quartile</w:t>
      </w:r>
      <w:r w:rsidR="00AE2F94">
        <w:rPr>
          <w:sz w:val="20"/>
          <w:szCs w:val="20"/>
        </w:rPr>
        <w:t xml:space="preserve"> (score=0-2 vs. score=3 vs. score=4-5 vs. score=6+)</w:t>
      </w:r>
    </w:p>
    <w:p w14:paraId="285437A1" w14:textId="77777777" w:rsidR="00D7711F" w:rsidRDefault="00D7711F">
      <w:pPr>
        <w:rPr>
          <w:sz w:val="20"/>
          <w:szCs w:val="20"/>
        </w:rPr>
      </w:pPr>
    </w:p>
    <w:p w14:paraId="41E6DC74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E6: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</w:t>
      </w:r>
      <w:proofErr w:type="spellStart"/>
      <w:r w:rsidRPr="00D95688">
        <w:rPr>
          <w:sz w:val="20"/>
          <w:szCs w:val="20"/>
        </w:rPr>
        <w:t>Elixhauser</w:t>
      </w:r>
      <w:proofErr w:type="spellEnd"/>
      <w:r w:rsidRPr="00D95688">
        <w:rPr>
          <w:sz w:val="20"/>
          <w:szCs w:val="20"/>
        </w:rPr>
        <w:t xml:space="preserve"> category</w:t>
      </w:r>
      <w:r w:rsidR="00AE2F94">
        <w:rPr>
          <w:sz w:val="20"/>
          <w:szCs w:val="20"/>
        </w:rPr>
        <w:t xml:space="preserve"> (congestive heart failure vs. hypertension vs. chronic pulmonary disease vs. diabetes vs. cancer vs. weight loss)</w:t>
      </w:r>
    </w:p>
    <w:p w14:paraId="50A4141F" w14:textId="77777777" w:rsidR="00D7711F" w:rsidRDefault="00D7711F">
      <w:pPr>
        <w:rPr>
          <w:sz w:val="20"/>
          <w:szCs w:val="20"/>
        </w:rPr>
      </w:pPr>
    </w:p>
    <w:p w14:paraId="41A4DC21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E7</w:t>
      </w:r>
      <w:r w:rsidR="008043A8" w:rsidRPr="00AE2F94">
        <w:rPr>
          <w:b/>
          <w:sz w:val="20"/>
          <w:szCs w:val="20"/>
        </w:rPr>
        <w:t>:</w:t>
      </w:r>
      <w:r w:rsidR="008043A8"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="008043A8" w:rsidRPr="00D95688">
        <w:rPr>
          <w:sz w:val="20"/>
          <w:szCs w:val="20"/>
        </w:rPr>
        <w:t xml:space="preserve"> </w:t>
      </w:r>
      <w:r w:rsidRPr="00D95688">
        <w:rPr>
          <w:sz w:val="20"/>
          <w:szCs w:val="20"/>
        </w:rPr>
        <w:t>stratified by SOFA quartile</w:t>
      </w:r>
      <w:r w:rsidR="00AE2F94">
        <w:rPr>
          <w:sz w:val="20"/>
          <w:szCs w:val="20"/>
        </w:rPr>
        <w:t xml:space="preserve"> (</w:t>
      </w:r>
      <w:r w:rsidR="00AE2F94" w:rsidRPr="00AE2F94">
        <w:rPr>
          <w:sz w:val="20"/>
          <w:szCs w:val="20"/>
        </w:rPr>
        <w:t>score=0-2 vs. score=3 vs. score=4-5 vs. score=6+)</w:t>
      </w:r>
    </w:p>
    <w:p w14:paraId="6C9DA2EB" w14:textId="77777777" w:rsidR="00D7711F" w:rsidRDefault="00D7711F">
      <w:pPr>
        <w:rPr>
          <w:sz w:val="20"/>
          <w:szCs w:val="20"/>
        </w:rPr>
      </w:pPr>
    </w:p>
    <w:p w14:paraId="768015C4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E8</w:t>
      </w:r>
      <w:r w:rsidR="008043A8" w:rsidRPr="00AE2F94">
        <w:rPr>
          <w:b/>
          <w:sz w:val="20"/>
          <w:szCs w:val="20"/>
        </w:rPr>
        <w:t>:</w:t>
      </w:r>
      <w:r w:rsidR="008043A8"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="008043A8" w:rsidRPr="00D95688">
        <w:rPr>
          <w:sz w:val="20"/>
          <w:szCs w:val="20"/>
        </w:rPr>
        <w:t xml:space="preserve"> </w:t>
      </w:r>
      <w:r w:rsidRPr="00D95688">
        <w:rPr>
          <w:sz w:val="20"/>
          <w:szCs w:val="20"/>
        </w:rPr>
        <w:t>stratified by SOFA group</w:t>
      </w:r>
      <w:r w:rsidR="00AE2F94">
        <w:rPr>
          <w:sz w:val="20"/>
          <w:szCs w:val="20"/>
        </w:rPr>
        <w:t xml:space="preserve"> (cardiovascular vs. coagulation vs. neurologic vs. hepatic vs. renal vs. pulmonary)</w:t>
      </w:r>
    </w:p>
    <w:p w14:paraId="2ACFFEE9" w14:textId="77777777" w:rsidR="00D7711F" w:rsidRDefault="00D7711F">
      <w:pPr>
        <w:rPr>
          <w:sz w:val="20"/>
          <w:szCs w:val="20"/>
        </w:rPr>
      </w:pPr>
    </w:p>
    <w:p w14:paraId="0872EA1E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E9</w:t>
      </w:r>
      <w:r w:rsidR="008043A8" w:rsidRPr="00AE2F94">
        <w:rPr>
          <w:b/>
          <w:sz w:val="20"/>
          <w:szCs w:val="20"/>
        </w:rPr>
        <w:t>:</w:t>
      </w:r>
      <w:r w:rsidR="008043A8"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="008043A8" w:rsidRPr="00D95688">
        <w:rPr>
          <w:sz w:val="20"/>
          <w:szCs w:val="20"/>
        </w:rPr>
        <w:t xml:space="preserve"> </w:t>
      </w:r>
      <w:r w:rsidRPr="00D95688">
        <w:rPr>
          <w:sz w:val="20"/>
          <w:szCs w:val="20"/>
        </w:rPr>
        <w:t>stratified by site of infection</w:t>
      </w:r>
      <w:r w:rsidR="008A7D31">
        <w:rPr>
          <w:sz w:val="20"/>
          <w:szCs w:val="20"/>
        </w:rPr>
        <w:t xml:space="preserve"> (intra-abdominal vs. multiple sites vs. pneumonia vs. septicemia/bacteremia vs. soft tissue vs. urinary tract infection vs. unspecified)</w:t>
      </w:r>
    </w:p>
    <w:p w14:paraId="3B8C4097" w14:textId="77777777" w:rsidR="008043A8" w:rsidRDefault="008043A8" w:rsidP="00D7711F">
      <w:pPr>
        <w:rPr>
          <w:sz w:val="20"/>
          <w:szCs w:val="20"/>
        </w:rPr>
      </w:pPr>
    </w:p>
    <w:p w14:paraId="0E96A378" w14:textId="77777777" w:rsidR="00D7711F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E10</w:t>
      </w:r>
      <w:r w:rsidR="008043A8" w:rsidRPr="00AE2F94">
        <w:rPr>
          <w:b/>
          <w:sz w:val="20"/>
          <w:szCs w:val="20"/>
        </w:rPr>
        <w:t>:</w:t>
      </w:r>
      <w:r w:rsidR="008043A8"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="008043A8" w:rsidRPr="00D95688">
        <w:rPr>
          <w:sz w:val="20"/>
          <w:szCs w:val="20"/>
        </w:rPr>
        <w:t xml:space="preserve"> </w:t>
      </w:r>
      <w:r w:rsidRPr="00D95688">
        <w:rPr>
          <w:sz w:val="20"/>
          <w:szCs w:val="20"/>
        </w:rPr>
        <w:t>stratified by blood culture positivity</w:t>
      </w:r>
      <w:r w:rsidR="008A7D31">
        <w:rPr>
          <w:sz w:val="20"/>
          <w:szCs w:val="20"/>
        </w:rPr>
        <w:t xml:space="preserve"> (blood culture positive vs. blood culture negative)</w:t>
      </w:r>
    </w:p>
    <w:p w14:paraId="4409F86D" w14:textId="77777777" w:rsidR="00D7711F" w:rsidRDefault="00D7711F">
      <w:pPr>
        <w:rPr>
          <w:sz w:val="20"/>
          <w:szCs w:val="20"/>
        </w:rPr>
      </w:pPr>
    </w:p>
    <w:p w14:paraId="4D8C5287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E11</w:t>
      </w:r>
      <w:r w:rsidR="008043A8" w:rsidRPr="00AE2F94">
        <w:rPr>
          <w:b/>
          <w:sz w:val="20"/>
          <w:szCs w:val="20"/>
        </w:rPr>
        <w:t>:</w:t>
      </w:r>
      <w:r w:rsidR="008043A8"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="008043A8" w:rsidRPr="00D95688">
        <w:rPr>
          <w:sz w:val="20"/>
          <w:szCs w:val="20"/>
        </w:rPr>
        <w:t xml:space="preserve"> </w:t>
      </w:r>
      <w:r w:rsidRPr="00D95688">
        <w:rPr>
          <w:sz w:val="20"/>
          <w:szCs w:val="20"/>
        </w:rPr>
        <w:t>in those with available albumin level</w:t>
      </w:r>
      <w:r w:rsidR="008A7D31">
        <w:rPr>
          <w:sz w:val="20"/>
          <w:szCs w:val="20"/>
        </w:rPr>
        <w:t>s</w:t>
      </w:r>
    </w:p>
    <w:p w14:paraId="1B46D239" w14:textId="77777777" w:rsidR="00D7711F" w:rsidRDefault="00D7711F">
      <w:pPr>
        <w:rPr>
          <w:sz w:val="20"/>
          <w:szCs w:val="20"/>
        </w:rPr>
      </w:pPr>
    </w:p>
    <w:p w14:paraId="06FB8BA2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E12: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albumin level </w:t>
      </w:r>
      <w:proofErr w:type="spellStart"/>
      <w:r w:rsidRPr="00D95688">
        <w:rPr>
          <w:sz w:val="20"/>
          <w:szCs w:val="20"/>
        </w:rPr>
        <w:t>tertile</w:t>
      </w:r>
      <w:proofErr w:type="spellEnd"/>
      <w:r w:rsidR="008A7D31">
        <w:rPr>
          <w:sz w:val="20"/>
          <w:szCs w:val="20"/>
        </w:rPr>
        <w:t xml:space="preserve"> (albumin 1-2g/dL vs. 2-3 g/dL vs. 3+ g/dL)</w:t>
      </w:r>
    </w:p>
    <w:p w14:paraId="7B287ECB" w14:textId="77777777" w:rsidR="00D7711F" w:rsidRDefault="00D7711F">
      <w:pPr>
        <w:rPr>
          <w:sz w:val="20"/>
          <w:szCs w:val="20"/>
        </w:rPr>
      </w:pPr>
    </w:p>
    <w:p w14:paraId="5B9533BF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E13: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in those admitted to the ICU</w:t>
      </w:r>
    </w:p>
    <w:p w14:paraId="05EF05ED" w14:textId="77777777" w:rsidR="00D7711F" w:rsidRDefault="00D7711F">
      <w:pPr>
        <w:rPr>
          <w:sz w:val="20"/>
          <w:szCs w:val="20"/>
        </w:rPr>
      </w:pPr>
    </w:p>
    <w:p w14:paraId="3DC2F8EA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E14: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explicit sepsis category</w:t>
      </w:r>
      <w:r w:rsidR="008B1DBC">
        <w:rPr>
          <w:sz w:val="20"/>
          <w:szCs w:val="20"/>
        </w:rPr>
        <w:t xml:space="preserve"> (explicit sepsis vs. explicit severe sepsis vs. explicit septic shock)</w:t>
      </w:r>
    </w:p>
    <w:p w14:paraId="7BD3FC1A" w14:textId="77777777" w:rsidR="00D7711F" w:rsidRDefault="00D7711F">
      <w:pPr>
        <w:rPr>
          <w:sz w:val="20"/>
          <w:szCs w:val="20"/>
        </w:rPr>
      </w:pPr>
    </w:p>
    <w:p w14:paraId="0E7B5C26" w14:textId="77777777" w:rsidR="00D7711F" w:rsidRPr="00D95688" w:rsidRDefault="00D7711F" w:rsidP="00D7711F">
      <w:pPr>
        <w:rPr>
          <w:sz w:val="20"/>
          <w:szCs w:val="20"/>
        </w:rPr>
      </w:pPr>
      <w:r w:rsidRPr="00AE2F94">
        <w:rPr>
          <w:b/>
          <w:sz w:val="20"/>
          <w:szCs w:val="20"/>
        </w:rPr>
        <w:t>Figure E15</w:t>
      </w:r>
      <w:r w:rsidR="008043A8" w:rsidRPr="00AE2F94">
        <w:rPr>
          <w:b/>
          <w:sz w:val="20"/>
          <w:szCs w:val="20"/>
        </w:rPr>
        <w:t>:</w:t>
      </w:r>
      <w:r w:rsidRPr="00D7711F">
        <w:rPr>
          <w:sz w:val="20"/>
          <w:szCs w:val="20"/>
        </w:rPr>
        <w:t xml:space="preserve"> Mortality (adjusted odds ratio, 95% confidence interval) for sepsis cases according to body mass index category</w:t>
      </w:r>
      <w:r w:rsidRPr="00D95688">
        <w:rPr>
          <w:sz w:val="20"/>
          <w:szCs w:val="20"/>
        </w:rPr>
        <w:t xml:space="preserve"> stratified by timing of antibiotic initiation</w:t>
      </w:r>
      <w:r w:rsidR="008B1DBC">
        <w:rPr>
          <w:sz w:val="20"/>
          <w:szCs w:val="20"/>
        </w:rPr>
        <w:t xml:space="preserve"> (antibiotics 2 days before vs. 1 day before vs. the same day vs. 1 day after vs. 2 days after)</w:t>
      </w:r>
    </w:p>
    <w:p w14:paraId="2D8AC418" w14:textId="77777777" w:rsidR="00D7711F" w:rsidRDefault="00D7711F">
      <w:pPr>
        <w:rPr>
          <w:sz w:val="20"/>
          <w:szCs w:val="20"/>
        </w:rPr>
      </w:pPr>
    </w:p>
    <w:p w14:paraId="3F919F97" w14:textId="77777777" w:rsidR="00F46C79" w:rsidRDefault="00D7711F">
      <w:r w:rsidRPr="00AE2F94">
        <w:rPr>
          <w:b/>
          <w:sz w:val="20"/>
          <w:szCs w:val="20"/>
        </w:rPr>
        <w:t>Figure E16:</w:t>
      </w:r>
      <w:r w:rsidRPr="00D7711F">
        <w:rPr>
          <w:sz w:val="20"/>
          <w:szCs w:val="20"/>
        </w:rPr>
        <w:t xml:space="preserve"> Mortality (adjusted odds ratio, 95% confidence interval) </w:t>
      </w:r>
      <w:r w:rsidRPr="00D95688">
        <w:rPr>
          <w:sz w:val="20"/>
          <w:szCs w:val="20"/>
        </w:rPr>
        <w:t>in those with gastrointestinal bleeding</w:t>
      </w:r>
      <w:r w:rsidRPr="00D7711F">
        <w:rPr>
          <w:sz w:val="20"/>
          <w:szCs w:val="20"/>
        </w:rPr>
        <w:t xml:space="preserve"> according to body mass index category</w:t>
      </w:r>
    </w:p>
    <w:sectPr w:rsidR="00F4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1F"/>
    <w:rsid w:val="00206A86"/>
    <w:rsid w:val="0027331E"/>
    <w:rsid w:val="008043A8"/>
    <w:rsid w:val="008A7D31"/>
    <w:rsid w:val="008B1DBC"/>
    <w:rsid w:val="00A8237B"/>
    <w:rsid w:val="00AE2F94"/>
    <w:rsid w:val="00D7711F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6E52"/>
  <w15:chartTrackingRefBased/>
  <w15:docId w15:val="{FBE01484-3098-4AB0-8AC0-C649ED9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1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1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Pepper, Dominique J</dc:creator>
  <cp:keywords/>
  <dc:description/>
  <cp:lastModifiedBy>Baeuerlein, Christopher</cp:lastModifiedBy>
  <cp:revision>2</cp:revision>
  <dcterms:created xsi:type="dcterms:W3CDTF">2019-01-23T14:21:00Z</dcterms:created>
  <dcterms:modified xsi:type="dcterms:W3CDTF">2019-01-23T14:21:00Z</dcterms:modified>
</cp:coreProperties>
</file>