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4D" w:rsidRPr="005E3FBE" w:rsidRDefault="00052D0E" w:rsidP="005E3FBE">
      <w:pPr>
        <w:pStyle w:val="NoSpacing"/>
        <w:spacing w:line="276" w:lineRule="auto"/>
        <w:ind w:left="-851"/>
        <w:rPr>
          <w:rFonts w:ascii="Arial" w:hAnsi="Arial" w:cs="Arial"/>
          <w:b/>
          <w:noProof/>
          <w:sz w:val="24"/>
          <w:szCs w:val="24"/>
          <w:lang w:val="en-GB"/>
        </w:rPr>
      </w:pPr>
      <w:r w:rsidRPr="005E3FBE">
        <w:rPr>
          <w:rFonts w:ascii="Arial" w:hAnsi="Arial" w:cs="Arial"/>
          <w:b/>
          <w:sz w:val="24"/>
          <w:szCs w:val="24"/>
        </w:rPr>
        <w:t>T</w:t>
      </w:r>
      <w:r w:rsidR="00BF0693" w:rsidRPr="005E3FBE">
        <w:rPr>
          <w:rFonts w:ascii="Arial" w:hAnsi="Arial" w:cs="Arial"/>
          <w:b/>
          <w:sz w:val="24"/>
          <w:szCs w:val="24"/>
        </w:rPr>
        <w:t>ABLE</w:t>
      </w:r>
      <w:r w:rsidR="0052215E" w:rsidRPr="005E3FBE">
        <w:rPr>
          <w:rFonts w:ascii="Arial" w:hAnsi="Arial" w:cs="Arial"/>
          <w:b/>
          <w:sz w:val="24"/>
          <w:szCs w:val="24"/>
        </w:rPr>
        <w:t xml:space="preserve"> </w:t>
      </w:r>
      <w:r w:rsidR="00A107FB" w:rsidRPr="005E3FBE">
        <w:rPr>
          <w:rFonts w:ascii="Arial" w:hAnsi="Arial" w:cs="Arial"/>
          <w:b/>
          <w:sz w:val="24"/>
          <w:szCs w:val="24"/>
        </w:rPr>
        <w:t>S</w:t>
      </w:r>
      <w:r w:rsidR="0052215E" w:rsidRPr="005E3FBE">
        <w:rPr>
          <w:rFonts w:ascii="Arial" w:hAnsi="Arial" w:cs="Arial"/>
          <w:b/>
          <w:sz w:val="24"/>
          <w:szCs w:val="24"/>
        </w:rPr>
        <w:t>1</w:t>
      </w:r>
      <w:r w:rsidR="00BF0693" w:rsidRPr="005E3FBE">
        <w:rPr>
          <w:rFonts w:ascii="Arial" w:hAnsi="Arial" w:cs="Arial"/>
          <w:b/>
          <w:sz w:val="24"/>
          <w:szCs w:val="24"/>
        </w:rPr>
        <w:t xml:space="preserve">. </w:t>
      </w:r>
      <w:r w:rsidR="00C52D7E" w:rsidRPr="005E3FBE">
        <w:rPr>
          <w:rFonts w:ascii="Arial" w:hAnsi="Arial" w:cs="Arial"/>
          <w:b/>
          <w:sz w:val="24"/>
          <w:szCs w:val="24"/>
        </w:rPr>
        <w:t>Comparison of Pre-</w:t>
      </w:r>
      <w:r w:rsidR="00FC04F1" w:rsidRPr="005E3FBE">
        <w:rPr>
          <w:rFonts w:ascii="Arial" w:hAnsi="Arial" w:cs="Arial"/>
          <w:b/>
          <w:sz w:val="24"/>
          <w:szCs w:val="24"/>
        </w:rPr>
        <w:t>V</w:t>
      </w:r>
      <w:r w:rsidR="00C52D7E" w:rsidRPr="005E3FBE">
        <w:rPr>
          <w:rFonts w:ascii="Arial" w:hAnsi="Arial" w:cs="Arial"/>
          <w:b/>
          <w:sz w:val="24"/>
          <w:szCs w:val="24"/>
        </w:rPr>
        <w:t xml:space="preserve">enoarterial Extracorporeal Membrane Oxygenation Characteristics </w:t>
      </w:r>
      <w:r w:rsidR="00FC04F1" w:rsidRPr="005E3FBE">
        <w:rPr>
          <w:rFonts w:ascii="Arial" w:hAnsi="Arial" w:cs="Arial"/>
          <w:b/>
          <w:sz w:val="24"/>
          <w:szCs w:val="24"/>
        </w:rPr>
        <w:t>B</w:t>
      </w:r>
      <w:r w:rsidR="00C52D7E" w:rsidRPr="005E3FBE">
        <w:rPr>
          <w:rFonts w:ascii="Arial" w:hAnsi="Arial" w:cs="Arial"/>
          <w:b/>
          <w:sz w:val="24"/>
          <w:szCs w:val="24"/>
        </w:rPr>
        <w:t xml:space="preserve">etween Survivors and Nonsurvivors at 90 </w:t>
      </w:r>
      <w:r w:rsidR="00FC04F1" w:rsidRPr="005E3FBE">
        <w:rPr>
          <w:rFonts w:ascii="Arial" w:hAnsi="Arial" w:cs="Arial"/>
          <w:b/>
          <w:sz w:val="24"/>
          <w:szCs w:val="24"/>
        </w:rPr>
        <w:t>D</w:t>
      </w:r>
      <w:r w:rsidR="00C52D7E" w:rsidRPr="005E3FBE">
        <w:rPr>
          <w:rFonts w:ascii="Arial" w:hAnsi="Arial" w:cs="Arial"/>
          <w:b/>
          <w:sz w:val="24"/>
          <w:szCs w:val="24"/>
        </w:rPr>
        <w:t xml:space="preserve">ays </w:t>
      </w:r>
      <w:r w:rsidR="00FC04F1" w:rsidRPr="005E3FBE">
        <w:rPr>
          <w:rFonts w:ascii="Arial" w:hAnsi="Arial" w:cs="Arial"/>
          <w:b/>
          <w:sz w:val="24"/>
          <w:szCs w:val="24"/>
        </w:rPr>
        <w:t>A</w:t>
      </w:r>
      <w:r w:rsidR="00C52D7E" w:rsidRPr="005E3FBE">
        <w:rPr>
          <w:rFonts w:ascii="Arial" w:hAnsi="Arial" w:cs="Arial"/>
          <w:b/>
          <w:sz w:val="24"/>
          <w:szCs w:val="24"/>
        </w:rPr>
        <w:t>fter Venoarterial Extracorporeal Membrane Oxygenation Initiation</w:t>
      </w:r>
    </w:p>
    <w:tbl>
      <w:tblPr>
        <w:tblStyle w:val="TableGrid"/>
        <w:tblW w:w="1077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691"/>
        <w:gridCol w:w="1772"/>
        <w:gridCol w:w="1772"/>
        <w:gridCol w:w="1772"/>
        <w:gridCol w:w="1772"/>
      </w:tblGrid>
      <w:tr w:rsidR="00A91FF3" w:rsidRPr="00A91FF3" w:rsidTr="0025037F">
        <w:trPr>
          <w:trHeight w:val="581"/>
        </w:trPr>
        <w:tc>
          <w:tcPr>
            <w:tcW w:w="3691" w:type="dxa"/>
            <w:shd w:val="clear" w:color="auto" w:fill="595959" w:themeFill="text1" w:themeFillTint="A6"/>
          </w:tcPr>
          <w:p w:rsidR="00A91FF3" w:rsidRPr="00FC04F1" w:rsidRDefault="00A91FF3" w:rsidP="00FC04F1">
            <w:pPr>
              <w:pStyle w:val="NoSpacing"/>
              <w:spacing w:line="276" w:lineRule="auto"/>
              <w:ind w:right="-257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29022A" w:rsidRDefault="0029022A" w:rsidP="00FC04F1">
            <w:pPr>
              <w:pStyle w:val="NoSpacing"/>
              <w:spacing w:line="276" w:lineRule="auto"/>
              <w:ind w:right="-257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A91FF3" w:rsidRPr="00FC04F1" w:rsidRDefault="00A91FF3" w:rsidP="00FC04F1">
            <w:pPr>
              <w:pStyle w:val="NoSpacing"/>
              <w:spacing w:line="276" w:lineRule="auto"/>
              <w:ind w:right="-257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Pre-VA</w:t>
            </w:r>
            <w:r w:rsid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 xml:space="preserve"> </w:t>
            </w: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 xml:space="preserve">ECMO  </w:t>
            </w:r>
            <w:r w:rsidR="00F17645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C</w:t>
            </w: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 xml:space="preserve">haracteristics </w:t>
            </w:r>
          </w:p>
        </w:tc>
        <w:tc>
          <w:tcPr>
            <w:tcW w:w="1772" w:type="dxa"/>
            <w:shd w:val="clear" w:color="auto" w:fill="595959" w:themeFill="text1" w:themeFillTint="A6"/>
          </w:tcPr>
          <w:p w:rsidR="00FC04F1" w:rsidRDefault="00FC04F1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All patients</w:t>
            </w:r>
            <w:r w:rsid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,</w:t>
            </w: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  <w:t xml:space="preserve">n </w:t>
            </w: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= 72</w:t>
            </w:r>
          </w:p>
        </w:tc>
        <w:tc>
          <w:tcPr>
            <w:tcW w:w="1772" w:type="dxa"/>
            <w:shd w:val="clear" w:color="auto" w:fill="595959" w:themeFill="text1" w:themeFillTint="A6"/>
          </w:tcPr>
          <w:p w:rsidR="00FC04F1" w:rsidRDefault="00FC04F1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Survivors</w:t>
            </w:r>
            <w:r w:rsid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,</w:t>
            </w: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  <w:t xml:space="preserve">n </w:t>
            </w: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= 31</w:t>
            </w:r>
          </w:p>
        </w:tc>
        <w:tc>
          <w:tcPr>
            <w:tcW w:w="1772" w:type="dxa"/>
            <w:shd w:val="clear" w:color="auto" w:fill="595959" w:themeFill="text1" w:themeFillTint="A6"/>
          </w:tcPr>
          <w:p w:rsidR="00FC04F1" w:rsidRDefault="00FC04F1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Nonsurvivors</w:t>
            </w:r>
            <w:r w:rsid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,</w:t>
            </w:r>
          </w:p>
          <w:p w:rsidR="00A91FF3" w:rsidRPr="00FC04F1" w:rsidRDefault="00A91FF3" w:rsidP="00FC04F1">
            <w:pPr>
              <w:pStyle w:val="NoSpacing"/>
              <w:spacing w:line="276" w:lineRule="auto"/>
              <w:ind w:left="-267" w:right="-258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FC04F1"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  <w:t>n</w:t>
            </w:r>
            <w:r w:rsidRPr="00FC04F1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 xml:space="preserve"> = 41</w:t>
            </w:r>
          </w:p>
        </w:tc>
        <w:tc>
          <w:tcPr>
            <w:tcW w:w="1772" w:type="dxa"/>
            <w:shd w:val="clear" w:color="auto" w:fill="595959" w:themeFill="text1" w:themeFillTint="A6"/>
          </w:tcPr>
          <w:p w:rsidR="00A91FF3" w:rsidRPr="00FC04F1" w:rsidRDefault="00A91FF3" w:rsidP="0025037F">
            <w:pPr>
              <w:pStyle w:val="NoSpacing"/>
              <w:spacing w:line="276" w:lineRule="auto"/>
              <w:ind w:left="-113" w:right="-68"/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</w:pPr>
          </w:p>
          <w:p w:rsidR="00FC04F1" w:rsidRDefault="00FC04F1" w:rsidP="0025037F">
            <w:pPr>
              <w:pStyle w:val="NoSpacing"/>
              <w:spacing w:line="276" w:lineRule="auto"/>
              <w:ind w:left="-113" w:right="-68"/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</w:pPr>
          </w:p>
          <w:p w:rsidR="00FC04F1" w:rsidRDefault="00FC04F1" w:rsidP="0025037F">
            <w:pPr>
              <w:pStyle w:val="NoSpacing"/>
              <w:spacing w:line="276" w:lineRule="auto"/>
              <w:ind w:left="-113" w:right="-68"/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</w:rPr>
              <w:t>p</w:t>
            </w:r>
          </w:p>
          <w:p w:rsidR="00FC04F1" w:rsidRPr="00FC04F1" w:rsidRDefault="00FC04F1" w:rsidP="0025037F">
            <w:pPr>
              <w:pStyle w:val="NoSpacing"/>
              <w:spacing w:line="276" w:lineRule="auto"/>
              <w:ind w:left="-113" w:right="-68"/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16"/>
                <w:szCs w:val="16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Male gender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54 (75)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23 (43)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(57)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0.891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Age (y</w:t>
            </w:r>
            <w:r w:rsidR="0029022A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56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43-65; 11-76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50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36-62; 17-76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59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50-66; 11-76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0.065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173"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≥65 (y</w:t>
            </w:r>
            <w:r w:rsidR="0029022A">
              <w:rPr>
                <w:rFonts w:ascii="Arial" w:hAnsi="Arial" w:cs="Arial"/>
                <w:sz w:val="20"/>
                <w:szCs w:val="20"/>
              </w:rPr>
              <w:t>r</w:t>
            </w:r>
            <w:r w:rsidRPr="00A91F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16 (22)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(31)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11 (69)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0.280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Weight (kg)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80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73-90; 39-114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78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67-90; 51-102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81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75-90; 39-114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0.308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Body mass index (kg/m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25.9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23.6-28.3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24.7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23.1-27.8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26.6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24.1-29.2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0.098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Ischemic heart disease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47 (65)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16 (34)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(66)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0.034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7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Acute myocardial infarction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32 (44)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11 (34)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21 (66)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0.183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FC04F1" w:rsidP="0094781C">
            <w:pPr>
              <w:pStyle w:val="NoSpacing"/>
              <w:spacing w:line="360" w:lineRule="auto"/>
              <w:ind w:left="319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FC04F1">
              <w:rPr>
                <w:rFonts w:ascii="Arial" w:hAnsi="Arial" w:cs="Arial"/>
                <w:noProof/>
                <w:sz w:val="20"/>
                <w:szCs w:val="20"/>
              </w:rPr>
              <w:t>ST-elevation myocardial infarction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(43)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11 (35)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20 (65)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0.259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Smoking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(43)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13 (42)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18 (58)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0.867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Hypertension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30 (42)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(40)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18 (60)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0.658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Valvular heart disease 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24 (33)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 (42)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14 (58)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0.867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Dyslipidemia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18 (25)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(28)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13 (72)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0.131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Diabetes mellitus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13 (18)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(31)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 (69)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0.323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112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Hypertrophic cardiomyopathy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 (8.3)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 (17)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(83)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0.227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Prior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a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 myocardial infarction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 (13)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(33)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 (67)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0.723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Atrial fibrillation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 (9.7)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 (14)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 (86)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0.227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Prior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a</w:t>
            </w:r>
            <w:r w:rsidRPr="00A91FF3">
              <w:rPr>
                <w:rFonts w:ascii="Arial" w:hAnsi="Arial" w:cs="Arial"/>
                <w:sz w:val="20"/>
                <w:szCs w:val="20"/>
              </w:rPr>
              <w:t xml:space="preserve"> PCI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 (9.7)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 (29)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(71)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0.691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Prior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a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 cardiac surgery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 (8.3)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 (33)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(67)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0.693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Chronic renal failure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(6.9)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 (20)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(80)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0.382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Intoxication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(6.9)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(80)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 (20)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0.158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Primary graft failure after 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169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heart transplantation 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(5.6)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 (50)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 (50)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1.000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Acute myocarditis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(4.2)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(100)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 (0)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0.075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Acute pulmonary embolus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(4.2)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 (33)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 (67)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1.000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Endocarditis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(4.2)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 (67)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 (33)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0.574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Cardiac arrest location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171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Out-of-hospital 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 (12)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(56)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(44)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171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In-hospital 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63 (88)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26 (41)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37 (59)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0.485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312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Intensive care unit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22 (31)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 (41)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13 (59)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0.807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312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Catherization laboratory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18 (25)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 (33)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(67)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0.336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312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Ward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(17)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 (58)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(42)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0.242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312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Operating room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11 (15)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 (36)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7 (64)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0.626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Initial cardiac arrest rhythm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Shockable rhythm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(43)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21 (68)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 (32)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Nonshockable rhythm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41 (57)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 (24)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(76)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&lt;</w:t>
            </w:r>
            <w:r w:rsidR="0057710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No-flow duration (min)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 (0)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 (0)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 (0)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Low-flow duration (min)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21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10-73; 1-197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2-45; 1-120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32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20-100; 1-197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&lt;</w:t>
            </w:r>
            <w:r w:rsidR="0057710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3F3973" w:rsidRDefault="003F397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ROSC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90748" w:rsidRDefault="00D90748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26 (36)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90748" w:rsidRDefault="00D90748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19 (73)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90748" w:rsidRDefault="00D90748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A91F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7 (27)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80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Time to ROSC (min)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FC04F1">
              <w:rPr>
                <w:rFonts w:ascii="Arial" w:hAnsi="Arial" w:cs="Arial"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sz w:val="20"/>
                <w:szCs w:val="20"/>
              </w:rPr>
              <w:t>2-17; 1-48</w:t>
            </w:r>
            <w:r w:rsidR="00FC04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FC04F1">
              <w:rPr>
                <w:rFonts w:ascii="Arial" w:hAnsi="Arial" w:cs="Arial"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sz w:val="20"/>
                <w:szCs w:val="20"/>
              </w:rPr>
              <w:t>2-10; 1-20</w:t>
            </w:r>
            <w:r w:rsidR="00FC04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C04F1">
              <w:rPr>
                <w:rFonts w:ascii="Arial" w:hAnsi="Arial" w:cs="Arial"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sz w:val="20"/>
                <w:szCs w:val="20"/>
              </w:rPr>
              <w:t>17-30; 15-48</w:t>
            </w:r>
            <w:r w:rsidR="00FC04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&lt;</w:t>
            </w:r>
            <w:r w:rsidR="00577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Absence of ROSC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46 (64)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(26)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34 (74)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&lt;</w:t>
            </w:r>
            <w:r w:rsidR="0057710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180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Time to cannulation (min)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49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20-107; 1-197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55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20-87; 1-120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47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20-116; 1-197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0.670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Mean arterial pressure (mmHg)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50 (40-59)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55 (45-53)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45 (40-53)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Arterial pH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7.10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6.94-7.30; 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6.55-7.57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7.18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7.06-7.34; 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6.63-7.57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7.04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6.90-7.22; 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6.55- 7.39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0.002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Arterial lactate (mmol/L)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12.0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5.2-17.0;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1.3-28.0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8.0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2.9-12.9;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1.3-20.0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15.0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10.6-19.0;</w:t>
            </w:r>
          </w:p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1.6-28.0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&lt;</w:t>
            </w:r>
            <w:r w:rsidR="0057710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69"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&lt;10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(mmol/L)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28 (39)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19 (68)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 (32)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69"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10-20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(mmol/L)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36 (50)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(33)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24 (67)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69"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&gt;20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(mmol/L)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8 (11)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 (0)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8 (100)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&lt;17 (mmol/L)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51 (71)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28 (55)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23 (45)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≥17 (mmol/L)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21 (29)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(14)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18 (86)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0.002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Hemoglobin (g/L)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109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90-131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114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90-131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108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90-128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0.785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FC04F1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FC04F1">
              <w:rPr>
                <w:rFonts w:ascii="Arial" w:hAnsi="Arial" w:cs="Arial"/>
                <w:noProof/>
                <w:sz w:val="20"/>
                <w:szCs w:val="20"/>
              </w:rPr>
              <w:t>nternational normalized ratio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1.3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1.1-1.6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1.3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1.1-1.6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1.4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1.1-1.7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0.589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Creatinine (µmol/L) 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130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96-170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133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81-179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124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108-167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0.887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FC04F1">
            <w:pPr>
              <w:pStyle w:val="NoSpacing"/>
              <w:spacing w:line="360" w:lineRule="auto"/>
              <w:ind w:left="183" w:right="-257" w:hanging="183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Glomerular filtration rate modification of diet in renal disease (mL/min/1.73 m2)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50 </w:t>
            </w:r>
            <w:r w:rsidR="00FC04F1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38-71</w:t>
            </w:r>
            <w:r w:rsidR="00FC04F1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49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40-77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53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35-66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0.943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FC04F1" w:rsidRPr="00FC04F1">
              <w:rPr>
                <w:rFonts w:ascii="Arial" w:hAnsi="Arial" w:cs="Arial"/>
                <w:noProof/>
                <w:sz w:val="20"/>
                <w:szCs w:val="20"/>
              </w:rPr>
              <w:t>lanine aminotransferase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 (µkat/L)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 xml:space="preserve">2.13 </w:t>
            </w:r>
            <w:r w:rsidR="00FC04F1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0.91-6.92</w:t>
            </w:r>
            <w:r w:rsidR="00FC04F1"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1.71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0.91-5.50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2.53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0.97-12.59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0.401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Pre-VA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ECMO interventions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Acute coronary angiography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42 (58)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16 (38)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26 (62)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0.315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Acute PCI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28 (39)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11 (39)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17 (61)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0.606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Cardiac surgery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31 (43)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12 (39)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19 (61)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0.571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Hemodialysis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9 (13)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(33)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6 (67)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0.723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No. of inotropes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and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 vasopressors</w:t>
            </w:r>
            <w:bookmarkStart w:id="1" w:name="_Hlk525765010"/>
            <w:r w:rsidR="00FC04F1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c,d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2-3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1-3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 xml:space="preserve">3 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2-3</w:t>
            </w:r>
            <w:r w:rsidR="00FC04F1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0.073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5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Intra-aortic balloon pump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8 (11)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3 (37)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5 (63)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1.000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right="-246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Retrieval from external hospital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29 (40)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14 (48)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15 (52)</w:t>
            </w:r>
          </w:p>
        </w:tc>
        <w:tc>
          <w:tcPr>
            <w:tcW w:w="1772" w:type="dxa"/>
            <w:shd w:val="clear" w:color="auto" w:fill="FFFFFF" w:themeFill="background1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noProof/>
                <w:sz w:val="20"/>
                <w:szCs w:val="20"/>
              </w:rPr>
              <w:t>0.463</w:t>
            </w: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right="-257"/>
              <w:rPr>
                <w:rFonts w:ascii="Arial" w:hAnsi="Arial" w:cs="Arial"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VA</w:t>
            </w:r>
            <w:r w:rsidR="00FC0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F3">
              <w:rPr>
                <w:rFonts w:ascii="Arial" w:hAnsi="Arial" w:cs="Arial"/>
                <w:sz w:val="20"/>
                <w:szCs w:val="20"/>
              </w:rPr>
              <w:t>ECMO insertion period</w:t>
            </w:r>
            <w:r w:rsidRPr="00A91FF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e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3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2011-2015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36 (50)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15 (42)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21 (58)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1FF3" w:rsidRPr="00A91FF3" w:rsidTr="0025037F">
        <w:tc>
          <w:tcPr>
            <w:tcW w:w="36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173" w:right="-257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 xml:space="preserve">2006-2010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36 (50)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16 (44)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1FF3" w:rsidRPr="00A91FF3" w:rsidRDefault="00A91FF3" w:rsidP="0094781C">
            <w:pPr>
              <w:pStyle w:val="NoSpacing"/>
              <w:spacing w:line="360" w:lineRule="auto"/>
              <w:ind w:left="-267" w:right="-25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20 (56)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1FF3" w:rsidRPr="00A91FF3" w:rsidRDefault="00A91FF3" w:rsidP="0025037F">
            <w:pPr>
              <w:pStyle w:val="NoSpacing"/>
              <w:spacing w:line="360" w:lineRule="auto"/>
              <w:ind w:left="-113" w:right="-6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91FF3">
              <w:rPr>
                <w:rFonts w:ascii="Arial" w:hAnsi="Arial" w:cs="Arial"/>
                <w:sz w:val="20"/>
                <w:szCs w:val="20"/>
              </w:rPr>
              <w:t>0.812</w:t>
            </w:r>
          </w:p>
        </w:tc>
      </w:tr>
    </w:tbl>
    <w:p w:rsidR="00F40453" w:rsidRPr="0029022A" w:rsidRDefault="00F07D87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sz w:val="18"/>
          <w:szCs w:val="18"/>
        </w:rPr>
      </w:pPr>
      <w:r w:rsidRPr="0029022A">
        <w:rPr>
          <w:rFonts w:ascii="Arial" w:hAnsi="Arial" w:cs="Arial"/>
          <w:noProof/>
          <w:sz w:val="18"/>
          <w:szCs w:val="18"/>
        </w:rPr>
        <w:t>PCI =</w:t>
      </w:r>
      <w:r w:rsidR="00052D0E" w:rsidRPr="0029022A">
        <w:rPr>
          <w:rFonts w:ascii="Arial" w:hAnsi="Arial" w:cs="Arial"/>
          <w:noProof/>
          <w:sz w:val="18"/>
          <w:szCs w:val="18"/>
        </w:rPr>
        <w:t xml:space="preserve"> percutane</w:t>
      </w:r>
      <w:r w:rsidRPr="0029022A">
        <w:rPr>
          <w:rFonts w:ascii="Arial" w:hAnsi="Arial" w:cs="Arial"/>
          <w:noProof/>
          <w:sz w:val="18"/>
          <w:szCs w:val="18"/>
        </w:rPr>
        <w:t>ous coronary intervention,</w:t>
      </w:r>
      <w:r w:rsidR="00F40453" w:rsidRPr="0029022A">
        <w:rPr>
          <w:rFonts w:ascii="Arial" w:hAnsi="Arial" w:cs="Arial"/>
          <w:noProof/>
          <w:sz w:val="18"/>
          <w:szCs w:val="18"/>
        </w:rPr>
        <w:t xml:space="preserve"> </w:t>
      </w:r>
      <w:r w:rsidRPr="0029022A">
        <w:rPr>
          <w:rFonts w:ascii="Arial" w:hAnsi="Arial" w:cs="Arial"/>
          <w:noProof/>
          <w:sz w:val="18"/>
          <w:szCs w:val="18"/>
        </w:rPr>
        <w:t>ROSC =</w:t>
      </w:r>
      <w:r w:rsidR="00052D0E" w:rsidRPr="0029022A">
        <w:rPr>
          <w:rFonts w:ascii="Arial" w:hAnsi="Arial" w:cs="Arial"/>
          <w:noProof/>
          <w:sz w:val="18"/>
          <w:szCs w:val="18"/>
        </w:rPr>
        <w:t xml:space="preserve"> re</w:t>
      </w:r>
      <w:r w:rsidRPr="0029022A">
        <w:rPr>
          <w:rFonts w:ascii="Arial" w:hAnsi="Arial" w:cs="Arial"/>
          <w:noProof/>
          <w:sz w:val="18"/>
          <w:szCs w:val="18"/>
        </w:rPr>
        <w:t>turn of spontaneous circulation,</w:t>
      </w:r>
      <w:r w:rsidR="00052D0E" w:rsidRPr="0029022A">
        <w:rPr>
          <w:rFonts w:ascii="Arial" w:hAnsi="Arial" w:cs="Arial"/>
          <w:noProof/>
          <w:sz w:val="18"/>
          <w:szCs w:val="18"/>
        </w:rPr>
        <w:t xml:space="preserve"> </w:t>
      </w:r>
      <w:r w:rsidR="00052D0E" w:rsidRPr="0029022A">
        <w:rPr>
          <w:rFonts w:ascii="Arial" w:hAnsi="Arial" w:cs="Arial"/>
          <w:sz w:val="18"/>
          <w:szCs w:val="18"/>
          <w:lang w:eastAsia="sv-SE"/>
        </w:rPr>
        <w:t>VA</w:t>
      </w:r>
      <w:r w:rsidR="00FC04F1" w:rsidRPr="0029022A">
        <w:rPr>
          <w:rFonts w:ascii="Arial" w:hAnsi="Arial" w:cs="Arial"/>
          <w:sz w:val="18"/>
          <w:szCs w:val="18"/>
          <w:lang w:eastAsia="sv-SE"/>
        </w:rPr>
        <w:t xml:space="preserve"> </w:t>
      </w:r>
      <w:r w:rsidR="00052D0E" w:rsidRPr="0029022A">
        <w:rPr>
          <w:rFonts w:ascii="Arial" w:hAnsi="Arial" w:cs="Arial"/>
          <w:sz w:val="18"/>
          <w:szCs w:val="18"/>
          <w:lang w:eastAsia="sv-SE"/>
        </w:rPr>
        <w:t>ECMO</w:t>
      </w:r>
      <w:r w:rsidRPr="0029022A">
        <w:rPr>
          <w:rFonts w:ascii="Arial" w:hAnsi="Arial" w:cs="Arial"/>
          <w:sz w:val="18"/>
          <w:szCs w:val="18"/>
          <w:lang w:eastAsia="sv-SE"/>
        </w:rPr>
        <w:t xml:space="preserve"> = </w:t>
      </w:r>
      <w:r w:rsidR="00052D0E" w:rsidRPr="0029022A">
        <w:rPr>
          <w:rFonts w:ascii="Arial" w:hAnsi="Arial" w:cs="Arial"/>
          <w:sz w:val="18"/>
          <w:szCs w:val="18"/>
          <w:lang w:eastAsia="sv-SE"/>
        </w:rPr>
        <w:t xml:space="preserve">venoarterial extracorporeal membrane oxygenation. </w:t>
      </w:r>
    </w:p>
    <w:p w:rsidR="00F40453" w:rsidRPr="0029022A" w:rsidRDefault="00730E1A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noProof/>
          <w:sz w:val="18"/>
          <w:szCs w:val="18"/>
        </w:rPr>
      </w:pPr>
      <w:r w:rsidRPr="0029022A">
        <w:rPr>
          <w:rFonts w:ascii="Arial" w:hAnsi="Arial" w:cs="Arial"/>
          <w:noProof/>
          <w:sz w:val="18"/>
          <w:szCs w:val="18"/>
          <w:vertAlign w:val="superscript"/>
        </w:rPr>
        <w:t>a</w:t>
      </w:r>
      <w:r w:rsidR="00052D0E" w:rsidRPr="0029022A">
        <w:rPr>
          <w:rFonts w:ascii="Arial" w:hAnsi="Arial" w:cs="Arial"/>
          <w:noProof/>
          <w:sz w:val="18"/>
          <w:szCs w:val="18"/>
        </w:rPr>
        <w:t xml:space="preserve">Prior to current medical event/admission. </w:t>
      </w:r>
    </w:p>
    <w:p w:rsidR="00F40453" w:rsidRPr="0029022A" w:rsidRDefault="00730E1A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noProof/>
          <w:sz w:val="18"/>
          <w:szCs w:val="18"/>
        </w:rPr>
      </w:pPr>
      <w:r w:rsidRPr="0029022A">
        <w:rPr>
          <w:rFonts w:ascii="Arial" w:hAnsi="Arial" w:cs="Arial"/>
          <w:noProof/>
          <w:sz w:val="18"/>
          <w:szCs w:val="18"/>
          <w:vertAlign w:val="superscript"/>
        </w:rPr>
        <w:t>b</w:t>
      </w:r>
      <w:r w:rsidR="00052D0E" w:rsidRPr="0029022A">
        <w:rPr>
          <w:rFonts w:ascii="Arial" w:hAnsi="Arial" w:cs="Arial"/>
          <w:noProof/>
          <w:sz w:val="18"/>
          <w:szCs w:val="18"/>
        </w:rPr>
        <w:t xml:space="preserve">Continuous chest compressions at cannulation. </w:t>
      </w:r>
    </w:p>
    <w:p w:rsidR="00F40453" w:rsidRPr="0029022A" w:rsidRDefault="00730E1A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sz w:val="18"/>
          <w:szCs w:val="18"/>
          <w:lang w:eastAsia="sv-SE"/>
        </w:rPr>
      </w:pPr>
      <w:r w:rsidRPr="0029022A">
        <w:rPr>
          <w:rFonts w:ascii="Arial" w:hAnsi="Arial" w:cs="Arial"/>
          <w:sz w:val="18"/>
          <w:szCs w:val="18"/>
          <w:vertAlign w:val="superscript"/>
        </w:rPr>
        <w:t>c</w:t>
      </w:r>
      <w:r w:rsidR="00D40918" w:rsidRPr="0029022A">
        <w:rPr>
          <w:rFonts w:ascii="Arial" w:hAnsi="Arial" w:cs="Arial"/>
          <w:sz w:val="18"/>
          <w:szCs w:val="18"/>
          <w:lang w:eastAsia="sv-SE"/>
        </w:rPr>
        <w:t>J</w:t>
      </w:r>
      <w:r w:rsidR="00052D0E" w:rsidRPr="0029022A">
        <w:rPr>
          <w:rFonts w:ascii="Arial" w:hAnsi="Arial" w:cs="Arial"/>
          <w:sz w:val="18"/>
          <w:szCs w:val="18"/>
          <w:lang w:eastAsia="sv-SE"/>
        </w:rPr>
        <w:t xml:space="preserve">ust before cannulation. </w:t>
      </w:r>
    </w:p>
    <w:p w:rsidR="00052D0E" w:rsidRPr="0029022A" w:rsidRDefault="00730E1A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sz w:val="18"/>
          <w:szCs w:val="18"/>
          <w:lang w:eastAsia="sv-SE"/>
        </w:rPr>
      </w:pPr>
      <w:r w:rsidRPr="0029022A">
        <w:rPr>
          <w:rFonts w:ascii="Arial" w:hAnsi="Arial" w:cs="Arial"/>
          <w:noProof/>
          <w:sz w:val="18"/>
          <w:szCs w:val="18"/>
          <w:vertAlign w:val="superscript"/>
        </w:rPr>
        <w:t>d</w:t>
      </w:r>
      <w:r w:rsidR="00052D0E" w:rsidRPr="0029022A">
        <w:rPr>
          <w:rFonts w:ascii="Arial" w:hAnsi="Arial" w:cs="Arial"/>
          <w:sz w:val="18"/>
          <w:szCs w:val="18"/>
          <w:lang w:eastAsia="sv-SE"/>
        </w:rPr>
        <w:t>Epinephrine, norepinephrine, dobutamine, dopamine, vasopressin, milrinone, levosimendan.</w:t>
      </w:r>
    </w:p>
    <w:p w:rsidR="00730E1A" w:rsidRPr="0029022A" w:rsidRDefault="00730E1A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sz w:val="18"/>
          <w:szCs w:val="18"/>
          <w:lang w:eastAsia="sv-SE"/>
        </w:rPr>
      </w:pPr>
      <w:r w:rsidRPr="0029022A">
        <w:rPr>
          <w:rFonts w:ascii="Arial" w:hAnsi="Arial" w:cs="Arial"/>
          <w:sz w:val="18"/>
          <w:szCs w:val="18"/>
          <w:vertAlign w:val="superscript"/>
          <w:lang w:eastAsia="sv-SE"/>
        </w:rPr>
        <w:t>e</w:t>
      </w:r>
      <w:r w:rsidRPr="0029022A">
        <w:rPr>
          <w:rFonts w:ascii="Arial" w:hAnsi="Arial" w:cs="Arial"/>
          <w:sz w:val="18"/>
          <w:szCs w:val="18"/>
          <w:lang w:eastAsia="sv-SE"/>
        </w:rPr>
        <w:t>Only for descriptive purposes</w:t>
      </w:r>
      <w:r w:rsidR="00D40918" w:rsidRPr="0029022A">
        <w:rPr>
          <w:rFonts w:ascii="Arial" w:hAnsi="Arial" w:cs="Arial"/>
          <w:sz w:val="18"/>
          <w:szCs w:val="18"/>
          <w:lang w:eastAsia="sv-SE"/>
        </w:rPr>
        <w:t>.</w:t>
      </w:r>
    </w:p>
    <w:p w:rsidR="0094781C" w:rsidRPr="0029022A" w:rsidRDefault="0094781C" w:rsidP="0029022A">
      <w:pPr>
        <w:pStyle w:val="NoSpacing"/>
        <w:spacing w:line="276" w:lineRule="auto"/>
        <w:ind w:left="-851" w:right="142"/>
        <w:jc w:val="both"/>
        <w:rPr>
          <w:rFonts w:ascii="Arial" w:hAnsi="Arial" w:cs="Arial"/>
          <w:sz w:val="18"/>
          <w:szCs w:val="18"/>
          <w:lang w:eastAsia="sv-SE"/>
        </w:rPr>
      </w:pPr>
      <w:r w:rsidRPr="0029022A">
        <w:rPr>
          <w:rFonts w:ascii="Arial" w:hAnsi="Arial" w:cs="Arial"/>
          <w:sz w:val="18"/>
          <w:szCs w:val="18"/>
          <w:lang w:eastAsia="sv-SE"/>
        </w:rPr>
        <w:t>Results are presented as n (%) and median [interquartile range (IQR); range</w:t>
      </w:r>
      <w:r w:rsidR="00FC04F1" w:rsidRPr="0029022A">
        <w:rPr>
          <w:rFonts w:ascii="Arial" w:hAnsi="Arial" w:cs="Arial"/>
          <w:sz w:val="18"/>
          <w:szCs w:val="18"/>
          <w:lang w:eastAsia="sv-SE"/>
        </w:rPr>
        <w:t>)</w:t>
      </w:r>
      <w:r w:rsidRPr="0029022A">
        <w:rPr>
          <w:rFonts w:ascii="Arial" w:hAnsi="Arial" w:cs="Arial"/>
          <w:sz w:val="18"/>
          <w:szCs w:val="18"/>
          <w:lang w:eastAsia="sv-SE"/>
        </w:rPr>
        <w:t xml:space="preserve">. </w:t>
      </w:r>
      <w:bookmarkStart w:id="2" w:name="_Hlk5710880"/>
      <w:r w:rsidRPr="0029022A">
        <w:rPr>
          <w:rFonts w:ascii="Arial" w:hAnsi="Arial" w:cs="Arial"/>
          <w:sz w:val="18"/>
          <w:szCs w:val="18"/>
          <w:lang w:eastAsia="sv-SE"/>
        </w:rPr>
        <w:t>Statistical significance was set by p value of less than 0.05</w:t>
      </w:r>
      <w:bookmarkEnd w:id="2"/>
      <w:r w:rsidRPr="0029022A">
        <w:rPr>
          <w:rFonts w:ascii="Arial" w:hAnsi="Arial" w:cs="Arial"/>
          <w:sz w:val="18"/>
          <w:szCs w:val="18"/>
          <w:lang w:eastAsia="sv-SE"/>
        </w:rPr>
        <w:t xml:space="preserve">. There were no missing data except two patients with missing glomerular filtration rate modification of diet in renal disease, </w:t>
      </w:r>
      <w:r w:rsidR="00A91FF3" w:rsidRPr="0029022A">
        <w:rPr>
          <w:rFonts w:ascii="Arial" w:hAnsi="Arial" w:cs="Arial"/>
          <w:sz w:val="18"/>
          <w:szCs w:val="18"/>
          <w:lang w:eastAsia="sv-SE"/>
        </w:rPr>
        <w:t>six</w:t>
      </w:r>
      <w:r w:rsidRPr="0029022A">
        <w:rPr>
          <w:rFonts w:ascii="Arial" w:hAnsi="Arial" w:cs="Arial"/>
          <w:sz w:val="18"/>
          <w:szCs w:val="18"/>
          <w:lang w:eastAsia="sv-SE"/>
        </w:rPr>
        <w:t xml:space="preserve"> patients with missing </w:t>
      </w:r>
      <w:r w:rsidR="00A91FF3" w:rsidRPr="0029022A">
        <w:rPr>
          <w:rFonts w:ascii="Arial" w:hAnsi="Arial" w:cs="Arial"/>
          <w:sz w:val="18"/>
          <w:szCs w:val="18"/>
          <w:lang w:eastAsia="sv-SE"/>
        </w:rPr>
        <w:t xml:space="preserve">international normalized ratio and fourteen patients with missing </w:t>
      </w:r>
      <w:r w:rsidR="00A91FF3" w:rsidRPr="0029022A">
        <w:rPr>
          <w:rFonts w:ascii="Arial" w:hAnsi="Arial" w:cs="Arial"/>
          <w:noProof/>
          <w:sz w:val="18"/>
          <w:szCs w:val="18"/>
        </w:rPr>
        <w:t>alanine aminotransferase</w:t>
      </w:r>
      <w:r w:rsidR="00A91FF3" w:rsidRPr="0029022A">
        <w:rPr>
          <w:rFonts w:ascii="Arial" w:hAnsi="Arial" w:cs="Arial"/>
          <w:sz w:val="18"/>
          <w:szCs w:val="18"/>
          <w:lang w:eastAsia="sv-SE"/>
        </w:rPr>
        <w:t>.</w:t>
      </w:r>
    </w:p>
    <w:p w:rsidR="00134ECE" w:rsidRPr="00D40918" w:rsidRDefault="00134ECE" w:rsidP="00D40918">
      <w:pPr>
        <w:pStyle w:val="NoSpacing"/>
        <w:spacing w:line="480" w:lineRule="auto"/>
        <w:jc w:val="both"/>
        <w:rPr>
          <w:rFonts w:ascii="Times New Roman" w:hAnsi="Times New Roman" w:cs="Times New Roman"/>
          <w:lang w:eastAsia="sv-SE"/>
        </w:rPr>
      </w:pPr>
    </w:p>
    <w:sectPr w:rsidR="00134ECE" w:rsidRPr="00D40918" w:rsidSect="0029022A">
      <w:pgSz w:w="11906" w:h="16838"/>
      <w:pgMar w:top="56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0E"/>
    <w:rsid w:val="000024BE"/>
    <w:rsid w:val="00052D0E"/>
    <w:rsid w:val="0008382F"/>
    <w:rsid w:val="000E7FA2"/>
    <w:rsid w:val="000F405C"/>
    <w:rsid w:val="00134ECE"/>
    <w:rsid w:val="0025037F"/>
    <w:rsid w:val="00272C36"/>
    <w:rsid w:val="0029022A"/>
    <w:rsid w:val="003F3973"/>
    <w:rsid w:val="00461A4D"/>
    <w:rsid w:val="00493C34"/>
    <w:rsid w:val="0052215E"/>
    <w:rsid w:val="00577107"/>
    <w:rsid w:val="005E3FBE"/>
    <w:rsid w:val="0070548D"/>
    <w:rsid w:val="007240CC"/>
    <w:rsid w:val="007274DD"/>
    <w:rsid w:val="00730E1A"/>
    <w:rsid w:val="00762C5F"/>
    <w:rsid w:val="007B7AAA"/>
    <w:rsid w:val="00831FC7"/>
    <w:rsid w:val="00886172"/>
    <w:rsid w:val="008F449C"/>
    <w:rsid w:val="0094781C"/>
    <w:rsid w:val="009579C3"/>
    <w:rsid w:val="009D3046"/>
    <w:rsid w:val="009E4C4D"/>
    <w:rsid w:val="00A107FB"/>
    <w:rsid w:val="00A11FA2"/>
    <w:rsid w:val="00A35A21"/>
    <w:rsid w:val="00A91FF3"/>
    <w:rsid w:val="00AF6BE2"/>
    <w:rsid w:val="00BF0693"/>
    <w:rsid w:val="00C15401"/>
    <w:rsid w:val="00C52D7E"/>
    <w:rsid w:val="00CC0FCF"/>
    <w:rsid w:val="00CF2F64"/>
    <w:rsid w:val="00D40918"/>
    <w:rsid w:val="00D90166"/>
    <w:rsid w:val="00D90748"/>
    <w:rsid w:val="00E07CAC"/>
    <w:rsid w:val="00E40C23"/>
    <w:rsid w:val="00E45253"/>
    <w:rsid w:val="00F07D87"/>
    <w:rsid w:val="00F17645"/>
    <w:rsid w:val="00F40453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C7E8"/>
  <w15:chartTrackingRefBased/>
  <w15:docId w15:val="{60C128CF-7267-457D-9623-1EFD870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E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D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05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Fux</dc:creator>
  <cp:keywords/>
  <dc:description/>
  <cp:lastModifiedBy>Baeuerlein, Christopher</cp:lastModifiedBy>
  <cp:revision>2</cp:revision>
  <dcterms:created xsi:type="dcterms:W3CDTF">2019-04-09T13:43:00Z</dcterms:created>
  <dcterms:modified xsi:type="dcterms:W3CDTF">2019-04-09T13:43:00Z</dcterms:modified>
</cp:coreProperties>
</file>