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6D" w:rsidRPr="0029655B" w:rsidRDefault="000B183F" w:rsidP="00D927DD">
      <w:pPr>
        <w:pStyle w:val="Ingetavstnd1"/>
        <w:spacing w:line="276" w:lineRule="auto"/>
        <w:ind w:left="-851" w:right="143"/>
        <w:rPr>
          <w:rFonts w:ascii="Arial" w:hAnsi="Arial" w:cs="Arial"/>
          <w:b/>
          <w:sz w:val="24"/>
          <w:szCs w:val="24"/>
          <w:shd w:val="clear" w:color="auto" w:fill="FFFFFF"/>
          <w:lang w:eastAsia="sv-SE"/>
        </w:rPr>
      </w:pPr>
      <w:bookmarkStart w:id="0" w:name="_GoBack"/>
      <w:bookmarkEnd w:id="0"/>
      <w:r w:rsidRPr="0029655B">
        <w:rPr>
          <w:rFonts w:ascii="Arial" w:eastAsiaTheme="minorHAnsi" w:hAnsi="Arial" w:cs="Arial"/>
          <w:b/>
          <w:noProof/>
          <w:sz w:val="24"/>
          <w:szCs w:val="24"/>
          <w:lang w:val="en-GB"/>
        </w:rPr>
        <w:t>T</w:t>
      </w:r>
      <w:r w:rsidR="00356F15" w:rsidRPr="0029655B">
        <w:rPr>
          <w:rFonts w:ascii="Arial" w:eastAsiaTheme="minorHAnsi" w:hAnsi="Arial" w:cs="Arial"/>
          <w:b/>
          <w:noProof/>
          <w:sz w:val="24"/>
          <w:szCs w:val="24"/>
          <w:lang w:val="en-GB"/>
        </w:rPr>
        <w:t>ABLE</w:t>
      </w:r>
      <w:r w:rsidR="0064177B" w:rsidRPr="0029655B">
        <w:rPr>
          <w:rFonts w:ascii="Arial" w:eastAsiaTheme="minorHAnsi" w:hAnsi="Arial" w:cs="Arial"/>
          <w:b/>
          <w:noProof/>
          <w:sz w:val="24"/>
          <w:szCs w:val="24"/>
          <w:lang w:val="en-GB"/>
        </w:rPr>
        <w:t xml:space="preserve"> </w:t>
      </w:r>
      <w:r w:rsidR="00CD3A54" w:rsidRPr="0029655B">
        <w:rPr>
          <w:rFonts w:ascii="Arial" w:eastAsiaTheme="minorHAnsi" w:hAnsi="Arial" w:cs="Arial"/>
          <w:b/>
          <w:noProof/>
          <w:sz w:val="24"/>
          <w:szCs w:val="24"/>
          <w:lang w:val="en-GB"/>
        </w:rPr>
        <w:t>S2</w:t>
      </w:r>
      <w:r w:rsidR="00356F15" w:rsidRPr="0029655B">
        <w:rPr>
          <w:rFonts w:ascii="Arial" w:hAnsi="Arial" w:cs="Arial"/>
          <w:b/>
          <w:noProof/>
          <w:sz w:val="24"/>
          <w:szCs w:val="24"/>
          <w:lang w:val="en-GB"/>
        </w:rPr>
        <w:t xml:space="preserve">. </w:t>
      </w:r>
      <w:r w:rsidR="00356F15" w:rsidRPr="0029655B">
        <w:rPr>
          <w:rFonts w:ascii="Arial" w:hAnsi="Arial" w:cs="Arial"/>
          <w:b/>
          <w:sz w:val="24"/>
          <w:szCs w:val="24"/>
          <w:shd w:val="clear" w:color="auto" w:fill="FFFFFF"/>
          <w:lang w:eastAsia="sv-SE"/>
        </w:rPr>
        <w:t xml:space="preserve">Factors Associated </w:t>
      </w:r>
      <w:r w:rsidR="008A1A4F">
        <w:rPr>
          <w:rFonts w:ascii="Arial" w:hAnsi="Arial" w:cs="Arial"/>
          <w:b/>
          <w:sz w:val="24"/>
          <w:szCs w:val="24"/>
          <w:shd w:val="clear" w:color="auto" w:fill="FFFFFF"/>
          <w:lang w:eastAsia="sv-SE"/>
        </w:rPr>
        <w:t>W</w:t>
      </w:r>
      <w:r w:rsidR="00356F15" w:rsidRPr="0029655B">
        <w:rPr>
          <w:rFonts w:ascii="Arial" w:hAnsi="Arial" w:cs="Arial"/>
          <w:b/>
          <w:sz w:val="24"/>
          <w:szCs w:val="24"/>
          <w:shd w:val="clear" w:color="auto" w:fill="FFFFFF"/>
          <w:lang w:eastAsia="sv-SE"/>
        </w:rPr>
        <w:t xml:space="preserve">ith Mortality at 90 Days </w:t>
      </w:r>
      <w:r w:rsidR="008A1A4F">
        <w:rPr>
          <w:rFonts w:ascii="Arial" w:hAnsi="Arial" w:cs="Arial"/>
          <w:b/>
          <w:sz w:val="24"/>
          <w:szCs w:val="24"/>
          <w:shd w:val="clear" w:color="auto" w:fill="FFFFFF"/>
          <w:lang w:eastAsia="sv-SE"/>
        </w:rPr>
        <w:t>A</w:t>
      </w:r>
      <w:r w:rsidR="00356F15" w:rsidRPr="0029655B">
        <w:rPr>
          <w:rFonts w:ascii="Arial" w:hAnsi="Arial" w:cs="Arial"/>
          <w:b/>
          <w:sz w:val="24"/>
          <w:szCs w:val="24"/>
          <w:shd w:val="clear" w:color="auto" w:fill="FFFFFF"/>
          <w:lang w:eastAsia="sv-SE"/>
        </w:rPr>
        <w:t>fter Venoarterial Extracorporeal Membrane Oxygenation Initiation</w:t>
      </w:r>
    </w:p>
    <w:tbl>
      <w:tblPr>
        <w:tblStyle w:val="Tabellrutnt2"/>
        <w:tblW w:w="1035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3"/>
        <w:gridCol w:w="1135"/>
        <w:gridCol w:w="567"/>
        <w:gridCol w:w="1278"/>
        <w:gridCol w:w="838"/>
        <w:gridCol w:w="10"/>
        <w:gridCol w:w="285"/>
        <w:gridCol w:w="568"/>
        <w:gridCol w:w="1281"/>
        <w:gridCol w:w="709"/>
      </w:tblGrid>
      <w:tr w:rsidR="00D346E8" w:rsidRPr="00A07C67" w:rsidTr="0029655B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3F1CD8" w:rsidRDefault="003F1CD8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10" w:right="-249" w:hanging="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single" w:sz="4" w:space="1" w:color="FFFFFF" w:themeColor="background1"/>
                <w:right w:val="none" w:sz="0" w:space="0" w:color="auto"/>
                <w:between w:val="none" w:sz="0" w:space="0" w:color="auto"/>
              </w:pBdr>
              <w:ind w:left="-110" w:right="-249" w:hanging="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15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Univariable Logistic </w:t>
            </w: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single" w:sz="4" w:space="1" w:color="FFFFFF" w:themeColor="background1"/>
                <w:right w:val="none" w:sz="0" w:space="0" w:color="auto"/>
                <w:between w:val="none" w:sz="0" w:space="0" w:color="auto"/>
              </w:pBdr>
              <w:ind w:left="-110" w:right="-249" w:hanging="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15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Regression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firstLine="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3F1CD8" w:rsidRDefault="003F1CD8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firstLine="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924643" w:rsidRDefault="001D15DA" w:rsidP="00D927DD">
            <w:pPr>
              <w:pBdr>
                <w:top w:val="none" w:sz="0" w:space="0" w:color="auto"/>
                <w:left w:val="none" w:sz="0" w:space="0" w:color="auto"/>
                <w:bottom w:val="single" w:sz="4" w:space="1" w:color="FFFFFF" w:themeColor="background1"/>
                <w:right w:val="none" w:sz="0" w:space="0" w:color="auto"/>
                <w:between w:val="none" w:sz="0" w:space="0" w:color="auto"/>
              </w:pBdr>
              <w:ind w:left="-108" w:firstLine="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15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Multivariable Logistic </w:t>
            </w: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single" w:sz="4" w:space="1" w:color="FFFFFF" w:themeColor="background1"/>
                <w:right w:val="none" w:sz="0" w:space="0" w:color="auto"/>
                <w:between w:val="none" w:sz="0" w:space="0" w:color="auto"/>
              </w:pBdr>
              <w:ind w:left="-108" w:firstLine="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15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Regression</w:t>
            </w:r>
          </w:p>
        </w:tc>
      </w:tr>
      <w:tr w:rsidR="0029655B" w:rsidRPr="00A07C67" w:rsidTr="0029655B">
        <w:trPr>
          <w:trHeight w:val="774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D15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Variables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E275D9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9" w:right="-114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  <w:r w:rsidRPr="001D15DA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  <w:t>Missing</w:t>
            </w: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9" w:right="-114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  <w:r w:rsidRPr="001D15DA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  <w:t>Data</w:t>
            </w: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9" w:right="-114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  <w:r w:rsidRPr="001D15DA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  <w:t>(%)</w:t>
            </w: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9" w:right="-114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3" w:right="-105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3" w:right="-105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10" w:right="-105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  <w:r w:rsidRPr="001D15DA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  <w:t>OR (</w:t>
            </w:r>
            <w:r w:rsidRPr="001D15D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95% CI)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right="-105" w:firstLine="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n-GB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right="-105" w:firstLine="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n-GB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4" w:right="-105" w:firstLine="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1D15DA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n-GB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79" w:right="-105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79" w:right="-105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79" w:right="-105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3" w:right="-105" w:firstLine="2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  <w:r w:rsidRPr="001D15DA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GB"/>
              </w:rPr>
              <w:t>OR (</w:t>
            </w:r>
            <w:r w:rsidRPr="001D15D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95% CI)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right="-105" w:firstLine="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n-GB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13" w:right="-105" w:firstLine="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n-GB"/>
              </w:rPr>
            </w:pPr>
          </w:p>
          <w:p w:rsidR="001D15DA" w:rsidRPr="001D15DA" w:rsidRDefault="001D15DA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13" w:right="-105" w:firstLine="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1D15DA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n-GB"/>
              </w:rPr>
              <w:t>p</w:t>
            </w:r>
          </w:p>
        </w:tc>
      </w:tr>
      <w:tr w:rsidR="00E275D9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Male gender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2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0.37-3.16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0.891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79" w:right="-249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E275D9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Age (yr)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1.00-1.06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0.079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79" w:right="-249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E275D9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73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color w:val="auto"/>
                <w:lang w:val="en-GB"/>
              </w:rPr>
              <w:t>≥65 vs. &lt;65 (yr)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0.59-6.21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0.284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79" w:right="-249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E275D9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Weight (kg)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0.98-1.05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0.364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79" w:right="-249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E275D9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B</w:t>
            </w:r>
            <w:r w:rsidR="00D346E8" w:rsidRPr="00D346E8">
              <w:rPr>
                <w:rFonts w:ascii="Arial" w:hAnsi="Arial" w:cs="Arial"/>
                <w:noProof/>
                <w:color w:val="auto"/>
                <w:lang w:val="en-GB"/>
              </w:rPr>
              <w:t>ody mass index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 (kg/m</w:t>
            </w:r>
            <w:r w:rsidRPr="005F7A26"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  <w:t>2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0.98-1.30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0.107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79" w:right="-249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24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E275D9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Ischemic heart disease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2.91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1.07-7.92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0.037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7.39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(</w:t>
            </w:r>
            <w:r w:rsidR="001D15DA"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1.57-34.7</w:t>
            </w: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iCs/>
                <w:color w:val="auto"/>
                <w:lang w:val="en-GB"/>
              </w:rPr>
              <w:t>0.011</w:t>
            </w:r>
          </w:p>
        </w:tc>
      </w:tr>
      <w:tr w:rsidR="00D927DD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D34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83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Acute myocardial infarction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0.73-4.97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0.186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Smoking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0.42-2.78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0.867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Hypertension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0.48-3.20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0.658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Valvular heart disease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0.40-2.94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0.866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Dyslipidemia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2.41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0.76-7.71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0.137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Diabetes mellitus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0.53-6.86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0.328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101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Prior</w:t>
            </w:r>
            <w:r w:rsidRPr="005F7A26">
              <w:rPr>
                <w:rFonts w:ascii="Arial" w:hAnsi="Arial" w:cs="Arial"/>
                <w:color w:val="auto"/>
                <w:vertAlign w:val="superscript"/>
              </w:rPr>
              <w:t>a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 myocardial infarction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0.37-6.98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0.532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color w:val="auto"/>
                <w:lang w:val="en-GB"/>
              </w:rPr>
              <w:t>Prior</w:t>
            </w:r>
            <w:r w:rsidRPr="005F7A26">
              <w:rPr>
                <w:rFonts w:ascii="Arial" w:hAnsi="Arial" w:cs="Arial"/>
                <w:color w:val="auto"/>
                <w:vertAlign w:val="superscript"/>
              </w:rPr>
              <w:t>a</w:t>
            </w:r>
            <w:r w:rsidRPr="005F7A26">
              <w:rPr>
                <w:rFonts w:ascii="Arial" w:hAnsi="Arial" w:cs="Arial"/>
                <w:color w:val="auto"/>
                <w:lang w:val="en-GB"/>
              </w:rPr>
              <w:t xml:space="preserve"> PCI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2.01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0.36-11.2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0.423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Prior</w:t>
            </w:r>
            <w:r w:rsidRPr="005F7A26">
              <w:rPr>
                <w:rFonts w:ascii="Arial" w:hAnsi="Arial" w:cs="Arial"/>
                <w:color w:val="auto"/>
                <w:vertAlign w:val="superscript"/>
              </w:rPr>
              <w:t xml:space="preserve">a 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cardiac surgery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0.27-9.16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0.618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Atrial fibrillation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5.14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0.59-45.2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0.140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Chronic renal failure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3.24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0.34-30.6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0.304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Intoxication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0.02-1.59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D34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83" w:right="-136" w:hanging="183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Primary graft failure after heart transplantation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0.10-5.59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0.774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Acute myocarditis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0.03-4.19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0.416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Acute pulmonary embolus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0.13-17.8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0.730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Endocarditis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7D79E6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="001D15DA" w:rsidRPr="005F7A26">
              <w:rPr>
                <w:rFonts w:ascii="Arial" w:hAnsi="Arial" w:cs="Arial"/>
                <w:noProof/>
                <w:color w:val="auto"/>
                <w:lang w:val="en-GB"/>
              </w:rPr>
              <w:t>0.03-4.19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0.416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F7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color w:val="auto"/>
                <w:lang w:val="en-GB"/>
              </w:rPr>
              <w:t>Cardiac arrest location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5DA" w:rsidRPr="005F7A26" w:rsidRDefault="001D15DA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E275D9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83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Out-of-hospital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0.14-2.30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0.422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83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In-hospital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0.44-7.27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0.422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24" w:right="-13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Intensive care unit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0.41-3.14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0.807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24" w:right="-13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Catherization laboratory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0.57-5.27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0.339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24" w:right="-13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Ward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0.14-1.68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0.248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24" w:right="-13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Operating room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0.37-5.25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0.627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Initial cardiac rhythm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73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Shockable rhythm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0.05-0.43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&lt;</w:t>
            </w:r>
            <w:r w:rsidR="00E275D9">
              <w:rPr>
                <w:rFonts w:ascii="Arial" w:hAnsi="Arial" w:cs="Arial"/>
                <w:noProof/>
                <w:color w:val="auto"/>
                <w:lang w:val="en-GB"/>
              </w:rPr>
              <w:t xml:space="preserve"> 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0.001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eastAsia="Times New Roman" w:hAnsi="Arial" w:cs="Arial"/>
                <w:bCs/>
                <w:iCs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73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Nonshockable rhythm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color w:val="auto"/>
                <w:lang w:val="en-GB"/>
              </w:rPr>
              <w:t>6.51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color w:val="auto"/>
                <w:lang w:val="en-GB"/>
              </w:rPr>
              <w:t>2.31-18.7</w:t>
            </w:r>
            <w:r>
              <w:rPr>
                <w:rFonts w:ascii="Arial" w:hAnsi="Arial" w:cs="Arial"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color w:val="auto"/>
                <w:lang w:val="en-GB"/>
              </w:rPr>
              <w:t>&lt;</w:t>
            </w:r>
            <w:r w:rsidR="00E275D9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5F7A26">
              <w:rPr>
                <w:rFonts w:ascii="Arial" w:hAnsi="Arial" w:cs="Arial"/>
                <w:color w:val="auto"/>
                <w:lang w:val="en-GB"/>
              </w:rPr>
              <w:t>0.001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12.2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(</w:t>
            </w: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2.83-52.7</w:t>
            </w: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eastAsia="Times New Roman" w:hAnsi="Arial" w:cs="Arial"/>
                <w:bCs/>
                <w:iCs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iCs/>
                <w:color w:val="auto"/>
                <w:lang w:val="en-GB"/>
              </w:rPr>
              <w:t>0.001</w:t>
            </w: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D92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83" w:hanging="183"/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Absence of </w:t>
            </w:r>
            <w:r w:rsidR="00D927DD" w:rsidRPr="00D927DD">
              <w:rPr>
                <w:rFonts w:ascii="Arial" w:hAnsi="Arial" w:cs="Arial"/>
                <w:noProof/>
                <w:color w:val="auto"/>
                <w:lang w:val="en-GB"/>
              </w:rPr>
              <w:t>return of spontaneous circulation</w:t>
            </w:r>
            <w:r w:rsidRPr="005F7A26">
              <w:rPr>
                <w:rFonts w:ascii="Arial" w:hAnsi="Arial" w:cs="Arial"/>
                <w:noProof/>
                <w:color w:val="auto"/>
                <w:vertAlign w:val="superscript"/>
              </w:rPr>
              <w:t>b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7.69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2.59-22.8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&lt;</w:t>
            </w:r>
            <w:r w:rsidR="00E275D9">
              <w:rPr>
                <w:rFonts w:ascii="Arial" w:hAnsi="Arial" w:cs="Arial"/>
                <w:noProof/>
                <w:color w:val="auto"/>
                <w:lang w:val="en-GB"/>
              </w:rPr>
              <w:t xml:space="preserve"> 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0.001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2.46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(</w:t>
            </w: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0.51-11.9</w:t>
            </w: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iCs/>
                <w:color w:val="auto"/>
                <w:lang w:val="en-GB"/>
              </w:rPr>
              <w:t>0.262</w:t>
            </w: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255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Low-flow duration (min)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1.01-1.03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0.008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1.01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(</w:t>
            </w: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0.99-1.03</w:t>
            </w: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iCs/>
                <w:color w:val="auto"/>
                <w:lang w:val="en-GB"/>
              </w:rPr>
              <w:t>0.398</w:t>
            </w: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M</w:t>
            </w:r>
            <w:r w:rsidRPr="00D346E8">
              <w:rPr>
                <w:rFonts w:ascii="Arial" w:hAnsi="Arial" w:cs="Arial"/>
                <w:noProof/>
                <w:color w:val="auto"/>
                <w:lang w:val="en-GB"/>
              </w:rPr>
              <w:t>ean arterial pressure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 (mmHg)</w:t>
            </w:r>
            <w:r w:rsidRPr="005F7A26">
              <w:rPr>
                <w:rFonts w:ascii="Arial" w:hAnsi="Arial" w:cs="Arial"/>
                <w:color w:val="auto"/>
                <w:vertAlign w:val="superscript"/>
              </w:rPr>
              <w:t>c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0.88-0.97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0.002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Arterial pH</w:t>
            </w:r>
            <w:r w:rsidRPr="005F7A26">
              <w:rPr>
                <w:rFonts w:ascii="Arial" w:hAnsi="Arial" w:cs="Arial"/>
                <w:color w:val="auto"/>
                <w:vertAlign w:val="superscript"/>
              </w:rPr>
              <w:t>c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shd w:val="clear" w:color="auto" w:fill="FFFFFF" w:themeFill="background1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shd w:val="clear" w:color="auto" w:fill="FFFFFF" w:themeFill="background1"/>
                <w:lang w:val="en-GB"/>
              </w:rPr>
              <w:t>0.00-0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.31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0.004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255"/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lastRenderedPageBreak/>
              <w:t>Arterial lactate (mmol/L)</w:t>
            </w:r>
            <w:r w:rsidR="00E275D9"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  <w:t>c</w:t>
            </w:r>
            <w:r w:rsidR="00E275D9">
              <w:rPr>
                <w:rFonts w:ascii="Arial" w:hAnsi="Arial" w:cs="Arial"/>
                <w:noProof/>
                <w:color w:val="auto"/>
                <w:lang w:val="en-GB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1.07-1.27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&lt;</w:t>
            </w:r>
            <w:r w:rsidR="00E275D9">
              <w:rPr>
                <w:rFonts w:ascii="Arial" w:hAnsi="Arial" w:cs="Arial"/>
                <w:noProof/>
                <w:color w:val="auto"/>
                <w:lang w:val="en-GB"/>
              </w:rPr>
              <w:t xml:space="preserve"> 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0.001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eastAsia="Times New Roman" w:hAnsi="Arial" w:cs="Arial"/>
                <w:bCs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1.15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(</w:t>
            </w:r>
            <w:r w:rsidRPr="005F7A26">
              <w:rPr>
                <w:rFonts w:ascii="Arial" w:eastAsia="Times New Roman" w:hAnsi="Arial" w:cs="Arial"/>
                <w:bCs/>
                <w:color w:val="auto"/>
                <w:lang w:val="en-GB"/>
              </w:rPr>
              <w:t>1.01-1.31</w:t>
            </w:r>
            <w:r>
              <w:rPr>
                <w:rFonts w:ascii="Arial" w:eastAsia="Times New Roman" w:hAnsi="Arial" w:cs="Arial"/>
                <w:bCs/>
                <w:color w:val="auto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eastAsia="Times New Roman" w:hAnsi="Arial" w:cs="Arial"/>
                <w:bCs/>
                <w:iCs/>
                <w:color w:val="auto"/>
                <w:lang w:val="en-GB"/>
              </w:rPr>
              <w:t>0.041</w:t>
            </w: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Hemoglobin (g/L)</w:t>
            </w:r>
            <w:r w:rsidR="00E275D9"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  <w:t>c</w:t>
            </w:r>
            <w:r w:rsidR="00E275D9">
              <w:rPr>
                <w:rFonts w:ascii="Arial" w:hAnsi="Arial" w:cs="Arial"/>
                <w:noProof/>
                <w:color w:val="auto"/>
                <w:lang w:val="en-GB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0.98-1.02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0.983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I</w:t>
            </w:r>
            <w:r w:rsidRPr="007D79E6">
              <w:rPr>
                <w:rFonts w:ascii="Arial" w:hAnsi="Arial" w:cs="Arial"/>
                <w:noProof/>
                <w:color w:val="auto"/>
                <w:lang w:val="en-GB"/>
              </w:rPr>
              <w:t>nternational normalized ratio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highlight w:val="yellow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0.53-1.90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1.000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Creatinine (µmol/L)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highlight w:val="yellow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0.99-1.01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0.693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7D79E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83" w:right="-278" w:hanging="18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G</w:t>
            </w:r>
            <w:r w:rsidRPr="007D79E6">
              <w:rPr>
                <w:rFonts w:ascii="Arial" w:hAnsi="Arial" w:cs="Arial"/>
                <w:noProof/>
                <w:color w:val="auto"/>
              </w:rPr>
              <w:t>lomerular filtration rate modification of diet in renal disease (mL/min/1.73m</w:t>
            </w:r>
            <w:r w:rsidRPr="007D79E6">
              <w:rPr>
                <w:rFonts w:ascii="Arial" w:hAnsi="Arial" w:cs="Arial"/>
                <w:noProof/>
                <w:color w:val="auto"/>
                <w:vertAlign w:val="superscript"/>
              </w:rPr>
              <w:t>2</w:t>
            </w:r>
            <w:r w:rsidRPr="007D79E6">
              <w:rPr>
                <w:rFonts w:ascii="Arial" w:hAnsi="Arial" w:cs="Arial"/>
                <w:noProof/>
                <w:color w:val="auto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0.99-1.01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1.000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</w:t>
            </w:r>
            <w:r w:rsidRPr="00D346E8">
              <w:rPr>
                <w:rFonts w:ascii="Arial" w:hAnsi="Arial" w:cs="Arial"/>
                <w:noProof/>
                <w:color w:val="auto"/>
                <w:lang w:val="en-GB"/>
              </w:rPr>
              <w:t>lanine aminotransferase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 xml:space="preserve"> (µkat/L)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0.98-1.01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0.373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Pre-VA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 xml:space="preserve"> 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ECMO interventions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75" w:right="-12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Acute coronary angiography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0.63-4.20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0.316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75" w:right="-12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Acute PCI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0.49-3.37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0.607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75" w:right="-12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Cardiac surgery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0.53-3.53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0.518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75" w:right="-12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Hemodialysis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4"/>
              </w:tabs>
              <w:spacing w:line="360" w:lineRule="auto"/>
              <w:ind w:left="-122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08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0.37-6.98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08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0.532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3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235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567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07" w:right="-109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D927DD" w:rsidRPr="00A07C67" w:rsidTr="005673D5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75" w:right="-126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Intra-aortic balloon pump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22" w:right="-114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14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0.29-5.89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0.737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109" w:right="-114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107" w:right="-114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107" w:right="-114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A23529" w:rsidRPr="00A07C67" w:rsidTr="00A23529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A23529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183" w:right="1"/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No. of inotropes and vasopressors</w:t>
            </w:r>
            <w:r>
              <w:rPr>
                <w:rFonts w:ascii="Arial" w:hAnsi="Arial" w:cs="Arial"/>
                <w:noProof/>
                <w:color w:val="auto"/>
                <w:vertAlign w:val="superscript"/>
                <w:lang w:val="en-GB"/>
              </w:rPr>
              <w:t>c,d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5F7A26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22" w:right="-114" w:firstLine="2"/>
              <w:jc w:val="center"/>
              <w:rPr>
                <w:rFonts w:ascii="Arial" w:hAnsi="Arial" w:cs="Arial"/>
                <w:color w:val="auto"/>
              </w:rPr>
            </w:pPr>
            <w:r w:rsidRPr="005F7A26">
              <w:rPr>
                <w:rFonts w:ascii="Arial" w:hAnsi="Arial" w:cs="Arial"/>
                <w:noProof/>
                <w:color w:val="aut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5F7A26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1.52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5F7A26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14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0.93-2.50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5F7A26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0.098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5F7A26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5F7A26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109" w:right="-114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5F7A26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107" w:right="-114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529" w:rsidRPr="005F7A26" w:rsidRDefault="00A23529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107" w:right="-114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  <w:tr w:rsidR="005673D5" w:rsidRPr="00A07C67" w:rsidTr="00A2352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92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1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Retrieval from external hospital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22" w:right="-114" w:firstLine="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40" w:right="-114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>
              <w:rPr>
                <w:rFonts w:ascii="Arial" w:hAnsi="Arial" w:cs="Arial"/>
                <w:noProof/>
                <w:color w:val="auto"/>
                <w:lang w:val="en-GB"/>
              </w:rPr>
              <w:t>(</w:t>
            </w: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0.27-1.81</w:t>
            </w:r>
            <w:r>
              <w:rPr>
                <w:rFonts w:ascii="Arial" w:hAnsi="Arial" w:cs="Arial"/>
                <w:noProof/>
                <w:color w:val="auto"/>
                <w:lang w:val="en-GB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  <w:r w:rsidRPr="005F7A26">
              <w:rPr>
                <w:rFonts w:ascii="Arial" w:hAnsi="Arial" w:cs="Arial"/>
                <w:noProof/>
                <w:color w:val="auto"/>
                <w:lang w:val="en-GB"/>
              </w:rPr>
              <w:t>0.463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250" w:right="-114" w:firstLine="142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238" w:right="-114" w:firstLine="34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107" w:right="-114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643" w:rsidRPr="005F7A26" w:rsidRDefault="00924643" w:rsidP="00A23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8"/>
              </w:tabs>
              <w:spacing w:line="360" w:lineRule="auto"/>
              <w:ind w:left="-238" w:right="-114" w:firstLine="34"/>
              <w:jc w:val="center"/>
              <w:rPr>
                <w:rFonts w:ascii="Arial" w:hAnsi="Arial" w:cs="Arial"/>
                <w:noProof/>
                <w:color w:val="auto"/>
                <w:lang w:val="en-GB"/>
              </w:rPr>
            </w:pPr>
          </w:p>
        </w:tc>
      </w:tr>
    </w:tbl>
    <w:p w:rsidR="000B183F" w:rsidRPr="00D346E8" w:rsidRDefault="000B183F" w:rsidP="00F0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-851" w:right="284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</w:pPr>
      <w:r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>OR</w:t>
      </w:r>
      <w:r w:rsidR="003D3317"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=</w:t>
      </w:r>
      <w:r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odds ratio</w:t>
      </w:r>
      <w:r w:rsidR="003D3317"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>,</w:t>
      </w:r>
      <w:r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PCI</w:t>
      </w:r>
      <w:r w:rsidR="003D3317"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=</w:t>
      </w:r>
      <w:r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percutaneous coronary intervention</w:t>
      </w:r>
      <w:r w:rsidR="003D3317"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>,</w:t>
      </w:r>
      <w:r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</w:t>
      </w:r>
      <w:bookmarkStart w:id="1" w:name="_Hlk524812837"/>
      <w:r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>VA</w:t>
      </w:r>
      <w:r w:rsidR="00D346E8"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</w:t>
      </w:r>
      <w:r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>ECMO</w:t>
      </w:r>
      <w:r w:rsidR="003D3317"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=</w:t>
      </w:r>
      <w:r w:rsidRPr="00D346E8">
        <w:rPr>
          <w:rFonts w:ascii="Arial" w:hAnsi="Arial" w:cs="Arial"/>
          <w:color w:val="auto"/>
          <w:sz w:val="18"/>
          <w:szCs w:val="18"/>
          <w:shd w:val="clear" w:color="auto" w:fill="FFFFFF"/>
          <w:lang w:val="en-GB"/>
        </w:rPr>
        <w:t xml:space="preserve"> venoarterial extracorporeal membrane oxygenation.</w:t>
      </w:r>
      <w:bookmarkEnd w:id="1"/>
    </w:p>
    <w:p w:rsidR="000B183F" w:rsidRPr="00D346E8" w:rsidRDefault="000B183F" w:rsidP="00F0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-851" w:right="284"/>
        <w:jc w:val="both"/>
        <w:rPr>
          <w:rFonts w:ascii="Arial" w:hAnsi="Arial" w:cs="Arial"/>
          <w:noProof/>
          <w:color w:val="auto"/>
          <w:sz w:val="18"/>
          <w:szCs w:val="18"/>
          <w:vertAlign w:val="superscript"/>
        </w:rPr>
      </w:pPr>
      <w:r w:rsidRPr="00D346E8">
        <w:rPr>
          <w:rFonts w:ascii="Arial" w:hAnsi="Arial" w:cs="Arial"/>
          <w:color w:val="auto"/>
          <w:sz w:val="18"/>
          <w:szCs w:val="18"/>
          <w:vertAlign w:val="superscript"/>
        </w:rPr>
        <w:t>a</w:t>
      </w:r>
      <w:r w:rsidRPr="00D346E8">
        <w:rPr>
          <w:rFonts w:ascii="Arial" w:hAnsi="Arial" w:cs="Arial"/>
          <w:color w:val="auto"/>
          <w:sz w:val="18"/>
          <w:szCs w:val="18"/>
        </w:rPr>
        <w:t>Prior to current medical event/admission.</w:t>
      </w:r>
      <w:r w:rsidRPr="00D346E8">
        <w:rPr>
          <w:rFonts w:ascii="Arial" w:hAnsi="Arial" w:cs="Arial"/>
          <w:noProof/>
          <w:color w:val="auto"/>
          <w:sz w:val="18"/>
          <w:szCs w:val="18"/>
          <w:vertAlign w:val="superscript"/>
        </w:rPr>
        <w:t xml:space="preserve"> </w:t>
      </w:r>
      <w:bookmarkStart w:id="2" w:name="_Hlk524867267"/>
    </w:p>
    <w:bookmarkEnd w:id="2"/>
    <w:p w:rsidR="000B183F" w:rsidRPr="00D346E8" w:rsidRDefault="000B183F" w:rsidP="00F0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-851" w:right="284"/>
        <w:jc w:val="both"/>
        <w:rPr>
          <w:rFonts w:ascii="Arial" w:hAnsi="Arial" w:cs="Arial"/>
          <w:color w:val="auto"/>
          <w:sz w:val="18"/>
          <w:szCs w:val="18"/>
        </w:rPr>
      </w:pPr>
      <w:r w:rsidRPr="00D346E8">
        <w:rPr>
          <w:rFonts w:ascii="Arial" w:hAnsi="Arial" w:cs="Arial"/>
          <w:noProof/>
          <w:color w:val="auto"/>
          <w:sz w:val="18"/>
          <w:szCs w:val="18"/>
          <w:vertAlign w:val="superscript"/>
        </w:rPr>
        <w:t>b</w:t>
      </w:r>
      <w:r w:rsidRPr="00D346E8">
        <w:rPr>
          <w:rFonts w:ascii="Arial" w:hAnsi="Arial" w:cs="Arial"/>
          <w:noProof/>
          <w:color w:val="auto"/>
          <w:sz w:val="18"/>
          <w:szCs w:val="18"/>
        </w:rPr>
        <w:t>Continuous chest compressions at cannulation.</w:t>
      </w:r>
      <w:r w:rsidRPr="00D346E8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3" w:name="_Hlk524815634"/>
    </w:p>
    <w:bookmarkEnd w:id="3"/>
    <w:p w:rsidR="000B183F" w:rsidRPr="00D346E8" w:rsidRDefault="000B183F" w:rsidP="00F0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-851" w:right="284"/>
        <w:jc w:val="both"/>
        <w:rPr>
          <w:rFonts w:ascii="Arial" w:hAnsi="Arial" w:cs="Arial"/>
          <w:color w:val="auto"/>
          <w:sz w:val="18"/>
          <w:szCs w:val="18"/>
        </w:rPr>
      </w:pPr>
      <w:r w:rsidRPr="00D346E8">
        <w:rPr>
          <w:rFonts w:ascii="Arial" w:hAnsi="Arial" w:cs="Arial"/>
          <w:color w:val="auto"/>
          <w:sz w:val="18"/>
          <w:szCs w:val="18"/>
          <w:vertAlign w:val="superscript"/>
        </w:rPr>
        <w:t>c</w:t>
      </w:r>
      <w:r w:rsidRPr="00D346E8">
        <w:rPr>
          <w:rFonts w:ascii="Arial" w:hAnsi="Arial" w:cs="Arial"/>
          <w:color w:val="auto"/>
          <w:sz w:val="18"/>
          <w:szCs w:val="18"/>
        </w:rPr>
        <w:t xml:space="preserve">Just before cannulation. </w:t>
      </w:r>
    </w:p>
    <w:p w:rsidR="000B183F" w:rsidRDefault="000B183F" w:rsidP="00F0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-851" w:right="284"/>
        <w:jc w:val="both"/>
        <w:rPr>
          <w:rFonts w:ascii="Arial" w:hAnsi="Arial" w:cs="Arial"/>
          <w:color w:val="auto"/>
          <w:sz w:val="18"/>
          <w:szCs w:val="18"/>
        </w:rPr>
      </w:pPr>
      <w:r w:rsidRPr="00D346E8">
        <w:rPr>
          <w:rFonts w:ascii="Arial" w:hAnsi="Arial" w:cs="Arial"/>
          <w:color w:val="auto"/>
          <w:sz w:val="18"/>
          <w:szCs w:val="18"/>
          <w:vertAlign w:val="superscript"/>
        </w:rPr>
        <w:t>d</w:t>
      </w:r>
      <w:r w:rsidRPr="00D346E8">
        <w:rPr>
          <w:rFonts w:ascii="Arial" w:hAnsi="Arial" w:cs="Arial"/>
          <w:color w:val="auto"/>
          <w:sz w:val="18"/>
          <w:szCs w:val="18"/>
        </w:rPr>
        <w:t>Epinephrine, norepinephrine, dobutamine, dopamine, vasopressin, milrinone, levosimendan.</w:t>
      </w:r>
    </w:p>
    <w:p w:rsidR="00235DD2" w:rsidRPr="00D346E8" w:rsidRDefault="00235DD2" w:rsidP="00F0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-851" w:right="284"/>
        <w:jc w:val="both"/>
        <w:rPr>
          <w:rFonts w:ascii="Arial" w:hAnsi="Arial" w:cs="Arial"/>
          <w:color w:val="auto"/>
          <w:sz w:val="18"/>
          <w:szCs w:val="18"/>
        </w:rPr>
      </w:pPr>
      <w:r w:rsidRPr="00235DD2">
        <w:rPr>
          <w:rFonts w:ascii="Arial" w:hAnsi="Arial" w:cs="Arial"/>
          <w:color w:val="auto"/>
          <w:sz w:val="18"/>
          <w:szCs w:val="18"/>
        </w:rPr>
        <w:t>Statistical significance was set by p value of less than 0.05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134ECE" w:rsidRPr="00621CE2" w:rsidRDefault="00134ECE" w:rsidP="00621CE2">
      <w:pPr>
        <w:spacing w:line="480" w:lineRule="auto"/>
      </w:pPr>
    </w:p>
    <w:sectPr w:rsidR="00134ECE" w:rsidRPr="00621CE2" w:rsidSect="0029655B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3F"/>
    <w:rsid w:val="000B183F"/>
    <w:rsid w:val="00134ECE"/>
    <w:rsid w:val="001966FB"/>
    <w:rsid w:val="001D15DA"/>
    <w:rsid w:val="00216B33"/>
    <w:rsid w:val="00235DD2"/>
    <w:rsid w:val="0029655B"/>
    <w:rsid w:val="003228A1"/>
    <w:rsid w:val="00356F15"/>
    <w:rsid w:val="0037283C"/>
    <w:rsid w:val="003D3317"/>
    <w:rsid w:val="003F1CD8"/>
    <w:rsid w:val="004E362B"/>
    <w:rsid w:val="005673D5"/>
    <w:rsid w:val="0059760F"/>
    <w:rsid w:val="005F7A26"/>
    <w:rsid w:val="00621CE2"/>
    <w:rsid w:val="0064177B"/>
    <w:rsid w:val="006D286F"/>
    <w:rsid w:val="006F5872"/>
    <w:rsid w:val="007B4DE0"/>
    <w:rsid w:val="007D79E6"/>
    <w:rsid w:val="008563BD"/>
    <w:rsid w:val="008847C9"/>
    <w:rsid w:val="008A1A4F"/>
    <w:rsid w:val="009121B8"/>
    <w:rsid w:val="00924643"/>
    <w:rsid w:val="00937CDF"/>
    <w:rsid w:val="00A07C67"/>
    <w:rsid w:val="00A23529"/>
    <w:rsid w:val="00AF6BE2"/>
    <w:rsid w:val="00C249FD"/>
    <w:rsid w:val="00CC0FCF"/>
    <w:rsid w:val="00CD3A54"/>
    <w:rsid w:val="00D346E8"/>
    <w:rsid w:val="00D54E9E"/>
    <w:rsid w:val="00D927DD"/>
    <w:rsid w:val="00E275D9"/>
    <w:rsid w:val="00E332BF"/>
    <w:rsid w:val="00E7396D"/>
    <w:rsid w:val="00F06A19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A4B19-DC43-46F2-9674-E9678475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18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0B183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ellrutnt2">
    <w:name w:val="Tabellrutnät2"/>
    <w:basedOn w:val="TableNormal"/>
    <w:next w:val="TableGrid"/>
    <w:uiPriority w:val="59"/>
    <w:rsid w:val="000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B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7C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Fux</dc:creator>
  <cp:keywords/>
  <dc:description/>
  <cp:lastModifiedBy>Baeuerlein, Christopher</cp:lastModifiedBy>
  <cp:revision>2</cp:revision>
  <dcterms:created xsi:type="dcterms:W3CDTF">2019-04-09T13:43:00Z</dcterms:created>
  <dcterms:modified xsi:type="dcterms:W3CDTF">2019-04-09T13:43:00Z</dcterms:modified>
</cp:coreProperties>
</file>