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184C0" w14:textId="77777777" w:rsidR="00B77985" w:rsidRDefault="00B77985" w:rsidP="00965176">
      <w:pPr>
        <w:spacing w:after="0" w:line="240" w:lineRule="auto"/>
        <w:rPr>
          <w:rFonts w:ascii="Arial" w:hAnsi="Arial"/>
          <w:b/>
        </w:rPr>
      </w:pPr>
    </w:p>
    <w:p w14:paraId="000E947E" w14:textId="77777777" w:rsidR="00B77985" w:rsidRDefault="00B77985" w:rsidP="00965176">
      <w:pPr>
        <w:spacing w:after="0" w:line="240" w:lineRule="auto"/>
        <w:rPr>
          <w:rFonts w:ascii="Arial" w:hAnsi="Arial"/>
          <w:b/>
        </w:rPr>
      </w:pPr>
      <w:r>
        <w:rPr>
          <w:rFonts w:ascii="Arial" w:hAnsi="Arial"/>
          <w:b/>
        </w:rPr>
        <w:t>A Multicenter Study of the Causes and Consequences of Optimistic Expectations about Prognosis by Surrogate Decision-Makers in ICU</w:t>
      </w:r>
      <w:r w:rsidR="000A2924">
        <w:rPr>
          <w:rFonts w:ascii="Arial" w:hAnsi="Arial"/>
          <w:b/>
        </w:rPr>
        <w:t>s</w:t>
      </w:r>
    </w:p>
    <w:p w14:paraId="4A6357FA" w14:textId="77777777" w:rsidR="008573C9" w:rsidRDefault="008573C9" w:rsidP="00965176">
      <w:pPr>
        <w:spacing w:after="0" w:line="240" w:lineRule="auto"/>
        <w:rPr>
          <w:rFonts w:ascii="Arial" w:hAnsi="Arial"/>
          <w:b/>
        </w:rPr>
      </w:pPr>
    </w:p>
    <w:p w14:paraId="6032E01F" w14:textId="77777777" w:rsidR="008573C9" w:rsidRDefault="008573C9" w:rsidP="00965176">
      <w:pPr>
        <w:spacing w:after="0" w:line="240" w:lineRule="auto"/>
        <w:rPr>
          <w:rFonts w:ascii="Arial" w:hAnsi="Arial"/>
        </w:rPr>
      </w:pPr>
      <w:r>
        <w:rPr>
          <w:rFonts w:ascii="Arial" w:hAnsi="Arial"/>
        </w:rPr>
        <w:t xml:space="preserve">Douglas B. White, MD, </w:t>
      </w:r>
      <w:proofErr w:type="gramStart"/>
      <w:r>
        <w:rPr>
          <w:rFonts w:ascii="Arial" w:hAnsi="Arial"/>
        </w:rPr>
        <w:t>MAS</w:t>
      </w:r>
      <w:r w:rsidR="00502CEC">
        <w:rPr>
          <w:rFonts w:ascii="Arial" w:hAnsi="Arial"/>
        </w:rPr>
        <w:t xml:space="preserve">  (</w:t>
      </w:r>
      <w:proofErr w:type="gramEnd"/>
      <w:r w:rsidR="00502CEC">
        <w:rPr>
          <w:rFonts w:ascii="Arial" w:hAnsi="Arial"/>
        </w:rPr>
        <w:t>University of Pittsburgh School of Medicine)</w:t>
      </w:r>
    </w:p>
    <w:p w14:paraId="1ACCE59F" w14:textId="77777777" w:rsidR="0043587A" w:rsidRDefault="00E63A2E" w:rsidP="00965176">
      <w:pPr>
        <w:spacing w:after="0" w:line="240" w:lineRule="auto"/>
        <w:rPr>
          <w:rFonts w:ascii="Arial" w:hAnsi="Arial"/>
        </w:rPr>
      </w:pPr>
      <w:r>
        <w:rPr>
          <w:rFonts w:ascii="Arial" w:hAnsi="Arial"/>
        </w:rPr>
        <w:t>Shannon Carson, MD</w:t>
      </w:r>
      <w:proofErr w:type="gramStart"/>
      <w:r w:rsidR="0043587A">
        <w:rPr>
          <w:rFonts w:ascii="Arial" w:hAnsi="Arial"/>
        </w:rPr>
        <w:t xml:space="preserve"> </w:t>
      </w:r>
      <w:r w:rsidR="00502CEC">
        <w:rPr>
          <w:rFonts w:ascii="Arial" w:hAnsi="Arial"/>
        </w:rPr>
        <w:t xml:space="preserve">  (</w:t>
      </w:r>
      <w:proofErr w:type="gramEnd"/>
      <w:r w:rsidR="00502CEC">
        <w:rPr>
          <w:rFonts w:ascii="Arial" w:hAnsi="Arial"/>
        </w:rPr>
        <w:t>UNC-Chapel Hill School of Medicine)</w:t>
      </w:r>
    </w:p>
    <w:p w14:paraId="4191CEDE" w14:textId="77777777" w:rsidR="00791B64" w:rsidRDefault="00791B64" w:rsidP="00965176">
      <w:pPr>
        <w:spacing w:after="0" w:line="240" w:lineRule="auto"/>
        <w:rPr>
          <w:rFonts w:ascii="Arial" w:hAnsi="Arial"/>
        </w:rPr>
      </w:pPr>
      <w:r>
        <w:rPr>
          <w:rFonts w:ascii="Arial" w:hAnsi="Arial"/>
        </w:rPr>
        <w:t xml:space="preserve">Wendy Anderson, MD, </w:t>
      </w:r>
      <w:proofErr w:type="gramStart"/>
      <w:r>
        <w:rPr>
          <w:rFonts w:ascii="Arial" w:hAnsi="Arial"/>
        </w:rPr>
        <w:t>MAS</w:t>
      </w:r>
      <w:r w:rsidR="00502CEC">
        <w:rPr>
          <w:rFonts w:ascii="Arial" w:hAnsi="Arial"/>
        </w:rPr>
        <w:t xml:space="preserve">  (</w:t>
      </w:r>
      <w:proofErr w:type="gramEnd"/>
      <w:r w:rsidR="00502CEC">
        <w:rPr>
          <w:rFonts w:ascii="Arial" w:hAnsi="Arial"/>
        </w:rPr>
        <w:t>UCSF School of Medicine)</w:t>
      </w:r>
    </w:p>
    <w:p w14:paraId="11B9E6C7" w14:textId="77777777" w:rsidR="00791B64" w:rsidRDefault="00791B64" w:rsidP="00965176">
      <w:pPr>
        <w:spacing w:after="0" w:line="240" w:lineRule="auto"/>
        <w:rPr>
          <w:rFonts w:ascii="Arial" w:hAnsi="Arial"/>
        </w:rPr>
      </w:pPr>
      <w:r>
        <w:rPr>
          <w:rFonts w:ascii="Arial" w:hAnsi="Arial"/>
        </w:rPr>
        <w:t xml:space="preserve">Jay </w:t>
      </w:r>
      <w:proofErr w:type="spellStart"/>
      <w:r>
        <w:rPr>
          <w:rFonts w:ascii="Arial" w:hAnsi="Arial"/>
        </w:rPr>
        <w:t>Steingrub</w:t>
      </w:r>
      <w:proofErr w:type="spellEnd"/>
      <w:r>
        <w:rPr>
          <w:rFonts w:ascii="Arial" w:hAnsi="Arial"/>
        </w:rPr>
        <w:t xml:space="preserve">, </w:t>
      </w:r>
      <w:proofErr w:type="gramStart"/>
      <w:r>
        <w:rPr>
          <w:rFonts w:ascii="Arial" w:hAnsi="Arial"/>
        </w:rPr>
        <w:t>MD</w:t>
      </w:r>
      <w:r w:rsidR="00502CEC">
        <w:rPr>
          <w:rFonts w:ascii="Arial" w:hAnsi="Arial"/>
        </w:rPr>
        <w:t xml:space="preserve">  (</w:t>
      </w:r>
      <w:proofErr w:type="gramEnd"/>
      <w:r w:rsidR="00502CEC">
        <w:rPr>
          <w:rFonts w:ascii="Arial" w:hAnsi="Arial"/>
        </w:rPr>
        <w:t>Baystate Medical Center, U Mass School of Medicine)</w:t>
      </w:r>
    </w:p>
    <w:p w14:paraId="23D728C0" w14:textId="77777777" w:rsidR="00791B64" w:rsidRDefault="00791B64" w:rsidP="00965176">
      <w:pPr>
        <w:spacing w:after="0" w:line="240" w:lineRule="auto"/>
        <w:rPr>
          <w:rFonts w:ascii="Arial" w:hAnsi="Arial"/>
        </w:rPr>
      </w:pPr>
      <w:r>
        <w:rPr>
          <w:rFonts w:ascii="Arial" w:hAnsi="Arial"/>
        </w:rPr>
        <w:t>Garrett Bird, MD</w:t>
      </w:r>
      <w:proofErr w:type="gramStart"/>
      <w:r w:rsidR="00502CEC">
        <w:rPr>
          <w:rFonts w:ascii="Arial" w:hAnsi="Arial"/>
        </w:rPr>
        <w:t xml:space="preserve">   (</w:t>
      </w:r>
      <w:proofErr w:type="gramEnd"/>
      <w:r w:rsidR="00502CEC">
        <w:rPr>
          <w:rFonts w:ascii="Arial" w:hAnsi="Arial"/>
        </w:rPr>
        <w:t>UCSF-Fresno School of Medicine)</w:t>
      </w:r>
    </w:p>
    <w:p w14:paraId="10431A08" w14:textId="77777777" w:rsidR="0043587A" w:rsidRDefault="0043587A" w:rsidP="00965176">
      <w:pPr>
        <w:spacing w:after="0" w:line="240" w:lineRule="auto"/>
        <w:rPr>
          <w:rFonts w:ascii="Arial" w:hAnsi="Arial"/>
        </w:rPr>
      </w:pPr>
      <w:r>
        <w:rPr>
          <w:rFonts w:ascii="Arial" w:hAnsi="Arial"/>
        </w:rPr>
        <w:t xml:space="preserve">J Randall Curtis, MD, </w:t>
      </w:r>
      <w:proofErr w:type="gramStart"/>
      <w:r>
        <w:rPr>
          <w:rFonts w:ascii="Arial" w:hAnsi="Arial"/>
        </w:rPr>
        <w:t>MPH</w:t>
      </w:r>
      <w:r w:rsidR="00502CEC">
        <w:rPr>
          <w:rFonts w:ascii="Arial" w:hAnsi="Arial"/>
        </w:rPr>
        <w:t xml:space="preserve">  (</w:t>
      </w:r>
      <w:proofErr w:type="gramEnd"/>
      <w:r w:rsidR="00502CEC">
        <w:rPr>
          <w:rFonts w:ascii="Arial" w:hAnsi="Arial"/>
        </w:rPr>
        <w:t>University of Washington School of Medicine)</w:t>
      </w:r>
    </w:p>
    <w:p w14:paraId="794A54EF" w14:textId="77777777" w:rsidR="0043587A" w:rsidRDefault="0043587A" w:rsidP="00965176">
      <w:pPr>
        <w:spacing w:after="0" w:line="240" w:lineRule="auto"/>
        <w:rPr>
          <w:rFonts w:ascii="Arial" w:hAnsi="Arial"/>
        </w:rPr>
      </w:pPr>
      <w:r>
        <w:rPr>
          <w:rFonts w:ascii="Arial" w:hAnsi="Arial"/>
        </w:rPr>
        <w:t xml:space="preserve">Michael Matthay, </w:t>
      </w:r>
      <w:proofErr w:type="gramStart"/>
      <w:r>
        <w:rPr>
          <w:rFonts w:ascii="Arial" w:hAnsi="Arial"/>
        </w:rPr>
        <w:t>MD</w:t>
      </w:r>
      <w:r w:rsidR="00502CEC">
        <w:rPr>
          <w:rFonts w:ascii="Arial" w:hAnsi="Arial"/>
        </w:rPr>
        <w:t xml:space="preserve">  (</w:t>
      </w:r>
      <w:proofErr w:type="gramEnd"/>
      <w:r w:rsidR="00502CEC">
        <w:rPr>
          <w:rFonts w:ascii="Arial" w:hAnsi="Arial"/>
        </w:rPr>
        <w:t>UCSF School of Medicine)</w:t>
      </w:r>
    </w:p>
    <w:p w14:paraId="33A93F39" w14:textId="77777777" w:rsidR="00791B64" w:rsidRDefault="00791B64" w:rsidP="00965176">
      <w:pPr>
        <w:spacing w:after="0" w:line="240" w:lineRule="auto"/>
        <w:rPr>
          <w:rFonts w:ascii="Arial" w:hAnsi="Arial"/>
        </w:rPr>
      </w:pPr>
      <w:r>
        <w:rPr>
          <w:rFonts w:ascii="Arial" w:hAnsi="Arial"/>
        </w:rPr>
        <w:t>Michael Peterson, MD</w:t>
      </w:r>
      <w:r w:rsidR="00502CEC">
        <w:rPr>
          <w:rFonts w:ascii="Arial" w:hAnsi="Arial"/>
        </w:rPr>
        <w:t xml:space="preserve"> (UCSF-Fresno School of Medicine)</w:t>
      </w:r>
    </w:p>
    <w:p w14:paraId="7EEB44D8" w14:textId="77777777" w:rsidR="00D4427F" w:rsidRPr="00502CEC" w:rsidRDefault="00D4427F" w:rsidP="00965176">
      <w:pPr>
        <w:spacing w:after="0" w:line="240" w:lineRule="auto"/>
        <w:rPr>
          <w:rFonts w:ascii="Arial" w:hAnsi="Arial"/>
        </w:rPr>
      </w:pPr>
      <w:r>
        <w:rPr>
          <w:rFonts w:ascii="Arial" w:hAnsi="Arial"/>
        </w:rPr>
        <w:t>Praewpannarai Buddadhumaruk, RN, MS</w:t>
      </w:r>
      <w:r w:rsidR="00502CEC">
        <w:rPr>
          <w:rFonts w:ascii="Arial" w:hAnsi="Arial"/>
        </w:rPr>
        <w:t xml:space="preserve"> (University of Pittsburgh School of Medicine)</w:t>
      </w:r>
    </w:p>
    <w:p w14:paraId="22BD1C30" w14:textId="77777777" w:rsidR="008573C9" w:rsidRDefault="008573C9" w:rsidP="00965176">
      <w:pPr>
        <w:spacing w:after="0" w:line="240" w:lineRule="auto"/>
        <w:rPr>
          <w:rFonts w:ascii="Arial" w:hAnsi="Arial"/>
        </w:rPr>
      </w:pPr>
      <w:r>
        <w:rPr>
          <w:rFonts w:ascii="Arial" w:hAnsi="Arial"/>
        </w:rPr>
        <w:t>Anne-Marie Shields</w:t>
      </w:r>
      <w:r w:rsidR="00AD57D7">
        <w:rPr>
          <w:rFonts w:ascii="Arial" w:hAnsi="Arial"/>
        </w:rPr>
        <w:t>, RN, MSN</w:t>
      </w:r>
      <w:r w:rsidR="00502CEC">
        <w:rPr>
          <w:rFonts w:ascii="Arial" w:hAnsi="Arial"/>
        </w:rPr>
        <w:t xml:space="preserve"> (University of Pittsburgh School of Medicine)</w:t>
      </w:r>
    </w:p>
    <w:p w14:paraId="4BEF31E2" w14:textId="77777777" w:rsidR="0026202B" w:rsidRDefault="0026202B" w:rsidP="00965176">
      <w:pPr>
        <w:spacing w:after="0" w:line="240" w:lineRule="auto"/>
        <w:rPr>
          <w:rFonts w:ascii="Arial" w:hAnsi="Arial"/>
        </w:rPr>
      </w:pPr>
      <w:r>
        <w:rPr>
          <w:rFonts w:ascii="Arial" w:hAnsi="Arial"/>
        </w:rPr>
        <w:t>Natalie Ernecoff</w:t>
      </w:r>
      <w:r w:rsidR="00AD57D7">
        <w:rPr>
          <w:rFonts w:ascii="Arial" w:hAnsi="Arial"/>
        </w:rPr>
        <w:t xml:space="preserve">, </w:t>
      </w:r>
      <w:proofErr w:type="gramStart"/>
      <w:r w:rsidR="00AD57D7">
        <w:rPr>
          <w:rFonts w:ascii="Arial" w:hAnsi="Arial"/>
        </w:rPr>
        <w:t>MPH</w:t>
      </w:r>
      <w:r w:rsidR="00502CEC">
        <w:rPr>
          <w:rFonts w:ascii="Arial" w:hAnsi="Arial"/>
        </w:rPr>
        <w:t xml:space="preserve">  (</w:t>
      </w:r>
      <w:proofErr w:type="gramEnd"/>
      <w:r w:rsidR="00502CEC">
        <w:rPr>
          <w:rFonts w:ascii="Arial" w:hAnsi="Arial"/>
        </w:rPr>
        <w:t>UNC-Chapel Hill School of Medicine)</w:t>
      </w:r>
    </w:p>
    <w:p w14:paraId="325979C7" w14:textId="77777777" w:rsidR="008573C9" w:rsidRDefault="008573C9" w:rsidP="00965176">
      <w:pPr>
        <w:spacing w:after="0" w:line="240" w:lineRule="auto"/>
        <w:rPr>
          <w:rFonts w:ascii="Arial" w:hAnsi="Arial"/>
        </w:rPr>
      </w:pPr>
      <w:r>
        <w:rPr>
          <w:rFonts w:ascii="Arial" w:hAnsi="Arial"/>
        </w:rPr>
        <w:t>Kaitlin Shotsberger</w:t>
      </w:r>
      <w:r w:rsidR="00AD57D7">
        <w:rPr>
          <w:rFonts w:ascii="Arial" w:hAnsi="Arial"/>
        </w:rPr>
        <w:t>, RN, MSN</w:t>
      </w:r>
      <w:r w:rsidR="00502CEC">
        <w:rPr>
          <w:rFonts w:ascii="Arial" w:hAnsi="Arial"/>
        </w:rPr>
        <w:t xml:space="preserve"> (University of Pittsburgh School of Medicine)</w:t>
      </w:r>
    </w:p>
    <w:p w14:paraId="2DA1967E" w14:textId="77777777" w:rsidR="008573C9" w:rsidRDefault="008573C9" w:rsidP="00965176">
      <w:pPr>
        <w:spacing w:after="0" w:line="240" w:lineRule="auto"/>
        <w:rPr>
          <w:rFonts w:ascii="Arial" w:hAnsi="Arial"/>
        </w:rPr>
      </w:pPr>
      <w:r>
        <w:rPr>
          <w:rFonts w:ascii="Arial" w:hAnsi="Arial"/>
        </w:rPr>
        <w:t xml:space="preserve">Lisa </w:t>
      </w:r>
      <w:proofErr w:type="spellStart"/>
      <w:r>
        <w:rPr>
          <w:rFonts w:ascii="Arial" w:hAnsi="Arial"/>
        </w:rPr>
        <w:t>Weis</w:t>
      </w:r>
      <w:r w:rsidR="003A4395">
        <w:rPr>
          <w:rFonts w:ascii="Arial" w:hAnsi="Arial"/>
        </w:rPr>
        <w:t>s</w:t>
      </w:r>
      <w:r>
        <w:rPr>
          <w:rFonts w:ascii="Arial" w:hAnsi="Arial"/>
        </w:rPr>
        <w:t>feld</w:t>
      </w:r>
      <w:proofErr w:type="spellEnd"/>
      <w:r w:rsidR="00E63A2E">
        <w:rPr>
          <w:rFonts w:ascii="Arial" w:hAnsi="Arial"/>
        </w:rPr>
        <w:t>, PhD</w:t>
      </w:r>
      <w:r w:rsidR="00502CEC">
        <w:rPr>
          <w:rFonts w:ascii="Arial" w:hAnsi="Arial"/>
        </w:rPr>
        <w:t xml:space="preserve"> (University of Pittsburgh School of Medicine)</w:t>
      </w:r>
    </w:p>
    <w:p w14:paraId="2B173964" w14:textId="77777777" w:rsidR="00E63A2E" w:rsidRDefault="00E87097" w:rsidP="00965176">
      <w:pPr>
        <w:spacing w:after="0" w:line="240" w:lineRule="auto"/>
        <w:rPr>
          <w:rFonts w:ascii="Arial" w:hAnsi="Arial"/>
        </w:rPr>
      </w:pPr>
      <w:r w:rsidRPr="00E87097">
        <w:rPr>
          <w:rFonts w:ascii="Arial" w:hAnsi="Arial"/>
        </w:rPr>
        <w:t>Chung-Chou H. Chang</w:t>
      </w:r>
      <w:r w:rsidR="00E63A2E">
        <w:rPr>
          <w:rFonts w:ascii="Arial" w:hAnsi="Arial"/>
        </w:rPr>
        <w:t>, PhD</w:t>
      </w:r>
      <w:r w:rsidR="00502CEC">
        <w:rPr>
          <w:rFonts w:ascii="Arial" w:hAnsi="Arial"/>
        </w:rPr>
        <w:t xml:space="preserve"> (University of Pittsburgh School of Medicine)</w:t>
      </w:r>
    </w:p>
    <w:p w14:paraId="35016E19" w14:textId="77777777" w:rsidR="008573C9" w:rsidRDefault="008573C9" w:rsidP="00965176">
      <w:pPr>
        <w:spacing w:after="0" w:line="240" w:lineRule="auto"/>
        <w:rPr>
          <w:rFonts w:ascii="Arial" w:hAnsi="Arial"/>
        </w:rPr>
      </w:pPr>
      <w:r>
        <w:rPr>
          <w:rFonts w:ascii="Arial" w:hAnsi="Arial"/>
        </w:rPr>
        <w:t>Francis Pike</w:t>
      </w:r>
      <w:r w:rsidR="00E63A2E">
        <w:rPr>
          <w:rFonts w:ascii="Arial" w:hAnsi="Arial"/>
        </w:rPr>
        <w:t>, PhD</w:t>
      </w:r>
      <w:r w:rsidR="00502CEC">
        <w:rPr>
          <w:rFonts w:ascii="Arial" w:hAnsi="Arial"/>
        </w:rPr>
        <w:t xml:space="preserve"> (University of Pittsburgh School of Medicine)</w:t>
      </w:r>
    </w:p>
    <w:p w14:paraId="12E97479" w14:textId="77777777" w:rsidR="0026202B" w:rsidRDefault="0026202B" w:rsidP="00965176">
      <w:pPr>
        <w:spacing w:after="0" w:line="240" w:lineRule="auto"/>
        <w:rPr>
          <w:rFonts w:ascii="Arial" w:hAnsi="Arial"/>
        </w:rPr>
      </w:pPr>
      <w:r>
        <w:rPr>
          <w:rFonts w:ascii="Arial" w:hAnsi="Arial"/>
        </w:rPr>
        <w:t>Bernard Lo, MD</w:t>
      </w:r>
      <w:r w:rsidR="00502CEC">
        <w:rPr>
          <w:rFonts w:ascii="Arial" w:hAnsi="Arial"/>
        </w:rPr>
        <w:t xml:space="preserve"> (UCSF School of Medicine)</w:t>
      </w:r>
    </w:p>
    <w:p w14:paraId="2126130F" w14:textId="77777777" w:rsidR="00A40E19" w:rsidRDefault="00A0123B" w:rsidP="00965176">
      <w:pPr>
        <w:spacing w:after="0" w:line="240" w:lineRule="auto"/>
        <w:rPr>
          <w:rFonts w:ascii="Arial" w:hAnsi="Arial"/>
        </w:rPr>
      </w:pPr>
      <w:r>
        <w:rPr>
          <w:rFonts w:ascii="Arial" w:hAnsi="Arial"/>
        </w:rPr>
        <w:t>Catherine L.</w:t>
      </w:r>
      <w:r w:rsidR="003A4395">
        <w:rPr>
          <w:rFonts w:ascii="Arial" w:hAnsi="Arial"/>
        </w:rPr>
        <w:t xml:space="preserve"> Hough, MD</w:t>
      </w:r>
      <w:r>
        <w:rPr>
          <w:rFonts w:ascii="Arial" w:hAnsi="Arial"/>
        </w:rPr>
        <w:t>, MSc</w:t>
      </w:r>
      <w:r w:rsidR="00502CEC">
        <w:rPr>
          <w:rFonts w:ascii="Arial" w:hAnsi="Arial"/>
        </w:rPr>
        <w:t xml:space="preserve"> (University of Washington School of Medicine)</w:t>
      </w:r>
    </w:p>
    <w:p w14:paraId="4CB5FCC4" w14:textId="77777777" w:rsidR="00A40E19" w:rsidRPr="00A40E19" w:rsidRDefault="00A40E19" w:rsidP="00965176">
      <w:pPr>
        <w:spacing w:after="0" w:line="240" w:lineRule="auto"/>
        <w:rPr>
          <w:rFonts w:ascii="Arial" w:hAnsi="Arial"/>
        </w:rPr>
      </w:pPr>
    </w:p>
    <w:p w14:paraId="7CAECEA1" w14:textId="77777777" w:rsidR="00A40E19" w:rsidRPr="00965176" w:rsidRDefault="00AD57D7" w:rsidP="00965176">
      <w:pPr>
        <w:spacing w:after="0" w:line="240" w:lineRule="auto"/>
        <w:rPr>
          <w:rFonts w:ascii="Arial" w:hAnsi="Arial"/>
          <w:b/>
        </w:rPr>
      </w:pPr>
      <w:r w:rsidRPr="00965176">
        <w:rPr>
          <w:rFonts w:ascii="Arial" w:hAnsi="Arial"/>
          <w:b/>
        </w:rPr>
        <w:t>Corresponding author</w:t>
      </w:r>
      <w:r w:rsidR="00A40E19" w:rsidRPr="00965176">
        <w:rPr>
          <w:rFonts w:ascii="Arial" w:hAnsi="Arial"/>
          <w:b/>
        </w:rPr>
        <w:t xml:space="preserve">: </w:t>
      </w:r>
    </w:p>
    <w:p w14:paraId="5939F81D" w14:textId="77777777" w:rsidR="00A40E19" w:rsidRDefault="00A40E19" w:rsidP="00965176">
      <w:pPr>
        <w:spacing w:after="0" w:line="240" w:lineRule="auto"/>
        <w:rPr>
          <w:rFonts w:ascii="Arial" w:hAnsi="Arial"/>
        </w:rPr>
      </w:pPr>
      <w:r>
        <w:rPr>
          <w:rFonts w:ascii="Arial" w:hAnsi="Arial"/>
        </w:rPr>
        <w:t>Douglas B. White, MD, MAS</w:t>
      </w:r>
    </w:p>
    <w:p w14:paraId="1FF053AB" w14:textId="77777777" w:rsidR="00A40E19" w:rsidRPr="00A40E19" w:rsidRDefault="00A40E19" w:rsidP="00965176">
      <w:pPr>
        <w:spacing w:after="0" w:line="240" w:lineRule="auto"/>
        <w:rPr>
          <w:rFonts w:ascii="Arial" w:hAnsi="Arial"/>
        </w:rPr>
      </w:pPr>
      <w:r w:rsidRPr="00A40E19">
        <w:rPr>
          <w:rFonts w:ascii="Arial" w:hAnsi="Arial"/>
        </w:rPr>
        <w:t xml:space="preserve">Department of Critical Care Medicine </w:t>
      </w:r>
    </w:p>
    <w:p w14:paraId="61C68682" w14:textId="77777777" w:rsidR="00A40E19" w:rsidRPr="00A40E19" w:rsidRDefault="00A40E19" w:rsidP="00965176">
      <w:pPr>
        <w:spacing w:after="0" w:line="240" w:lineRule="auto"/>
        <w:rPr>
          <w:rFonts w:ascii="Arial" w:hAnsi="Arial"/>
        </w:rPr>
      </w:pPr>
      <w:r w:rsidRPr="00A40E19">
        <w:rPr>
          <w:rFonts w:ascii="Arial" w:hAnsi="Arial"/>
        </w:rPr>
        <w:t>University of Pittsburgh Medical Center</w:t>
      </w:r>
    </w:p>
    <w:p w14:paraId="18231CB2" w14:textId="77777777" w:rsidR="00A40E19" w:rsidRPr="00A40E19" w:rsidRDefault="00A40E19" w:rsidP="00965176">
      <w:pPr>
        <w:spacing w:after="0" w:line="240" w:lineRule="auto"/>
        <w:rPr>
          <w:rFonts w:ascii="Arial" w:hAnsi="Arial"/>
        </w:rPr>
      </w:pPr>
      <w:r w:rsidRPr="00A40E19">
        <w:rPr>
          <w:rFonts w:ascii="Arial" w:hAnsi="Arial"/>
        </w:rPr>
        <w:t>3550 Terrace St. Scaife Hall, Room 608</w:t>
      </w:r>
    </w:p>
    <w:p w14:paraId="1610889F" w14:textId="77777777" w:rsidR="00A40E19" w:rsidRPr="00A40E19" w:rsidRDefault="00A40E19" w:rsidP="00965176">
      <w:pPr>
        <w:spacing w:after="0" w:line="240" w:lineRule="auto"/>
        <w:rPr>
          <w:rFonts w:ascii="Arial" w:hAnsi="Arial"/>
        </w:rPr>
      </w:pPr>
      <w:r w:rsidRPr="00A40E19">
        <w:rPr>
          <w:rFonts w:ascii="Arial" w:hAnsi="Arial"/>
        </w:rPr>
        <w:t>HPU010604</w:t>
      </w:r>
    </w:p>
    <w:p w14:paraId="1355F8D5" w14:textId="77777777" w:rsidR="00A40E19" w:rsidRPr="00A40E19" w:rsidRDefault="00A40E19" w:rsidP="00965176">
      <w:pPr>
        <w:spacing w:after="0" w:line="240" w:lineRule="auto"/>
        <w:rPr>
          <w:rFonts w:ascii="Arial" w:hAnsi="Arial"/>
        </w:rPr>
      </w:pPr>
      <w:r>
        <w:rPr>
          <w:rFonts w:ascii="Arial" w:hAnsi="Arial"/>
        </w:rPr>
        <w:t>Pittsburgh, PA 15261</w:t>
      </w:r>
    </w:p>
    <w:p w14:paraId="6437B847" w14:textId="77777777" w:rsidR="00A40E19" w:rsidRPr="00A40E19" w:rsidRDefault="006B0CA9" w:rsidP="00965176">
      <w:pPr>
        <w:spacing w:after="0" w:line="240" w:lineRule="auto"/>
        <w:rPr>
          <w:rFonts w:ascii="Arial" w:hAnsi="Arial"/>
        </w:rPr>
      </w:pPr>
      <w:r>
        <w:rPr>
          <w:rFonts w:ascii="Arial" w:hAnsi="Arial"/>
        </w:rPr>
        <w:t xml:space="preserve"> </w:t>
      </w:r>
      <w:r w:rsidR="00A40E19" w:rsidRPr="00A40E19">
        <w:rPr>
          <w:rFonts w:ascii="Arial" w:hAnsi="Arial"/>
        </w:rPr>
        <w:t xml:space="preserve">Email: </w:t>
      </w:r>
      <w:r w:rsidR="00A40E19">
        <w:rPr>
          <w:rFonts w:ascii="Arial" w:hAnsi="Arial"/>
        </w:rPr>
        <w:t>whitedb@upmc.edu</w:t>
      </w:r>
    </w:p>
    <w:p w14:paraId="48A55EC6" w14:textId="77777777" w:rsidR="00A40E19" w:rsidRPr="00A40E19" w:rsidRDefault="00A40E19" w:rsidP="00965176">
      <w:pPr>
        <w:spacing w:after="0" w:line="240" w:lineRule="auto"/>
        <w:rPr>
          <w:rFonts w:ascii="Arial" w:hAnsi="Arial"/>
        </w:rPr>
      </w:pPr>
    </w:p>
    <w:p w14:paraId="44D852EA" w14:textId="77777777" w:rsidR="005525D5" w:rsidRDefault="005525D5">
      <w:pPr>
        <w:rPr>
          <w:b/>
          <w:sz w:val="18"/>
          <w:szCs w:val="18"/>
        </w:rPr>
        <w:sectPr w:rsidR="005525D5" w:rsidSect="00A724A2">
          <w:headerReference w:type="default" r:id="rId8"/>
          <w:pgSz w:w="12240" w:h="15840"/>
          <w:pgMar w:top="1411" w:right="1699" w:bottom="1411" w:left="1699" w:header="720" w:footer="720" w:gutter="0"/>
          <w:cols w:space="720"/>
          <w:docGrid w:linePitch="360"/>
        </w:sectPr>
      </w:pPr>
    </w:p>
    <w:p w14:paraId="39F1AEC7" w14:textId="77777777" w:rsidR="00A04553" w:rsidRPr="00E279F3" w:rsidRDefault="008B4B02">
      <w:pPr>
        <w:contextualSpacing/>
      </w:pPr>
      <w:r w:rsidRPr="00C67F1F">
        <w:rPr>
          <w:b/>
        </w:rPr>
        <w:lastRenderedPageBreak/>
        <w:t>APPENDIX A. USING SIGNIFICANCE TESTING TO IDENTIFY POTENTIAL COFOUNDERS OF OPTM</w:t>
      </w:r>
      <w:r w:rsidR="00E279F3">
        <w:rPr>
          <w:b/>
        </w:rPr>
        <w:t>ISTIC EXPECTATIONS BY SURROGATES</w:t>
      </w:r>
      <w:r w:rsidR="00A04553">
        <w:rPr>
          <w:b/>
          <w:sz w:val="18"/>
          <w:szCs w:val="18"/>
        </w:rPr>
        <w:br w:type="page"/>
      </w:r>
    </w:p>
    <w:tbl>
      <w:tblPr>
        <w:tblStyle w:val="TableGrid"/>
        <w:tblpPr w:leftFromText="180" w:rightFromText="180" w:vertAnchor="text" w:horzAnchor="page" w:tblpX="999" w:tblpY="-1410"/>
        <w:tblW w:w="11250" w:type="dxa"/>
        <w:tblLayout w:type="fixed"/>
        <w:tblLook w:val="04A0" w:firstRow="1" w:lastRow="0" w:firstColumn="1" w:lastColumn="0" w:noHBand="0" w:noVBand="1"/>
      </w:tblPr>
      <w:tblGrid>
        <w:gridCol w:w="990"/>
        <w:gridCol w:w="2037"/>
        <w:gridCol w:w="1240"/>
        <w:gridCol w:w="806"/>
        <w:gridCol w:w="1240"/>
        <w:gridCol w:w="806"/>
        <w:gridCol w:w="1240"/>
        <w:gridCol w:w="806"/>
        <w:gridCol w:w="1275"/>
        <w:gridCol w:w="810"/>
      </w:tblGrid>
      <w:tr w:rsidR="005525D5" w:rsidRPr="00E77CE4" w14:paraId="75281DF7" w14:textId="77777777" w:rsidTr="005525D5">
        <w:trPr>
          <w:trHeight w:val="288"/>
        </w:trPr>
        <w:tc>
          <w:tcPr>
            <w:tcW w:w="990" w:type="dxa"/>
            <w:tcBorders>
              <w:left w:val="nil"/>
              <w:bottom w:val="nil"/>
              <w:right w:val="nil"/>
            </w:tcBorders>
          </w:tcPr>
          <w:p w14:paraId="07CAE4FC" w14:textId="77777777" w:rsidR="005525D5" w:rsidRPr="00E77CE4" w:rsidRDefault="005525D5" w:rsidP="005525D5">
            <w:pPr>
              <w:contextualSpacing/>
              <w:rPr>
                <w:b/>
                <w:sz w:val="18"/>
                <w:szCs w:val="18"/>
              </w:rPr>
            </w:pPr>
          </w:p>
        </w:tc>
        <w:tc>
          <w:tcPr>
            <w:tcW w:w="2037" w:type="dxa"/>
            <w:vMerge w:val="restart"/>
            <w:tcBorders>
              <w:left w:val="nil"/>
              <w:right w:val="nil"/>
            </w:tcBorders>
            <w:noWrap/>
            <w:vAlign w:val="bottom"/>
          </w:tcPr>
          <w:p w14:paraId="0DBF3F1D" w14:textId="77777777" w:rsidR="005525D5" w:rsidRPr="00E77CE4" w:rsidRDefault="005525D5" w:rsidP="005525D5">
            <w:pPr>
              <w:contextualSpacing/>
              <w:rPr>
                <w:b/>
                <w:sz w:val="18"/>
                <w:szCs w:val="18"/>
              </w:rPr>
            </w:pPr>
            <w:r w:rsidRPr="00E77CE4">
              <w:rPr>
                <w:b/>
                <w:sz w:val="18"/>
                <w:szCs w:val="18"/>
              </w:rPr>
              <w:t>Characteristic</w:t>
            </w:r>
          </w:p>
        </w:tc>
        <w:tc>
          <w:tcPr>
            <w:tcW w:w="8223" w:type="dxa"/>
            <w:gridSpan w:val="8"/>
            <w:tcBorders>
              <w:left w:val="nil"/>
              <w:right w:val="nil"/>
            </w:tcBorders>
            <w:noWrap/>
            <w:vAlign w:val="center"/>
          </w:tcPr>
          <w:p w14:paraId="7CE4EB69" w14:textId="77777777" w:rsidR="005525D5" w:rsidRPr="00E77CE4" w:rsidRDefault="005525D5" w:rsidP="005525D5">
            <w:pPr>
              <w:contextualSpacing/>
              <w:jc w:val="center"/>
              <w:rPr>
                <w:b/>
                <w:sz w:val="18"/>
                <w:szCs w:val="18"/>
              </w:rPr>
            </w:pPr>
            <w:r w:rsidRPr="00E77CE4">
              <w:rPr>
                <w:b/>
                <w:sz w:val="18"/>
                <w:szCs w:val="18"/>
              </w:rPr>
              <w:t>Outcome Variable</w:t>
            </w:r>
          </w:p>
        </w:tc>
      </w:tr>
      <w:tr w:rsidR="005525D5" w:rsidRPr="00E77CE4" w14:paraId="6D99C723" w14:textId="77777777" w:rsidTr="005525D5">
        <w:trPr>
          <w:trHeight w:val="288"/>
        </w:trPr>
        <w:tc>
          <w:tcPr>
            <w:tcW w:w="990" w:type="dxa"/>
            <w:tcBorders>
              <w:top w:val="nil"/>
              <w:left w:val="nil"/>
              <w:bottom w:val="nil"/>
              <w:right w:val="nil"/>
            </w:tcBorders>
          </w:tcPr>
          <w:p w14:paraId="1F1292A1" w14:textId="77777777" w:rsidR="005525D5" w:rsidRPr="00E77CE4" w:rsidRDefault="005525D5" w:rsidP="005525D5">
            <w:pPr>
              <w:contextualSpacing/>
              <w:rPr>
                <w:b/>
                <w:sz w:val="18"/>
                <w:szCs w:val="18"/>
              </w:rPr>
            </w:pPr>
          </w:p>
        </w:tc>
        <w:tc>
          <w:tcPr>
            <w:tcW w:w="2037" w:type="dxa"/>
            <w:vMerge/>
            <w:tcBorders>
              <w:left w:val="nil"/>
              <w:right w:val="nil"/>
            </w:tcBorders>
            <w:noWrap/>
          </w:tcPr>
          <w:p w14:paraId="268FF4BE" w14:textId="77777777" w:rsidR="005525D5" w:rsidRPr="00E77CE4" w:rsidRDefault="005525D5" w:rsidP="005525D5">
            <w:pPr>
              <w:contextualSpacing/>
              <w:rPr>
                <w:b/>
                <w:sz w:val="18"/>
                <w:szCs w:val="18"/>
              </w:rPr>
            </w:pPr>
          </w:p>
        </w:tc>
        <w:tc>
          <w:tcPr>
            <w:tcW w:w="6138" w:type="dxa"/>
            <w:gridSpan w:val="6"/>
            <w:tcBorders>
              <w:left w:val="nil"/>
              <w:right w:val="nil"/>
            </w:tcBorders>
            <w:noWrap/>
            <w:vAlign w:val="center"/>
          </w:tcPr>
          <w:p w14:paraId="7BACF715" w14:textId="77777777" w:rsidR="005525D5" w:rsidRPr="00E77CE4" w:rsidRDefault="005525D5" w:rsidP="005525D5">
            <w:pPr>
              <w:contextualSpacing/>
              <w:jc w:val="center"/>
              <w:rPr>
                <w:b/>
                <w:sz w:val="18"/>
                <w:szCs w:val="18"/>
              </w:rPr>
            </w:pPr>
            <w:r>
              <w:rPr>
                <w:b/>
                <w:sz w:val="18"/>
                <w:szCs w:val="18"/>
              </w:rPr>
              <w:t>Linear Regression with Log-Transformed Outcome(a)</w:t>
            </w:r>
          </w:p>
        </w:tc>
        <w:tc>
          <w:tcPr>
            <w:tcW w:w="2085" w:type="dxa"/>
            <w:gridSpan w:val="2"/>
            <w:tcBorders>
              <w:left w:val="nil"/>
              <w:right w:val="nil"/>
            </w:tcBorders>
            <w:vAlign w:val="center"/>
          </w:tcPr>
          <w:p w14:paraId="358FED92" w14:textId="77777777" w:rsidR="005525D5" w:rsidRDefault="005525D5" w:rsidP="005525D5">
            <w:pPr>
              <w:contextualSpacing/>
              <w:jc w:val="center"/>
              <w:rPr>
                <w:b/>
                <w:sz w:val="18"/>
                <w:szCs w:val="18"/>
              </w:rPr>
            </w:pPr>
            <w:r>
              <w:rPr>
                <w:b/>
                <w:sz w:val="18"/>
                <w:szCs w:val="18"/>
              </w:rPr>
              <w:t>Logistic Regression(b)</w:t>
            </w:r>
          </w:p>
        </w:tc>
      </w:tr>
      <w:tr w:rsidR="005525D5" w:rsidRPr="00E77CE4" w14:paraId="710828EF" w14:textId="77777777" w:rsidTr="005525D5">
        <w:trPr>
          <w:trHeight w:val="288"/>
        </w:trPr>
        <w:tc>
          <w:tcPr>
            <w:tcW w:w="990" w:type="dxa"/>
            <w:tcBorders>
              <w:top w:val="nil"/>
              <w:left w:val="nil"/>
              <w:bottom w:val="nil"/>
              <w:right w:val="nil"/>
            </w:tcBorders>
          </w:tcPr>
          <w:p w14:paraId="3F798665" w14:textId="77777777" w:rsidR="005525D5" w:rsidRPr="00E77CE4" w:rsidRDefault="005525D5" w:rsidP="005525D5">
            <w:pPr>
              <w:contextualSpacing/>
              <w:rPr>
                <w:b/>
                <w:sz w:val="18"/>
                <w:szCs w:val="18"/>
              </w:rPr>
            </w:pPr>
          </w:p>
        </w:tc>
        <w:tc>
          <w:tcPr>
            <w:tcW w:w="2037" w:type="dxa"/>
            <w:vMerge/>
            <w:tcBorders>
              <w:left w:val="nil"/>
              <w:right w:val="nil"/>
            </w:tcBorders>
            <w:noWrap/>
            <w:hideMark/>
          </w:tcPr>
          <w:p w14:paraId="3425B41F" w14:textId="77777777" w:rsidR="005525D5" w:rsidRPr="00E77CE4" w:rsidRDefault="005525D5" w:rsidP="005525D5">
            <w:pPr>
              <w:contextualSpacing/>
              <w:rPr>
                <w:b/>
                <w:sz w:val="18"/>
                <w:szCs w:val="18"/>
              </w:rPr>
            </w:pPr>
          </w:p>
        </w:tc>
        <w:tc>
          <w:tcPr>
            <w:tcW w:w="2046" w:type="dxa"/>
            <w:gridSpan w:val="2"/>
            <w:tcBorders>
              <w:left w:val="nil"/>
              <w:right w:val="nil"/>
            </w:tcBorders>
            <w:noWrap/>
            <w:vAlign w:val="center"/>
            <w:hideMark/>
          </w:tcPr>
          <w:p w14:paraId="257BE487" w14:textId="77777777" w:rsidR="005525D5" w:rsidRPr="00E77CE4" w:rsidRDefault="005525D5" w:rsidP="005525D5">
            <w:pPr>
              <w:contextualSpacing/>
              <w:jc w:val="center"/>
              <w:rPr>
                <w:b/>
                <w:sz w:val="18"/>
                <w:szCs w:val="18"/>
              </w:rPr>
            </w:pPr>
            <w:r w:rsidRPr="00E77CE4">
              <w:rPr>
                <w:b/>
                <w:sz w:val="18"/>
                <w:szCs w:val="18"/>
              </w:rPr>
              <w:t>Hospital LOS</w:t>
            </w:r>
          </w:p>
        </w:tc>
        <w:tc>
          <w:tcPr>
            <w:tcW w:w="2046" w:type="dxa"/>
            <w:gridSpan w:val="2"/>
            <w:tcBorders>
              <w:left w:val="nil"/>
              <w:right w:val="nil"/>
            </w:tcBorders>
            <w:noWrap/>
            <w:vAlign w:val="center"/>
            <w:hideMark/>
          </w:tcPr>
          <w:p w14:paraId="1CFACBAA" w14:textId="77777777" w:rsidR="005525D5" w:rsidRPr="00E77CE4" w:rsidRDefault="005525D5" w:rsidP="005525D5">
            <w:pPr>
              <w:contextualSpacing/>
              <w:jc w:val="center"/>
              <w:rPr>
                <w:b/>
                <w:sz w:val="18"/>
                <w:szCs w:val="18"/>
              </w:rPr>
            </w:pPr>
            <w:r w:rsidRPr="00E77CE4">
              <w:rPr>
                <w:b/>
                <w:sz w:val="18"/>
                <w:szCs w:val="18"/>
              </w:rPr>
              <w:t>ICU LOS</w:t>
            </w:r>
          </w:p>
        </w:tc>
        <w:tc>
          <w:tcPr>
            <w:tcW w:w="2046" w:type="dxa"/>
            <w:gridSpan w:val="2"/>
            <w:tcBorders>
              <w:left w:val="nil"/>
              <w:right w:val="nil"/>
            </w:tcBorders>
            <w:noWrap/>
            <w:vAlign w:val="center"/>
            <w:hideMark/>
          </w:tcPr>
          <w:p w14:paraId="5C63EA36" w14:textId="77777777" w:rsidR="005525D5" w:rsidRPr="00E77CE4" w:rsidRDefault="005525D5" w:rsidP="005525D5">
            <w:pPr>
              <w:contextualSpacing/>
              <w:jc w:val="center"/>
              <w:rPr>
                <w:b/>
                <w:sz w:val="18"/>
                <w:szCs w:val="18"/>
              </w:rPr>
            </w:pPr>
            <w:r w:rsidRPr="00E77CE4">
              <w:rPr>
                <w:b/>
                <w:sz w:val="18"/>
                <w:szCs w:val="18"/>
              </w:rPr>
              <w:t>Length of Mechanical Ventilation</w:t>
            </w:r>
          </w:p>
        </w:tc>
        <w:tc>
          <w:tcPr>
            <w:tcW w:w="2085" w:type="dxa"/>
            <w:gridSpan w:val="2"/>
            <w:tcBorders>
              <w:left w:val="nil"/>
              <w:right w:val="nil"/>
            </w:tcBorders>
          </w:tcPr>
          <w:p w14:paraId="001CEEF7" w14:textId="77777777" w:rsidR="005525D5" w:rsidRPr="00E77CE4" w:rsidRDefault="005525D5" w:rsidP="005525D5">
            <w:pPr>
              <w:contextualSpacing/>
              <w:jc w:val="center"/>
              <w:rPr>
                <w:b/>
                <w:sz w:val="18"/>
                <w:szCs w:val="18"/>
              </w:rPr>
            </w:pPr>
            <w:r>
              <w:rPr>
                <w:b/>
                <w:sz w:val="18"/>
                <w:szCs w:val="18"/>
              </w:rPr>
              <w:t>Survivability of Hospitalization</w:t>
            </w:r>
          </w:p>
        </w:tc>
      </w:tr>
      <w:tr w:rsidR="005525D5" w:rsidRPr="00E77CE4" w14:paraId="518267B5" w14:textId="77777777" w:rsidTr="005525D5">
        <w:trPr>
          <w:trHeight w:val="288"/>
        </w:trPr>
        <w:tc>
          <w:tcPr>
            <w:tcW w:w="990" w:type="dxa"/>
            <w:tcBorders>
              <w:top w:val="nil"/>
              <w:left w:val="nil"/>
              <w:bottom w:val="single" w:sz="4" w:space="0" w:color="auto"/>
              <w:right w:val="nil"/>
            </w:tcBorders>
          </w:tcPr>
          <w:p w14:paraId="6117434C" w14:textId="77777777" w:rsidR="005525D5" w:rsidRPr="00E77CE4" w:rsidRDefault="005525D5" w:rsidP="005525D5">
            <w:pPr>
              <w:contextualSpacing/>
              <w:rPr>
                <w:b/>
                <w:sz w:val="18"/>
                <w:szCs w:val="18"/>
              </w:rPr>
            </w:pPr>
          </w:p>
        </w:tc>
        <w:tc>
          <w:tcPr>
            <w:tcW w:w="2037" w:type="dxa"/>
            <w:vMerge/>
            <w:tcBorders>
              <w:left w:val="nil"/>
              <w:bottom w:val="single" w:sz="4" w:space="0" w:color="auto"/>
              <w:right w:val="nil"/>
            </w:tcBorders>
            <w:noWrap/>
            <w:hideMark/>
          </w:tcPr>
          <w:p w14:paraId="547DA72E" w14:textId="77777777" w:rsidR="005525D5" w:rsidRPr="00E77CE4" w:rsidRDefault="005525D5" w:rsidP="005525D5">
            <w:pPr>
              <w:contextualSpacing/>
              <w:rPr>
                <w:b/>
                <w:sz w:val="18"/>
                <w:szCs w:val="18"/>
              </w:rPr>
            </w:pPr>
          </w:p>
        </w:tc>
        <w:tc>
          <w:tcPr>
            <w:tcW w:w="1240" w:type="dxa"/>
            <w:tcBorders>
              <w:left w:val="nil"/>
              <w:bottom w:val="single" w:sz="4" w:space="0" w:color="auto"/>
              <w:right w:val="nil"/>
            </w:tcBorders>
            <w:noWrap/>
            <w:vAlign w:val="center"/>
            <w:hideMark/>
          </w:tcPr>
          <w:p w14:paraId="7383711D" w14:textId="77777777" w:rsidR="005525D5" w:rsidRPr="00E77CE4" w:rsidRDefault="005525D5" w:rsidP="005525D5">
            <w:pPr>
              <w:contextualSpacing/>
              <w:jc w:val="center"/>
              <w:rPr>
                <w:b/>
                <w:sz w:val="18"/>
                <w:szCs w:val="18"/>
              </w:rPr>
            </w:pPr>
            <w:r>
              <w:rPr>
                <w:b/>
                <w:sz w:val="18"/>
                <w:szCs w:val="18"/>
              </w:rPr>
              <w:t>Regression Coefficient</w:t>
            </w:r>
          </w:p>
        </w:tc>
        <w:tc>
          <w:tcPr>
            <w:tcW w:w="806" w:type="dxa"/>
            <w:tcBorders>
              <w:left w:val="nil"/>
              <w:bottom w:val="single" w:sz="4" w:space="0" w:color="auto"/>
              <w:right w:val="nil"/>
            </w:tcBorders>
            <w:noWrap/>
            <w:vAlign w:val="center"/>
            <w:hideMark/>
          </w:tcPr>
          <w:p w14:paraId="14976AD6" w14:textId="77777777" w:rsidR="005525D5" w:rsidRPr="00E77CE4" w:rsidRDefault="005525D5" w:rsidP="005525D5">
            <w:pPr>
              <w:contextualSpacing/>
              <w:jc w:val="center"/>
              <w:rPr>
                <w:b/>
                <w:i/>
                <w:sz w:val="18"/>
                <w:szCs w:val="18"/>
              </w:rPr>
            </w:pPr>
            <w:r w:rsidRPr="00E77CE4">
              <w:rPr>
                <w:b/>
                <w:i/>
                <w:sz w:val="18"/>
                <w:szCs w:val="18"/>
              </w:rPr>
              <w:t>p</w:t>
            </w:r>
          </w:p>
        </w:tc>
        <w:tc>
          <w:tcPr>
            <w:tcW w:w="1240" w:type="dxa"/>
            <w:tcBorders>
              <w:left w:val="nil"/>
              <w:bottom w:val="single" w:sz="4" w:space="0" w:color="auto"/>
              <w:right w:val="nil"/>
            </w:tcBorders>
            <w:noWrap/>
            <w:vAlign w:val="center"/>
            <w:hideMark/>
          </w:tcPr>
          <w:p w14:paraId="0FEA4C9E" w14:textId="77777777" w:rsidR="005525D5" w:rsidRPr="00E77CE4" w:rsidRDefault="005525D5" w:rsidP="005525D5">
            <w:pPr>
              <w:contextualSpacing/>
              <w:jc w:val="center"/>
              <w:rPr>
                <w:b/>
                <w:sz w:val="18"/>
                <w:szCs w:val="18"/>
              </w:rPr>
            </w:pPr>
            <w:r w:rsidRPr="00E77CE4">
              <w:rPr>
                <w:b/>
                <w:sz w:val="18"/>
                <w:szCs w:val="18"/>
              </w:rPr>
              <w:t>Regression Coefficient</w:t>
            </w:r>
          </w:p>
        </w:tc>
        <w:tc>
          <w:tcPr>
            <w:tcW w:w="806" w:type="dxa"/>
            <w:tcBorders>
              <w:left w:val="nil"/>
              <w:bottom w:val="single" w:sz="4" w:space="0" w:color="auto"/>
              <w:right w:val="nil"/>
            </w:tcBorders>
            <w:noWrap/>
            <w:vAlign w:val="center"/>
            <w:hideMark/>
          </w:tcPr>
          <w:p w14:paraId="2A89F7B5" w14:textId="77777777" w:rsidR="005525D5" w:rsidRPr="00E77CE4" w:rsidRDefault="005525D5" w:rsidP="005525D5">
            <w:pPr>
              <w:contextualSpacing/>
              <w:jc w:val="center"/>
              <w:rPr>
                <w:b/>
                <w:i/>
                <w:sz w:val="18"/>
                <w:szCs w:val="18"/>
              </w:rPr>
            </w:pPr>
            <w:r w:rsidRPr="00E77CE4">
              <w:rPr>
                <w:b/>
                <w:i/>
                <w:sz w:val="18"/>
                <w:szCs w:val="18"/>
              </w:rPr>
              <w:t>p</w:t>
            </w:r>
          </w:p>
        </w:tc>
        <w:tc>
          <w:tcPr>
            <w:tcW w:w="1240" w:type="dxa"/>
            <w:tcBorders>
              <w:left w:val="nil"/>
              <w:bottom w:val="single" w:sz="4" w:space="0" w:color="auto"/>
              <w:right w:val="nil"/>
            </w:tcBorders>
            <w:noWrap/>
            <w:vAlign w:val="center"/>
            <w:hideMark/>
          </w:tcPr>
          <w:p w14:paraId="09F097F9" w14:textId="77777777" w:rsidR="005525D5" w:rsidRPr="00E77CE4" w:rsidRDefault="005525D5" w:rsidP="005525D5">
            <w:pPr>
              <w:contextualSpacing/>
              <w:jc w:val="center"/>
              <w:rPr>
                <w:b/>
                <w:sz w:val="18"/>
                <w:szCs w:val="18"/>
              </w:rPr>
            </w:pPr>
            <w:r>
              <w:rPr>
                <w:b/>
                <w:sz w:val="18"/>
                <w:szCs w:val="18"/>
              </w:rPr>
              <w:t>Regression Coefficient</w:t>
            </w:r>
          </w:p>
        </w:tc>
        <w:tc>
          <w:tcPr>
            <w:tcW w:w="806" w:type="dxa"/>
            <w:tcBorders>
              <w:left w:val="nil"/>
              <w:bottom w:val="single" w:sz="4" w:space="0" w:color="auto"/>
              <w:right w:val="nil"/>
            </w:tcBorders>
            <w:noWrap/>
            <w:vAlign w:val="center"/>
            <w:hideMark/>
          </w:tcPr>
          <w:p w14:paraId="6E02EE4A" w14:textId="77777777" w:rsidR="005525D5" w:rsidRPr="00E77CE4" w:rsidRDefault="005525D5" w:rsidP="005525D5">
            <w:pPr>
              <w:contextualSpacing/>
              <w:jc w:val="center"/>
              <w:rPr>
                <w:b/>
                <w:i/>
                <w:sz w:val="18"/>
                <w:szCs w:val="18"/>
              </w:rPr>
            </w:pPr>
            <w:r w:rsidRPr="00E77CE4">
              <w:rPr>
                <w:b/>
                <w:i/>
                <w:sz w:val="18"/>
                <w:szCs w:val="18"/>
              </w:rPr>
              <w:t>p</w:t>
            </w:r>
          </w:p>
        </w:tc>
        <w:tc>
          <w:tcPr>
            <w:tcW w:w="1275" w:type="dxa"/>
            <w:tcBorders>
              <w:left w:val="nil"/>
              <w:bottom w:val="single" w:sz="4" w:space="0" w:color="auto"/>
              <w:right w:val="nil"/>
            </w:tcBorders>
            <w:vAlign w:val="center"/>
          </w:tcPr>
          <w:p w14:paraId="017C8DFD" w14:textId="77777777" w:rsidR="005525D5" w:rsidRPr="006B2697" w:rsidRDefault="005525D5" w:rsidP="005525D5">
            <w:pPr>
              <w:contextualSpacing/>
              <w:jc w:val="center"/>
              <w:rPr>
                <w:b/>
                <w:sz w:val="18"/>
                <w:szCs w:val="18"/>
              </w:rPr>
            </w:pPr>
            <w:r>
              <w:rPr>
                <w:b/>
                <w:sz w:val="18"/>
                <w:szCs w:val="18"/>
              </w:rPr>
              <w:t>Odds Ratio</w:t>
            </w:r>
          </w:p>
        </w:tc>
        <w:tc>
          <w:tcPr>
            <w:tcW w:w="810" w:type="dxa"/>
            <w:tcBorders>
              <w:left w:val="nil"/>
              <w:bottom w:val="single" w:sz="4" w:space="0" w:color="auto"/>
              <w:right w:val="nil"/>
            </w:tcBorders>
            <w:vAlign w:val="center"/>
          </w:tcPr>
          <w:p w14:paraId="225FD530" w14:textId="77777777" w:rsidR="005525D5" w:rsidRPr="00E77CE4" w:rsidRDefault="005525D5" w:rsidP="005525D5">
            <w:pPr>
              <w:contextualSpacing/>
              <w:jc w:val="center"/>
              <w:rPr>
                <w:b/>
                <w:i/>
                <w:sz w:val="18"/>
                <w:szCs w:val="18"/>
              </w:rPr>
            </w:pPr>
            <w:r>
              <w:rPr>
                <w:b/>
                <w:i/>
                <w:sz w:val="18"/>
                <w:szCs w:val="18"/>
              </w:rPr>
              <w:t>p</w:t>
            </w:r>
          </w:p>
        </w:tc>
      </w:tr>
      <w:tr w:rsidR="005525D5" w:rsidRPr="00E77CE4" w14:paraId="146372F1" w14:textId="77777777" w:rsidTr="005525D5">
        <w:trPr>
          <w:trHeight w:val="288"/>
        </w:trPr>
        <w:tc>
          <w:tcPr>
            <w:tcW w:w="990" w:type="dxa"/>
            <w:tcBorders>
              <w:top w:val="nil"/>
              <w:left w:val="nil"/>
              <w:bottom w:val="single" w:sz="4" w:space="0" w:color="auto"/>
              <w:right w:val="nil"/>
            </w:tcBorders>
          </w:tcPr>
          <w:p w14:paraId="12D164DC" w14:textId="77777777" w:rsidR="005525D5" w:rsidRPr="00E77CE4" w:rsidRDefault="005525D5" w:rsidP="005525D5">
            <w:pPr>
              <w:contextualSpacing/>
              <w:rPr>
                <w:b/>
                <w:sz w:val="18"/>
                <w:szCs w:val="18"/>
              </w:rPr>
            </w:pPr>
          </w:p>
        </w:tc>
        <w:tc>
          <w:tcPr>
            <w:tcW w:w="2037" w:type="dxa"/>
            <w:tcBorders>
              <w:left w:val="nil"/>
              <w:bottom w:val="single" w:sz="4" w:space="0" w:color="auto"/>
              <w:right w:val="nil"/>
            </w:tcBorders>
            <w:noWrap/>
          </w:tcPr>
          <w:p w14:paraId="0616FC7B" w14:textId="77777777" w:rsidR="005525D5" w:rsidRPr="00E77CE4" w:rsidRDefault="005525D5" w:rsidP="005525D5">
            <w:pPr>
              <w:contextualSpacing/>
              <w:rPr>
                <w:b/>
                <w:sz w:val="18"/>
                <w:szCs w:val="18"/>
              </w:rPr>
            </w:pPr>
          </w:p>
        </w:tc>
        <w:tc>
          <w:tcPr>
            <w:tcW w:w="1240" w:type="dxa"/>
            <w:tcBorders>
              <w:left w:val="nil"/>
              <w:bottom w:val="single" w:sz="4" w:space="0" w:color="auto"/>
              <w:right w:val="nil"/>
            </w:tcBorders>
            <w:noWrap/>
            <w:vAlign w:val="center"/>
          </w:tcPr>
          <w:p w14:paraId="3AE0A2C5" w14:textId="77777777" w:rsidR="005525D5" w:rsidRDefault="005525D5" w:rsidP="005525D5">
            <w:pPr>
              <w:contextualSpacing/>
              <w:jc w:val="center"/>
              <w:rPr>
                <w:b/>
                <w:sz w:val="18"/>
                <w:szCs w:val="18"/>
              </w:rPr>
            </w:pPr>
          </w:p>
        </w:tc>
        <w:tc>
          <w:tcPr>
            <w:tcW w:w="806" w:type="dxa"/>
            <w:tcBorders>
              <w:left w:val="nil"/>
              <w:bottom w:val="single" w:sz="4" w:space="0" w:color="auto"/>
              <w:right w:val="nil"/>
            </w:tcBorders>
            <w:noWrap/>
            <w:vAlign w:val="center"/>
          </w:tcPr>
          <w:p w14:paraId="56D14039" w14:textId="77777777" w:rsidR="005525D5" w:rsidRPr="00E77CE4" w:rsidRDefault="005525D5" w:rsidP="005525D5">
            <w:pPr>
              <w:contextualSpacing/>
              <w:jc w:val="center"/>
              <w:rPr>
                <w:b/>
                <w:i/>
                <w:sz w:val="18"/>
                <w:szCs w:val="18"/>
              </w:rPr>
            </w:pPr>
          </w:p>
        </w:tc>
        <w:tc>
          <w:tcPr>
            <w:tcW w:w="1240" w:type="dxa"/>
            <w:tcBorders>
              <w:left w:val="nil"/>
              <w:bottom w:val="single" w:sz="4" w:space="0" w:color="auto"/>
              <w:right w:val="nil"/>
            </w:tcBorders>
            <w:noWrap/>
            <w:vAlign w:val="center"/>
          </w:tcPr>
          <w:p w14:paraId="3499B0AF" w14:textId="77777777" w:rsidR="005525D5" w:rsidRPr="00E77CE4" w:rsidRDefault="005525D5" w:rsidP="005525D5">
            <w:pPr>
              <w:contextualSpacing/>
              <w:jc w:val="center"/>
              <w:rPr>
                <w:b/>
                <w:sz w:val="18"/>
                <w:szCs w:val="18"/>
              </w:rPr>
            </w:pPr>
          </w:p>
        </w:tc>
        <w:tc>
          <w:tcPr>
            <w:tcW w:w="806" w:type="dxa"/>
            <w:tcBorders>
              <w:left w:val="nil"/>
              <w:bottom w:val="single" w:sz="4" w:space="0" w:color="auto"/>
              <w:right w:val="nil"/>
            </w:tcBorders>
            <w:noWrap/>
            <w:vAlign w:val="center"/>
          </w:tcPr>
          <w:p w14:paraId="071C0B96" w14:textId="77777777" w:rsidR="005525D5" w:rsidRPr="00E77CE4" w:rsidRDefault="005525D5" w:rsidP="005525D5">
            <w:pPr>
              <w:contextualSpacing/>
              <w:jc w:val="center"/>
              <w:rPr>
                <w:b/>
                <w:i/>
                <w:sz w:val="18"/>
                <w:szCs w:val="18"/>
              </w:rPr>
            </w:pPr>
          </w:p>
        </w:tc>
        <w:tc>
          <w:tcPr>
            <w:tcW w:w="1240" w:type="dxa"/>
            <w:tcBorders>
              <w:left w:val="nil"/>
              <w:bottom w:val="single" w:sz="4" w:space="0" w:color="auto"/>
              <w:right w:val="nil"/>
            </w:tcBorders>
            <w:noWrap/>
            <w:vAlign w:val="center"/>
          </w:tcPr>
          <w:p w14:paraId="59F51D15" w14:textId="77777777" w:rsidR="005525D5" w:rsidRDefault="005525D5" w:rsidP="005525D5">
            <w:pPr>
              <w:contextualSpacing/>
              <w:jc w:val="center"/>
              <w:rPr>
                <w:b/>
                <w:sz w:val="18"/>
                <w:szCs w:val="18"/>
              </w:rPr>
            </w:pPr>
          </w:p>
        </w:tc>
        <w:tc>
          <w:tcPr>
            <w:tcW w:w="806" w:type="dxa"/>
            <w:tcBorders>
              <w:left w:val="nil"/>
              <w:bottom w:val="single" w:sz="4" w:space="0" w:color="auto"/>
              <w:right w:val="nil"/>
            </w:tcBorders>
            <w:noWrap/>
            <w:vAlign w:val="center"/>
          </w:tcPr>
          <w:p w14:paraId="2B69932F" w14:textId="77777777" w:rsidR="005525D5" w:rsidRPr="00E77CE4" w:rsidRDefault="005525D5" w:rsidP="005525D5">
            <w:pPr>
              <w:contextualSpacing/>
              <w:jc w:val="center"/>
              <w:rPr>
                <w:b/>
                <w:i/>
                <w:sz w:val="18"/>
                <w:szCs w:val="18"/>
              </w:rPr>
            </w:pPr>
          </w:p>
        </w:tc>
        <w:tc>
          <w:tcPr>
            <w:tcW w:w="1275" w:type="dxa"/>
            <w:tcBorders>
              <w:left w:val="nil"/>
              <w:bottom w:val="single" w:sz="4" w:space="0" w:color="auto"/>
              <w:right w:val="nil"/>
            </w:tcBorders>
            <w:vAlign w:val="center"/>
          </w:tcPr>
          <w:p w14:paraId="0C4042C7" w14:textId="77777777" w:rsidR="005525D5" w:rsidRDefault="005525D5" w:rsidP="005525D5">
            <w:pPr>
              <w:contextualSpacing/>
              <w:jc w:val="center"/>
              <w:rPr>
                <w:b/>
                <w:sz w:val="18"/>
                <w:szCs w:val="18"/>
              </w:rPr>
            </w:pPr>
          </w:p>
        </w:tc>
        <w:tc>
          <w:tcPr>
            <w:tcW w:w="810" w:type="dxa"/>
            <w:tcBorders>
              <w:left w:val="nil"/>
              <w:bottom w:val="single" w:sz="4" w:space="0" w:color="auto"/>
              <w:right w:val="nil"/>
            </w:tcBorders>
            <w:vAlign w:val="center"/>
          </w:tcPr>
          <w:p w14:paraId="184E7176" w14:textId="77777777" w:rsidR="005525D5" w:rsidRDefault="005525D5" w:rsidP="005525D5">
            <w:pPr>
              <w:contextualSpacing/>
              <w:jc w:val="center"/>
              <w:rPr>
                <w:b/>
                <w:i/>
                <w:sz w:val="18"/>
                <w:szCs w:val="18"/>
              </w:rPr>
            </w:pPr>
          </w:p>
        </w:tc>
      </w:tr>
      <w:tr w:rsidR="005525D5" w:rsidRPr="0067270C" w14:paraId="5253A59D" w14:textId="77777777" w:rsidTr="005525D5">
        <w:trPr>
          <w:trHeight w:val="288"/>
        </w:trPr>
        <w:tc>
          <w:tcPr>
            <w:tcW w:w="990" w:type="dxa"/>
            <w:tcBorders>
              <w:top w:val="single" w:sz="4" w:space="0" w:color="auto"/>
              <w:left w:val="nil"/>
              <w:bottom w:val="single" w:sz="4" w:space="0" w:color="BFBFBF" w:themeColor="background1" w:themeShade="BF"/>
              <w:right w:val="nil"/>
            </w:tcBorders>
            <w:vAlign w:val="center"/>
          </w:tcPr>
          <w:p w14:paraId="463D4E6F" w14:textId="77777777" w:rsidR="005525D5" w:rsidRPr="0067270C" w:rsidRDefault="005525D5" w:rsidP="005525D5">
            <w:pPr>
              <w:contextualSpacing/>
              <w:jc w:val="center"/>
              <w:rPr>
                <w:sz w:val="18"/>
                <w:szCs w:val="18"/>
              </w:rPr>
            </w:pPr>
            <w:r>
              <w:rPr>
                <w:sz w:val="18"/>
                <w:szCs w:val="18"/>
              </w:rPr>
              <w:t>Patient</w:t>
            </w:r>
          </w:p>
        </w:tc>
        <w:tc>
          <w:tcPr>
            <w:tcW w:w="2037" w:type="dxa"/>
            <w:tcBorders>
              <w:top w:val="single" w:sz="4" w:space="0" w:color="auto"/>
              <w:left w:val="nil"/>
              <w:bottom w:val="single" w:sz="4" w:space="0" w:color="BFBFBF" w:themeColor="background1" w:themeShade="BF"/>
              <w:right w:val="nil"/>
            </w:tcBorders>
            <w:noWrap/>
            <w:vAlign w:val="center"/>
            <w:hideMark/>
          </w:tcPr>
          <w:p w14:paraId="38F6CBB8" w14:textId="77777777" w:rsidR="005525D5" w:rsidRPr="0067270C" w:rsidRDefault="005525D5" w:rsidP="005525D5">
            <w:pPr>
              <w:contextualSpacing/>
              <w:rPr>
                <w:sz w:val="18"/>
                <w:szCs w:val="18"/>
              </w:rPr>
            </w:pPr>
            <w:r w:rsidRPr="0067270C">
              <w:rPr>
                <w:sz w:val="18"/>
                <w:szCs w:val="18"/>
              </w:rPr>
              <w:t>Age</w:t>
            </w:r>
          </w:p>
        </w:tc>
        <w:tc>
          <w:tcPr>
            <w:tcW w:w="1240" w:type="dxa"/>
            <w:tcBorders>
              <w:top w:val="single" w:sz="4" w:space="0" w:color="auto"/>
              <w:left w:val="nil"/>
              <w:bottom w:val="single" w:sz="4" w:space="0" w:color="BFBFBF" w:themeColor="background1" w:themeShade="BF"/>
              <w:right w:val="nil"/>
            </w:tcBorders>
            <w:noWrap/>
            <w:vAlign w:val="center"/>
            <w:hideMark/>
          </w:tcPr>
          <w:p w14:paraId="6EF2320D" w14:textId="77777777" w:rsidR="005525D5" w:rsidRPr="00E04887" w:rsidRDefault="005525D5" w:rsidP="005525D5">
            <w:pPr>
              <w:contextualSpacing/>
              <w:jc w:val="center"/>
              <w:rPr>
                <w:sz w:val="18"/>
                <w:szCs w:val="18"/>
              </w:rPr>
            </w:pPr>
            <w:r w:rsidRPr="0002298E">
              <w:rPr>
                <w:sz w:val="18"/>
                <w:szCs w:val="18"/>
              </w:rPr>
              <w:t>-0.01</w:t>
            </w:r>
          </w:p>
        </w:tc>
        <w:tc>
          <w:tcPr>
            <w:tcW w:w="806" w:type="dxa"/>
            <w:tcBorders>
              <w:top w:val="single" w:sz="4" w:space="0" w:color="auto"/>
              <w:left w:val="nil"/>
              <w:bottom w:val="single" w:sz="4" w:space="0" w:color="BFBFBF" w:themeColor="background1" w:themeShade="BF"/>
              <w:right w:val="nil"/>
            </w:tcBorders>
            <w:noWrap/>
            <w:vAlign w:val="center"/>
            <w:hideMark/>
          </w:tcPr>
          <w:p w14:paraId="5C76FF41" w14:textId="77777777" w:rsidR="005525D5" w:rsidRPr="00E04887" w:rsidRDefault="005525D5" w:rsidP="005525D5">
            <w:pPr>
              <w:contextualSpacing/>
              <w:jc w:val="center"/>
              <w:rPr>
                <w:sz w:val="18"/>
                <w:szCs w:val="18"/>
              </w:rPr>
            </w:pPr>
            <w:r w:rsidRPr="0002298E">
              <w:rPr>
                <w:sz w:val="18"/>
                <w:szCs w:val="18"/>
              </w:rPr>
              <w:t>0.019</w:t>
            </w:r>
            <w:r>
              <w:rPr>
                <w:sz w:val="18"/>
                <w:szCs w:val="18"/>
              </w:rPr>
              <w:t>*</w:t>
            </w:r>
          </w:p>
        </w:tc>
        <w:tc>
          <w:tcPr>
            <w:tcW w:w="1240" w:type="dxa"/>
            <w:tcBorders>
              <w:top w:val="single" w:sz="4" w:space="0" w:color="auto"/>
              <w:left w:val="nil"/>
              <w:bottom w:val="single" w:sz="4" w:space="0" w:color="BFBFBF" w:themeColor="background1" w:themeShade="BF"/>
              <w:right w:val="nil"/>
            </w:tcBorders>
            <w:noWrap/>
            <w:vAlign w:val="center"/>
            <w:hideMark/>
          </w:tcPr>
          <w:p w14:paraId="5C2B350E" w14:textId="77777777" w:rsidR="005525D5" w:rsidRPr="002E2933" w:rsidRDefault="005525D5" w:rsidP="005525D5">
            <w:pPr>
              <w:contextualSpacing/>
              <w:jc w:val="center"/>
              <w:rPr>
                <w:sz w:val="18"/>
                <w:szCs w:val="18"/>
              </w:rPr>
            </w:pPr>
            <w:r w:rsidRPr="002E2933">
              <w:rPr>
                <w:sz w:val="18"/>
                <w:szCs w:val="18"/>
              </w:rPr>
              <w:t>-0.01</w:t>
            </w:r>
          </w:p>
        </w:tc>
        <w:tc>
          <w:tcPr>
            <w:tcW w:w="806" w:type="dxa"/>
            <w:tcBorders>
              <w:top w:val="single" w:sz="4" w:space="0" w:color="auto"/>
              <w:left w:val="nil"/>
              <w:bottom w:val="single" w:sz="4" w:space="0" w:color="BFBFBF" w:themeColor="background1" w:themeShade="BF"/>
              <w:right w:val="nil"/>
            </w:tcBorders>
            <w:noWrap/>
            <w:vAlign w:val="center"/>
            <w:hideMark/>
          </w:tcPr>
          <w:p w14:paraId="009F4F21" w14:textId="77777777" w:rsidR="005525D5" w:rsidRPr="002E2933" w:rsidRDefault="005525D5" w:rsidP="005525D5">
            <w:pPr>
              <w:contextualSpacing/>
              <w:jc w:val="center"/>
              <w:rPr>
                <w:sz w:val="18"/>
                <w:szCs w:val="18"/>
              </w:rPr>
            </w:pPr>
            <w:r w:rsidRPr="002E2933">
              <w:rPr>
                <w:sz w:val="18"/>
                <w:szCs w:val="18"/>
              </w:rPr>
              <w:t>0.021</w:t>
            </w:r>
            <w:r>
              <w:rPr>
                <w:sz w:val="18"/>
                <w:szCs w:val="18"/>
              </w:rPr>
              <w:t>*</w:t>
            </w:r>
          </w:p>
        </w:tc>
        <w:tc>
          <w:tcPr>
            <w:tcW w:w="1240" w:type="dxa"/>
            <w:tcBorders>
              <w:top w:val="single" w:sz="4" w:space="0" w:color="auto"/>
              <w:left w:val="nil"/>
              <w:bottom w:val="single" w:sz="4" w:space="0" w:color="BFBFBF" w:themeColor="background1" w:themeShade="BF"/>
              <w:right w:val="nil"/>
            </w:tcBorders>
            <w:noWrap/>
            <w:vAlign w:val="center"/>
            <w:hideMark/>
          </w:tcPr>
          <w:p w14:paraId="7AAB4DD2" w14:textId="77777777" w:rsidR="005525D5" w:rsidRPr="00653753" w:rsidRDefault="005525D5" w:rsidP="005525D5">
            <w:pPr>
              <w:contextualSpacing/>
              <w:jc w:val="center"/>
              <w:rPr>
                <w:sz w:val="18"/>
                <w:szCs w:val="18"/>
              </w:rPr>
            </w:pPr>
            <w:r w:rsidRPr="00653753">
              <w:rPr>
                <w:sz w:val="18"/>
                <w:szCs w:val="18"/>
              </w:rPr>
              <w:t>-0.01</w:t>
            </w:r>
          </w:p>
        </w:tc>
        <w:tc>
          <w:tcPr>
            <w:tcW w:w="806" w:type="dxa"/>
            <w:tcBorders>
              <w:top w:val="single" w:sz="4" w:space="0" w:color="auto"/>
              <w:left w:val="nil"/>
              <w:bottom w:val="single" w:sz="4" w:space="0" w:color="BFBFBF" w:themeColor="background1" w:themeShade="BF"/>
              <w:right w:val="nil"/>
            </w:tcBorders>
            <w:noWrap/>
            <w:vAlign w:val="center"/>
            <w:hideMark/>
          </w:tcPr>
          <w:p w14:paraId="18D57145" w14:textId="77777777" w:rsidR="005525D5" w:rsidRPr="00653753" w:rsidRDefault="005525D5" w:rsidP="005525D5">
            <w:pPr>
              <w:contextualSpacing/>
              <w:jc w:val="center"/>
              <w:rPr>
                <w:sz w:val="18"/>
                <w:szCs w:val="18"/>
              </w:rPr>
            </w:pPr>
            <w:r w:rsidRPr="00653753">
              <w:rPr>
                <w:sz w:val="18"/>
                <w:szCs w:val="18"/>
              </w:rPr>
              <w:t>0.016</w:t>
            </w:r>
            <w:r>
              <w:rPr>
                <w:sz w:val="18"/>
                <w:szCs w:val="18"/>
              </w:rPr>
              <w:t>*</w:t>
            </w:r>
          </w:p>
        </w:tc>
        <w:tc>
          <w:tcPr>
            <w:tcW w:w="1275" w:type="dxa"/>
            <w:tcBorders>
              <w:top w:val="single" w:sz="4" w:space="0" w:color="auto"/>
              <w:left w:val="nil"/>
              <w:bottom w:val="single" w:sz="4" w:space="0" w:color="BFBFBF" w:themeColor="background1" w:themeShade="BF"/>
              <w:right w:val="nil"/>
            </w:tcBorders>
            <w:vAlign w:val="center"/>
          </w:tcPr>
          <w:p w14:paraId="4F672C5F" w14:textId="77777777" w:rsidR="005525D5" w:rsidRPr="000965AB" w:rsidRDefault="005525D5" w:rsidP="005525D5">
            <w:pPr>
              <w:contextualSpacing/>
              <w:jc w:val="center"/>
              <w:rPr>
                <w:sz w:val="18"/>
                <w:szCs w:val="18"/>
              </w:rPr>
            </w:pPr>
            <w:r w:rsidRPr="000965AB">
              <w:rPr>
                <w:sz w:val="18"/>
                <w:szCs w:val="18"/>
              </w:rPr>
              <w:t>0.98</w:t>
            </w:r>
          </w:p>
        </w:tc>
        <w:tc>
          <w:tcPr>
            <w:tcW w:w="810" w:type="dxa"/>
            <w:tcBorders>
              <w:top w:val="single" w:sz="4" w:space="0" w:color="auto"/>
              <w:left w:val="nil"/>
              <w:bottom w:val="single" w:sz="4" w:space="0" w:color="BFBFBF" w:themeColor="background1" w:themeShade="BF"/>
              <w:right w:val="nil"/>
            </w:tcBorders>
            <w:vAlign w:val="center"/>
          </w:tcPr>
          <w:p w14:paraId="441E1D37" w14:textId="77777777" w:rsidR="005525D5" w:rsidRPr="000965AB" w:rsidRDefault="005525D5" w:rsidP="005525D5">
            <w:pPr>
              <w:contextualSpacing/>
              <w:jc w:val="center"/>
              <w:rPr>
                <w:sz w:val="18"/>
                <w:szCs w:val="18"/>
              </w:rPr>
            </w:pPr>
            <w:r w:rsidRPr="000965AB">
              <w:rPr>
                <w:sz w:val="18"/>
                <w:szCs w:val="18"/>
              </w:rPr>
              <w:t>0.003</w:t>
            </w:r>
            <w:r>
              <w:rPr>
                <w:sz w:val="18"/>
                <w:szCs w:val="18"/>
              </w:rPr>
              <w:t>*</w:t>
            </w:r>
          </w:p>
        </w:tc>
      </w:tr>
      <w:tr w:rsidR="005525D5" w:rsidRPr="0067270C" w14:paraId="2E3BA1AD"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6E0561AE" w14:textId="77777777" w:rsidR="005525D5" w:rsidRPr="0067270C"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hideMark/>
          </w:tcPr>
          <w:p w14:paraId="5F8154C2" w14:textId="77777777" w:rsidR="005525D5" w:rsidRPr="0067270C" w:rsidRDefault="005525D5" w:rsidP="005525D5">
            <w:pPr>
              <w:contextualSpacing/>
              <w:rPr>
                <w:sz w:val="18"/>
                <w:szCs w:val="18"/>
              </w:rPr>
            </w:pPr>
            <w:r>
              <w:rPr>
                <w:sz w:val="18"/>
                <w:szCs w:val="18"/>
              </w:rPr>
              <w:t>M</w:t>
            </w:r>
            <w:r w:rsidRPr="0067270C">
              <w:rPr>
                <w:sz w:val="18"/>
                <w:szCs w:val="18"/>
              </w:rPr>
              <w:t>ale</w:t>
            </w:r>
            <w:r>
              <w:rPr>
                <w:sz w:val="18"/>
                <w:szCs w:val="18"/>
              </w:rPr>
              <w:t xml:space="preserve"> (vs. female)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7F9D7CC0" w14:textId="77777777" w:rsidR="005525D5" w:rsidRPr="00E04887" w:rsidRDefault="005525D5" w:rsidP="005525D5">
            <w:pPr>
              <w:contextualSpacing/>
              <w:jc w:val="center"/>
              <w:rPr>
                <w:sz w:val="18"/>
                <w:szCs w:val="18"/>
              </w:rPr>
            </w:pPr>
            <w:r w:rsidRPr="0002298E">
              <w:rPr>
                <w:sz w:val="18"/>
                <w:szCs w:val="18"/>
              </w:rPr>
              <w:t>0.07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57C7CFA1" w14:textId="77777777" w:rsidR="005525D5" w:rsidRPr="00E04887" w:rsidRDefault="005525D5" w:rsidP="005525D5">
            <w:pPr>
              <w:contextualSpacing/>
              <w:jc w:val="center"/>
              <w:rPr>
                <w:sz w:val="18"/>
                <w:szCs w:val="18"/>
              </w:rPr>
            </w:pPr>
            <w:r w:rsidRPr="0002298E">
              <w:rPr>
                <w:sz w:val="18"/>
                <w:szCs w:val="18"/>
              </w:rPr>
              <w:t>0.730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27753353" w14:textId="77777777" w:rsidR="005525D5" w:rsidRPr="002E2933" w:rsidRDefault="005525D5" w:rsidP="005525D5">
            <w:pPr>
              <w:contextualSpacing/>
              <w:jc w:val="center"/>
              <w:rPr>
                <w:sz w:val="18"/>
                <w:szCs w:val="18"/>
              </w:rPr>
            </w:pPr>
            <w:r w:rsidRPr="002E2933">
              <w:rPr>
                <w:sz w:val="18"/>
                <w:szCs w:val="18"/>
              </w:rPr>
              <w:t>0.09</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563EB6D7" w14:textId="77777777" w:rsidR="005525D5" w:rsidRPr="002E2933" w:rsidRDefault="005525D5" w:rsidP="005525D5">
            <w:pPr>
              <w:contextualSpacing/>
              <w:jc w:val="center"/>
              <w:rPr>
                <w:sz w:val="18"/>
                <w:szCs w:val="18"/>
              </w:rPr>
            </w:pPr>
            <w:r w:rsidRPr="002E2933">
              <w:rPr>
                <w:sz w:val="18"/>
                <w:szCs w:val="18"/>
              </w:rPr>
              <w:t>0.637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3EF93F15" w14:textId="77777777" w:rsidR="005525D5" w:rsidRPr="00653753" w:rsidRDefault="005525D5" w:rsidP="005525D5">
            <w:pPr>
              <w:contextualSpacing/>
              <w:jc w:val="center"/>
              <w:rPr>
                <w:sz w:val="18"/>
                <w:szCs w:val="18"/>
              </w:rPr>
            </w:pPr>
            <w:r w:rsidRPr="00653753">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7AF5CE75" w14:textId="77777777" w:rsidR="005525D5" w:rsidRPr="00653753" w:rsidRDefault="005525D5" w:rsidP="005525D5">
            <w:pPr>
              <w:contextualSpacing/>
              <w:jc w:val="center"/>
              <w:rPr>
                <w:sz w:val="18"/>
                <w:szCs w:val="18"/>
              </w:rPr>
            </w:pPr>
            <w:r w:rsidRPr="00653753">
              <w:rPr>
                <w:sz w:val="18"/>
                <w:szCs w:val="18"/>
              </w:rPr>
              <w:t>0.789</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2FE69CC" w14:textId="77777777" w:rsidR="005525D5" w:rsidRPr="000965AB" w:rsidRDefault="005525D5" w:rsidP="005525D5">
            <w:pPr>
              <w:contextualSpacing/>
              <w:jc w:val="center"/>
              <w:rPr>
                <w:sz w:val="18"/>
                <w:szCs w:val="18"/>
              </w:rPr>
            </w:pPr>
            <w:r w:rsidRPr="000965AB">
              <w:rPr>
                <w:sz w:val="18"/>
                <w:szCs w:val="18"/>
              </w:rPr>
              <w:t>0.91</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352D845D" w14:textId="77777777" w:rsidR="005525D5" w:rsidRPr="000965AB" w:rsidRDefault="005525D5" w:rsidP="005525D5">
            <w:pPr>
              <w:contextualSpacing/>
              <w:jc w:val="center"/>
              <w:rPr>
                <w:sz w:val="18"/>
                <w:szCs w:val="18"/>
              </w:rPr>
            </w:pPr>
            <w:r w:rsidRPr="000965AB">
              <w:rPr>
                <w:sz w:val="18"/>
                <w:szCs w:val="18"/>
              </w:rPr>
              <w:t>0.702</w:t>
            </w:r>
          </w:p>
        </w:tc>
      </w:tr>
      <w:tr w:rsidR="005525D5" w:rsidRPr="0067270C" w14:paraId="2BC16023"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40B64509" w14:textId="77777777" w:rsidR="005525D5"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2B834648" w14:textId="77777777" w:rsidR="005525D5" w:rsidRPr="0067270C" w:rsidRDefault="005525D5" w:rsidP="005525D5">
            <w:pPr>
              <w:contextualSpacing/>
              <w:rPr>
                <w:sz w:val="18"/>
                <w:szCs w:val="18"/>
              </w:rPr>
            </w:pPr>
            <w:r>
              <w:rPr>
                <w:sz w:val="18"/>
                <w:szCs w:val="18"/>
              </w:rPr>
              <w:t>Race: non-Hispanic white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62C1417" w14:textId="77777777" w:rsidR="005525D5" w:rsidRPr="00E04887" w:rsidRDefault="005525D5" w:rsidP="005525D5">
            <w:pPr>
              <w:contextualSpacing/>
              <w:jc w:val="center"/>
              <w:rPr>
                <w:sz w:val="18"/>
                <w:szCs w:val="18"/>
              </w:rPr>
            </w:pPr>
            <w:r w:rsidRPr="0002298E">
              <w:rPr>
                <w:sz w:val="18"/>
                <w:szCs w:val="18"/>
              </w:rPr>
              <w:t>0.23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40BB1B0" w14:textId="77777777" w:rsidR="005525D5" w:rsidRPr="00E04887" w:rsidRDefault="005525D5" w:rsidP="005525D5">
            <w:pPr>
              <w:contextualSpacing/>
              <w:jc w:val="center"/>
              <w:rPr>
                <w:sz w:val="18"/>
                <w:szCs w:val="18"/>
              </w:rPr>
            </w:pPr>
            <w:r w:rsidRPr="0002298E">
              <w:rPr>
                <w:sz w:val="18"/>
                <w:szCs w:val="18"/>
              </w:rPr>
              <w:t>0.337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FAC8608" w14:textId="77777777" w:rsidR="005525D5" w:rsidRPr="002E2933" w:rsidRDefault="005525D5" w:rsidP="005525D5">
            <w:pPr>
              <w:contextualSpacing/>
              <w:jc w:val="center"/>
              <w:rPr>
                <w:sz w:val="18"/>
                <w:szCs w:val="18"/>
              </w:rPr>
            </w:pPr>
            <w:r w:rsidRPr="002E2933">
              <w:rPr>
                <w:sz w:val="18"/>
                <w:szCs w:val="18"/>
              </w:rPr>
              <w:t>0.21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89E9342" w14:textId="77777777" w:rsidR="005525D5" w:rsidRPr="002E2933" w:rsidRDefault="005525D5" w:rsidP="005525D5">
            <w:pPr>
              <w:contextualSpacing/>
              <w:jc w:val="center"/>
              <w:rPr>
                <w:sz w:val="18"/>
                <w:szCs w:val="18"/>
              </w:rPr>
            </w:pPr>
            <w:r w:rsidRPr="002E2933">
              <w:rPr>
                <w:sz w:val="18"/>
                <w:szCs w:val="18"/>
              </w:rPr>
              <w:t>0.363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6842737" w14:textId="77777777" w:rsidR="005525D5" w:rsidRPr="00653753" w:rsidRDefault="005525D5" w:rsidP="005525D5">
            <w:pPr>
              <w:contextualSpacing/>
              <w:jc w:val="center"/>
              <w:rPr>
                <w:sz w:val="18"/>
                <w:szCs w:val="18"/>
              </w:rPr>
            </w:pPr>
            <w:r w:rsidRPr="00653753">
              <w:rPr>
                <w:sz w:val="18"/>
                <w:szCs w:val="18"/>
              </w:rPr>
              <w:t>0.23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6E13376" w14:textId="77777777" w:rsidR="005525D5" w:rsidRPr="00653753" w:rsidRDefault="005525D5" w:rsidP="005525D5">
            <w:pPr>
              <w:contextualSpacing/>
              <w:jc w:val="center"/>
              <w:rPr>
                <w:sz w:val="18"/>
                <w:szCs w:val="18"/>
              </w:rPr>
            </w:pPr>
            <w:r w:rsidRPr="00653753">
              <w:rPr>
                <w:sz w:val="18"/>
                <w:szCs w:val="18"/>
              </w:rPr>
              <w:t>0.339</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787FFE78" w14:textId="77777777" w:rsidR="005525D5" w:rsidRPr="000965AB" w:rsidRDefault="005525D5" w:rsidP="005525D5">
            <w:pPr>
              <w:contextualSpacing/>
              <w:jc w:val="center"/>
              <w:rPr>
                <w:sz w:val="18"/>
                <w:szCs w:val="18"/>
              </w:rPr>
            </w:pPr>
            <w:r w:rsidRPr="000965AB">
              <w:rPr>
                <w:sz w:val="18"/>
                <w:szCs w:val="18"/>
              </w:rPr>
              <w:t>0.83</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6152422B" w14:textId="77777777" w:rsidR="005525D5" w:rsidRPr="000965AB" w:rsidRDefault="005525D5" w:rsidP="005525D5">
            <w:pPr>
              <w:contextualSpacing/>
              <w:jc w:val="center"/>
              <w:rPr>
                <w:sz w:val="18"/>
                <w:szCs w:val="18"/>
              </w:rPr>
            </w:pPr>
            <w:r w:rsidRPr="000965AB">
              <w:rPr>
                <w:sz w:val="18"/>
                <w:szCs w:val="18"/>
              </w:rPr>
              <w:t>0.502</w:t>
            </w:r>
          </w:p>
        </w:tc>
      </w:tr>
      <w:tr w:rsidR="005525D5" w:rsidRPr="0067270C" w14:paraId="0A64545B"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3491E380" w14:textId="77777777" w:rsidR="005525D5" w:rsidRPr="0067270C"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hideMark/>
          </w:tcPr>
          <w:p w14:paraId="5BD17599" w14:textId="77777777" w:rsidR="005525D5" w:rsidRPr="0067270C" w:rsidRDefault="005525D5" w:rsidP="005525D5">
            <w:pPr>
              <w:contextualSpacing/>
              <w:rPr>
                <w:sz w:val="18"/>
                <w:szCs w:val="18"/>
              </w:rPr>
            </w:pPr>
            <w:r>
              <w:rPr>
                <w:sz w:val="18"/>
                <w:szCs w:val="18"/>
              </w:rPr>
              <w:t xml:space="preserve">Race: </w:t>
            </w:r>
            <w:r w:rsidRPr="0067270C">
              <w:rPr>
                <w:sz w:val="18"/>
                <w:szCs w:val="18"/>
              </w:rPr>
              <w:t>non-Hispanic black</w:t>
            </w:r>
            <w:r>
              <w:rPr>
                <w:sz w:val="18"/>
                <w:szCs w:val="18"/>
              </w:rPr>
              <w:t xml:space="preserve">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0D994F18" w14:textId="77777777" w:rsidR="005525D5" w:rsidRPr="00E04887" w:rsidRDefault="005525D5" w:rsidP="005525D5">
            <w:pPr>
              <w:contextualSpacing/>
              <w:jc w:val="center"/>
              <w:rPr>
                <w:sz w:val="18"/>
                <w:szCs w:val="18"/>
              </w:rPr>
            </w:pPr>
            <w:r w:rsidRPr="0002298E">
              <w:rPr>
                <w:sz w:val="18"/>
                <w:szCs w:val="18"/>
              </w:rPr>
              <w:t>-0.36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4D7BFD65" w14:textId="77777777" w:rsidR="005525D5" w:rsidRPr="00E04887" w:rsidRDefault="005525D5" w:rsidP="005525D5">
            <w:pPr>
              <w:contextualSpacing/>
              <w:jc w:val="center"/>
              <w:rPr>
                <w:sz w:val="18"/>
                <w:szCs w:val="18"/>
              </w:rPr>
            </w:pPr>
            <w:r w:rsidRPr="0002298E">
              <w:rPr>
                <w:sz w:val="18"/>
                <w:szCs w:val="18"/>
              </w:rPr>
              <w:t>0.303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28B4F5F1" w14:textId="77777777" w:rsidR="005525D5" w:rsidRPr="002E2933" w:rsidRDefault="005525D5" w:rsidP="005525D5">
            <w:pPr>
              <w:contextualSpacing/>
              <w:jc w:val="center"/>
              <w:rPr>
                <w:sz w:val="18"/>
                <w:szCs w:val="18"/>
              </w:rPr>
            </w:pPr>
            <w:r w:rsidRPr="002E2933">
              <w:rPr>
                <w:sz w:val="18"/>
                <w:szCs w:val="18"/>
              </w:rPr>
              <w:t>-0.36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414BE7C2" w14:textId="77777777" w:rsidR="005525D5" w:rsidRPr="002E2933" w:rsidRDefault="005525D5" w:rsidP="005525D5">
            <w:pPr>
              <w:contextualSpacing/>
              <w:jc w:val="center"/>
              <w:rPr>
                <w:sz w:val="18"/>
                <w:szCs w:val="18"/>
              </w:rPr>
            </w:pPr>
            <w:r w:rsidRPr="002E2933">
              <w:rPr>
                <w:sz w:val="18"/>
                <w:szCs w:val="18"/>
              </w:rPr>
              <w:t>0.288</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1806C2B7" w14:textId="77777777" w:rsidR="005525D5" w:rsidRPr="00653753" w:rsidRDefault="005525D5" w:rsidP="005525D5">
            <w:pPr>
              <w:contextualSpacing/>
              <w:jc w:val="center"/>
              <w:rPr>
                <w:sz w:val="18"/>
                <w:szCs w:val="18"/>
              </w:rPr>
            </w:pPr>
            <w:r w:rsidRPr="00653753">
              <w:rPr>
                <w:sz w:val="18"/>
                <w:szCs w:val="18"/>
              </w:rPr>
              <w:t>-0.36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566893A9" w14:textId="77777777" w:rsidR="005525D5" w:rsidRPr="00653753" w:rsidRDefault="005525D5" w:rsidP="005525D5">
            <w:pPr>
              <w:contextualSpacing/>
              <w:jc w:val="center"/>
              <w:rPr>
                <w:sz w:val="18"/>
                <w:szCs w:val="18"/>
              </w:rPr>
            </w:pPr>
            <w:r w:rsidRPr="00653753">
              <w:rPr>
                <w:sz w:val="18"/>
                <w:szCs w:val="18"/>
              </w:rPr>
              <w:t>0.313</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04F5A88B" w14:textId="77777777" w:rsidR="005525D5" w:rsidRPr="000965AB" w:rsidRDefault="005525D5" w:rsidP="005525D5">
            <w:pPr>
              <w:contextualSpacing/>
              <w:jc w:val="center"/>
              <w:rPr>
                <w:sz w:val="18"/>
                <w:szCs w:val="18"/>
              </w:rPr>
            </w:pPr>
            <w:r w:rsidRPr="000965AB">
              <w:rPr>
                <w:sz w:val="18"/>
                <w:szCs w:val="18"/>
              </w:rPr>
              <w:t>1.53</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5F4F906B" w14:textId="77777777" w:rsidR="005525D5" w:rsidRPr="000965AB" w:rsidRDefault="005525D5" w:rsidP="005525D5">
            <w:pPr>
              <w:contextualSpacing/>
              <w:jc w:val="center"/>
              <w:rPr>
                <w:sz w:val="18"/>
                <w:szCs w:val="18"/>
              </w:rPr>
            </w:pPr>
            <w:r w:rsidRPr="000965AB">
              <w:rPr>
                <w:sz w:val="18"/>
                <w:szCs w:val="18"/>
              </w:rPr>
              <w:t>0.287</w:t>
            </w:r>
          </w:p>
        </w:tc>
      </w:tr>
      <w:tr w:rsidR="005525D5" w:rsidRPr="0067270C" w14:paraId="53B6291C"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4604E7B9" w14:textId="77777777" w:rsidR="005525D5" w:rsidRPr="0067270C"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hideMark/>
          </w:tcPr>
          <w:p w14:paraId="453A74AE" w14:textId="77777777" w:rsidR="005525D5" w:rsidRPr="0067270C" w:rsidRDefault="005525D5" w:rsidP="005525D5">
            <w:pPr>
              <w:contextualSpacing/>
              <w:rPr>
                <w:sz w:val="18"/>
                <w:szCs w:val="18"/>
              </w:rPr>
            </w:pPr>
            <w:r>
              <w:rPr>
                <w:sz w:val="18"/>
                <w:szCs w:val="18"/>
              </w:rPr>
              <w:t xml:space="preserve">Enrollment </w:t>
            </w:r>
            <w:r w:rsidRPr="0067270C">
              <w:rPr>
                <w:sz w:val="18"/>
                <w:szCs w:val="18"/>
              </w:rPr>
              <w:t>APACHE II</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6E9B1432" w14:textId="77777777" w:rsidR="005525D5" w:rsidRPr="00E04887" w:rsidRDefault="005525D5" w:rsidP="005525D5">
            <w:pPr>
              <w:contextualSpacing/>
              <w:jc w:val="center"/>
              <w:rPr>
                <w:sz w:val="18"/>
                <w:szCs w:val="18"/>
              </w:rPr>
            </w:pPr>
            <w:r>
              <w:rPr>
                <w:sz w:val="18"/>
                <w:szCs w:val="18"/>
              </w:rPr>
              <w:t>-</w:t>
            </w:r>
            <w:r w:rsidRPr="0002298E">
              <w:rPr>
                <w:sz w:val="18"/>
                <w:szCs w:val="18"/>
              </w:rPr>
              <w:t>0.00</w:t>
            </w:r>
            <w:r>
              <w:rPr>
                <w:sz w:val="18"/>
                <w:szCs w:val="18"/>
              </w:rPr>
              <w:t>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4E62ABF6" w14:textId="77777777" w:rsidR="005525D5" w:rsidRPr="00E04887" w:rsidRDefault="005525D5" w:rsidP="005525D5">
            <w:pPr>
              <w:contextualSpacing/>
              <w:jc w:val="center"/>
              <w:rPr>
                <w:sz w:val="18"/>
                <w:szCs w:val="18"/>
              </w:rPr>
            </w:pPr>
            <w:r w:rsidRPr="0002298E">
              <w:rPr>
                <w:sz w:val="18"/>
                <w:szCs w:val="18"/>
              </w:rPr>
              <w:t>0.784</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3A6BE87D" w14:textId="77777777" w:rsidR="005525D5" w:rsidRPr="002E2933" w:rsidRDefault="005525D5" w:rsidP="005525D5">
            <w:pPr>
              <w:contextualSpacing/>
              <w:jc w:val="center"/>
              <w:rPr>
                <w:sz w:val="18"/>
                <w:szCs w:val="18"/>
              </w:rPr>
            </w:pPr>
            <w:r w:rsidRPr="002E2933">
              <w:rPr>
                <w:sz w:val="18"/>
                <w:szCs w:val="18"/>
              </w:rPr>
              <w:t>-0.01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58C2E15E" w14:textId="77777777" w:rsidR="005525D5" w:rsidRPr="002E2933" w:rsidRDefault="005525D5" w:rsidP="005525D5">
            <w:pPr>
              <w:contextualSpacing/>
              <w:jc w:val="center"/>
              <w:rPr>
                <w:sz w:val="18"/>
                <w:szCs w:val="18"/>
              </w:rPr>
            </w:pPr>
            <w:r w:rsidRPr="002E2933">
              <w:rPr>
                <w:sz w:val="18"/>
                <w:szCs w:val="18"/>
              </w:rPr>
              <w:t>0.757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474CCACF" w14:textId="77777777" w:rsidR="005525D5" w:rsidRPr="00653753" w:rsidRDefault="005525D5" w:rsidP="005525D5">
            <w:pPr>
              <w:contextualSpacing/>
              <w:jc w:val="center"/>
              <w:rPr>
                <w:sz w:val="18"/>
                <w:szCs w:val="18"/>
              </w:rPr>
            </w:pPr>
            <w:r w:rsidRPr="00653753">
              <w:rPr>
                <w:sz w:val="18"/>
                <w:szCs w:val="18"/>
              </w:rPr>
              <w:t>-0.01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680D441C" w14:textId="77777777" w:rsidR="005525D5" w:rsidRPr="00653753" w:rsidRDefault="005525D5" w:rsidP="005525D5">
            <w:pPr>
              <w:contextualSpacing/>
              <w:jc w:val="center"/>
              <w:rPr>
                <w:sz w:val="18"/>
                <w:szCs w:val="18"/>
              </w:rPr>
            </w:pPr>
            <w:r w:rsidRPr="00653753">
              <w:rPr>
                <w:sz w:val="18"/>
                <w:szCs w:val="18"/>
              </w:rPr>
              <w:t>0.776</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5FFAC900" w14:textId="77777777" w:rsidR="005525D5" w:rsidRPr="000965AB" w:rsidRDefault="005525D5" w:rsidP="005525D5">
            <w:pPr>
              <w:contextualSpacing/>
              <w:jc w:val="center"/>
              <w:rPr>
                <w:sz w:val="18"/>
                <w:szCs w:val="18"/>
              </w:rPr>
            </w:pPr>
            <w:r w:rsidRPr="000965AB">
              <w:rPr>
                <w:sz w:val="18"/>
                <w:szCs w:val="18"/>
              </w:rPr>
              <w:t>0.92</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32FDF53E" w14:textId="77777777" w:rsidR="005525D5" w:rsidRPr="000965AB" w:rsidRDefault="005525D5" w:rsidP="005525D5">
            <w:pPr>
              <w:contextualSpacing/>
              <w:jc w:val="center"/>
              <w:rPr>
                <w:sz w:val="18"/>
                <w:szCs w:val="18"/>
                <w:vertAlign w:val="superscript"/>
              </w:rPr>
            </w:pPr>
            <w:r w:rsidRPr="000965AB">
              <w:rPr>
                <w:sz w:val="18"/>
                <w:szCs w:val="18"/>
              </w:rPr>
              <w:t>0.001</w:t>
            </w:r>
            <w:r>
              <w:rPr>
                <w:sz w:val="18"/>
                <w:szCs w:val="18"/>
              </w:rPr>
              <w:t>*</w:t>
            </w:r>
          </w:p>
        </w:tc>
      </w:tr>
      <w:tr w:rsidR="005525D5" w:rsidRPr="0067270C" w14:paraId="672EB2A7"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0E53EBFE" w14:textId="77777777" w:rsidR="005525D5" w:rsidRPr="0067270C"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hideMark/>
          </w:tcPr>
          <w:p w14:paraId="44913A6D" w14:textId="77777777" w:rsidR="005525D5" w:rsidRPr="0067270C" w:rsidRDefault="005525D5" w:rsidP="005525D5">
            <w:pPr>
              <w:contextualSpacing/>
              <w:rPr>
                <w:sz w:val="18"/>
                <w:szCs w:val="18"/>
              </w:rPr>
            </w:pPr>
            <w:r w:rsidRPr="0067270C">
              <w:rPr>
                <w:sz w:val="18"/>
                <w:szCs w:val="18"/>
              </w:rPr>
              <w:t>APACHE II score on the fifth day on mechanical ventilation</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127B488F" w14:textId="77777777" w:rsidR="005525D5" w:rsidRPr="00E04887" w:rsidRDefault="005525D5" w:rsidP="005525D5">
            <w:pPr>
              <w:contextualSpacing/>
              <w:jc w:val="center"/>
              <w:rPr>
                <w:sz w:val="18"/>
                <w:szCs w:val="18"/>
              </w:rPr>
            </w:pPr>
            <w:r w:rsidRPr="0002298E">
              <w:rPr>
                <w:sz w:val="18"/>
                <w:szCs w:val="18"/>
              </w:rPr>
              <w:t>-0.06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1E9B4B13" w14:textId="77777777" w:rsidR="005525D5" w:rsidRPr="00E04887" w:rsidRDefault="005525D5" w:rsidP="005525D5">
            <w:pPr>
              <w:contextualSpacing/>
              <w:jc w:val="center"/>
              <w:rPr>
                <w:sz w:val="18"/>
                <w:szCs w:val="18"/>
              </w:rPr>
            </w:pPr>
            <w:r>
              <w:rPr>
                <w:sz w:val="18"/>
                <w:szCs w:val="18"/>
              </w:rPr>
              <w:t>&lt;</w:t>
            </w:r>
            <w:r w:rsidRPr="0002298E">
              <w:rPr>
                <w:sz w:val="18"/>
                <w:szCs w:val="18"/>
              </w:rPr>
              <w:t>0.00</w:t>
            </w:r>
            <w:r>
              <w:rPr>
                <w:sz w:val="18"/>
                <w:szCs w:val="18"/>
              </w:rPr>
              <w:t>1*</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469BE96D" w14:textId="77777777" w:rsidR="005525D5" w:rsidRPr="002E2933" w:rsidRDefault="005525D5" w:rsidP="005525D5">
            <w:pPr>
              <w:contextualSpacing/>
              <w:jc w:val="center"/>
              <w:rPr>
                <w:sz w:val="18"/>
                <w:szCs w:val="18"/>
              </w:rPr>
            </w:pPr>
            <w:r w:rsidRPr="002E2933">
              <w:rPr>
                <w:sz w:val="18"/>
                <w:szCs w:val="18"/>
              </w:rPr>
              <w:t>-0.06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6656C60C" w14:textId="77777777" w:rsidR="005525D5" w:rsidRPr="002E2933" w:rsidRDefault="005525D5" w:rsidP="005525D5">
            <w:pPr>
              <w:contextualSpacing/>
              <w:jc w:val="center"/>
              <w:rPr>
                <w:sz w:val="18"/>
                <w:szCs w:val="18"/>
              </w:rPr>
            </w:pPr>
            <w:r>
              <w:rPr>
                <w:sz w:val="18"/>
                <w:szCs w:val="18"/>
              </w:rPr>
              <w:t>&lt;</w:t>
            </w:r>
            <w:r w:rsidRPr="002E2933">
              <w:rPr>
                <w:sz w:val="18"/>
                <w:szCs w:val="18"/>
              </w:rPr>
              <w:t>0.001</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29F8B731" w14:textId="77777777" w:rsidR="005525D5" w:rsidRPr="00653753" w:rsidRDefault="005525D5" w:rsidP="005525D5">
            <w:pPr>
              <w:contextualSpacing/>
              <w:jc w:val="center"/>
              <w:rPr>
                <w:sz w:val="18"/>
                <w:szCs w:val="18"/>
              </w:rPr>
            </w:pPr>
            <w:r w:rsidRPr="00653753">
              <w:rPr>
                <w:sz w:val="18"/>
                <w:szCs w:val="18"/>
              </w:rPr>
              <w:t>-0.06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45989DCE" w14:textId="77777777" w:rsidR="005525D5" w:rsidRPr="00653753" w:rsidRDefault="005525D5" w:rsidP="005525D5">
            <w:pPr>
              <w:contextualSpacing/>
              <w:jc w:val="center"/>
              <w:rPr>
                <w:sz w:val="18"/>
                <w:szCs w:val="18"/>
              </w:rPr>
            </w:pPr>
            <w:r>
              <w:rPr>
                <w:sz w:val="18"/>
                <w:szCs w:val="18"/>
              </w:rPr>
              <w:t>&lt;</w:t>
            </w:r>
            <w:r w:rsidRPr="00653753">
              <w:rPr>
                <w:sz w:val="18"/>
                <w:szCs w:val="18"/>
              </w:rPr>
              <w:t>0.00</w:t>
            </w:r>
            <w:r>
              <w:rPr>
                <w:sz w:val="18"/>
                <w:szCs w:val="18"/>
              </w:rPr>
              <w:t>1*</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0AEABADC" w14:textId="77777777" w:rsidR="005525D5" w:rsidRPr="000965AB" w:rsidRDefault="005525D5" w:rsidP="005525D5">
            <w:pPr>
              <w:contextualSpacing/>
              <w:jc w:val="center"/>
              <w:rPr>
                <w:sz w:val="18"/>
                <w:szCs w:val="18"/>
              </w:rPr>
            </w:pPr>
            <w:r w:rsidRPr="000965AB">
              <w:rPr>
                <w:sz w:val="18"/>
                <w:szCs w:val="18"/>
              </w:rPr>
              <w:t>0.89</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6A0F4749" w14:textId="77777777" w:rsidR="005525D5" w:rsidRPr="000965AB" w:rsidRDefault="005525D5" w:rsidP="005525D5">
            <w:pPr>
              <w:contextualSpacing/>
              <w:jc w:val="center"/>
              <w:rPr>
                <w:sz w:val="18"/>
                <w:szCs w:val="18"/>
                <w:vertAlign w:val="superscript"/>
              </w:rPr>
            </w:pPr>
            <w:r>
              <w:rPr>
                <w:sz w:val="18"/>
                <w:szCs w:val="18"/>
              </w:rPr>
              <w:t>&lt;</w:t>
            </w:r>
            <w:r w:rsidRPr="000965AB">
              <w:rPr>
                <w:sz w:val="18"/>
                <w:szCs w:val="18"/>
              </w:rPr>
              <w:t>0.00</w:t>
            </w:r>
            <w:r>
              <w:rPr>
                <w:sz w:val="18"/>
                <w:szCs w:val="18"/>
              </w:rPr>
              <w:t>1</w:t>
            </w:r>
          </w:p>
        </w:tc>
      </w:tr>
      <w:tr w:rsidR="005525D5" w:rsidRPr="0067270C" w14:paraId="50A3C0E7"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0588A988" w14:textId="77777777" w:rsidR="005525D5" w:rsidRPr="0067270C"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hideMark/>
          </w:tcPr>
          <w:p w14:paraId="66DC795B" w14:textId="77777777" w:rsidR="005525D5" w:rsidRPr="0067270C" w:rsidRDefault="005525D5" w:rsidP="005525D5">
            <w:pPr>
              <w:contextualSpacing/>
              <w:rPr>
                <w:sz w:val="18"/>
                <w:szCs w:val="18"/>
              </w:rPr>
            </w:pPr>
            <w:r>
              <w:rPr>
                <w:sz w:val="18"/>
                <w:szCs w:val="18"/>
              </w:rPr>
              <w:t>F</w:t>
            </w:r>
            <w:r w:rsidRPr="0067270C">
              <w:rPr>
                <w:sz w:val="18"/>
                <w:szCs w:val="18"/>
              </w:rPr>
              <w:t>ull code at enrollment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332885AE" w14:textId="77777777" w:rsidR="005525D5" w:rsidRPr="00E04887" w:rsidRDefault="005525D5" w:rsidP="005525D5">
            <w:pPr>
              <w:contextualSpacing/>
              <w:jc w:val="center"/>
              <w:rPr>
                <w:sz w:val="18"/>
                <w:szCs w:val="18"/>
              </w:rPr>
            </w:pPr>
            <w:r w:rsidRPr="0002298E">
              <w:rPr>
                <w:sz w:val="18"/>
                <w:szCs w:val="18"/>
              </w:rPr>
              <w:t>0.30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349D3416" w14:textId="77777777" w:rsidR="005525D5" w:rsidRPr="00E04887" w:rsidRDefault="005525D5" w:rsidP="005525D5">
            <w:pPr>
              <w:contextualSpacing/>
              <w:jc w:val="center"/>
              <w:rPr>
                <w:sz w:val="18"/>
                <w:szCs w:val="18"/>
              </w:rPr>
            </w:pPr>
            <w:r w:rsidRPr="0002298E">
              <w:rPr>
                <w:sz w:val="18"/>
                <w:szCs w:val="18"/>
              </w:rPr>
              <w:t>0.267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0DE3FB99" w14:textId="77777777" w:rsidR="005525D5" w:rsidRPr="002E2933" w:rsidRDefault="005525D5" w:rsidP="005525D5">
            <w:pPr>
              <w:contextualSpacing/>
              <w:jc w:val="center"/>
              <w:rPr>
                <w:sz w:val="18"/>
                <w:szCs w:val="18"/>
              </w:rPr>
            </w:pPr>
            <w:r w:rsidRPr="002E2933">
              <w:rPr>
                <w:sz w:val="18"/>
                <w:szCs w:val="18"/>
              </w:rPr>
              <w:t>0.28</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7E37DA9F" w14:textId="77777777" w:rsidR="005525D5" w:rsidRPr="002E2933" w:rsidRDefault="005525D5" w:rsidP="005525D5">
            <w:pPr>
              <w:contextualSpacing/>
              <w:jc w:val="center"/>
              <w:rPr>
                <w:sz w:val="18"/>
                <w:szCs w:val="18"/>
              </w:rPr>
            </w:pPr>
            <w:r w:rsidRPr="002E2933">
              <w:rPr>
                <w:sz w:val="18"/>
                <w:szCs w:val="18"/>
              </w:rPr>
              <w:t>0.295</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3FCAEEE3" w14:textId="77777777" w:rsidR="005525D5" w:rsidRPr="00653753" w:rsidRDefault="005525D5" w:rsidP="005525D5">
            <w:pPr>
              <w:contextualSpacing/>
              <w:jc w:val="center"/>
              <w:rPr>
                <w:sz w:val="18"/>
                <w:szCs w:val="18"/>
              </w:rPr>
            </w:pPr>
            <w:r w:rsidRPr="00653753">
              <w:rPr>
                <w:sz w:val="18"/>
                <w:szCs w:val="18"/>
              </w:rPr>
              <w:t>0.28</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673B4E4F" w14:textId="77777777" w:rsidR="005525D5" w:rsidRPr="00653753" w:rsidRDefault="005525D5" w:rsidP="005525D5">
            <w:pPr>
              <w:contextualSpacing/>
              <w:jc w:val="center"/>
              <w:rPr>
                <w:sz w:val="18"/>
                <w:szCs w:val="18"/>
              </w:rPr>
            </w:pPr>
            <w:r w:rsidRPr="00653753">
              <w:rPr>
                <w:sz w:val="18"/>
                <w:szCs w:val="18"/>
              </w:rPr>
              <w:t>0.314</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6938105A" w14:textId="77777777" w:rsidR="005525D5" w:rsidRPr="000965AB" w:rsidRDefault="005525D5" w:rsidP="005525D5">
            <w:pPr>
              <w:contextualSpacing/>
              <w:jc w:val="center"/>
              <w:rPr>
                <w:sz w:val="18"/>
                <w:szCs w:val="18"/>
              </w:rPr>
            </w:pPr>
            <w:r w:rsidRPr="000965AB">
              <w:rPr>
                <w:sz w:val="18"/>
                <w:szCs w:val="18"/>
              </w:rPr>
              <w:t>2.38</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6D83CDD" w14:textId="77777777" w:rsidR="005525D5" w:rsidRPr="000965AB" w:rsidRDefault="005525D5" w:rsidP="005525D5">
            <w:pPr>
              <w:contextualSpacing/>
              <w:jc w:val="center"/>
              <w:rPr>
                <w:sz w:val="18"/>
                <w:szCs w:val="18"/>
              </w:rPr>
            </w:pPr>
            <w:r w:rsidRPr="000965AB">
              <w:rPr>
                <w:sz w:val="18"/>
                <w:szCs w:val="18"/>
              </w:rPr>
              <w:t>0.030</w:t>
            </w:r>
            <w:r>
              <w:rPr>
                <w:sz w:val="18"/>
                <w:szCs w:val="18"/>
              </w:rPr>
              <w:t>*</w:t>
            </w:r>
          </w:p>
        </w:tc>
      </w:tr>
      <w:tr w:rsidR="005525D5" w:rsidRPr="0067270C" w14:paraId="5D9F9069"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352C36DC" w14:textId="77777777" w:rsidR="005525D5" w:rsidRPr="0067270C"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hideMark/>
          </w:tcPr>
          <w:p w14:paraId="7C4160B2" w14:textId="77777777" w:rsidR="005525D5" w:rsidRPr="0067270C" w:rsidRDefault="005525D5" w:rsidP="005525D5">
            <w:pPr>
              <w:contextualSpacing/>
              <w:rPr>
                <w:sz w:val="18"/>
                <w:szCs w:val="18"/>
              </w:rPr>
            </w:pPr>
            <w:r>
              <w:rPr>
                <w:sz w:val="18"/>
                <w:szCs w:val="18"/>
              </w:rPr>
              <w:t>A</w:t>
            </w:r>
            <w:r w:rsidRPr="0067270C">
              <w:rPr>
                <w:sz w:val="18"/>
                <w:szCs w:val="18"/>
              </w:rPr>
              <w:t>dmitted from home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73279781" w14:textId="77777777" w:rsidR="005525D5" w:rsidRPr="00E04887" w:rsidRDefault="005525D5" w:rsidP="005525D5">
            <w:pPr>
              <w:contextualSpacing/>
              <w:jc w:val="center"/>
              <w:rPr>
                <w:sz w:val="18"/>
                <w:szCs w:val="18"/>
              </w:rPr>
            </w:pPr>
            <w:r w:rsidRPr="0002298E">
              <w:rPr>
                <w:sz w:val="18"/>
                <w:szCs w:val="18"/>
              </w:rPr>
              <w:t>-0.12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50EC2008" w14:textId="77777777" w:rsidR="005525D5" w:rsidRPr="00E04887" w:rsidRDefault="005525D5" w:rsidP="005525D5">
            <w:pPr>
              <w:contextualSpacing/>
              <w:jc w:val="center"/>
              <w:rPr>
                <w:sz w:val="18"/>
                <w:szCs w:val="18"/>
              </w:rPr>
            </w:pPr>
            <w:r w:rsidRPr="0002298E">
              <w:rPr>
                <w:sz w:val="18"/>
                <w:szCs w:val="18"/>
              </w:rPr>
              <w:t>0.548</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0D95A99A" w14:textId="77777777" w:rsidR="005525D5" w:rsidRPr="002E2933" w:rsidRDefault="005525D5" w:rsidP="005525D5">
            <w:pPr>
              <w:contextualSpacing/>
              <w:jc w:val="center"/>
              <w:rPr>
                <w:sz w:val="18"/>
                <w:szCs w:val="18"/>
              </w:rPr>
            </w:pPr>
            <w:r w:rsidRPr="002E2933">
              <w:rPr>
                <w:sz w:val="18"/>
                <w:szCs w:val="18"/>
              </w:rPr>
              <w:t>-0.14</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4198327E" w14:textId="77777777" w:rsidR="005525D5" w:rsidRPr="002E2933" w:rsidRDefault="005525D5" w:rsidP="005525D5">
            <w:pPr>
              <w:contextualSpacing/>
              <w:jc w:val="center"/>
              <w:rPr>
                <w:sz w:val="18"/>
                <w:szCs w:val="18"/>
              </w:rPr>
            </w:pPr>
            <w:r w:rsidRPr="002E2933">
              <w:rPr>
                <w:sz w:val="18"/>
                <w:szCs w:val="18"/>
              </w:rPr>
              <w:t>0.473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06D5D26F" w14:textId="77777777" w:rsidR="005525D5" w:rsidRPr="00653753" w:rsidRDefault="005525D5" w:rsidP="005525D5">
            <w:pPr>
              <w:contextualSpacing/>
              <w:jc w:val="center"/>
              <w:rPr>
                <w:sz w:val="18"/>
                <w:szCs w:val="18"/>
              </w:rPr>
            </w:pPr>
            <w:r w:rsidRPr="00653753">
              <w:rPr>
                <w:sz w:val="18"/>
                <w:szCs w:val="18"/>
              </w:rPr>
              <w:t>-0.12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53F6AAD0" w14:textId="77777777" w:rsidR="005525D5" w:rsidRPr="00653753" w:rsidRDefault="005525D5" w:rsidP="005525D5">
            <w:pPr>
              <w:contextualSpacing/>
              <w:jc w:val="center"/>
              <w:rPr>
                <w:sz w:val="18"/>
                <w:szCs w:val="18"/>
              </w:rPr>
            </w:pPr>
            <w:r w:rsidRPr="00653753">
              <w:rPr>
                <w:sz w:val="18"/>
                <w:szCs w:val="18"/>
              </w:rPr>
              <w:t>0.562</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3903DA22" w14:textId="77777777" w:rsidR="005525D5" w:rsidRPr="000965AB" w:rsidRDefault="005525D5" w:rsidP="005525D5">
            <w:pPr>
              <w:contextualSpacing/>
              <w:jc w:val="center"/>
              <w:rPr>
                <w:sz w:val="18"/>
                <w:szCs w:val="18"/>
              </w:rPr>
            </w:pPr>
            <w:r w:rsidRPr="000965AB">
              <w:rPr>
                <w:sz w:val="18"/>
                <w:szCs w:val="18"/>
              </w:rPr>
              <w:t>1.17</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63D42BC2" w14:textId="77777777" w:rsidR="005525D5" w:rsidRPr="000965AB" w:rsidRDefault="005525D5" w:rsidP="005525D5">
            <w:pPr>
              <w:contextualSpacing/>
              <w:jc w:val="center"/>
              <w:rPr>
                <w:sz w:val="18"/>
                <w:szCs w:val="18"/>
              </w:rPr>
            </w:pPr>
            <w:r w:rsidRPr="000965AB">
              <w:rPr>
                <w:sz w:val="18"/>
                <w:szCs w:val="18"/>
              </w:rPr>
              <w:t>0.510</w:t>
            </w:r>
          </w:p>
        </w:tc>
      </w:tr>
      <w:tr w:rsidR="005525D5" w:rsidRPr="0067270C" w14:paraId="355882A2"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vAlign w:val="center"/>
          </w:tcPr>
          <w:p w14:paraId="4D73EB4E" w14:textId="77777777" w:rsidR="005525D5" w:rsidRPr="0067270C" w:rsidRDefault="005525D5" w:rsidP="005525D5">
            <w:pPr>
              <w:contextualSpacing/>
              <w:jc w:val="center"/>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hideMark/>
          </w:tcPr>
          <w:p w14:paraId="7316DD09" w14:textId="77777777" w:rsidR="005525D5" w:rsidRPr="0067270C" w:rsidRDefault="005525D5" w:rsidP="005525D5">
            <w:pPr>
              <w:contextualSpacing/>
              <w:rPr>
                <w:sz w:val="18"/>
                <w:szCs w:val="18"/>
              </w:rPr>
            </w:pPr>
            <w:r>
              <w:rPr>
                <w:sz w:val="18"/>
                <w:szCs w:val="18"/>
              </w:rPr>
              <w:t>A</w:t>
            </w:r>
            <w:r w:rsidRPr="0067270C">
              <w:rPr>
                <w:sz w:val="18"/>
                <w:szCs w:val="18"/>
              </w:rPr>
              <w:t>dmitted from an acute care facility</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4F2A89F8" w14:textId="77777777" w:rsidR="005525D5" w:rsidRPr="00E04887" w:rsidRDefault="005525D5" w:rsidP="005525D5">
            <w:pPr>
              <w:contextualSpacing/>
              <w:jc w:val="center"/>
              <w:rPr>
                <w:sz w:val="18"/>
                <w:szCs w:val="18"/>
              </w:rPr>
            </w:pPr>
            <w:r w:rsidRPr="0002298E">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2DFBD7EB" w14:textId="77777777" w:rsidR="005525D5" w:rsidRPr="00E04887" w:rsidRDefault="005525D5" w:rsidP="005525D5">
            <w:pPr>
              <w:contextualSpacing/>
              <w:jc w:val="center"/>
              <w:rPr>
                <w:sz w:val="18"/>
                <w:szCs w:val="18"/>
              </w:rPr>
            </w:pPr>
            <w:r w:rsidRPr="0002298E">
              <w:rPr>
                <w:sz w:val="18"/>
                <w:szCs w:val="18"/>
              </w:rPr>
              <w:t>0.866</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319730A2" w14:textId="77777777" w:rsidR="005525D5" w:rsidRPr="002E2933" w:rsidRDefault="005525D5" w:rsidP="005525D5">
            <w:pPr>
              <w:contextualSpacing/>
              <w:jc w:val="center"/>
              <w:rPr>
                <w:sz w:val="18"/>
                <w:szCs w:val="18"/>
              </w:rPr>
            </w:pPr>
            <w:r w:rsidRPr="002E2933">
              <w:rPr>
                <w:sz w:val="18"/>
                <w:szCs w:val="18"/>
              </w:rPr>
              <w:t>0.07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10317DA9" w14:textId="77777777" w:rsidR="005525D5" w:rsidRPr="002E2933" w:rsidRDefault="005525D5" w:rsidP="005525D5">
            <w:pPr>
              <w:contextualSpacing/>
              <w:jc w:val="center"/>
              <w:rPr>
                <w:sz w:val="18"/>
                <w:szCs w:val="18"/>
              </w:rPr>
            </w:pPr>
            <w:r w:rsidRPr="002E2933">
              <w:rPr>
                <w:sz w:val="18"/>
                <w:szCs w:val="18"/>
              </w:rPr>
              <w:t>0.730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hideMark/>
          </w:tcPr>
          <w:p w14:paraId="55AE88D2" w14:textId="77777777" w:rsidR="005525D5" w:rsidRPr="00653753" w:rsidRDefault="005525D5" w:rsidP="005525D5">
            <w:pPr>
              <w:contextualSpacing/>
              <w:jc w:val="center"/>
              <w:rPr>
                <w:sz w:val="18"/>
                <w:szCs w:val="18"/>
              </w:rPr>
            </w:pPr>
            <w:r w:rsidRPr="00653753">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hideMark/>
          </w:tcPr>
          <w:p w14:paraId="23C3C49F" w14:textId="77777777" w:rsidR="005525D5" w:rsidRPr="00653753" w:rsidRDefault="005525D5" w:rsidP="005525D5">
            <w:pPr>
              <w:contextualSpacing/>
              <w:jc w:val="center"/>
              <w:rPr>
                <w:sz w:val="18"/>
                <w:szCs w:val="18"/>
              </w:rPr>
            </w:pPr>
            <w:r w:rsidRPr="00653753">
              <w:rPr>
                <w:sz w:val="18"/>
                <w:szCs w:val="18"/>
              </w:rPr>
              <w:t>0.879</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285AC38E" w14:textId="77777777" w:rsidR="005525D5" w:rsidRPr="000965AB" w:rsidRDefault="005525D5" w:rsidP="005525D5">
            <w:pPr>
              <w:contextualSpacing/>
              <w:jc w:val="center"/>
              <w:rPr>
                <w:sz w:val="18"/>
                <w:szCs w:val="18"/>
              </w:rPr>
            </w:pPr>
            <w:r w:rsidRPr="000965AB">
              <w:rPr>
                <w:sz w:val="18"/>
                <w:szCs w:val="18"/>
              </w:rPr>
              <w:t>0.99</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3D0CF67A" w14:textId="77777777" w:rsidR="005525D5" w:rsidRPr="000965AB" w:rsidRDefault="005525D5" w:rsidP="005525D5">
            <w:pPr>
              <w:contextualSpacing/>
              <w:jc w:val="center"/>
              <w:rPr>
                <w:sz w:val="18"/>
                <w:szCs w:val="18"/>
              </w:rPr>
            </w:pPr>
            <w:r w:rsidRPr="000965AB">
              <w:rPr>
                <w:sz w:val="18"/>
                <w:szCs w:val="18"/>
              </w:rPr>
              <w:t>0.981</w:t>
            </w:r>
          </w:p>
        </w:tc>
      </w:tr>
      <w:tr w:rsidR="005525D5" w:rsidRPr="0067270C" w14:paraId="29D78FBF" w14:textId="77777777" w:rsidTr="005525D5">
        <w:trPr>
          <w:trHeight w:val="288"/>
        </w:trPr>
        <w:tc>
          <w:tcPr>
            <w:tcW w:w="990" w:type="dxa"/>
            <w:tcBorders>
              <w:top w:val="single" w:sz="4" w:space="0" w:color="auto"/>
              <w:left w:val="nil"/>
              <w:bottom w:val="single" w:sz="4" w:space="0" w:color="BFBFBF" w:themeColor="background1" w:themeShade="BF"/>
              <w:right w:val="nil"/>
            </w:tcBorders>
            <w:vAlign w:val="center"/>
          </w:tcPr>
          <w:p w14:paraId="1F98524D" w14:textId="77777777" w:rsidR="005525D5" w:rsidRPr="0067270C" w:rsidRDefault="005525D5" w:rsidP="005525D5">
            <w:pPr>
              <w:contextualSpacing/>
              <w:jc w:val="center"/>
              <w:rPr>
                <w:sz w:val="18"/>
                <w:szCs w:val="18"/>
              </w:rPr>
            </w:pPr>
            <w:r>
              <w:rPr>
                <w:sz w:val="18"/>
                <w:szCs w:val="18"/>
              </w:rPr>
              <w:t>Surrogate</w:t>
            </w:r>
          </w:p>
        </w:tc>
        <w:tc>
          <w:tcPr>
            <w:tcW w:w="2037" w:type="dxa"/>
            <w:tcBorders>
              <w:top w:val="single" w:sz="4" w:space="0" w:color="auto"/>
              <w:left w:val="nil"/>
              <w:bottom w:val="single" w:sz="4" w:space="0" w:color="BFBFBF" w:themeColor="background1" w:themeShade="BF"/>
              <w:right w:val="nil"/>
            </w:tcBorders>
            <w:noWrap/>
            <w:vAlign w:val="center"/>
          </w:tcPr>
          <w:p w14:paraId="319A1875" w14:textId="77777777" w:rsidR="005525D5" w:rsidRPr="0067270C" w:rsidRDefault="005525D5" w:rsidP="005525D5">
            <w:pPr>
              <w:contextualSpacing/>
              <w:rPr>
                <w:sz w:val="18"/>
                <w:szCs w:val="18"/>
              </w:rPr>
            </w:pPr>
            <w:r>
              <w:rPr>
                <w:sz w:val="18"/>
                <w:szCs w:val="18"/>
              </w:rPr>
              <w:t>Age</w:t>
            </w:r>
          </w:p>
        </w:tc>
        <w:tc>
          <w:tcPr>
            <w:tcW w:w="1240" w:type="dxa"/>
            <w:tcBorders>
              <w:top w:val="single" w:sz="4" w:space="0" w:color="auto"/>
              <w:left w:val="nil"/>
              <w:bottom w:val="single" w:sz="4" w:space="0" w:color="BFBFBF" w:themeColor="background1" w:themeShade="BF"/>
              <w:right w:val="nil"/>
            </w:tcBorders>
            <w:noWrap/>
            <w:vAlign w:val="center"/>
          </w:tcPr>
          <w:p w14:paraId="7FA91B17" w14:textId="77777777" w:rsidR="005525D5" w:rsidRPr="00E04887" w:rsidRDefault="005525D5" w:rsidP="005525D5">
            <w:pPr>
              <w:contextualSpacing/>
              <w:jc w:val="center"/>
              <w:rPr>
                <w:sz w:val="18"/>
                <w:szCs w:val="18"/>
              </w:rPr>
            </w:pPr>
            <w:r w:rsidRPr="0002298E">
              <w:rPr>
                <w:sz w:val="18"/>
                <w:szCs w:val="18"/>
              </w:rPr>
              <w:t>0.01</w:t>
            </w:r>
          </w:p>
        </w:tc>
        <w:tc>
          <w:tcPr>
            <w:tcW w:w="806" w:type="dxa"/>
            <w:tcBorders>
              <w:top w:val="single" w:sz="4" w:space="0" w:color="auto"/>
              <w:left w:val="nil"/>
              <w:bottom w:val="single" w:sz="4" w:space="0" w:color="BFBFBF" w:themeColor="background1" w:themeShade="BF"/>
              <w:right w:val="nil"/>
            </w:tcBorders>
            <w:noWrap/>
            <w:vAlign w:val="center"/>
          </w:tcPr>
          <w:p w14:paraId="1581325A" w14:textId="77777777" w:rsidR="005525D5" w:rsidRPr="00E04887" w:rsidRDefault="005525D5" w:rsidP="005525D5">
            <w:pPr>
              <w:contextualSpacing/>
              <w:jc w:val="center"/>
              <w:rPr>
                <w:sz w:val="18"/>
                <w:szCs w:val="18"/>
              </w:rPr>
            </w:pPr>
            <w:r w:rsidRPr="0002298E">
              <w:rPr>
                <w:sz w:val="18"/>
                <w:szCs w:val="18"/>
              </w:rPr>
              <w:t>0.139</w:t>
            </w:r>
            <w:r>
              <w:rPr>
                <w:sz w:val="18"/>
                <w:szCs w:val="18"/>
              </w:rPr>
              <w:t>*</w:t>
            </w:r>
          </w:p>
        </w:tc>
        <w:tc>
          <w:tcPr>
            <w:tcW w:w="1240" w:type="dxa"/>
            <w:tcBorders>
              <w:top w:val="single" w:sz="4" w:space="0" w:color="auto"/>
              <w:left w:val="nil"/>
              <w:bottom w:val="single" w:sz="4" w:space="0" w:color="BFBFBF" w:themeColor="background1" w:themeShade="BF"/>
              <w:right w:val="nil"/>
            </w:tcBorders>
            <w:noWrap/>
            <w:vAlign w:val="center"/>
          </w:tcPr>
          <w:p w14:paraId="187556E0" w14:textId="77777777" w:rsidR="005525D5" w:rsidRPr="002E2933" w:rsidRDefault="005525D5" w:rsidP="005525D5">
            <w:pPr>
              <w:contextualSpacing/>
              <w:jc w:val="center"/>
              <w:rPr>
                <w:sz w:val="18"/>
                <w:szCs w:val="18"/>
              </w:rPr>
            </w:pPr>
            <w:r w:rsidRPr="002E2933">
              <w:rPr>
                <w:sz w:val="18"/>
                <w:szCs w:val="18"/>
              </w:rPr>
              <w:t>0.01</w:t>
            </w:r>
          </w:p>
        </w:tc>
        <w:tc>
          <w:tcPr>
            <w:tcW w:w="806" w:type="dxa"/>
            <w:tcBorders>
              <w:top w:val="single" w:sz="4" w:space="0" w:color="auto"/>
              <w:left w:val="nil"/>
              <w:bottom w:val="single" w:sz="4" w:space="0" w:color="BFBFBF" w:themeColor="background1" w:themeShade="BF"/>
              <w:right w:val="nil"/>
            </w:tcBorders>
            <w:noWrap/>
            <w:vAlign w:val="center"/>
          </w:tcPr>
          <w:p w14:paraId="6892A158" w14:textId="77777777" w:rsidR="005525D5" w:rsidRPr="002E2933" w:rsidRDefault="005525D5" w:rsidP="005525D5">
            <w:pPr>
              <w:contextualSpacing/>
              <w:jc w:val="center"/>
              <w:rPr>
                <w:sz w:val="18"/>
                <w:szCs w:val="18"/>
              </w:rPr>
            </w:pPr>
            <w:r w:rsidRPr="002E2933">
              <w:rPr>
                <w:sz w:val="18"/>
                <w:szCs w:val="18"/>
              </w:rPr>
              <w:t>0.136</w:t>
            </w:r>
            <w:r>
              <w:rPr>
                <w:sz w:val="18"/>
                <w:szCs w:val="18"/>
              </w:rPr>
              <w:t>*</w:t>
            </w:r>
          </w:p>
        </w:tc>
        <w:tc>
          <w:tcPr>
            <w:tcW w:w="1240" w:type="dxa"/>
            <w:tcBorders>
              <w:top w:val="single" w:sz="4" w:space="0" w:color="auto"/>
              <w:left w:val="nil"/>
              <w:bottom w:val="single" w:sz="4" w:space="0" w:color="BFBFBF" w:themeColor="background1" w:themeShade="BF"/>
              <w:right w:val="nil"/>
            </w:tcBorders>
            <w:noWrap/>
            <w:vAlign w:val="center"/>
          </w:tcPr>
          <w:p w14:paraId="5C44A23B" w14:textId="77777777" w:rsidR="005525D5" w:rsidRPr="00653753" w:rsidRDefault="005525D5" w:rsidP="005525D5">
            <w:pPr>
              <w:contextualSpacing/>
              <w:jc w:val="center"/>
              <w:rPr>
                <w:sz w:val="18"/>
                <w:szCs w:val="18"/>
              </w:rPr>
            </w:pPr>
            <w:r w:rsidRPr="00653753">
              <w:rPr>
                <w:sz w:val="18"/>
                <w:szCs w:val="18"/>
              </w:rPr>
              <w:t>0.01</w:t>
            </w:r>
          </w:p>
        </w:tc>
        <w:tc>
          <w:tcPr>
            <w:tcW w:w="806" w:type="dxa"/>
            <w:tcBorders>
              <w:top w:val="single" w:sz="4" w:space="0" w:color="auto"/>
              <w:left w:val="nil"/>
              <w:bottom w:val="single" w:sz="4" w:space="0" w:color="BFBFBF" w:themeColor="background1" w:themeShade="BF"/>
              <w:right w:val="nil"/>
            </w:tcBorders>
            <w:noWrap/>
            <w:vAlign w:val="center"/>
          </w:tcPr>
          <w:p w14:paraId="5010958A" w14:textId="77777777" w:rsidR="005525D5" w:rsidRPr="00653753" w:rsidRDefault="005525D5" w:rsidP="005525D5">
            <w:pPr>
              <w:contextualSpacing/>
              <w:jc w:val="center"/>
              <w:rPr>
                <w:sz w:val="18"/>
                <w:szCs w:val="18"/>
              </w:rPr>
            </w:pPr>
            <w:r w:rsidRPr="00653753">
              <w:rPr>
                <w:sz w:val="18"/>
                <w:szCs w:val="18"/>
              </w:rPr>
              <w:t>0.142</w:t>
            </w:r>
            <w:r>
              <w:rPr>
                <w:sz w:val="18"/>
                <w:szCs w:val="18"/>
              </w:rPr>
              <w:t>*</w:t>
            </w:r>
          </w:p>
        </w:tc>
        <w:tc>
          <w:tcPr>
            <w:tcW w:w="1275" w:type="dxa"/>
            <w:tcBorders>
              <w:top w:val="single" w:sz="4" w:space="0" w:color="auto"/>
              <w:left w:val="nil"/>
              <w:bottom w:val="single" w:sz="4" w:space="0" w:color="BFBFBF" w:themeColor="background1" w:themeShade="BF"/>
              <w:right w:val="nil"/>
            </w:tcBorders>
            <w:vAlign w:val="center"/>
          </w:tcPr>
          <w:p w14:paraId="27459C63" w14:textId="77777777" w:rsidR="005525D5" w:rsidRPr="000965AB" w:rsidRDefault="005525D5" w:rsidP="005525D5">
            <w:pPr>
              <w:contextualSpacing/>
              <w:jc w:val="center"/>
              <w:rPr>
                <w:sz w:val="18"/>
                <w:szCs w:val="18"/>
              </w:rPr>
            </w:pPr>
            <w:r w:rsidRPr="000965AB">
              <w:rPr>
                <w:sz w:val="18"/>
                <w:szCs w:val="18"/>
              </w:rPr>
              <w:t>0.99</w:t>
            </w:r>
          </w:p>
        </w:tc>
        <w:tc>
          <w:tcPr>
            <w:tcW w:w="810" w:type="dxa"/>
            <w:tcBorders>
              <w:top w:val="single" w:sz="4" w:space="0" w:color="auto"/>
              <w:left w:val="nil"/>
              <w:bottom w:val="single" w:sz="4" w:space="0" w:color="BFBFBF" w:themeColor="background1" w:themeShade="BF"/>
              <w:right w:val="nil"/>
            </w:tcBorders>
            <w:vAlign w:val="center"/>
          </w:tcPr>
          <w:p w14:paraId="348D3FDB" w14:textId="77777777" w:rsidR="005525D5" w:rsidRPr="000965AB" w:rsidRDefault="005525D5" w:rsidP="005525D5">
            <w:pPr>
              <w:contextualSpacing/>
              <w:jc w:val="center"/>
              <w:rPr>
                <w:sz w:val="18"/>
                <w:szCs w:val="18"/>
              </w:rPr>
            </w:pPr>
            <w:r w:rsidRPr="000965AB">
              <w:rPr>
                <w:sz w:val="18"/>
                <w:szCs w:val="18"/>
              </w:rPr>
              <w:t>0.388</w:t>
            </w:r>
          </w:p>
        </w:tc>
      </w:tr>
      <w:tr w:rsidR="005525D5" w:rsidRPr="0067270C" w14:paraId="3BE291F5"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4DB26E66"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51421AFE" w14:textId="77777777" w:rsidR="005525D5" w:rsidRPr="0067270C" w:rsidRDefault="005525D5" w:rsidP="005525D5">
            <w:pPr>
              <w:contextualSpacing/>
              <w:rPr>
                <w:sz w:val="18"/>
                <w:szCs w:val="18"/>
              </w:rPr>
            </w:pPr>
            <w:r>
              <w:rPr>
                <w:sz w:val="18"/>
                <w:szCs w:val="18"/>
              </w:rPr>
              <w:t>M</w:t>
            </w:r>
            <w:r w:rsidRPr="0067270C">
              <w:rPr>
                <w:sz w:val="18"/>
                <w:szCs w:val="18"/>
              </w:rPr>
              <w:t>ale</w:t>
            </w:r>
            <w:r>
              <w:rPr>
                <w:sz w:val="18"/>
                <w:szCs w:val="18"/>
              </w:rPr>
              <w:t xml:space="preserve"> (vs. female)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012573D" w14:textId="77777777" w:rsidR="005525D5" w:rsidRPr="00E04887" w:rsidRDefault="005525D5" w:rsidP="005525D5">
            <w:pPr>
              <w:contextualSpacing/>
              <w:jc w:val="center"/>
              <w:rPr>
                <w:sz w:val="18"/>
                <w:szCs w:val="18"/>
              </w:rPr>
            </w:pPr>
            <w:r w:rsidRPr="0002298E">
              <w:rPr>
                <w:sz w:val="18"/>
                <w:szCs w:val="18"/>
              </w:rPr>
              <w:t>0.29</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AA9BE9E" w14:textId="77777777" w:rsidR="005525D5" w:rsidRPr="00E04887" w:rsidRDefault="005525D5" w:rsidP="005525D5">
            <w:pPr>
              <w:contextualSpacing/>
              <w:jc w:val="center"/>
              <w:rPr>
                <w:sz w:val="18"/>
                <w:szCs w:val="18"/>
              </w:rPr>
            </w:pPr>
            <w:r w:rsidRPr="0002298E">
              <w:rPr>
                <w:sz w:val="18"/>
                <w:szCs w:val="18"/>
              </w:rPr>
              <w:t>0.197</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D0265D4" w14:textId="77777777" w:rsidR="005525D5" w:rsidRPr="002E2933" w:rsidRDefault="005525D5" w:rsidP="005525D5">
            <w:pPr>
              <w:contextualSpacing/>
              <w:jc w:val="center"/>
              <w:rPr>
                <w:sz w:val="18"/>
                <w:szCs w:val="18"/>
              </w:rPr>
            </w:pPr>
            <w:r w:rsidRPr="002E2933">
              <w:rPr>
                <w:sz w:val="18"/>
                <w:szCs w:val="18"/>
              </w:rPr>
              <w:t>0.32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00932DB" w14:textId="77777777" w:rsidR="005525D5" w:rsidRPr="002E2933" w:rsidRDefault="005525D5" w:rsidP="005525D5">
            <w:pPr>
              <w:contextualSpacing/>
              <w:jc w:val="center"/>
              <w:rPr>
                <w:sz w:val="18"/>
                <w:szCs w:val="18"/>
              </w:rPr>
            </w:pPr>
            <w:r w:rsidRPr="002E2933">
              <w:rPr>
                <w:sz w:val="18"/>
                <w:szCs w:val="18"/>
              </w:rPr>
              <w:t>0.151</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BF0E848" w14:textId="77777777" w:rsidR="005525D5" w:rsidRPr="00653753" w:rsidRDefault="005525D5" w:rsidP="005525D5">
            <w:pPr>
              <w:contextualSpacing/>
              <w:jc w:val="center"/>
              <w:rPr>
                <w:sz w:val="18"/>
                <w:szCs w:val="18"/>
              </w:rPr>
            </w:pPr>
            <w:r w:rsidRPr="00653753">
              <w:rPr>
                <w:sz w:val="18"/>
                <w:szCs w:val="18"/>
              </w:rPr>
              <w:t>0.30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40BDB23" w14:textId="77777777" w:rsidR="005525D5" w:rsidRPr="00653753" w:rsidRDefault="005525D5" w:rsidP="005525D5">
            <w:pPr>
              <w:contextualSpacing/>
              <w:jc w:val="center"/>
              <w:rPr>
                <w:sz w:val="18"/>
                <w:szCs w:val="18"/>
              </w:rPr>
            </w:pPr>
            <w:r w:rsidRPr="00653753">
              <w:rPr>
                <w:sz w:val="18"/>
                <w:szCs w:val="18"/>
              </w:rPr>
              <w:t>0.193</w:t>
            </w:r>
            <w:r>
              <w:rPr>
                <w:sz w:val="18"/>
                <w:szCs w:val="18"/>
              </w:rPr>
              <w:t>*</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5E2A468" w14:textId="77777777" w:rsidR="005525D5" w:rsidRPr="000965AB" w:rsidRDefault="005525D5" w:rsidP="005525D5">
            <w:pPr>
              <w:contextualSpacing/>
              <w:jc w:val="center"/>
              <w:rPr>
                <w:sz w:val="18"/>
                <w:szCs w:val="18"/>
              </w:rPr>
            </w:pPr>
            <w:r w:rsidRPr="000965AB">
              <w:rPr>
                <w:sz w:val="18"/>
                <w:szCs w:val="18"/>
              </w:rPr>
              <w:t>1.24</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2CA09B1" w14:textId="77777777" w:rsidR="005525D5" w:rsidRPr="000965AB" w:rsidRDefault="005525D5" w:rsidP="005525D5">
            <w:pPr>
              <w:contextualSpacing/>
              <w:jc w:val="center"/>
              <w:rPr>
                <w:sz w:val="18"/>
                <w:szCs w:val="18"/>
              </w:rPr>
            </w:pPr>
            <w:r w:rsidRPr="000965AB">
              <w:rPr>
                <w:sz w:val="18"/>
                <w:szCs w:val="18"/>
              </w:rPr>
              <w:t>0.427</w:t>
            </w:r>
          </w:p>
        </w:tc>
      </w:tr>
      <w:tr w:rsidR="005525D5" w:rsidRPr="0067270C" w14:paraId="36B8C04B"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7E0648DB"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5225E621" w14:textId="77777777" w:rsidR="005525D5" w:rsidRPr="0067270C" w:rsidRDefault="005525D5" w:rsidP="005525D5">
            <w:pPr>
              <w:contextualSpacing/>
              <w:rPr>
                <w:sz w:val="18"/>
                <w:szCs w:val="18"/>
              </w:rPr>
            </w:pPr>
            <w:r>
              <w:rPr>
                <w:sz w:val="18"/>
                <w:szCs w:val="18"/>
              </w:rPr>
              <w:t>Race: non-Hispanic white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2FA6179" w14:textId="77777777" w:rsidR="005525D5" w:rsidRPr="00E04887" w:rsidRDefault="005525D5" w:rsidP="005525D5">
            <w:pPr>
              <w:contextualSpacing/>
              <w:jc w:val="center"/>
              <w:rPr>
                <w:sz w:val="18"/>
                <w:szCs w:val="18"/>
              </w:rPr>
            </w:pPr>
            <w:r w:rsidRPr="0002298E">
              <w:rPr>
                <w:sz w:val="18"/>
                <w:szCs w:val="18"/>
              </w:rPr>
              <w:t>0.00</w:t>
            </w:r>
            <w:r>
              <w:rPr>
                <w:sz w:val="18"/>
                <w:szCs w:val="18"/>
              </w:rPr>
              <w:t>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A7A1E7F" w14:textId="77777777" w:rsidR="005525D5" w:rsidRPr="00E04887" w:rsidRDefault="005525D5" w:rsidP="005525D5">
            <w:pPr>
              <w:contextualSpacing/>
              <w:jc w:val="center"/>
              <w:rPr>
                <w:sz w:val="18"/>
                <w:szCs w:val="18"/>
              </w:rPr>
            </w:pPr>
            <w:r w:rsidRPr="0002298E">
              <w:rPr>
                <w:sz w:val="18"/>
                <w:szCs w:val="18"/>
              </w:rPr>
              <w:t>0.992</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9F0C92D" w14:textId="77777777" w:rsidR="005525D5" w:rsidRPr="002E2933" w:rsidRDefault="005525D5" w:rsidP="005525D5">
            <w:pPr>
              <w:contextualSpacing/>
              <w:jc w:val="center"/>
              <w:rPr>
                <w:sz w:val="18"/>
                <w:szCs w:val="18"/>
              </w:rPr>
            </w:pPr>
            <w:r w:rsidRPr="002E2933">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562916D" w14:textId="77777777" w:rsidR="005525D5" w:rsidRPr="002E2933" w:rsidRDefault="005525D5" w:rsidP="005525D5">
            <w:pPr>
              <w:contextualSpacing/>
              <w:jc w:val="center"/>
              <w:rPr>
                <w:sz w:val="18"/>
                <w:szCs w:val="18"/>
              </w:rPr>
            </w:pPr>
            <w:r w:rsidRPr="002E2933">
              <w:rPr>
                <w:sz w:val="18"/>
                <w:szCs w:val="18"/>
              </w:rPr>
              <w:t>0.841</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171C06B" w14:textId="77777777" w:rsidR="005525D5" w:rsidRPr="00653753" w:rsidRDefault="005525D5" w:rsidP="005525D5">
            <w:pPr>
              <w:contextualSpacing/>
              <w:jc w:val="center"/>
              <w:rPr>
                <w:sz w:val="18"/>
                <w:szCs w:val="18"/>
              </w:rPr>
            </w:pPr>
            <w:r w:rsidRPr="0065375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3EF76BB" w14:textId="77777777" w:rsidR="005525D5" w:rsidRPr="00653753" w:rsidRDefault="005525D5" w:rsidP="005525D5">
            <w:pPr>
              <w:contextualSpacing/>
              <w:jc w:val="center"/>
              <w:rPr>
                <w:sz w:val="18"/>
                <w:szCs w:val="18"/>
              </w:rPr>
            </w:pPr>
            <w:r w:rsidRPr="00653753">
              <w:rPr>
                <w:sz w:val="18"/>
                <w:szCs w:val="18"/>
              </w:rPr>
              <w:t>0.941</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14AA9DB5" w14:textId="77777777" w:rsidR="005525D5" w:rsidRPr="000965AB" w:rsidRDefault="005525D5" w:rsidP="005525D5">
            <w:pPr>
              <w:contextualSpacing/>
              <w:jc w:val="center"/>
              <w:rPr>
                <w:sz w:val="18"/>
                <w:szCs w:val="18"/>
              </w:rPr>
            </w:pPr>
            <w:r w:rsidRPr="000965AB">
              <w:rPr>
                <w:sz w:val="18"/>
                <w:szCs w:val="18"/>
              </w:rPr>
              <w:t>0.99</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7070E972" w14:textId="77777777" w:rsidR="005525D5" w:rsidRPr="000965AB" w:rsidRDefault="005525D5" w:rsidP="005525D5">
            <w:pPr>
              <w:contextualSpacing/>
              <w:jc w:val="center"/>
              <w:rPr>
                <w:sz w:val="18"/>
                <w:szCs w:val="18"/>
              </w:rPr>
            </w:pPr>
            <w:r w:rsidRPr="000965AB">
              <w:rPr>
                <w:sz w:val="18"/>
                <w:szCs w:val="18"/>
              </w:rPr>
              <w:t>0.968</w:t>
            </w:r>
          </w:p>
        </w:tc>
      </w:tr>
      <w:tr w:rsidR="005525D5" w:rsidRPr="0067270C" w14:paraId="6C963C38"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68B5CF4A"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21DE461E" w14:textId="77777777" w:rsidR="005525D5" w:rsidRPr="0067270C" w:rsidRDefault="005525D5" w:rsidP="005525D5">
            <w:pPr>
              <w:contextualSpacing/>
              <w:rPr>
                <w:sz w:val="18"/>
                <w:szCs w:val="18"/>
              </w:rPr>
            </w:pPr>
            <w:r>
              <w:rPr>
                <w:sz w:val="18"/>
                <w:szCs w:val="18"/>
              </w:rPr>
              <w:t xml:space="preserve">Race: </w:t>
            </w:r>
            <w:r w:rsidRPr="0067270C">
              <w:rPr>
                <w:sz w:val="18"/>
                <w:szCs w:val="18"/>
              </w:rPr>
              <w:t>non-Hispanic black</w:t>
            </w:r>
            <w:r>
              <w:rPr>
                <w:sz w:val="18"/>
                <w:szCs w:val="18"/>
              </w:rPr>
              <w:t xml:space="preserve"> vs. other</w:t>
            </w:r>
            <w:r w:rsidRPr="0067270C">
              <w:rPr>
                <w:sz w:val="18"/>
                <w:szCs w:val="18"/>
              </w:rPr>
              <w:t xml:space="preserve"> </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734A684" w14:textId="77777777" w:rsidR="005525D5" w:rsidRPr="00E04887" w:rsidRDefault="005525D5" w:rsidP="005525D5">
            <w:pPr>
              <w:contextualSpacing/>
              <w:jc w:val="center"/>
              <w:rPr>
                <w:sz w:val="18"/>
                <w:szCs w:val="18"/>
              </w:rPr>
            </w:pPr>
            <w:r w:rsidRPr="0002298E">
              <w:rPr>
                <w:sz w:val="18"/>
                <w:szCs w:val="18"/>
              </w:rPr>
              <w:t>-0.46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9E509F1" w14:textId="77777777" w:rsidR="005525D5" w:rsidRPr="00E04887" w:rsidRDefault="005525D5" w:rsidP="005525D5">
            <w:pPr>
              <w:contextualSpacing/>
              <w:jc w:val="center"/>
              <w:rPr>
                <w:sz w:val="18"/>
                <w:szCs w:val="18"/>
              </w:rPr>
            </w:pPr>
            <w:r w:rsidRPr="0002298E">
              <w:rPr>
                <w:sz w:val="18"/>
                <w:szCs w:val="18"/>
              </w:rPr>
              <w:t>0.212</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2BB4349" w14:textId="77777777" w:rsidR="005525D5" w:rsidRPr="002E2933" w:rsidRDefault="005525D5" w:rsidP="005525D5">
            <w:pPr>
              <w:contextualSpacing/>
              <w:jc w:val="center"/>
              <w:rPr>
                <w:sz w:val="18"/>
                <w:szCs w:val="18"/>
              </w:rPr>
            </w:pPr>
            <w:r w:rsidRPr="002E2933">
              <w:rPr>
                <w:sz w:val="18"/>
                <w:szCs w:val="18"/>
              </w:rPr>
              <w:t>-0.46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5110E1A" w14:textId="77777777" w:rsidR="005525D5" w:rsidRPr="002E2933" w:rsidRDefault="005525D5" w:rsidP="005525D5">
            <w:pPr>
              <w:contextualSpacing/>
              <w:jc w:val="center"/>
              <w:rPr>
                <w:sz w:val="18"/>
                <w:szCs w:val="18"/>
              </w:rPr>
            </w:pPr>
            <w:r w:rsidRPr="002E2933">
              <w:rPr>
                <w:sz w:val="18"/>
                <w:szCs w:val="18"/>
              </w:rPr>
              <w:t>0.196</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A56D954" w14:textId="77777777" w:rsidR="005525D5" w:rsidRPr="00653753" w:rsidRDefault="005525D5" w:rsidP="005525D5">
            <w:pPr>
              <w:contextualSpacing/>
              <w:jc w:val="center"/>
              <w:rPr>
                <w:sz w:val="18"/>
                <w:szCs w:val="18"/>
              </w:rPr>
            </w:pPr>
            <w:r w:rsidRPr="00653753">
              <w:rPr>
                <w:sz w:val="18"/>
                <w:szCs w:val="18"/>
              </w:rPr>
              <w:t>-0.46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0DC5C36" w14:textId="77777777" w:rsidR="005525D5" w:rsidRPr="00653753" w:rsidRDefault="005525D5" w:rsidP="005525D5">
            <w:pPr>
              <w:contextualSpacing/>
              <w:jc w:val="center"/>
              <w:rPr>
                <w:sz w:val="18"/>
                <w:szCs w:val="18"/>
              </w:rPr>
            </w:pPr>
            <w:r w:rsidRPr="00653753">
              <w:rPr>
                <w:sz w:val="18"/>
                <w:szCs w:val="18"/>
              </w:rPr>
              <w:t>0.219</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0CA3E49" w14:textId="77777777" w:rsidR="005525D5" w:rsidRPr="000965AB" w:rsidRDefault="005525D5" w:rsidP="005525D5">
            <w:pPr>
              <w:contextualSpacing/>
              <w:jc w:val="center"/>
              <w:rPr>
                <w:sz w:val="18"/>
                <w:szCs w:val="18"/>
              </w:rPr>
            </w:pPr>
            <w:r w:rsidRPr="000965AB">
              <w:rPr>
                <w:sz w:val="18"/>
                <w:szCs w:val="18"/>
              </w:rPr>
              <w:t>1.35</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9C458FA" w14:textId="77777777" w:rsidR="005525D5" w:rsidRPr="000965AB" w:rsidRDefault="005525D5" w:rsidP="005525D5">
            <w:pPr>
              <w:contextualSpacing/>
              <w:jc w:val="center"/>
              <w:rPr>
                <w:sz w:val="18"/>
                <w:szCs w:val="18"/>
              </w:rPr>
            </w:pPr>
            <w:r w:rsidRPr="000965AB">
              <w:rPr>
                <w:sz w:val="18"/>
                <w:szCs w:val="18"/>
              </w:rPr>
              <w:t>0.477</w:t>
            </w:r>
          </w:p>
        </w:tc>
      </w:tr>
      <w:tr w:rsidR="005525D5" w:rsidRPr="0067270C" w14:paraId="1E817456"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5A912288"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0CE6B4B8" w14:textId="77777777" w:rsidR="005525D5" w:rsidRPr="0067270C" w:rsidRDefault="005525D5" w:rsidP="005525D5">
            <w:pPr>
              <w:contextualSpacing/>
              <w:rPr>
                <w:sz w:val="18"/>
                <w:szCs w:val="18"/>
              </w:rPr>
            </w:pPr>
            <w:r>
              <w:rPr>
                <w:sz w:val="18"/>
                <w:szCs w:val="18"/>
              </w:rPr>
              <w:t>Some college education or higher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9AFAD3F" w14:textId="77777777" w:rsidR="005525D5" w:rsidRPr="00E04887" w:rsidRDefault="005525D5" w:rsidP="005525D5">
            <w:pPr>
              <w:contextualSpacing/>
              <w:jc w:val="center"/>
              <w:rPr>
                <w:sz w:val="18"/>
                <w:szCs w:val="18"/>
              </w:rPr>
            </w:pPr>
            <w:r w:rsidRPr="0002298E">
              <w:rPr>
                <w:sz w:val="18"/>
                <w:szCs w:val="18"/>
              </w:rPr>
              <w:t>-0.08</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395F86B" w14:textId="77777777" w:rsidR="005525D5" w:rsidRPr="00E04887" w:rsidRDefault="005525D5" w:rsidP="005525D5">
            <w:pPr>
              <w:contextualSpacing/>
              <w:jc w:val="center"/>
              <w:rPr>
                <w:sz w:val="18"/>
                <w:szCs w:val="18"/>
              </w:rPr>
            </w:pPr>
            <w:r w:rsidRPr="0002298E">
              <w:rPr>
                <w:sz w:val="18"/>
                <w:szCs w:val="18"/>
              </w:rPr>
              <w:t>0.726</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B67F2FF" w14:textId="77777777" w:rsidR="005525D5" w:rsidRPr="002E2933" w:rsidRDefault="005525D5" w:rsidP="005525D5">
            <w:pPr>
              <w:contextualSpacing/>
              <w:jc w:val="center"/>
              <w:rPr>
                <w:sz w:val="18"/>
                <w:szCs w:val="18"/>
              </w:rPr>
            </w:pPr>
            <w:r w:rsidRPr="002E2933">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DE1D71B" w14:textId="77777777" w:rsidR="005525D5" w:rsidRPr="002E2933" w:rsidRDefault="005525D5" w:rsidP="005525D5">
            <w:pPr>
              <w:contextualSpacing/>
              <w:jc w:val="center"/>
              <w:rPr>
                <w:sz w:val="18"/>
                <w:szCs w:val="18"/>
              </w:rPr>
            </w:pPr>
            <w:r w:rsidRPr="002E2933">
              <w:rPr>
                <w:sz w:val="18"/>
                <w:szCs w:val="18"/>
              </w:rPr>
              <w:t>0.818</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C062908" w14:textId="77777777" w:rsidR="005525D5" w:rsidRPr="00653753" w:rsidRDefault="005525D5" w:rsidP="005525D5">
            <w:pPr>
              <w:contextualSpacing/>
              <w:jc w:val="center"/>
              <w:rPr>
                <w:sz w:val="18"/>
                <w:szCs w:val="18"/>
              </w:rPr>
            </w:pPr>
            <w:r w:rsidRPr="00653753">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3610C6B" w14:textId="77777777" w:rsidR="005525D5" w:rsidRPr="00653753" w:rsidRDefault="005525D5" w:rsidP="005525D5">
            <w:pPr>
              <w:contextualSpacing/>
              <w:jc w:val="center"/>
              <w:rPr>
                <w:sz w:val="18"/>
                <w:szCs w:val="18"/>
              </w:rPr>
            </w:pPr>
            <w:r w:rsidRPr="00653753">
              <w:rPr>
                <w:sz w:val="18"/>
                <w:szCs w:val="18"/>
              </w:rPr>
              <w:t>0.839</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6D265004" w14:textId="77777777" w:rsidR="005525D5" w:rsidRPr="000965AB" w:rsidRDefault="005525D5" w:rsidP="005525D5">
            <w:pPr>
              <w:contextualSpacing/>
              <w:jc w:val="center"/>
              <w:rPr>
                <w:sz w:val="18"/>
                <w:szCs w:val="18"/>
              </w:rPr>
            </w:pPr>
            <w:r w:rsidRPr="000965AB">
              <w:rPr>
                <w:sz w:val="18"/>
                <w:szCs w:val="18"/>
              </w:rPr>
              <w:t>0.54</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71D8A010" w14:textId="77777777" w:rsidR="005525D5" w:rsidRPr="000965AB" w:rsidRDefault="005525D5" w:rsidP="005525D5">
            <w:pPr>
              <w:contextualSpacing/>
              <w:jc w:val="center"/>
              <w:rPr>
                <w:sz w:val="18"/>
                <w:szCs w:val="18"/>
              </w:rPr>
            </w:pPr>
            <w:r w:rsidRPr="000965AB">
              <w:rPr>
                <w:sz w:val="18"/>
                <w:szCs w:val="18"/>
              </w:rPr>
              <w:t>0.020</w:t>
            </w:r>
            <w:r>
              <w:rPr>
                <w:sz w:val="18"/>
                <w:szCs w:val="18"/>
              </w:rPr>
              <w:t>*</w:t>
            </w:r>
          </w:p>
        </w:tc>
      </w:tr>
      <w:tr w:rsidR="005525D5" w:rsidRPr="0067270C" w14:paraId="3E7EA00F"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6758B7B8"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518CFBB0" w14:textId="77777777" w:rsidR="005525D5" w:rsidRPr="0067270C" w:rsidRDefault="005525D5" w:rsidP="005525D5">
            <w:pPr>
              <w:contextualSpacing/>
              <w:rPr>
                <w:sz w:val="18"/>
                <w:szCs w:val="18"/>
              </w:rPr>
            </w:pPr>
            <w:r>
              <w:rPr>
                <w:sz w:val="18"/>
                <w:szCs w:val="18"/>
              </w:rPr>
              <w:t>Main language is English</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8A073B8" w14:textId="77777777" w:rsidR="005525D5" w:rsidRPr="00E04887" w:rsidRDefault="005525D5" w:rsidP="005525D5">
            <w:pPr>
              <w:contextualSpacing/>
              <w:jc w:val="center"/>
              <w:rPr>
                <w:sz w:val="18"/>
                <w:szCs w:val="18"/>
              </w:rPr>
            </w:pPr>
            <w:r w:rsidRPr="0002298E">
              <w:rPr>
                <w:sz w:val="18"/>
                <w:szCs w:val="18"/>
              </w:rPr>
              <w:t>0.17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E841916" w14:textId="77777777" w:rsidR="005525D5" w:rsidRPr="00E04887" w:rsidRDefault="005525D5" w:rsidP="005525D5">
            <w:pPr>
              <w:contextualSpacing/>
              <w:jc w:val="center"/>
              <w:rPr>
                <w:sz w:val="18"/>
                <w:szCs w:val="18"/>
              </w:rPr>
            </w:pPr>
            <w:r w:rsidRPr="0002298E">
              <w:rPr>
                <w:sz w:val="18"/>
                <w:szCs w:val="18"/>
              </w:rPr>
              <w:t>0.621</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CC32029" w14:textId="77777777" w:rsidR="005525D5" w:rsidRPr="002E2933" w:rsidRDefault="005525D5" w:rsidP="005525D5">
            <w:pPr>
              <w:contextualSpacing/>
              <w:jc w:val="center"/>
              <w:rPr>
                <w:sz w:val="18"/>
                <w:szCs w:val="18"/>
              </w:rPr>
            </w:pPr>
            <w:r w:rsidRPr="002E2933">
              <w:rPr>
                <w:sz w:val="18"/>
                <w:szCs w:val="18"/>
              </w:rPr>
              <w:t>0.15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4B57D18" w14:textId="77777777" w:rsidR="005525D5" w:rsidRPr="002E2933" w:rsidRDefault="005525D5" w:rsidP="005525D5">
            <w:pPr>
              <w:contextualSpacing/>
              <w:jc w:val="center"/>
              <w:rPr>
                <w:sz w:val="18"/>
                <w:szCs w:val="18"/>
              </w:rPr>
            </w:pPr>
            <w:r w:rsidRPr="002E2933">
              <w:rPr>
                <w:sz w:val="18"/>
                <w:szCs w:val="18"/>
              </w:rPr>
              <w:t>0.669</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18CBE09" w14:textId="77777777" w:rsidR="005525D5" w:rsidRPr="00653753" w:rsidRDefault="005525D5" w:rsidP="005525D5">
            <w:pPr>
              <w:contextualSpacing/>
              <w:jc w:val="center"/>
              <w:rPr>
                <w:sz w:val="18"/>
                <w:szCs w:val="18"/>
              </w:rPr>
            </w:pPr>
            <w:r w:rsidRPr="00653753">
              <w:rPr>
                <w:sz w:val="18"/>
                <w:szCs w:val="18"/>
              </w:rPr>
              <w:t>0.16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F634193" w14:textId="77777777" w:rsidR="005525D5" w:rsidRPr="00653753" w:rsidRDefault="005525D5" w:rsidP="005525D5">
            <w:pPr>
              <w:contextualSpacing/>
              <w:jc w:val="center"/>
              <w:rPr>
                <w:sz w:val="18"/>
                <w:szCs w:val="18"/>
              </w:rPr>
            </w:pPr>
            <w:r w:rsidRPr="00653753">
              <w:rPr>
                <w:sz w:val="18"/>
                <w:szCs w:val="18"/>
              </w:rPr>
              <w:t>0.657</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2DD78A3B" w14:textId="77777777" w:rsidR="005525D5" w:rsidRPr="000965AB" w:rsidRDefault="005525D5" w:rsidP="005525D5">
            <w:pPr>
              <w:contextualSpacing/>
              <w:jc w:val="center"/>
              <w:rPr>
                <w:sz w:val="18"/>
                <w:szCs w:val="18"/>
              </w:rPr>
            </w:pPr>
            <w:r w:rsidRPr="000965AB">
              <w:rPr>
                <w:sz w:val="18"/>
                <w:szCs w:val="18"/>
              </w:rPr>
              <w:t>1.46</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40DECD81" w14:textId="77777777" w:rsidR="005525D5" w:rsidRPr="000965AB" w:rsidRDefault="005525D5" w:rsidP="005525D5">
            <w:pPr>
              <w:contextualSpacing/>
              <w:jc w:val="center"/>
              <w:rPr>
                <w:sz w:val="18"/>
                <w:szCs w:val="18"/>
              </w:rPr>
            </w:pPr>
            <w:r w:rsidRPr="000965AB">
              <w:rPr>
                <w:sz w:val="18"/>
                <w:szCs w:val="18"/>
              </w:rPr>
              <w:t>0.406</w:t>
            </w:r>
          </w:p>
        </w:tc>
      </w:tr>
      <w:tr w:rsidR="005525D5" w:rsidRPr="0067270C" w14:paraId="56A04601"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1ACF4342"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1C53EC5B" w14:textId="77777777" w:rsidR="005525D5" w:rsidRPr="0067270C" w:rsidRDefault="005525D5" w:rsidP="005525D5">
            <w:pPr>
              <w:contextualSpacing/>
              <w:rPr>
                <w:sz w:val="18"/>
                <w:szCs w:val="18"/>
              </w:rPr>
            </w:pPr>
            <w:r>
              <w:rPr>
                <w:sz w:val="18"/>
                <w:szCs w:val="18"/>
              </w:rPr>
              <w:t>How well surrogate understands English</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A9F2D6F" w14:textId="77777777" w:rsidR="005525D5" w:rsidRPr="00E04887" w:rsidRDefault="005525D5" w:rsidP="005525D5">
            <w:pPr>
              <w:contextualSpacing/>
              <w:jc w:val="center"/>
              <w:rPr>
                <w:sz w:val="18"/>
                <w:szCs w:val="18"/>
              </w:rPr>
            </w:pPr>
            <w:r w:rsidRPr="0002298E">
              <w:rPr>
                <w:sz w:val="18"/>
                <w:szCs w:val="18"/>
              </w:rPr>
              <w:t>0.07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79ED504" w14:textId="77777777" w:rsidR="005525D5" w:rsidRPr="00E04887" w:rsidRDefault="005525D5" w:rsidP="005525D5">
            <w:pPr>
              <w:contextualSpacing/>
              <w:jc w:val="center"/>
              <w:rPr>
                <w:sz w:val="18"/>
                <w:szCs w:val="18"/>
              </w:rPr>
            </w:pPr>
            <w:r w:rsidRPr="0002298E">
              <w:rPr>
                <w:sz w:val="18"/>
                <w:szCs w:val="18"/>
              </w:rPr>
              <w:t>0.792</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35EBE31" w14:textId="77777777" w:rsidR="005525D5" w:rsidRPr="002E2933" w:rsidRDefault="005525D5" w:rsidP="005525D5">
            <w:pPr>
              <w:contextualSpacing/>
              <w:jc w:val="center"/>
              <w:rPr>
                <w:sz w:val="18"/>
                <w:szCs w:val="18"/>
              </w:rPr>
            </w:pPr>
            <w:r w:rsidRPr="002E2933">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4B31912" w14:textId="77777777" w:rsidR="005525D5" w:rsidRPr="002E2933" w:rsidRDefault="005525D5" w:rsidP="005525D5">
            <w:pPr>
              <w:contextualSpacing/>
              <w:jc w:val="center"/>
              <w:rPr>
                <w:sz w:val="18"/>
                <w:szCs w:val="18"/>
              </w:rPr>
            </w:pPr>
            <w:r w:rsidRPr="002E2933">
              <w:rPr>
                <w:sz w:val="18"/>
                <w:szCs w:val="18"/>
              </w:rPr>
              <w:t>0.845</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5D59504" w14:textId="77777777" w:rsidR="005525D5" w:rsidRPr="00653753" w:rsidRDefault="005525D5" w:rsidP="005525D5">
            <w:pPr>
              <w:contextualSpacing/>
              <w:jc w:val="center"/>
              <w:rPr>
                <w:sz w:val="18"/>
                <w:szCs w:val="18"/>
              </w:rPr>
            </w:pPr>
            <w:r w:rsidRPr="00653753">
              <w:rPr>
                <w:sz w:val="18"/>
                <w:szCs w:val="18"/>
              </w:rPr>
              <w:t>0.06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DC28D3F" w14:textId="77777777" w:rsidR="005525D5" w:rsidRPr="00653753" w:rsidRDefault="005525D5" w:rsidP="005525D5">
            <w:pPr>
              <w:contextualSpacing/>
              <w:jc w:val="center"/>
              <w:rPr>
                <w:sz w:val="18"/>
                <w:szCs w:val="18"/>
              </w:rPr>
            </w:pPr>
            <w:r w:rsidRPr="00653753">
              <w:rPr>
                <w:sz w:val="18"/>
                <w:szCs w:val="18"/>
              </w:rPr>
              <w:t>0.844</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2BB19F13" w14:textId="77777777" w:rsidR="005525D5" w:rsidRPr="000965AB" w:rsidRDefault="005525D5" w:rsidP="005525D5">
            <w:pPr>
              <w:contextualSpacing/>
              <w:jc w:val="center"/>
              <w:rPr>
                <w:sz w:val="18"/>
                <w:szCs w:val="18"/>
              </w:rPr>
            </w:pPr>
            <w:r w:rsidRPr="000965AB">
              <w:rPr>
                <w:sz w:val="18"/>
                <w:szCs w:val="18"/>
              </w:rPr>
              <w:t>0.97</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58307909" w14:textId="77777777" w:rsidR="005525D5" w:rsidRPr="000965AB" w:rsidRDefault="005525D5" w:rsidP="005525D5">
            <w:pPr>
              <w:contextualSpacing/>
              <w:jc w:val="center"/>
              <w:rPr>
                <w:sz w:val="18"/>
                <w:szCs w:val="18"/>
              </w:rPr>
            </w:pPr>
            <w:r w:rsidRPr="000965AB">
              <w:rPr>
                <w:sz w:val="18"/>
                <w:szCs w:val="18"/>
              </w:rPr>
              <w:t>0.910</w:t>
            </w:r>
          </w:p>
        </w:tc>
      </w:tr>
      <w:tr w:rsidR="005525D5" w:rsidRPr="0067270C" w14:paraId="673C87CD"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5DAA783E"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6FD3C13B" w14:textId="77777777" w:rsidR="005525D5" w:rsidRPr="0067270C" w:rsidRDefault="005525D5" w:rsidP="005525D5">
            <w:pPr>
              <w:contextualSpacing/>
              <w:rPr>
                <w:sz w:val="18"/>
                <w:szCs w:val="18"/>
              </w:rPr>
            </w:pPr>
            <w:r>
              <w:rPr>
                <w:sz w:val="18"/>
                <w:szCs w:val="18"/>
              </w:rPr>
              <w:t>Religion: Christian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9A8E50D" w14:textId="77777777" w:rsidR="005525D5" w:rsidRPr="00E04887" w:rsidRDefault="005525D5" w:rsidP="005525D5">
            <w:pPr>
              <w:contextualSpacing/>
              <w:jc w:val="center"/>
              <w:rPr>
                <w:sz w:val="18"/>
                <w:szCs w:val="18"/>
              </w:rPr>
            </w:pPr>
            <w:r w:rsidRPr="0002298E">
              <w:rPr>
                <w:sz w:val="18"/>
                <w:szCs w:val="18"/>
              </w:rPr>
              <w:t>0.28</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F67FDDC" w14:textId="77777777" w:rsidR="005525D5" w:rsidRPr="00E04887" w:rsidRDefault="005525D5" w:rsidP="005525D5">
            <w:pPr>
              <w:contextualSpacing/>
              <w:jc w:val="center"/>
              <w:rPr>
                <w:sz w:val="18"/>
                <w:szCs w:val="18"/>
              </w:rPr>
            </w:pPr>
            <w:r w:rsidRPr="0002298E">
              <w:rPr>
                <w:sz w:val="18"/>
                <w:szCs w:val="18"/>
              </w:rPr>
              <w:t>0.320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382CE77" w14:textId="77777777" w:rsidR="005525D5" w:rsidRPr="002E2933" w:rsidRDefault="005525D5" w:rsidP="005525D5">
            <w:pPr>
              <w:contextualSpacing/>
              <w:jc w:val="center"/>
              <w:rPr>
                <w:sz w:val="18"/>
                <w:szCs w:val="18"/>
              </w:rPr>
            </w:pPr>
            <w:r w:rsidRPr="002E2933">
              <w:rPr>
                <w:sz w:val="18"/>
                <w:szCs w:val="18"/>
              </w:rPr>
              <w:t>0.25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C379A80" w14:textId="77777777" w:rsidR="005525D5" w:rsidRPr="002E2933" w:rsidRDefault="005525D5" w:rsidP="005525D5">
            <w:pPr>
              <w:contextualSpacing/>
              <w:jc w:val="center"/>
              <w:rPr>
                <w:sz w:val="18"/>
                <w:szCs w:val="18"/>
              </w:rPr>
            </w:pPr>
            <w:r w:rsidRPr="002E2933">
              <w:rPr>
                <w:sz w:val="18"/>
                <w:szCs w:val="18"/>
              </w:rPr>
              <w:t>0.363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C2EF039" w14:textId="77777777" w:rsidR="005525D5" w:rsidRPr="00653753" w:rsidRDefault="005525D5" w:rsidP="005525D5">
            <w:pPr>
              <w:contextualSpacing/>
              <w:jc w:val="center"/>
              <w:rPr>
                <w:sz w:val="18"/>
                <w:szCs w:val="18"/>
              </w:rPr>
            </w:pPr>
            <w:r w:rsidRPr="00653753">
              <w:rPr>
                <w:sz w:val="18"/>
                <w:szCs w:val="18"/>
              </w:rPr>
              <w:t>0.31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FC29EBC" w14:textId="77777777" w:rsidR="005525D5" w:rsidRPr="00653753" w:rsidRDefault="005525D5" w:rsidP="005525D5">
            <w:pPr>
              <w:contextualSpacing/>
              <w:jc w:val="center"/>
              <w:rPr>
                <w:sz w:val="18"/>
                <w:szCs w:val="18"/>
              </w:rPr>
            </w:pPr>
            <w:r w:rsidRPr="00653753">
              <w:rPr>
                <w:sz w:val="18"/>
                <w:szCs w:val="18"/>
              </w:rPr>
              <w:t>0.280</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8507F05" w14:textId="77777777" w:rsidR="005525D5" w:rsidRPr="000965AB" w:rsidRDefault="005525D5" w:rsidP="005525D5">
            <w:pPr>
              <w:contextualSpacing/>
              <w:jc w:val="center"/>
              <w:rPr>
                <w:sz w:val="18"/>
                <w:szCs w:val="18"/>
              </w:rPr>
            </w:pPr>
            <w:r w:rsidRPr="000965AB">
              <w:rPr>
                <w:sz w:val="18"/>
                <w:szCs w:val="18"/>
              </w:rPr>
              <w:t>0.82</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5325ABCC" w14:textId="77777777" w:rsidR="005525D5" w:rsidRPr="000965AB" w:rsidRDefault="005525D5" w:rsidP="005525D5">
            <w:pPr>
              <w:contextualSpacing/>
              <w:jc w:val="center"/>
              <w:rPr>
                <w:sz w:val="18"/>
                <w:szCs w:val="18"/>
              </w:rPr>
            </w:pPr>
            <w:r w:rsidRPr="000965AB">
              <w:rPr>
                <w:sz w:val="18"/>
                <w:szCs w:val="18"/>
              </w:rPr>
              <w:t>0.538</w:t>
            </w:r>
          </w:p>
        </w:tc>
      </w:tr>
      <w:tr w:rsidR="005525D5" w:rsidRPr="0067270C" w14:paraId="5377EA38"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1832A362"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69B2AD42" w14:textId="77777777" w:rsidR="005525D5" w:rsidRPr="0067270C" w:rsidRDefault="005525D5" w:rsidP="005525D5">
            <w:pPr>
              <w:contextualSpacing/>
              <w:rPr>
                <w:sz w:val="18"/>
                <w:szCs w:val="18"/>
              </w:rPr>
            </w:pPr>
            <w:r>
              <w:rPr>
                <w:sz w:val="18"/>
                <w:szCs w:val="18"/>
              </w:rPr>
              <w:t>Religion: No religion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6ADA1D5" w14:textId="77777777" w:rsidR="005525D5" w:rsidRPr="00E04887" w:rsidRDefault="005525D5" w:rsidP="005525D5">
            <w:pPr>
              <w:contextualSpacing/>
              <w:jc w:val="center"/>
              <w:rPr>
                <w:sz w:val="18"/>
                <w:szCs w:val="18"/>
              </w:rPr>
            </w:pPr>
            <w:r w:rsidRPr="0002298E">
              <w:rPr>
                <w:sz w:val="18"/>
                <w:szCs w:val="18"/>
              </w:rPr>
              <w:t>-0.53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E262E96" w14:textId="77777777" w:rsidR="005525D5" w:rsidRPr="00E04887" w:rsidRDefault="005525D5" w:rsidP="005525D5">
            <w:pPr>
              <w:contextualSpacing/>
              <w:jc w:val="center"/>
              <w:rPr>
                <w:sz w:val="18"/>
                <w:szCs w:val="18"/>
              </w:rPr>
            </w:pPr>
            <w:r w:rsidRPr="0002298E">
              <w:rPr>
                <w:sz w:val="18"/>
                <w:szCs w:val="18"/>
              </w:rPr>
              <w:t>0.092</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9D611E7" w14:textId="77777777" w:rsidR="005525D5" w:rsidRPr="002E2933" w:rsidRDefault="005525D5" w:rsidP="005525D5">
            <w:pPr>
              <w:contextualSpacing/>
              <w:jc w:val="center"/>
              <w:rPr>
                <w:sz w:val="18"/>
                <w:szCs w:val="18"/>
              </w:rPr>
            </w:pPr>
            <w:r w:rsidRPr="002E2933">
              <w:rPr>
                <w:sz w:val="18"/>
                <w:szCs w:val="18"/>
              </w:rPr>
              <w:t>-0.50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479837E" w14:textId="77777777" w:rsidR="005525D5" w:rsidRPr="002E2933" w:rsidRDefault="005525D5" w:rsidP="005525D5">
            <w:pPr>
              <w:contextualSpacing/>
              <w:jc w:val="center"/>
              <w:rPr>
                <w:sz w:val="18"/>
                <w:szCs w:val="18"/>
              </w:rPr>
            </w:pPr>
            <w:r w:rsidRPr="002E2933">
              <w:rPr>
                <w:sz w:val="18"/>
                <w:szCs w:val="18"/>
              </w:rPr>
              <w:t>0.103</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4B63192" w14:textId="77777777" w:rsidR="005525D5" w:rsidRPr="00653753" w:rsidRDefault="005525D5" w:rsidP="005525D5">
            <w:pPr>
              <w:contextualSpacing/>
              <w:jc w:val="center"/>
              <w:rPr>
                <w:sz w:val="18"/>
                <w:szCs w:val="18"/>
              </w:rPr>
            </w:pPr>
            <w:r w:rsidRPr="00653753">
              <w:rPr>
                <w:sz w:val="18"/>
                <w:szCs w:val="18"/>
              </w:rPr>
              <w:t>-0.57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C987BBE" w14:textId="77777777" w:rsidR="005525D5" w:rsidRPr="00653753" w:rsidRDefault="005525D5" w:rsidP="005525D5">
            <w:pPr>
              <w:contextualSpacing/>
              <w:jc w:val="center"/>
              <w:rPr>
                <w:sz w:val="18"/>
                <w:szCs w:val="18"/>
              </w:rPr>
            </w:pPr>
            <w:r w:rsidRPr="00653753">
              <w:rPr>
                <w:sz w:val="18"/>
                <w:szCs w:val="18"/>
              </w:rPr>
              <w:t>0.070</w:t>
            </w:r>
            <w:r>
              <w:rPr>
                <w:sz w:val="18"/>
                <w:szCs w:val="18"/>
              </w:rPr>
              <w:t>*</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70CFE95C" w14:textId="77777777" w:rsidR="005525D5" w:rsidRPr="000965AB" w:rsidRDefault="005525D5" w:rsidP="005525D5">
            <w:pPr>
              <w:contextualSpacing/>
              <w:jc w:val="center"/>
              <w:rPr>
                <w:sz w:val="18"/>
                <w:szCs w:val="18"/>
              </w:rPr>
            </w:pPr>
            <w:r w:rsidRPr="000965AB">
              <w:rPr>
                <w:sz w:val="18"/>
                <w:szCs w:val="18"/>
              </w:rPr>
              <w:t>1.24</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7338573E" w14:textId="77777777" w:rsidR="005525D5" w:rsidRPr="000965AB" w:rsidRDefault="005525D5" w:rsidP="005525D5">
            <w:pPr>
              <w:contextualSpacing/>
              <w:jc w:val="center"/>
              <w:rPr>
                <w:sz w:val="18"/>
                <w:szCs w:val="18"/>
              </w:rPr>
            </w:pPr>
            <w:r w:rsidRPr="000965AB">
              <w:rPr>
                <w:sz w:val="18"/>
                <w:szCs w:val="18"/>
              </w:rPr>
              <w:t>0.554</w:t>
            </w:r>
          </w:p>
        </w:tc>
      </w:tr>
      <w:tr w:rsidR="005525D5" w:rsidRPr="0067270C" w14:paraId="2B8B373E"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3A615A8F"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43DBEF39" w14:textId="77777777" w:rsidR="005525D5" w:rsidRPr="0067270C" w:rsidRDefault="005525D5" w:rsidP="005525D5">
            <w:pPr>
              <w:contextualSpacing/>
              <w:rPr>
                <w:sz w:val="18"/>
                <w:szCs w:val="18"/>
              </w:rPr>
            </w:pPr>
            <w:r w:rsidRPr="00457327">
              <w:rPr>
                <w:sz w:val="18"/>
                <w:szCs w:val="18"/>
              </w:rPr>
              <w:t>Importance of religion to the surrogate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7753E4A" w14:textId="77777777" w:rsidR="005525D5" w:rsidRPr="00E04887" w:rsidRDefault="005525D5" w:rsidP="005525D5">
            <w:pPr>
              <w:contextualSpacing/>
              <w:jc w:val="center"/>
              <w:rPr>
                <w:sz w:val="18"/>
                <w:szCs w:val="18"/>
              </w:rPr>
            </w:pPr>
            <w:r w:rsidRPr="0002298E">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7E37BE5" w14:textId="77777777" w:rsidR="005525D5" w:rsidRPr="00E04887" w:rsidRDefault="005525D5" w:rsidP="005525D5">
            <w:pPr>
              <w:contextualSpacing/>
              <w:jc w:val="center"/>
              <w:rPr>
                <w:sz w:val="18"/>
                <w:szCs w:val="18"/>
              </w:rPr>
            </w:pPr>
            <w:r w:rsidRPr="0002298E">
              <w:rPr>
                <w:sz w:val="18"/>
                <w:szCs w:val="18"/>
              </w:rPr>
              <w:t>0.683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D14BFF5" w14:textId="77777777" w:rsidR="005525D5" w:rsidRPr="002E2933" w:rsidRDefault="005525D5" w:rsidP="005525D5">
            <w:pPr>
              <w:contextualSpacing/>
              <w:jc w:val="center"/>
              <w:rPr>
                <w:sz w:val="18"/>
                <w:szCs w:val="18"/>
              </w:rPr>
            </w:pPr>
            <w:r w:rsidRPr="002E2933">
              <w:rPr>
                <w:sz w:val="18"/>
                <w:szCs w:val="18"/>
              </w:rPr>
              <w:t>0.04</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014E395" w14:textId="77777777" w:rsidR="005525D5" w:rsidRPr="002E2933" w:rsidRDefault="005525D5" w:rsidP="005525D5">
            <w:pPr>
              <w:contextualSpacing/>
              <w:jc w:val="center"/>
              <w:rPr>
                <w:sz w:val="18"/>
                <w:szCs w:val="18"/>
              </w:rPr>
            </w:pPr>
            <w:r w:rsidRPr="002E2933">
              <w:rPr>
                <w:sz w:val="18"/>
                <w:szCs w:val="18"/>
              </w:rPr>
              <w:t>0.737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C6BB334" w14:textId="77777777" w:rsidR="005525D5" w:rsidRPr="00653753" w:rsidRDefault="005525D5" w:rsidP="005525D5">
            <w:pPr>
              <w:contextualSpacing/>
              <w:jc w:val="center"/>
              <w:rPr>
                <w:sz w:val="18"/>
                <w:szCs w:val="18"/>
              </w:rPr>
            </w:pPr>
            <w:r w:rsidRPr="00653753">
              <w:rPr>
                <w:sz w:val="18"/>
                <w:szCs w:val="18"/>
              </w:rPr>
              <w:t>0.04</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AC6B744" w14:textId="77777777" w:rsidR="005525D5" w:rsidRPr="00653753" w:rsidRDefault="005525D5" w:rsidP="005525D5">
            <w:pPr>
              <w:contextualSpacing/>
              <w:jc w:val="center"/>
              <w:rPr>
                <w:sz w:val="18"/>
                <w:szCs w:val="18"/>
              </w:rPr>
            </w:pPr>
            <w:r w:rsidRPr="00653753">
              <w:rPr>
                <w:sz w:val="18"/>
                <w:szCs w:val="18"/>
              </w:rPr>
              <w:t>0.714</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3471A2C4" w14:textId="77777777" w:rsidR="005525D5" w:rsidRPr="000965AB" w:rsidRDefault="005525D5" w:rsidP="005525D5">
            <w:pPr>
              <w:contextualSpacing/>
              <w:jc w:val="center"/>
              <w:rPr>
                <w:sz w:val="18"/>
                <w:szCs w:val="18"/>
              </w:rPr>
            </w:pPr>
            <w:r w:rsidRPr="000965AB">
              <w:rPr>
                <w:sz w:val="18"/>
                <w:szCs w:val="18"/>
              </w:rPr>
              <w:t>0.78</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067E04CF" w14:textId="77777777" w:rsidR="005525D5" w:rsidRPr="000965AB" w:rsidRDefault="005525D5" w:rsidP="005525D5">
            <w:pPr>
              <w:contextualSpacing/>
              <w:jc w:val="center"/>
              <w:rPr>
                <w:sz w:val="18"/>
                <w:szCs w:val="18"/>
              </w:rPr>
            </w:pPr>
            <w:r w:rsidRPr="000965AB">
              <w:rPr>
                <w:sz w:val="18"/>
                <w:szCs w:val="18"/>
              </w:rPr>
              <w:t>0.065</w:t>
            </w:r>
            <w:r>
              <w:rPr>
                <w:sz w:val="18"/>
                <w:szCs w:val="18"/>
              </w:rPr>
              <w:t>*</w:t>
            </w:r>
          </w:p>
        </w:tc>
      </w:tr>
      <w:tr w:rsidR="005525D5" w:rsidRPr="0067270C" w14:paraId="58D79BFF"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16D3084A"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38F1AC4A" w14:textId="77777777" w:rsidR="005525D5" w:rsidRPr="0067270C" w:rsidRDefault="005525D5" w:rsidP="005525D5">
            <w:pPr>
              <w:contextualSpacing/>
              <w:rPr>
                <w:sz w:val="18"/>
                <w:szCs w:val="18"/>
              </w:rPr>
            </w:pPr>
            <w:r>
              <w:rPr>
                <w:sz w:val="18"/>
                <w:szCs w:val="18"/>
              </w:rPr>
              <w:t>Relationship to the patient: parent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A6B6F92" w14:textId="77777777" w:rsidR="005525D5" w:rsidRPr="00E04887" w:rsidRDefault="005525D5" w:rsidP="005525D5">
            <w:pPr>
              <w:contextualSpacing/>
              <w:jc w:val="center"/>
              <w:rPr>
                <w:sz w:val="18"/>
                <w:szCs w:val="18"/>
              </w:rPr>
            </w:pPr>
            <w:r w:rsidRPr="0002298E">
              <w:rPr>
                <w:sz w:val="18"/>
                <w:szCs w:val="18"/>
              </w:rPr>
              <w:t>0.62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6A401F6" w14:textId="77777777" w:rsidR="005525D5" w:rsidRPr="00E04887" w:rsidRDefault="005525D5" w:rsidP="005525D5">
            <w:pPr>
              <w:contextualSpacing/>
              <w:jc w:val="center"/>
              <w:rPr>
                <w:sz w:val="18"/>
                <w:szCs w:val="18"/>
              </w:rPr>
            </w:pPr>
            <w:r w:rsidRPr="0002298E">
              <w:rPr>
                <w:sz w:val="18"/>
                <w:szCs w:val="18"/>
              </w:rPr>
              <w:t>0.040</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CEC36FA" w14:textId="77777777" w:rsidR="005525D5" w:rsidRPr="002E2933" w:rsidRDefault="005525D5" w:rsidP="005525D5">
            <w:pPr>
              <w:contextualSpacing/>
              <w:jc w:val="center"/>
              <w:rPr>
                <w:sz w:val="18"/>
                <w:szCs w:val="18"/>
              </w:rPr>
            </w:pPr>
            <w:r w:rsidRPr="002E2933">
              <w:rPr>
                <w:sz w:val="18"/>
                <w:szCs w:val="18"/>
              </w:rPr>
              <w:t>0.57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D05CAFE" w14:textId="77777777" w:rsidR="005525D5" w:rsidRPr="002E2933" w:rsidRDefault="005525D5" w:rsidP="005525D5">
            <w:pPr>
              <w:contextualSpacing/>
              <w:jc w:val="center"/>
              <w:rPr>
                <w:sz w:val="18"/>
                <w:szCs w:val="18"/>
              </w:rPr>
            </w:pPr>
            <w:r w:rsidRPr="002E2933">
              <w:rPr>
                <w:sz w:val="18"/>
                <w:szCs w:val="18"/>
              </w:rPr>
              <w:t>0.053</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24958A0" w14:textId="77777777" w:rsidR="005525D5" w:rsidRPr="00653753" w:rsidRDefault="005525D5" w:rsidP="005525D5">
            <w:pPr>
              <w:contextualSpacing/>
              <w:jc w:val="center"/>
              <w:rPr>
                <w:sz w:val="18"/>
                <w:szCs w:val="18"/>
              </w:rPr>
            </w:pPr>
            <w:r w:rsidRPr="00653753">
              <w:rPr>
                <w:sz w:val="18"/>
                <w:szCs w:val="18"/>
              </w:rPr>
              <w:t>0.65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2D9D09D" w14:textId="77777777" w:rsidR="005525D5" w:rsidRPr="00653753" w:rsidRDefault="005525D5" w:rsidP="005525D5">
            <w:pPr>
              <w:contextualSpacing/>
              <w:jc w:val="center"/>
              <w:rPr>
                <w:sz w:val="18"/>
                <w:szCs w:val="18"/>
              </w:rPr>
            </w:pPr>
            <w:r w:rsidRPr="00653753">
              <w:rPr>
                <w:sz w:val="18"/>
                <w:szCs w:val="18"/>
              </w:rPr>
              <w:t>0.035</w:t>
            </w:r>
            <w:r>
              <w:rPr>
                <w:sz w:val="18"/>
                <w:szCs w:val="18"/>
              </w:rPr>
              <w:t>*</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924CC62" w14:textId="77777777" w:rsidR="005525D5" w:rsidRPr="000965AB" w:rsidRDefault="005525D5" w:rsidP="005525D5">
            <w:pPr>
              <w:contextualSpacing/>
              <w:jc w:val="center"/>
              <w:rPr>
                <w:sz w:val="18"/>
                <w:szCs w:val="18"/>
              </w:rPr>
            </w:pPr>
            <w:r w:rsidRPr="000965AB">
              <w:rPr>
                <w:sz w:val="18"/>
                <w:szCs w:val="18"/>
              </w:rPr>
              <w:t>1.41</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3C1B208" w14:textId="77777777" w:rsidR="005525D5" w:rsidRPr="000965AB" w:rsidRDefault="005525D5" w:rsidP="005525D5">
            <w:pPr>
              <w:contextualSpacing/>
              <w:jc w:val="center"/>
              <w:rPr>
                <w:sz w:val="18"/>
                <w:szCs w:val="18"/>
              </w:rPr>
            </w:pPr>
            <w:r w:rsidRPr="000965AB">
              <w:rPr>
                <w:sz w:val="18"/>
                <w:szCs w:val="18"/>
              </w:rPr>
              <w:t>0.331</w:t>
            </w:r>
          </w:p>
        </w:tc>
      </w:tr>
      <w:tr w:rsidR="005525D5" w:rsidRPr="0067270C" w14:paraId="642E8757"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62885D3A"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246D60E0" w14:textId="77777777" w:rsidR="005525D5" w:rsidRPr="0067270C" w:rsidRDefault="005525D5" w:rsidP="005525D5">
            <w:pPr>
              <w:contextualSpacing/>
              <w:rPr>
                <w:sz w:val="18"/>
                <w:szCs w:val="18"/>
              </w:rPr>
            </w:pPr>
            <w:r>
              <w:rPr>
                <w:sz w:val="18"/>
                <w:szCs w:val="18"/>
              </w:rPr>
              <w:t>Relationship to the patient: spouse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32A2CF2" w14:textId="77777777" w:rsidR="005525D5" w:rsidRPr="00E04887" w:rsidRDefault="005525D5" w:rsidP="005525D5">
            <w:pPr>
              <w:contextualSpacing/>
              <w:jc w:val="center"/>
              <w:rPr>
                <w:sz w:val="18"/>
                <w:szCs w:val="18"/>
              </w:rPr>
            </w:pPr>
            <w:r w:rsidRPr="0002298E">
              <w:rPr>
                <w:sz w:val="18"/>
                <w:szCs w:val="18"/>
              </w:rPr>
              <w:t>0.42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40B02E6" w14:textId="77777777" w:rsidR="005525D5" w:rsidRPr="00E04887" w:rsidRDefault="005525D5" w:rsidP="005525D5">
            <w:pPr>
              <w:contextualSpacing/>
              <w:jc w:val="center"/>
              <w:rPr>
                <w:sz w:val="18"/>
                <w:szCs w:val="18"/>
              </w:rPr>
            </w:pPr>
            <w:r w:rsidRPr="0002298E">
              <w:rPr>
                <w:sz w:val="18"/>
                <w:szCs w:val="18"/>
              </w:rPr>
              <w:t>0.046</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57B1A3B" w14:textId="77777777" w:rsidR="005525D5" w:rsidRPr="002E2933" w:rsidRDefault="005525D5" w:rsidP="005525D5">
            <w:pPr>
              <w:contextualSpacing/>
              <w:jc w:val="center"/>
              <w:rPr>
                <w:sz w:val="18"/>
                <w:szCs w:val="18"/>
              </w:rPr>
            </w:pPr>
            <w:r w:rsidRPr="002E2933">
              <w:rPr>
                <w:sz w:val="18"/>
                <w:szCs w:val="18"/>
              </w:rPr>
              <w:t>0.42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EAA19C2" w14:textId="77777777" w:rsidR="005525D5" w:rsidRPr="002E2933" w:rsidRDefault="005525D5" w:rsidP="005525D5">
            <w:pPr>
              <w:contextualSpacing/>
              <w:jc w:val="center"/>
              <w:rPr>
                <w:sz w:val="18"/>
                <w:szCs w:val="18"/>
              </w:rPr>
            </w:pPr>
            <w:r w:rsidRPr="002E2933">
              <w:rPr>
                <w:sz w:val="18"/>
                <w:szCs w:val="18"/>
              </w:rPr>
              <w:t>0.042</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EAAF686" w14:textId="77777777" w:rsidR="005525D5" w:rsidRPr="00653753" w:rsidRDefault="005525D5" w:rsidP="005525D5">
            <w:pPr>
              <w:contextualSpacing/>
              <w:jc w:val="center"/>
              <w:rPr>
                <w:sz w:val="18"/>
                <w:szCs w:val="18"/>
              </w:rPr>
            </w:pPr>
            <w:r w:rsidRPr="00653753">
              <w:rPr>
                <w:sz w:val="18"/>
                <w:szCs w:val="18"/>
              </w:rPr>
              <w:t>0.41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FC064B8" w14:textId="77777777" w:rsidR="005525D5" w:rsidRPr="00653753" w:rsidRDefault="005525D5" w:rsidP="005525D5">
            <w:pPr>
              <w:contextualSpacing/>
              <w:jc w:val="center"/>
              <w:rPr>
                <w:sz w:val="18"/>
                <w:szCs w:val="18"/>
              </w:rPr>
            </w:pPr>
            <w:r w:rsidRPr="00653753">
              <w:rPr>
                <w:sz w:val="18"/>
                <w:szCs w:val="18"/>
              </w:rPr>
              <w:t>0.057</w:t>
            </w:r>
            <w:r>
              <w:rPr>
                <w:sz w:val="18"/>
                <w:szCs w:val="18"/>
              </w:rPr>
              <w:t>*</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12E4D25E" w14:textId="77777777" w:rsidR="005525D5" w:rsidRPr="000965AB" w:rsidRDefault="005525D5" w:rsidP="005525D5">
            <w:pPr>
              <w:contextualSpacing/>
              <w:jc w:val="center"/>
              <w:rPr>
                <w:sz w:val="18"/>
                <w:szCs w:val="18"/>
              </w:rPr>
            </w:pPr>
            <w:r w:rsidRPr="000965AB">
              <w:rPr>
                <w:sz w:val="18"/>
                <w:szCs w:val="18"/>
              </w:rPr>
              <w:t>1.30</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6F672CCC" w14:textId="77777777" w:rsidR="005525D5" w:rsidRPr="000965AB" w:rsidRDefault="005525D5" w:rsidP="005525D5">
            <w:pPr>
              <w:contextualSpacing/>
              <w:jc w:val="center"/>
              <w:rPr>
                <w:sz w:val="18"/>
                <w:szCs w:val="18"/>
              </w:rPr>
            </w:pPr>
            <w:r w:rsidRPr="000965AB">
              <w:rPr>
                <w:sz w:val="18"/>
                <w:szCs w:val="18"/>
              </w:rPr>
              <w:t>0.297</w:t>
            </w:r>
          </w:p>
        </w:tc>
      </w:tr>
      <w:tr w:rsidR="005525D5" w:rsidRPr="000965AB" w14:paraId="6B693C6B"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680B10E9"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0B94A199" w14:textId="77777777" w:rsidR="005525D5" w:rsidRPr="0067270C" w:rsidRDefault="005525D5" w:rsidP="005525D5">
            <w:pPr>
              <w:contextualSpacing/>
              <w:rPr>
                <w:sz w:val="18"/>
                <w:szCs w:val="18"/>
              </w:rPr>
            </w:pPr>
            <w:r>
              <w:rPr>
                <w:sz w:val="18"/>
                <w:szCs w:val="18"/>
              </w:rPr>
              <w:t>Relationship to the patient: child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0083416" w14:textId="77777777" w:rsidR="005525D5" w:rsidRPr="00E04887" w:rsidRDefault="005525D5" w:rsidP="005525D5">
            <w:pPr>
              <w:contextualSpacing/>
              <w:jc w:val="center"/>
              <w:rPr>
                <w:sz w:val="18"/>
                <w:szCs w:val="18"/>
              </w:rPr>
            </w:pPr>
            <w:r w:rsidRPr="0002298E">
              <w:rPr>
                <w:sz w:val="18"/>
                <w:szCs w:val="18"/>
              </w:rPr>
              <w:t>-0.58</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5C3111A" w14:textId="77777777" w:rsidR="005525D5" w:rsidRPr="00E04887" w:rsidRDefault="005525D5" w:rsidP="005525D5">
            <w:pPr>
              <w:contextualSpacing/>
              <w:jc w:val="center"/>
              <w:rPr>
                <w:sz w:val="18"/>
                <w:szCs w:val="18"/>
              </w:rPr>
            </w:pPr>
            <w:r w:rsidRPr="0002298E">
              <w:rPr>
                <w:sz w:val="18"/>
                <w:szCs w:val="18"/>
              </w:rPr>
              <w:t>0.005</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773D582" w14:textId="77777777" w:rsidR="005525D5" w:rsidRPr="002E2933" w:rsidRDefault="005525D5" w:rsidP="005525D5">
            <w:pPr>
              <w:contextualSpacing/>
              <w:jc w:val="center"/>
              <w:rPr>
                <w:sz w:val="18"/>
                <w:szCs w:val="18"/>
              </w:rPr>
            </w:pPr>
            <w:r w:rsidRPr="002E2933">
              <w:rPr>
                <w:sz w:val="18"/>
                <w:szCs w:val="18"/>
              </w:rPr>
              <w:t>-0.57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1D2A581" w14:textId="77777777" w:rsidR="005525D5" w:rsidRPr="002E2933" w:rsidRDefault="005525D5" w:rsidP="005525D5">
            <w:pPr>
              <w:contextualSpacing/>
              <w:jc w:val="center"/>
              <w:rPr>
                <w:sz w:val="18"/>
                <w:szCs w:val="18"/>
              </w:rPr>
            </w:pPr>
            <w:r w:rsidRPr="002E2933">
              <w:rPr>
                <w:sz w:val="18"/>
                <w:szCs w:val="18"/>
              </w:rPr>
              <w:t>0.005</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924386E" w14:textId="77777777" w:rsidR="005525D5" w:rsidRPr="00653753" w:rsidRDefault="005525D5" w:rsidP="005525D5">
            <w:pPr>
              <w:contextualSpacing/>
              <w:jc w:val="center"/>
              <w:rPr>
                <w:sz w:val="18"/>
                <w:szCs w:val="18"/>
              </w:rPr>
            </w:pPr>
            <w:r w:rsidRPr="00653753">
              <w:rPr>
                <w:sz w:val="18"/>
                <w:szCs w:val="18"/>
              </w:rPr>
              <w:t>-0.59</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D95A363" w14:textId="77777777" w:rsidR="005525D5" w:rsidRPr="00653753" w:rsidRDefault="005525D5" w:rsidP="005525D5">
            <w:pPr>
              <w:contextualSpacing/>
              <w:jc w:val="center"/>
              <w:rPr>
                <w:sz w:val="18"/>
                <w:szCs w:val="18"/>
              </w:rPr>
            </w:pPr>
            <w:r w:rsidRPr="00653753">
              <w:rPr>
                <w:sz w:val="18"/>
                <w:szCs w:val="18"/>
              </w:rPr>
              <w:t>0.004</w:t>
            </w:r>
            <w:r>
              <w:rPr>
                <w:sz w:val="18"/>
                <w:szCs w:val="18"/>
              </w:rPr>
              <w:t>*</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10A9D520" w14:textId="77777777" w:rsidR="005525D5" w:rsidRPr="000965AB" w:rsidRDefault="005525D5" w:rsidP="005525D5">
            <w:pPr>
              <w:contextualSpacing/>
              <w:jc w:val="center"/>
              <w:rPr>
                <w:sz w:val="18"/>
                <w:szCs w:val="18"/>
              </w:rPr>
            </w:pPr>
            <w:r w:rsidRPr="000965AB">
              <w:rPr>
                <w:sz w:val="18"/>
                <w:szCs w:val="18"/>
              </w:rPr>
              <w:t>0.68</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5E61DD07" w14:textId="77777777" w:rsidR="005525D5" w:rsidRPr="000965AB" w:rsidRDefault="005525D5" w:rsidP="005525D5">
            <w:pPr>
              <w:contextualSpacing/>
              <w:jc w:val="center"/>
              <w:rPr>
                <w:sz w:val="18"/>
                <w:szCs w:val="18"/>
              </w:rPr>
            </w:pPr>
            <w:r w:rsidRPr="000965AB">
              <w:rPr>
                <w:sz w:val="18"/>
                <w:szCs w:val="18"/>
              </w:rPr>
              <w:t>0.145</w:t>
            </w:r>
            <w:r>
              <w:rPr>
                <w:sz w:val="18"/>
                <w:szCs w:val="18"/>
              </w:rPr>
              <w:t>*</w:t>
            </w:r>
          </w:p>
        </w:tc>
      </w:tr>
      <w:tr w:rsidR="005525D5" w:rsidRPr="000965AB" w14:paraId="0FBB04AD"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3F3FBDC5"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0B6013CC" w14:textId="77777777" w:rsidR="005525D5" w:rsidRPr="0067270C" w:rsidRDefault="005525D5" w:rsidP="005525D5">
            <w:pPr>
              <w:contextualSpacing/>
              <w:rPr>
                <w:sz w:val="18"/>
                <w:szCs w:val="18"/>
              </w:rPr>
            </w:pPr>
            <w:r>
              <w:rPr>
                <w:sz w:val="18"/>
                <w:szCs w:val="18"/>
              </w:rPr>
              <w:t>Relationship to the patient: sibling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FE43BCB" w14:textId="77777777" w:rsidR="005525D5" w:rsidRPr="00E04887" w:rsidRDefault="005525D5" w:rsidP="005525D5">
            <w:pPr>
              <w:contextualSpacing/>
              <w:jc w:val="center"/>
              <w:rPr>
                <w:sz w:val="18"/>
                <w:szCs w:val="18"/>
              </w:rPr>
            </w:pPr>
            <w:r w:rsidRPr="0002298E">
              <w:rPr>
                <w:sz w:val="18"/>
                <w:szCs w:val="18"/>
              </w:rPr>
              <w:t>-0.35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1D6CDE8" w14:textId="77777777" w:rsidR="005525D5" w:rsidRPr="00E04887" w:rsidRDefault="005525D5" w:rsidP="005525D5">
            <w:pPr>
              <w:contextualSpacing/>
              <w:jc w:val="center"/>
              <w:rPr>
                <w:sz w:val="18"/>
                <w:szCs w:val="18"/>
              </w:rPr>
            </w:pPr>
            <w:r w:rsidRPr="0002298E">
              <w:rPr>
                <w:sz w:val="18"/>
                <w:szCs w:val="18"/>
              </w:rPr>
              <w:t>0.316</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8A64487" w14:textId="77777777" w:rsidR="005525D5" w:rsidRPr="002E2933" w:rsidRDefault="005525D5" w:rsidP="005525D5">
            <w:pPr>
              <w:contextualSpacing/>
              <w:jc w:val="center"/>
              <w:rPr>
                <w:sz w:val="18"/>
                <w:szCs w:val="18"/>
              </w:rPr>
            </w:pPr>
            <w:r w:rsidRPr="002E2933">
              <w:rPr>
                <w:sz w:val="18"/>
                <w:szCs w:val="18"/>
              </w:rPr>
              <w:t>-0.33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D9FC3A2" w14:textId="77777777" w:rsidR="005525D5" w:rsidRPr="002E2933" w:rsidRDefault="005525D5" w:rsidP="005525D5">
            <w:pPr>
              <w:contextualSpacing/>
              <w:jc w:val="center"/>
              <w:rPr>
                <w:sz w:val="18"/>
                <w:szCs w:val="18"/>
              </w:rPr>
            </w:pPr>
            <w:r w:rsidRPr="002E2933">
              <w:rPr>
                <w:sz w:val="18"/>
                <w:szCs w:val="18"/>
              </w:rPr>
              <w:t>0.344</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52120D3" w14:textId="77777777" w:rsidR="005525D5" w:rsidRPr="00653753" w:rsidRDefault="005525D5" w:rsidP="005525D5">
            <w:pPr>
              <w:contextualSpacing/>
              <w:jc w:val="center"/>
              <w:rPr>
                <w:sz w:val="18"/>
                <w:szCs w:val="18"/>
              </w:rPr>
            </w:pPr>
            <w:r w:rsidRPr="00653753">
              <w:rPr>
                <w:sz w:val="18"/>
                <w:szCs w:val="18"/>
              </w:rPr>
              <w:t>-0.32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2F52BFA" w14:textId="77777777" w:rsidR="005525D5" w:rsidRPr="00653753" w:rsidRDefault="005525D5" w:rsidP="005525D5">
            <w:pPr>
              <w:contextualSpacing/>
              <w:jc w:val="center"/>
              <w:rPr>
                <w:sz w:val="18"/>
                <w:szCs w:val="18"/>
              </w:rPr>
            </w:pPr>
            <w:r w:rsidRPr="00653753">
              <w:rPr>
                <w:sz w:val="18"/>
                <w:szCs w:val="18"/>
              </w:rPr>
              <w:t>0.369</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62A4C9E5" w14:textId="77777777" w:rsidR="005525D5" w:rsidRPr="000965AB" w:rsidRDefault="005525D5" w:rsidP="005525D5">
            <w:pPr>
              <w:contextualSpacing/>
              <w:jc w:val="center"/>
              <w:rPr>
                <w:sz w:val="18"/>
                <w:szCs w:val="18"/>
              </w:rPr>
            </w:pPr>
            <w:r w:rsidRPr="000965AB">
              <w:rPr>
                <w:sz w:val="18"/>
                <w:szCs w:val="18"/>
              </w:rPr>
              <w:t>0.98</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66E2393F" w14:textId="77777777" w:rsidR="005525D5" w:rsidRPr="000965AB" w:rsidRDefault="005525D5" w:rsidP="005525D5">
            <w:pPr>
              <w:contextualSpacing/>
              <w:jc w:val="center"/>
              <w:rPr>
                <w:sz w:val="18"/>
                <w:szCs w:val="18"/>
              </w:rPr>
            </w:pPr>
            <w:r w:rsidRPr="000965AB">
              <w:rPr>
                <w:sz w:val="18"/>
                <w:szCs w:val="18"/>
              </w:rPr>
              <w:t>0.961</w:t>
            </w:r>
          </w:p>
        </w:tc>
      </w:tr>
      <w:tr w:rsidR="005525D5" w:rsidRPr="000965AB" w14:paraId="5CE195BE"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14AF0BB6"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1A60F4B3" w14:textId="77777777" w:rsidR="005525D5" w:rsidRPr="0067270C" w:rsidRDefault="005525D5" w:rsidP="005525D5">
            <w:pPr>
              <w:contextualSpacing/>
              <w:rPr>
                <w:sz w:val="18"/>
                <w:szCs w:val="18"/>
              </w:rPr>
            </w:pPr>
            <w:proofErr w:type="spellStart"/>
            <w:r w:rsidRPr="00457327">
              <w:rPr>
                <w:sz w:val="18"/>
                <w:szCs w:val="18"/>
              </w:rPr>
              <w:t>Lipkus</w:t>
            </w:r>
            <w:proofErr w:type="spellEnd"/>
            <w:r w:rsidRPr="00457327">
              <w:rPr>
                <w:sz w:val="18"/>
                <w:szCs w:val="18"/>
              </w:rPr>
              <w:t xml:space="preserve"> numeracy s</w:t>
            </w:r>
            <w:r>
              <w:rPr>
                <w:sz w:val="18"/>
                <w:szCs w:val="18"/>
              </w:rPr>
              <w:t>core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498379E" w14:textId="77777777" w:rsidR="005525D5" w:rsidRPr="00E04887" w:rsidRDefault="005525D5" w:rsidP="005525D5">
            <w:pPr>
              <w:contextualSpacing/>
              <w:jc w:val="center"/>
              <w:rPr>
                <w:sz w:val="18"/>
                <w:szCs w:val="18"/>
              </w:rPr>
            </w:pPr>
            <w:r w:rsidRPr="0002298E">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E9A71E8" w14:textId="77777777" w:rsidR="005525D5" w:rsidRPr="00E04887" w:rsidRDefault="005525D5" w:rsidP="005525D5">
            <w:pPr>
              <w:contextualSpacing/>
              <w:jc w:val="center"/>
              <w:rPr>
                <w:sz w:val="18"/>
                <w:szCs w:val="18"/>
              </w:rPr>
            </w:pPr>
            <w:r w:rsidRPr="0002298E">
              <w:rPr>
                <w:sz w:val="18"/>
                <w:szCs w:val="18"/>
              </w:rPr>
              <w:t>0.417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6108C06" w14:textId="77777777" w:rsidR="005525D5" w:rsidRPr="002E2933" w:rsidRDefault="005525D5" w:rsidP="005525D5">
            <w:pPr>
              <w:contextualSpacing/>
              <w:jc w:val="center"/>
              <w:rPr>
                <w:sz w:val="18"/>
                <w:szCs w:val="18"/>
              </w:rPr>
            </w:pPr>
            <w:r w:rsidRPr="002E2933">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3D8AB9A" w14:textId="77777777" w:rsidR="005525D5" w:rsidRPr="002E2933" w:rsidRDefault="005525D5" w:rsidP="005525D5">
            <w:pPr>
              <w:contextualSpacing/>
              <w:jc w:val="center"/>
              <w:rPr>
                <w:sz w:val="18"/>
                <w:szCs w:val="18"/>
              </w:rPr>
            </w:pPr>
            <w:r w:rsidRPr="002E2933">
              <w:rPr>
                <w:sz w:val="18"/>
                <w:szCs w:val="18"/>
              </w:rPr>
              <w:t>0.402</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A3C22AA" w14:textId="77777777" w:rsidR="005525D5" w:rsidRPr="00653753" w:rsidRDefault="005525D5" w:rsidP="005525D5">
            <w:pPr>
              <w:contextualSpacing/>
              <w:jc w:val="center"/>
              <w:rPr>
                <w:sz w:val="18"/>
                <w:szCs w:val="18"/>
              </w:rPr>
            </w:pPr>
            <w:r w:rsidRPr="0065375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00AA701" w14:textId="77777777" w:rsidR="005525D5" w:rsidRPr="00653753" w:rsidRDefault="005525D5" w:rsidP="005525D5">
            <w:pPr>
              <w:contextualSpacing/>
              <w:jc w:val="center"/>
              <w:rPr>
                <w:sz w:val="18"/>
                <w:szCs w:val="18"/>
              </w:rPr>
            </w:pPr>
            <w:r w:rsidRPr="00653753">
              <w:rPr>
                <w:sz w:val="18"/>
                <w:szCs w:val="18"/>
              </w:rPr>
              <w:t>0.445</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3B5A3A2" w14:textId="77777777" w:rsidR="005525D5" w:rsidRPr="000965AB" w:rsidRDefault="005525D5" w:rsidP="005525D5">
            <w:pPr>
              <w:contextualSpacing/>
              <w:jc w:val="center"/>
              <w:rPr>
                <w:sz w:val="18"/>
                <w:szCs w:val="18"/>
              </w:rPr>
            </w:pPr>
            <w:r w:rsidRPr="000965AB">
              <w:rPr>
                <w:sz w:val="18"/>
                <w:szCs w:val="18"/>
              </w:rPr>
              <w:t>1.02</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A5368A0" w14:textId="77777777" w:rsidR="005525D5" w:rsidRPr="000965AB" w:rsidRDefault="005525D5" w:rsidP="005525D5">
            <w:pPr>
              <w:contextualSpacing/>
              <w:jc w:val="center"/>
              <w:rPr>
                <w:sz w:val="18"/>
                <w:szCs w:val="18"/>
              </w:rPr>
            </w:pPr>
            <w:r w:rsidRPr="000965AB">
              <w:rPr>
                <w:sz w:val="18"/>
                <w:szCs w:val="18"/>
              </w:rPr>
              <w:t>0.700</w:t>
            </w:r>
          </w:p>
        </w:tc>
      </w:tr>
      <w:tr w:rsidR="005525D5" w:rsidRPr="000965AB" w14:paraId="05A47099"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553A8F23"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429207E2" w14:textId="77777777" w:rsidR="005525D5" w:rsidRPr="00457327" w:rsidRDefault="005525D5" w:rsidP="005525D5">
            <w:pPr>
              <w:contextualSpacing/>
              <w:rPr>
                <w:sz w:val="18"/>
                <w:szCs w:val="18"/>
              </w:rPr>
            </w:pPr>
            <w:r w:rsidRPr="0002298E">
              <w:rPr>
                <w:rFonts w:cs="Times New Roman"/>
                <w:sz w:val="18"/>
                <w:szCs w:val="18"/>
              </w:rPr>
              <w:t>STOFHLA</w:t>
            </w:r>
            <w:r>
              <w:rPr>
                <w:rFonts w:cs="Times New Roman"/>
                <w:sz w:val="18"/>
                <w:szCs w:val="18"/>
              </w:rPr>
              <w:t xml:space="preserve"> score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7453E97" w14:textId="77777777" w:rsidR="005525D5" w:rsidRPr="00E04887" w:rsidRDefault="005525D5" w:rsidP="005525D5">
            <w:pPr>
              <w:contextualSpacing/>
              <w:jc w:val="center"/>
              <w:rPr>
                <w:sz w:val="18"/>
                <w:szCs w:val="18"/>
              </w:rPr>
            </w:pPr>
            <w:r w:rsidRPr="0002298E">
              <w:rPr>
                <w:sz w:val="18"/>
                <w:szCs w:val="18"/>
              </w:rPr>
              <w:t>-0.01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67F30B9" w14:textId="77777777" w:rsidR="005525D5" w:rsidRPr="00E04887" w:rsidRDefault="005525D5" w:rsidP="005525D5">
            <w:pPr>
              <w:contextualSpacing/>
              <w:jc w:val="center"/>
              <w:rPr>
                <w:sz w:val="18"/>
                <w:szCs w:val="18"/>
              </w:rPr>
            </w:pPr>
            <w:r w:rsidRPr="0002298E">
              <w:rPr>
                <w:sz w:val="18"/>
                <w:szCs w:val="18"/>
              </w:rPr>
              <w:t>0.317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87D0B70" w14:textId="77777777" w:rsidR="005525D5" w:rsidRPr="002E2933" w:rsidRDefault="005525D5" w:rsidP="005525D5">
            <w:pPr>
              <w:contextualSpacing/>
              <w:jc w:val="center"/>
              <w:rPr>
                <w:sz w:val="18"/>
                <w:szCs w:val="18"/>
              </w:rPr>
            </w:pPr>
            <w:r w:rsidRPr="002E2933">
              <w:rPr>
                <w:sz w:val="18"/>
                <w:szCs w:val="18"/>
              </w:rPr>
              <w:t>-0.01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02CA68D" w14:textId="77777777" w:rsidR="005525D5" w:rsidRPr="002E2933" w:rsidRDefault="005525D5" w:rsidP="005525D5">
            <w:pPr>
              <w:contextualSpacing/>
              <w:jc w:val="center"/>
              <w:rPr>
                <w:sz w:val="18"/>
                <w:szCs w:val="18"/>
              </w:rPr>
            </w:pPr>
            <w:r w:rsidRPr="002E2933">
              <w:rPr>
                <w:sz w:val="18"/>
                <w:szCs w:val="18"/>
              </w:rPr>
              <w:t>0.284</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BFE210D" w14:textId="77777777" w:rsidR="005525D5" w:rsidRPr="00653753" w:rsidRDefault="005525D5" w:rsidP="005525D5">
            <w:pPr>
              <w:contextualSpacing/>
              <w:jc w:val="center"/>
              <w:rPr>
                <w:sz w:val="18"/>
                <w:szCs w:val="18"/>
              </w:rPr>
            </w:pPr>
            <w:r w:rsidRPr="00653753">
              <w:rPr>
                <w:sz w:val="18"/>
                <w:szCs w:val="18"/>
              </w:rPr>
              <w:t>-0.01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F46C18B" w14:textId="77777777" w:rsidR="005525D5" w:rsidRPr="00653753" w:rsidRDefault="005525D5" w:rsidP="005525D5">
            <w:pPr>
              <w:contextualSpacing/>
              <w:jc w:val="center"/>
              <w:rPr>
                <w:sz w:val="18"/>
                <w:szCs w:val="18"/>
              </w:rPr>
            </w:pPr>
            <w:r w:rsidRPr="00653753">
              <w:rPr>
                <w:sz w:val="18"/>
                <w:szCs w:val="18"/>
              </w:rPr>
              <w:t>0.328</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087BE736" w14:textId="77777777" w:rsidR="005525D5" w:rsidRPr="000965AB" w:rsidRDefault="005525D5" w:rsidP="005525D5">
            <w:pPr>
              <w:contextualSpacing/>
              <w:jc w:val="center"/>
              <w:rPr>
                <w:sz w:val="18"/>
                <w:szCs w:val="18"/>
              </w:rPr>
            </w:pPr>
            <w:r w:rsidRPr="000965AB">
              <w:rPr>
                <w:sz w:val="18"/>
                <w:szCs w:val="18"/>
              </w:rPr>
              <w:t>1.01</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1461C3E2" w14:textId="77777777" w:rsidR="005525D5" w:rsidRPr="000965AB" w:rsidRDefault="005525D5" w:rsidP="005525D5">
            <w:pPr>
              <w:contextualSpacing/>
              <w:jc w:val="center"/>
              <w:rPr>
                <w:sz w:val="18"/>
                <w:szCs w:val="18"/>
              </w:rPr>
            </w:pPr>
            <w:r w:rsidRPr="000965AB">
              <w:rPr>
                <w:sz w:val="18"/>
                <w:szCs w:val="18"/>
              </w:rPr>
              <w:t>0.483</w:t>
            </w:r>
          </w:p>
        </w:tc>
      </w:tr>
      <w:tr w:rsidR="005525D5" w:rsidRPr="000965AB" w14:paraId="3CFB69B1"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1080599A"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26FA2F61" w14:textId="77777777" w:rsidR="005525D5" w:rsidRPr="009D16B6" w:rsidRDefault="005525D5" w:rsidP="005525D5">
            <w:pPr>
              <w:contextualSpacing/>
              <w:rPr>
                <w:rFonts w:cs="Times New Roman"/>
                <w:sz w:val="18"/>
                <w:szCs w:val="18"/>
              </w:rPr>
            </w:pPr>
            <w:r>
              <w:rPr>
                <w:rFonts w:cs="Times New Roman"/>
                <w:sz w:val="18"/>
                <w:szCs w:val="18"/>
              </w:rPr>
              <w:t>Adequate level of health literacy (</w:t>
            </w:r>
            <w:r w:rsidRPr="009D16B6">
              <w:rPr>
                <w:rFonts w:cs="Times New Roman"/>
                <w:sz w:val="18"/>
                <w:szCs w:val="18"/>
              </w:rPr>
              <w:t>STOFHLA</w:t>
            </w:r>
            <w:r>
              <w:rPr>
                <w:rFonts w:cs="Times New Roman"/>
                <w:sz w:val="18"/>
                <w:szCs w:val="18"/>
              </w:rPr>
              <w:t>≥23)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6F86C2F" w14:textId="77777777" w:rsidR="005525D5" w:rsidRPr="00E04887" w:rsidRDefault="005525D5" w:rsidP="005525D5">
            <w:pPr>
              <w:contextualSpacing/>
              <w:jc w:val="center"/>
              <w:rPr>
                <w:sz w:val="18"/>
                <w:szCs w:val="18"/>
              </w:rPr>
            </w:pPr>
            <w:r w:rsidRPr="0002298E">
              <w:rPr>
                <w:sz w:val="18"/>
                <w:szCs w:val="18"/>
              </w:rPr>
              <w:t>-0.53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35B4002" w14:textId="77777777" w:rsidR="005525D5" w:rsidRPr="00E04887" w:rsidRDefault="005525D5" w:rsidP="005525D5">
            <w:pPr>
              <w:contextualSpacing/>
              <w:jc w:val="center"/>
              <w:rPr>
                <w:sz w:val="18"/>
                <w:szCs w:val="18"/>
              </w:rPr>
            </w:pPr>
            <w:r w:rsidRPr="0002298E">
              <w:rPr>
                <w:sz w:val="18"/>
                <w:szCs w:val="18"/>
              </w:rPr>
              <w:t>0.250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3EB36D03" w14:textId="77777777" w:rsidR="005525D5" w:rsidRPr="002E2933" w:rsidRDefault="005525D5" w:rsidP="005525D5">
            <w:pPr>
              <w:contextualSpacing/>
              <w:jc w:val="center"/>
              <w:rPr>
                <w:sz w:val="18"/>
                <w:szCs w:val="18"/>
              </w:rPr>
            </w:pPr>
            <w:r w:rsidRPr="002E2933">
              <w:rPr>
                <w:sz w:val="18"/>
                <w:szCs w:val="18"/>
              </w:rPr>
              <w:t>-0.56</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469CF3B" w14:textId="77777777" w:rsidR="005525D5" w:rsidRPr="002E2933" w:rsidRDefault="005525D5" w:rsidP="005525D5">
            <w:pPr>
              <w:contextualSpacing/>
              <w:jc w:val="center"/>
              <w:rPr>
                <w:sz w:val="18"/>
                <w:szCs w:val="18"/>
              </w:rPr>
            </w:pPr>
            <w:r w:rsidRPr="002E2933">
              <w:rPr>
                <w:sz w:val="18"/>
                <w:szCs w:val="18"/>
              </w:rPr>
              <w:t>0.217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A3FB451" w14:textId="77777777" w:rsidR="005525D5" w:rsidRPr="00653753" w:rsidRDefault="005525D5" w:rsidP="005525D5">
            <w:pPr>
              <w:contextualSpacing/>
              <w:jc w:val="center"/>
              <w:rPr>
                <w:sz w:val="18"/>
                <w:szCs w:val="18"/>
              </w:rPr>
            </w:pPr>
            <w:r w:rsidRPr="00653753">
              <w:rPr>
                <w:sz w:val="18"/>
                <w:szCs w:val="18"/>
              </w:rPr>
              <w:t>-0.54</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8F575DF" w14:textId="77777777" w:rsidR="005525D5" w:rsidRPr="00653753" w:rsidRDefault="005525D5" w:rsidP="005525D5">
            <w:pPr>
              <w:contextualSpacing/>
              <w:jc w:val="center"/>
              <w:rPr>
                <w:sz w:val="18"/>
                <w:szCs w:val="18"/>
              </w:rPr>
            </w:pPr>
            <w:r w:rsidRPr="00653753">
              <w:rPr>
                <w:sz w:val="18"/>
                <w:szCs w:val="18"/>
              </w:rPr>
              <w:t>0.254</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6BB7BBCF" w14:textId="77777777" w:rsidR="005525D5" w:rsidRPr="000965AB" w:rsidRDefault="005525D5" w:rsidP="005525D5">
            <w:pPr>
              <w:contextualSpacing/>
              <w:jc w:val="center"/>
              <w:rPr>
                <w:sz w:val="18"/>
                <w:szCs w:val="18"/>
              </w:rPr>
            </w:pPr>
            <w:r w:rsidRPr="000965AB">
              <w:rPr>
                <w:sz w:val="18"/>
                <w:szCs w:val="18"/>
              </w:rPr>
              <w:t>1.31</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02ACDF33" w14:textId="77777777" w:rsidR="005525D5" w:rsidRPr="000965AB" w:rsidRDefault="005525D5" w:rsidP="005525D5">
            <w:pPr>
              <w:contextualSpacing/>
              <w:jc w:val="center"/>
              <w:rPr>
                <w:sz w:val="18"/>
                <w:szCs w:val="18"/>
              </w:rPr>
            </w:pPr>
            <w:r w:rsidRPr="000965AB">
              <w:rPr>
                <w:sz w:val="18"/>
                <w:szCs w:val="18"/>
              </w:rPr>
              <w:t>0.645</w:t>
            </w:r>
          </w:p>
        </w:tc>
      </w:tr>
      <w:tr w:rsidR="005525D5" w:rsidRPr="000965AB" w14:paraId="7EF4F5F0"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14126DB1"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2206E73C" w14:textId="77777777" w:rsidR="005525D5" w:rsidRPr="00457327" w:rsidRDefault="005525D5" w:rsidP="005525D5">
            <w:pPr>
              <w:contextualSpacing/>
              <w:rPr>
                <w:sz w:val="18"/>
                <w:szCs w:val="18"/>
              </w:rPr>
            </w:pPr>
            <w:r w:rsidRPr="0002298E">
              <w:rPr>
                <w:rFonts w:cs="Times New Roman"/>
                <w:sz w:val="18"/>
                <w:szCs w:val="18"/>
              </w:rPr>
              <w:t>LOTR</w:t>
            </w:r>
            <w:r>
              <w:rPr>
                <w:rFonts w:cs="Times New Roman"/>
                <w:sz w:val="18"/>
                <w:szCs w:val="18"/>
              </w:rPr>
              <w:t xml:space="preserve"> score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DE1AAA8" w14:textId="77777777" w:rsidR="005525D5" w:rsidRPr="00E04887" w:rsidRDefault="005525D5" w:rsidP="005525D5">
            <w:pPr>
              <w:contextualSpacing/>
              <w:jc w:val="center"/>
              <w:rPr>
                <w:sz w:val="18"/>
                <w:szCs w:val="18"/>
              </w:rPr>
            </w:pPr>
            <w:r w:rsidRPr="0002298E">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55CE245" w14:textId="77777777" w:rsidR="005525D5" w:rsidRPr="00E04887" w:rsidRDefault="005525D5" w:rsidP="005525D5">
            <w:pPr>
              <w:contextualSpacing/>
              <w:jc w:val="center"/>
              <w:rPr>
                <w:sz w:val="18"/>
                <w:szCs w:val="18"/>
              </w:rPr>
            </w:pPr>
            <w:r w:rsidRPr="0002298E">
              <w:rPr>
                <w:sz w:val="18"/>
                <w:szCs w:val="18"/>
              </w:rPr>
              <w:t>0.363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76158FD" w14:textId="77777777" w:rsidR="005525D5" w:rsidRPr="002E2933" w:rsidRDefault="005525D5" w:rsidP="005525D5">
            <w:pPr>
              <w:contextualSpacing/>
              <w:jc w:val="center"/>
              <w:rPr>
                <w:sz w:val="18"/>
                <w:szCs w:val="18"/>
              </w:rPr>
            </w:pPr>
            <w:r w:rsidRPr="002E293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C9FDFA4" w14:textId="77777777" w:rsidR="005525D5" w:rsidRPr="002E2933" w:rsidRDefault="005525D5" w:rsidP="005525D5">
            <w:pPr>
              <w:contextualSpacing/>
              <w:jc w:val="center"/>
              <w:rPr>
                <w:sz w:val="18"/>
                <w:szCs w:val="18"/>
              </w:rPr>
            </w:pPr>
            <w:r w:rsidRPr="002E2933">
              <w:rPr>
                <w:sz w:val="18"/>
                <w:szCs w:val="18"/>
              </w:rPr>
              <w:t>0.377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3C53687A" w14:textId="77777777" w:rsidR="005525D5" w:rsidRPr="00653753" w:rsidRDefault="005525D5" w:rsidP="005525D5">
            <w:pPr>
              <w:contextualSpacing/>
              <w:jc w:val="center"/>
              <w:rPr>
                <w:sz w:val="18"/>
                <w:szCs w:val="18"/>
              </w:rPr>
            </w:pPr>
            <w:r w:rsidRPr="0065375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6DBD840" w14:textId="77777777" w:rsidR="005525D5" w:rsidRPr="00653753" w:rsidRDefault="005525D5" w:rsidP="005525D5">
            <w:pPr>
              <w:contextualSpacing/>
              <w:jc w:val="center"/>
              <w:rPr>
                <w:sz w:val="18"/>
                <w:szCs w:val="18"/>
              </w:rPr>
            </w:pPr>
            <w:r w:rsidRPr="00653753">
              <w:rPr>
                <w:sz w:val="18"/>
                <w:szCs w:val="18"/>
              </w:rPr>
              <w:t>0.371</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1B03F77A" w14:textId="77777777" w:rsidR="005525D5" w:rsidRPr="000965AB" w:rsidRDefault="005525D5" w:rsidP="005525D5">
            <w:pPr>
              <w:contextualSpacing/>
              <w:jc w:val="center"/>
              <w:rPr>
                <w:sz w:val="18"/>
                <w:szCs w:val="18"/>
              </w:rPr>
            </w:pPr>
            <w:r w:rsidRPr="000965AB">
              <w:rPr>
                <w:sz w:val="18"/>
                <w:szCs w:val="18"/>
              </w:rPr>
              <w:t>0.96</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0239D033" w14:textId="77777777" w:rsidR="005525D5" w:rsidRPr="000965AB" w:rsidRDefault="005525D5" w:rsidP="005525D5">
            <w:pPr>
              <w:contextualSpacing/>
              <w:jc w:val="center"/>
              <w:rPr>
                <w:sz w:val="18"/>
                <w:szCs w:val="18"/>
              </w:rPr>
            </w:pPr>
            <w:r w:rsidRPr="000965AB">
              <w:rPr>
                <w:sz w:val="18"/>
                <w:szCs w:val="18"/>
              </w:rPr>
              <w:t>0.246</w:t>
            </w:r>
          </w:p>
        </w:tc>
      </w:tr>
      <w:tr w:rsidR="005525D5" w:rsidRPr="000965AB" w14:paraId="0BB7F5F0"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168BE7FC"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104F7967" w14:textId="77777777" w:rsidR="005525D5" w:rsidRPr="009D16B6" w:rsidRDefault="005525D5" w:rsidP="005525D5">
            <w:pPr>
              <w:contextualSpacing/>
              <w:rPr>
                <w:rFonts w:cs="Times New Roman"/>
                <w:sz w:val="18"/>
                <w:szCs w:val="18"/>
              </w:rPr>
            </w:pPr>
            <w:r>
              <w:rPr>
                <w:rFonts w:cs="Times New Roman"/>
                <w:sz w:val="18"/>
                <w:szCs w:val="18"/>
              </w:rPr>
              <w:t>High level of optimism (LOTR≥19)</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3F12980" w14:textId="77777777" w:rsidR="005525D5" w:rsidRPr="00E04887" w:rsidRDefault="005525D5" w:rsidP="005525D5">
            <w:pPr>
              <w:contextualSpacing/>
              <w:jc w:val="center"/>
              <w:rPr>
                <w:sz w:val="18"/>
                <w:szCs w:val="18"/>
              </w:rPr>
            </w:pPr>
            <w:r w:rsidRPr="0002298E">
              <w:rPr>
                <w:sz w:val="18"/>
                <w:szCs w:val="18"/>
              </w:rPr>
              <w:t>0.20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5D1FF78" w14:textId="77777777" w:rsidR="005525D5" w:rsidRPr="00E04887" w:rsidRDefault="005525D5" w:rsidP="005525D5">
            <w:pPr>
              <w:contextualSpacing/>
              <w:jc w:val="center"/>
              <w:rPr>
                <w:sz w:val="18"/>
                <w:szCs w:val="18"/>
              </w:rPr>
            </w:pPr>
            <w:r w:rsidRPr="0002298E">
              <w:rPr>
                <w:sz w:val="18"/>
                <w:szCs w:val="18"/>
              </w:rPr>
              <w:t>0.376</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44294FB" w14:textId="77777777" w:rsidR="005525D5" w:rsidRPr="002E2933" w:rsidRDefault="005525D5" w:rsidP="005525D5">
            <w:pPr>
              <w:contextualSpacing/>
              <w:jc w:val="center"/>
              <w:rPr>
                <w:sz w:val="18"/>
                <w:szCs w:val="18"/>
              </w:rPr>
            </w:pPr>
            <w:r w:rsidRPr="002E2933">
              <w:rPr>
                <w:sz w:val="18"/>
                <w:szCs w:val="18"/>
              </w:rPr>
              <w:t>0.20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95A3AB9" w14:textId="77777777" w:rsidR="005525D5" w:rsidRPr="002E2933" w:rsidRDefault="005525D5" w:rsidP="005525D5">
            <w:pPr>
              <w:contextualSpacing/>
              <w:jc w:val="center"/>
              <w:rPr>
                <w:sz w:val="18"/>
                <w:szCs w:val="18"/>
              </w:rPr>
            </w:pPr>
            <w:r w:rsidRPr="002E2933">
              <w:rPr>
                <w:sz w:val="18"/>
                <w:szCs w:val="18"/>
              </w:rPr>
              <w:t>0.350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58BA75F" w14:textId="77777777" w:rsidR="005525D5" w:rsidRPr="00653753" w:rsidRDefault="005525D5" w:rsidP="005525D5">
            <w:pPr>
              <w:contextualSpacing/>
              <w:jc w:val="center"/>
              <w:rPr>
                <w:sz w:val="18"/>
                <w:szCs w:val="18"/>
              </w:rPr>
            </w:pPr>
            <w:r w:rsidRPr="00653753">
              <w:rPr>
                <w:sz w:val="18"/>
                <w:szCs w:val="18"/>
              </w:rPr>
              <w:t>0.20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9A0AB05" w14:textId="77777777" w:rsidR="005525D5" w:rsidRPr="00653753" w:rsidRDefault="005525D5" w:rsidP="005525D5">
            <w:pPr>
              <w:contextualSpacing/>
              <w:jc w:val="center"/>
              <w:rPr>
                <w:sz w:val="18"/>
                <w:szCs w:val="18"/>
              </w:rPr>
            </w:pPr>
            <w:r w:rsidRPr="00653753">
              <w:rPr>
                <w:sz w:val="18"/>
                <w:szCs w:val="18"/>
              </w:rPr>
              <w:t>0.371</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23CDD1E9" w14:textId="77777777" w:rsidR="005525D5" w:rsidRPr="000965AB" w:rsidRDefault="005525D5" w:rsidP="005525D5">
            <w:pPr>
              <w:contextualSpacing/>
              <w:jc w:val="center"/>
              <w:rPr>
                <w:sz w:val="18"/>
                <w:szCs w:val="18"/>
              </w:rPr>
            </w:pPr>
            <w:r w:rsidRPr="000965AB">
              <w:rPr>
                <w:sz w:val="18"/>
                <w:szCs w:val="18"/>
              </w:rPr>
              <w:t>0.88</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9FA8B1F" w14:textId="77777777" w:rsidR="005525D5" w:rsidRPr="000965AB" w:rsidRDefault="005525D5" w:rsidP="005525D5">
            <w:pPr>
              <w:contextualSpacing/>
              <w:jc w:val="center"/>
              <w:rPr>
                <w:sz w:val="18"/>
                <w:szCs w:val="18"/>
              </w:rPr>
            </w:pPr>
            <w:r w:rsidRPr="000965AB">
              <w:rPr>
                <w:sz w:val="18"/>
                <w:szCs w:val="18"/>
              </w:rPr>
              <w:t>0.627</w:t>
            </w:r>
          </w:p>
        </w:tc>
      </w:tr>
      <w:tr w:rsidR="005525D5" w:rsidRPr="000965AB" w14:paraId="72AC6AF1"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2B62AB37"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034F2B36" w14:textId="77777777" w:rsidR="005525D5" w:rsidRPr="00457327" w:rsidRDefault="005525D5" w:rsidP="005525D5">
            <w:pPr>
              <w:contextualSpacing/>
              <w:rPr>
                <w:sz w:val="18"/>
                <w:szCs w:val="18"/>
              </w:rPr>
            </w:pPr>
            <w:r w:rsidRPr="0002298E">
              <w:rPr>
                <w:rFonts w:cs="Times New Roman"/>
                <w:sz w:val="18"/>
                <w:szCs w:val="18"/>
              </w:rPr>
              <w:t>PHQ9</w:t>
            </w:r>
            <w:r>
              <w:rPr>
                <w:rFonts w:cs="Times New Roman"/>
                <w:sz w:val="18"/>
                <w:szCs w:val="18"/>
              </w:rPr>
              <w:t xml:space="preserve"> score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F395C02" w14:textId="77777777" w:rsidR="005525D5" w:rsidRPr="00E04887" w:rsidRDefault="005525D5" w:rsidP="005525D5">
            <w:pPr>
              <w:contextualSpacing/>
              <w:jc w:val="center"/>
              <w:rPr>
                <w:sz w:val="18"/>
                <w:szCs w:val="18"/>
              </w:rPr>
            </w:pPr>
            <w:r w:rsidRPr="0002298E">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68B84B5" w14:textId="77777777" w:rsidR="005525D5" w:rsidRPr="00E04887" w:rsidRDefault="005525D5" w:rsidP="005525D5">
            <w:pPr>
              <w:contextualSpacing/>
              <w:jc w:val="center"/>
              <w:rPr>
                <w:sz w:val="18"/>
                <w:szCs w:val="18"/>
              </w:rPr>
            </w:pPr>
            <w:r w:rsidRPr="0002298E">
              <w:rPr>
                <w:sz w:val="18"/>
                <w:szCs w:val="18"/>
              </w:rPr>
              <w:t>0.184</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16EE546" w14:textId="77777777" w:rsidR="005525D5" w:rsidRPr="002E2933" w:rsidRDefault="005525D5" w:rsidP="005525D5">
            <w:pPr>
              <w:contextualSpacing/>
              <w:jc w:val="center"/>
              <w:rPr>
                <w:sz w:val="18"/>
                <w:szCs w:val="18"/>
              </w:rPr>
            </w:pPr>
            <w:r w:rsidRPr="002E2933">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65EA03F" w14:textId="77777777" w:rsidR="005525D5" w:rsidRPr="002E2933" w:rsidRDefault="005525D5" w:rsidP="005525D5">
            <w:pPr>
              <w:contextualSpacing/>
              <w:jc w:val="center"/>
              <w:rPr>
                <w:sz w:val="18"/>
                <w:szCs w:val="18"/>
              </w:rPr>
            </w:pPr>
            <w:r w:rsidRPr="002E2933">
              <w:rPr>
                <w:sz w:val="18"/>
                <w:szCs w:val="18"/>
              </w:rPr>
              <w:t>0.188</w:t>
            </w:r>
            <w:r>
              <w:rPr>
                <w:sz w:val="18"/>
                <w:szCs w:val="18"/>
              </w:rPr>
              <w:t>*</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736675B" w14:textId="77777777" w:rsidR="005525D5" w:rsidRPr="00653753" w:rsidRDefault="005525D5" w:rsidP="005525D5">
            <w:pPr>
              <w:contextualSpacing/>
              <w:jc w:val="center"/>
              <w:rPr>
                <w:sz w:val="18"/>
                <w:szCs w:val="18"/>
              </w:rPr>
            </w:pPr>
            <w:r w:rsidRPr="00653753">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D27D910" w14:textId="77777777" w:rsidR="005525D5" w:rsidRPr="00653753" w:rsidRDefault="005525D5" w:rsidP="005525D5">
            <w:pPr>
              <w:contextualSpacing/>
              <w:jc w:val="center"/>
              <w:rPr>
                <w:sz w:val="18"/>
                <w:szCs w:val="18"/>
              </w:rPr>
            </w:pPr>
            <w:r w:rsidRPr="00653753">
              <w:rPr>
                <w:sz w:val="18"/>
                <w:szCs w:val="18"/>
              </w:rPr>
              <w:t>0.201</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1CBF0DD6" w14:textId="77777777" w:rsidR="005525D5" w:rsidRPr="000965AB" w:rsidRDefault="005525D5" w:rsidP="005525D5">
            <w:pPr>
              <w:contextualSpacing/>
              <w:jc w:val="center"/>
              <w:rPr>
                <w:sz w:val="18"/>
                <w:szCs w:val="18"/>
              </w:rPr>
            </w:pPr>
            <w:r w:rsidRPr="000965AB">
              <w:rPr>
                <w:sz w:val="18"/>
                <w:szCs w:val="18"/>
              </w:rPr>
              <w:t>1.03</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6882881B" w14:textId="77777777" w:rsidR="005525D5" w:rsidRPr="000965AB" w:rsidRDefault="005525D5" w:rsidP="005525D5">
            <w:pPr>
              <w:contextualSpacing/>
              <w:jc w:val="center"/>
              <w:rPr>
                <w:sz w:val="18"/>
                <w:szCs w:val="18"/>
              </w:rPr>
            </w:pPr>
            <w:r w:rsidRPr="000965AB">
              <w:rPr>
                <w:sz w:val="18"/>
                <w:szCs w:val="18"/>
              </w:rPr>
              <w:t>0.239</w:t>
            </w:r>
          </w:p>
        </w:tc>
      </w:tr>
      <w:tr w:rsidR="005525D5" w:rsidRPr="000965AB" w14:paraId="2CE92591"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5B8F9869"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2ED6CD89" w14:textId="77777777" w:rsidR="005525D5" w:rsidRPr="009D16B6" w:rsidRDefault="005525D5" w:rsidP="005525D5">
            <w:pPr>
              <w:contextualSpacing/>
              <w:rPr>
                <w:rFonts w:cs="Times New Roman"/>
                <w:sz w:val="18"/>
                <w:szCs w:val="18"/>
              </w:rPr>
            </w:pPr>
            <w:r>
              <w:rPr>
                <w:rFonts w:cs="Times New Roman"/>
                <w:sz w:val="18"/>
                <w:szCs w:val="18"/>
              </w:rPr>
              <w:t>Moderately severe or severe depression (PHQ9≥15)</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197CF00" w14:textId="77777777" w:rsidR="005525D5" w:rsidRPr="00E04887" w:rsidRDefault="005525D5" w:rsidP="005525D5">
            <w:pPr>
              <w:contextualSpacing/>
              <w:jc w:val="center"/>
              <w:rPr>
                <w:sz w:val="18"/>
                <w:szCs w:val="18"/>
              </w:rPr>
            </w:pPr>
            <w:r w:rsidRPr="0002298E">
              <w:rPr>
                <w:sz w:val="18"/>
                <w:szCs w:val="18"/>
              </w:rPr>
              <w:t>0.23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7ECD864" w14:textId="77777777" w:rsidR="005525D5" w:rsidRPr="00E04887" w:rsidRDefault="005525D5" w:rsidP="005525D5">
            <w:pPr>
              <w:contextualSpacing/>
              <w:jc w:val="center"/>
              <w:rPr>
                <w:sz w:val="18"/>
                <w:szCs w:val="18"/>
              </w:rPr>
            </w:pPr>
            <w:r w:rsidRPr="0002298E">
              <w:rPr>
                <w:sz w:val="18"/>
                <w:szCs w:val="18"/>
              </w:rPr>
              <w:t>0.555</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436404F" w14:textId="77777777" w:rsidR="005525D5" w:rsidRPr="002E2933" w:rsidRDefault="005525D5" w:rsidP="005525D5">
            <w:pPr>
              <w:contextualSpacing/>
              <w:jc w:val="center"/>
              <w:rPr>
                <w:sz w:val="18"/>
                <w:szCs w:val="18"/>
              </w:rPr>
            </w:pPr>
            <w:r w:rsidRPr="002E2933">
              <w:rPr>
                <w:sz w:val="18"/>
                <w:szCs w:val="18"/>
              </w:rPr>
              <w:t>0.25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04DDCB0" w14:textId="77777777" w:rsidR="005525D5" w:rsidRPr="002E2933" w:rsidRDefault="005525D5" w:rsidP="005525D5">
            <w:pPr>
              <w:contextualSpacing/>
              <w:jc w:val="center"/>
              <w:rPr>
                <w:sz w:val="18"/>
                <w:szCs w:val="18"/>
              </w:rPr>
            </w:pPr>
            <w:r w:rsidRPr="002E2933">
              <w:rPr>
                <w:sz w:val="18"/>
                <w:szCs w:val="18"/>
              </w:rPr>
              <w:t>0.508</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617F213" w14:textId="77777777" w:rsidR="005525D5" w:rsidRPr="00653753" w:rsidRDefault="005525D5" w:rsidP="005525D5">
            <w:pPr>
              <w:contextualSpacing/>
              <w:jc w:val="center"/>
              <w:rPr>
                <w:sz w:val="18"/>
                <w:szCs w:val="18"/>
              </w:rPr>
            </w:pPr>
            <w:r w:rsidRPr="00653753">
              <w:rPr>
                <w:sz w:val="18"/>
                <w:szCs w:val="18"/>
              </w:rPr>
              <w:t>0.25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FAEAE34" w14:textId="77777777" w:rsidR="005525D5" w:rsidRPr="00653753" w:rsidRDefault="005525D5" w:rsidP="005525D5">
            <w:pPr>
              <w:contextualSpacing/>
              <w:jc w:val="center"/>
              <w:rPr>
                <w:sz w:val="18"/>
                <w:szCs w:val="18"/>
              </w:rPr>
            </w:pPr>
            <w:r w:rsidRPr="00653753">
              <w:rPr>
                <w:sz w:val="18"/>
                <w:szCs w:val="18"/>
              </w:rPr>
              <w:t>0.535</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0B5DC6F4" w14:textId="77777777" w:rsidR="005525D5" w:rsidRPr="000965AB" w:rsidRDefault="005525D5" w:rsidP="005525D5">
            <w:pPr>
              <w:contextualSpacing/>
              <w:jc w:val="center"/>
              <w:rPr>
                <w:sz w:val="18"/>
                <w:szCs w:val="18"/>
              </w:rPr>
            </w:pPr>
            <w:r w:rsidRPr="000965AB">
              <w:rPr>
                <w:sz w:val="18"/>
                <w:szCs w:val="18"/>
              </w:rPr>
              <w:t>1.28</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7A62BC0" w14:textId="77777777" w:rsidR="005525D5" w:rsidRPr="000965AB" w:rsidRDefault="005525D5" w:rsidP="005525D5">
            <w:pPr>
              <w:contextualSpacing/>
              <w:jc w:val="center"/>
              <w:rPr>
                <w:sz w:val="18"/>
                <w:szCs w:val="18"/>
              </w:rPr>
            </w:pPr>
            <w:r w:rsidRPr="000965AB">
              <w:rPr>
                <w:sz w:val="18"/>
                <w:szCs w:val="18"/>
              </w:rPr>
              <w:t>0.571</w:t>
            </w:r>
          </w:p>
        </w:tc>
      </w:tr>
      <w:tr w:rsidR="005525D5" w:rsidRPr="000965AB" w14:paraId="3ED70C35"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0752E3BA"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11F704F4" w14:textId="77777777" w:rsidR="005525D5" w:rsidRPr="00457327" w:rsidRDefault="005525D5" w:rsidP="005525D5">
            <w:pPr>
              <w:contextualSpacing/>
              <w:rPr>
                <w:sz w:val="18"/>
                <w:szCs w:val="18"/>
              </w:rPr>
            </w:pPr>
            <w:r w:rsidRPr="0002298E">
              <w:rPr>
                <w:rFonts w:cs="Times New Roman"/>
                <w:sz w:val="18"/>
                <w:szCs w:val="18"/>
              </w:rPr>
              <w:t>GAD7</w:t>
            </w:r>
            <w:r>
              <w:rPr>
                <w:rFonts w:cs="Times New Roman"/>
                <w:sz w:val="18"/>
                <w:szCs w:val="18"/>
              </w:rPr>
              <w:t xml:space="preserve"> score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C85C8D3" w14:textId="77777777" w:rsidR="005525D5" w:rsidRPr="00E04887" w:rsidRDefault="005525D5" w:rsidP="005525D5">
            <w:pPr>
              <w:contextualSpacing/>
              <w:jc w:val="center"/>
              <w:rPr>
                <w:sz w:val="18"/>
                <w:szCs w:val="18"/>
              </w:rPr>
            </w:pPr>
            <w:r w:rsidRPr="0002298E">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3762BBB" w14:textId="77777777" w:rsidR="005525D5" w:rsidRPr="00E04887" w:rsidRDefault="005525D5" w:rsidP="005525D5">
            <w:pPr>
              <w:contextualSpacing/>
              <w:jc w:val="center"/>
              <w:rPr>
                <w:sz w:val="18"/>
                <w:szCs w:val="18"/>
              </w:rPr>
            </w:pPr>
            <w:r w:rsidRPr="0002298E">
              <w:rPr>
                <w:sz w:val="18"/>
                <w:szCs w:val="18"/>
              </w:rPr>
              <w:t>0.269</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778800C" w14:textId="77777777" w:rsidR="005525D5" w:rsidRPr="002E2933" w:rsidRDefault="005525D5" w:rsidP="005525D5">
            <w:pPr>
              <w:contextualSpacing/>
              <w:jc w:val="center"/>
              <w:rPr>
                <w:sz w:val="18"/>
                <w:szCs w:val="18"/>
              </w:rPr>
            </w:pPr>
            <w:r w:rsidRPr="002E293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4D52167" w14:textId="77777777" w:rsidR="005525D5" w:rsidRPr="002E2933" w:rsidRDefault="005525D5" w:rsidP="005525D5">
            <w:pPr>
              <w:contextualSpacing/>
              <w:jc w:val="center"/>
              <w:rPr>
                <w:sz w:val="18"/>
                <w:szCs w:val="18"/>
              </w:rPr>
            </w:pPr>
            <w:r w:rsidRPr="002E2933">
              <w:rPr>
                <w:sz w:val="18"/>
                <w:szCs w:val="18"/>
              </w:rPr>
              <w:t>0.274</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F6F4C7B" w14:textId="77777777" w:rsidR="005525D5" w:rsidRPr="00653753" w:rsidRDefault="005525D5" w:rsidP="005525D5">
            <w:pPr>
              <w:contextualSpacing/>
              <w:jc w:val="center"/>
              <w:rPr>
                <w:sz w:val="18"/>
                <w:szCs w:val="18"/>
              </w:rPr>
            </w:pPr>
            <w:r w:rsidRPr="0065375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BD5B8EA" w14:textId="77777777" w:rsidR="005525D5" w:rsidRPr="00653753" w:rsidRDefault="005525D5" w:rsidP="005525D5">
            <w:pPr>
              <w:contextualSpacing/>
              <w:jc w:val="center"/>
              <w:rPr>
                <w:sz w:val="18"/>
                <w:szCs w:val="18"/>
              </w:rPr>
            </w:pPr>
            <w:r w:rsidRPr="00653753">
              <w:rPr>
                <w:sz w:val="18"/>
                <w:szCs w:val="18"/>
              </w:rPr>
              <w:t>0.238</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1123C59F" w14:textId="77777777" w:rsidR="005525D5" w:rsidRPr="000965AB" w:rsidRDefault="005525D5" w:rsidP="005525D5">
            <w:pPr>
              <w:contextualSpacing/>
              <w:jc w:val="center"/>
              <w:rPr>
                <w:sz w:val="18"/>
                <w:szCs w:val="18"/>
              </w:rPr>
            </w:pPr>
            <w:r w:rsidRPr="000965AB">
              <w:rPr>
                <w:sz w:val="18"/>
                <w:szCs w:val="18"/>
              </w:rPr>
              <w:t>1.02</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24612BB9" w14:textId="77777777" w:rsidR="005525D5" w:rsidRPr="000965AB" w:rsidRDefault="005525D5" w:rsidP="005525D5">
            <w:pPr>
              <w:contextualSpacing/>
              <w:jc w:val="center"/>
              <w:rPr>
                <w:sz w:val="18"/>
                <w:szCs w:val="18"/>
              </w:rPr>
            </w:pPr>
            <w:r w:rsidRPr="000965AB">
              <w:rPr>
                <w:sz w:val="18"/>
                <w:szCs w:val="18"/>
              </w:rPr>
              <w:t>0.397</w:t>
            </w:r>
          </w:p>
        </w:tc>
      </w:tr>
      <w:tr w:rsidR="005525D5" w:rsidRPr="000965AB" w14:paraId="76E55A60"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5AFC2957"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16CAD183" w14:textId="77777777" w:rsidR="005525D5" w:rsidRPr="0067270C" w:rsidRDefault="005525D5" w:rsidP="005525D5">
            <w:pPr>
              <w:contextualSpacing/>
              <w:rPr>
                <w:sz w:val="18"/>
                <w:szCs w:val="18"/>
              </w:rPr>
            </w:pPr>
            <w:r>
              <w:rPr>
                <w:sz w:val="18"/>
                <w:szCs w:val="18"/>
              </w:rPr>
              <w:t>Severe anxiety (GAD7≥15)</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DD45F6F" w14:textId="77777777" w:rsidR="005525D5" w:rsidRPr="00E04887" w:rsidRDefault="005525D5" w:rsidP="005525D5">
            <w:pPr>
              <w:contextualSpacing/>
              <w:jc w:val="center"/>
              <w:rPr>
                <w:sz w:val="18"/>
                <w:szCs w:val="18"/>
              </w:rPr>
            </w:pPr>
            <w:r w:rsidRPr="0002298E">
              <w:rPr>
                <w:sz w:val="18"/>
                <w:szCs w:val="18"/>
              </w:rPr>
              <w:t>-0.10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75E2527" w14:textId="77777777" w:rsidR="005525D5" w:rsidRPr="00E04887" w:rsidRDefault="005525D5" w:rsidP="005525D5">
            <w:pPr>
              <w:contextualSpacing/>
              <w:jc w:val="center"/>
              <w:rPr>
                <w:sz w:val="18"/>
                <w:szCs w:val="18"/>
              </w:rPr>
            </w:pPr>
            <w:r w:rsidRPr="0002298E">
              <w:rPr>
                <w:sz w:val="18"/>
                <w:szCs w:val="18"/>
              </w:rPr>
              <w:t>0.740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1C41E83" w14:textId="77777777" w:rsidR="005525D5" w:rsidRPr="002E2933" w:rsidRDefault="005525D5" w:rsidP="005525D5">
            <w:pPr>
              <w:contextualSpacing/>
              <w:jc w:val="center"/>
              <w:rPr>
                <w:sz w:val="18"/>
                <w:szCs w:val="18"/>
              </w:rPr>
            </w:pPr>
            <w:r w:rsidRPr="002E2933">
              <w:rPr>
                <w:sz w:val="18"/>
                <w:szCs w:val="18"/>
              </w:rPr>
              <w:t>-0.10</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BD35D28" w14:textId="77777777" w:rsidR="005525D5" w:rsidRPr="002E2933" w:rsidRDefault="005525D5" w:rsidP="005525D5">
            <w:pPr>
              <w:contextualSpacing/>
              <w:jc w:val="center"/>
              <w:rPr>
                <w:sz w:val="18"/>
                <w:szCs w:val="18"/>
              </w:rPr>
            </w:pPr>
            <w:r w:rsidRPr="002E2933">
              <w:rPr>
                <w:sz w:val="18"/>
                <w:szCs w:val="18"/>
              </w:rPr>
              <w:t>0.733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6A9B202" w14:textId="77777777" w:rsidR="005525D5" w:rsidRPr="00653753" w:rsidRDefault="005525D5" w:rsidP="005525D5">
            <w:pPr>
              <w:contextualSpacing/>
              <w:jc w:val="center"/>
              <w:rPr>
                <w:sz w:val="18"/>
                <w:szCs w:val="18"/>
              </w:rPr>
            </w:pPr>
            <w:r w:rsidRPr="00653753">
              <w:rPr>
                <w:sz w:val="18"/>
                <w:szCs w:val="18"/>
              </w:rPr>
              <w:t>-0.11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71EAE8C" w14:textId="77777777" w:rsidR="005525D5" w:rsidRPr="00653753" w:rsidRDefault="005525D5" w:rsidP="005525D5">
            <w:pPr>
              <w:contextualSpacing/>
              <w:jc w:val="center"/>
              <w:rPr>
                <w:sz w:val="18"/>
                <w:szCs w:val="18"/>
              </w:rPr>
            </w:pPr>
            <w:r w:rsidRPr="00653753">
              <w:rPr>
                <w:sz w:val="18"/>
                <w:szCs w:val="18"/>
              </w:rPr>
              <w:t>0.714</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F1B1710" w14:textId="77777777" w:rsidR="005525D5" w:rsidRPr="000965AB" w:rsidRDefault="005525D5" w:rsidP="005525D5">
            <w:pPr>
              <w:contextualSpacing/>
              <w:jc w:val="center"/>
              <w:rPr>
                <w:sz w:val="18"/>
                <w:szCs w:val="18"/>
              </w:rPr>
            </w:pPr>
            <w:r w:rsidRPr="000965AB">
              <w:rPr>
                <w:sz w:val="18"/>
                <w:szCs w:val="18"/>
              </w:rPr>
              <w:t>1.03</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5D50915C" w14:textId="77777777" w:rsidR="005525D5" w:rsidRPr="000965AB" w:rsidRDefault="005525D5" w:rsidP="005525D5">
            <w:pPr>
              <w:contextualSpacing/>
              <w:jc w:val="center"/>
              <w:rPr>
                <w:sz w:val="18"/>
                <w:szCs w:val="18"/>
              </w:rPr>
            </w:pPr>
            <w:r w:rsidRPr="000965AB">
              <w:rPr>
                <w:sz w:val="18"/>
                <w:szCs w:val="18"/>
              </w:rPr>
              <w:t>0.939</w:t>
            </w:r>
          </w:p>
        </w:tc>
      </w:tr>
      <w:tr w:rsidR="005525D5" w:rsidRPr="000965AB" w14:paraId="7BD9A456"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57C8FA8D"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5440DFCB" w14:textId="77777777" w:rsidR="005525D5" w:rsidRPr="009D16B6" w:rsidRDefault="005525D5" w:rsidP="005525D5">
            <w:pPr>
              <w:contextualSpacing/>
              <w:rPr>
                <w:sz w:val="18"/>
                <w:szCs w:val="18"/>
              </w:rPr>
            </w:pPr>
            <w:r>
              <w:rPr>
                <w:rFonts w:cs="Times New Roman"/>
                <w:sz w:val="18"/>
                <w:szCs w:val="18"/>
              </w:rPr>
              <w:t>Had</w:t>
            </w:r>
            <w:r w:rsidRPr="0002298E">
              <w:rPr>
                <w:rFonts w:cs="Times New Roman"/>
                <w:sz w:val="18"/>
                <w:szCs w:val="18"/>
              </w:rPr>
              <w:t xml:space="preserve"> prior conversation w patient about advance care planning</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57D65027" w14:textId="77777777" w:rsidR="005525D5" w:rsidRPr="00E04887" w:rsidRDefault="005525D5" w:rsidP="005525D5">
            <w:pPr>
              <w:contextualSpacing/>
              <w:jc w:val="center"/>
              <w:rPr>
                <w:sz w:val="18"/>
                <w:szCs w:val="18"/>
              </w:rPr>
            </w:pPr>
            <w:r w:rsidRPr="0002298E">
              <w:rPr>
                <w:sz w:val="18"/>
                <w:szCs w:val="18"/>
              </w:rPr>
              <w:t>0.07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3CDC71A" w14:textId="77777777" w:rsidR="005525D5" w:rsidRPr="00E04887" w:rsidRDefault="005525D5" w:rsidP="005525D5">
            <w:pPr>
              <w:contextualSpacing/>
              <w:jc w:val="center"/>
              <w:rPr>
                <w:sz w:val="18"/>
                <w:szCs w:val="18"/>
              </w:rPr>
            </w:pPr>
            <w:r w:rsidRPr="0002298E">
              <w:rPr>
                <w:sz w:val="18"/>
                <w:szCs w:val="18"/>
              </w:rPr>
              <w:t>0.750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85C0F9B" w14:textId="77777777" w:rsidR="005525D5" w:rsidRPr="002E2933" w:rsidRDefault="005525D5" w:rsidP="005525D5">
            <w:pPr>
              <w:contextualSpacing/>
              <w:jc w:val="center"/>
              <w:rPr>
                <w:sz w:val="18"/>
                <w:szCs w:val="18"/>
              </w:rPr>
            </w:pPr>
            <w:r w:rsidRPr="002E2933">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ECF7B03" w14:textId="77777777" w:rsidR="005525D5" w:rsidRPr="002E2933" w:rsidRDefault="005525D5" w:rsidP="005525D5">
            <w:pPr>
              <w:contextualSpacing/>
              <w:jc w:val="center"/>
              <w:rPr>
                <w:sz w:val="18"/>
                <w:szCs w:val="18"/>
              </w:rPr>
            </w:pPr>
            <w:r w:rsidRPr="002E2933">
              <w:rPr>
                <w:sz w:val="18"/>
                <w:szCs w:val="18"/>
              </w:rPr>
              <w:t>0.870</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8AEE36E" w14:textId="77777777" w:rsidR="005525D5" w:rsidRPr="00653753" w:rsidRDefault="005525D5" w:rsidP="005525D5">
            <w:pPr>
              <w:contextualSpacing/>
              <w:jc w:val="center"/>
              <w:rPr>
                <w:sz w:val="18"/>
                <w:szCs w:val="18"/>
              </w:rPr>
            </w:pPr>
            <w:r w:rsidRPr="00653753">
              <w:rPr>
                <w:sz w:val="18"/>
                <w:szCs w:val="18"/>
              </w:rPr>
              <w:t>0.04</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857B56D" w14:textId="77777777" w:rsidR="005525D5" w:rsidRPr="00653753" w:rsidRDefault="005525D5" w:rsidP="005525D5">
            <w:pPr>
              <w:contextualSpacing/>
              <w:jc w:val="center"/>
              <w:rPr>
                <w:sz w:val="18"/>
                <w:szCs w:val="18"/>
              </w:rPr>
            </w:pPr>
            <w:r w:rsidRPr="00653753">
              <w:rPr>
                <w:sz w:val="18"/>
                <w:szCs w:val="18"/>
              </w:rPr>
              <w:t>0.859</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27D7CE7F" w14:textId="77777777" w:rsidR="005525D5" w:rsidRPr="000965AB" w:rsidRDefault="005525D5" w:rsidP="005525D5">
            <w:pPr>
              <w:contextualSpacing/>
              <w:jc w:val="center"/>
              <w:rPr>
                <w:sz w:val="18"/>
                <w:szCs w:val="18"/>
              </w:rPr>
            </w:pPr>
            <w:r w:rsidRPr="000965AB">
              <w:rPr>
                <w:sz w:val="18"/>
                <w:szCs w:val="18"/>
              </w:rPr>
              <w:t>1.38</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1D19A4F2" w14:textId="77777777" w:rsidR="005525D5" w:rsidRPr="000965AB" w:rsidRDefault="005525D5" w:rsidP="005525D5">
            <w:pPr>
              <w:contextualSpacing/>
              <w:jc w:val="center"/>
              <w:rPr>
                <w:sz w:val="18"/>
                <w:szCs w:val="18"/>
              </w:rPr>
            </w:pPr>
            <w:r w:rsidRPr="000965AB">
              <w:rPr>
                <w:sz w:val="18"/>
                <w:szCs w:val="18"/>
              </w:rPr>
              <w:t>0.228</w:t>
            </w:r>
          </w:p>
        </w:tc>
      </w:tr>
      <w:tr w:rsidR="005525D5" w:rsidRPr="000965AB" w14:paraId="2627F7EE"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678281EF"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14BF900F" w14:textId="77777777" w:rsidR="005525D5" w:rsidRPr="009D16B6" w:rsidRDefault="005525D5" w:rsidP="005525D5">
            <w:pPr>
              <w:contextualSpacing/>
              <w:rPr>
                <w:sz w:val="18"/>
                <w:szCs w:val="18"/>
              </w:rPr>
            </w:pPr>
            <w:r>
              <w:rPr>
                <w:rFonts w:cs="Times New Roman"/>
                <w:sz w:val="18"/>
                <w:szCs w:val="18"/>
              </w:rPr>
              <w:t xml:space="preserve">Has experience as </w:t>
            </w:r>
            <w:r w:rsidRPr="0002298E">
              <w:rPr>
                <w:rFonts w:cs="Times New Roman"/>
                <w:sz w:val="18"/>
                <w:szCs w:val="18"/>
              </w:rPr>
              <w:t xml:space="preserve"> surrogate </w:t>
            </w:r>
            <w:r>
              <w:rPr>
                <w:rFonts w:cs="Times New Roman"/>
                <w:sz w:val="18"/>
                <w:szCs w:val="18"/>
              </w:rPr>
              <w:t>decision-maker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40647F3" w14:textId="77777777" w:rsidR="005525D5" w:rsidRPr="00E04887" w:rsidRDefault="005525D5" w:rsidP="005525D5">
            <w:pPr>
              <w:contextualSpacing/>
              <w:jc w:val="center"/>
              <w:rPr>
                <w:sz w:val="18"/>
                <w:szCs w:val="18"/>
              </w:rPr>
            </w:pPr>
            <w:r w:rsidRPr="0002298E">
              <w:rPr>
                <w:sz w:val="18"/>
                <w:szCs w:val="18"/>
              </w:rPr>
              <w:t>0.15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002E71B" w14:textId="77777777" w:rsidR="005525D5" w:rsidRPr="00E04887" w:rsidRDefault="005525D5" w:rsidP="005525D5">
            <w:pPr>
              <w:contextualSpacing/>
              <w:jc w:val="center"/>
              <w:rPr>
                <w:sz w:val="18"/>
                <w:szCs w:val="18"/>
              </w:rPr>
            </w:pPr>
            <w:r w:rsidRPr="0002298E">
              <w:rPr>
                <w:sz w:val="18"/>
                <w:szCs w:val="18"/>
              </w:rPr>
              <w:t>0.481</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A68C8A2" w14:textId="77777777" w:rsidR="005525D5" w:rsidRPr="002E2933" w:rsidRDefault="005525D5" w:rsidP="005525D5">
            <w:pPr>
              <w:contextualSpacing/>
              <w:jc w:val="center"/>
              <w:rPr>
                <w:sz w:val="18"/>
                <w:szCs w:val="18"/>
              </w:rPr>
            </w:pPr>
            <w:r w:rsidRPr="002E2933">
              <w:rPr>
                <w:sz w:val="18"/>
                <w:szCs w:val="18"/>
              </w:rPr>
              <w:t>0.12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0E5AFD1" w14:textId="77777777" w:rsidR="005525D5" w:rsidRPr="002E2933" w:rsidRDefault="005525D5" w:rsidP="005525D5">
            <w:pPr>
              <w:contextualSpacing/>
              <w:jc w:val="center"/>
              <w:rPr>
                <w:sz w:val="18"/>
                <w:szCs w:val="18"/>
              </w:rPr>
            </w:pPr>
            <w:r w:rsidRPr="002E2933">
              <w:rPr>
                <w:sz w:val="18"/>
                <w:szCs w:val="18"/>
              </w:rPr>
              <w:t>0.547</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696AAE9" w14:textId="77777777" w:rsidR="005525D5" w:rsidRPr="00653753" w:rsidRDefault="005525D5" w:rsidP="005525D5">
            <w:pPr>
              <w:contextualSpacing/>
              <w:jc w:val="center"/>
              <w:rPr>
                <w:sz w:val="18"/>
                <w:szCs w:val="18"/>
              </w:rPr>
            </w:pPr>
            <w:r w:rsidRPr="00653753">
              <w:rPr>
                <w:sz w:val="18"/>
                <w:szCs w:val="18"/>
              </w:rPr>
              <w:t>0.11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1D277926" w14:textId="77777777" w:rsidR="005525D5" w:rsidRPr="00653753" w:rsidRDefault="005525D5" w:rsidP="005525D5">
            <w:pPr>
              <w:contextualSpacing/>
              <w:jc w:val="center"/>
              <w:rPr>
                <w:sz w:val="18"/>
                <w:szCs w:val="18"/>
              </w:rPr>
            </w:pPr>
            <w:r w:rsidRPr="00653753">
              <w:rPr>
                <w:sz w:val="18"/>
                <w:szCs w:val="18"/>
              </w:rPr>
              <w:t>0.598</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0E5F6BBE" w14:textId="77777777" w:rsidR="005525D5" w:rsidRPr="000965AB" w:rsidRDefault="005525D5" w:rsidP="005525D5">
            <w:pPr>
              <w:contextualSpacing/>
              <w:jc w:val="center"/>
              <w:rPr>
                <w:sz w:val="18"/>
                <w:szCs w:val="18"/>
              </w:rPr>
            </w:pPr>
            <w:r w:rsidRPr="000965AB">
              <w:rPr>
                <w:sz w:val="18"/>
                <w:szCs w:val="18"/>
              </w:rPr>
              <w:t>0.76</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7DB50FB1" w14:textId="77777777" w:rsidR="005525D5" w:rsidRPr="000965AB" w:rsidRDefault="005525D5" w:rsidP="005525D5">
            <w:pPr>
              <w:contextualSpacing/>
              <w:jc w:val="center"/>
              <w:rPr>
                <w:sz w:val="18"/>
                <w:szCs w:val="18"/>
              </w:rPr>
            </w:pPr>
            <w:r w:rsidRPr="000965AB">
              <w:rPr>
                <w:sz w:val="18"/>
                <w:szCs w:val="18"/>
              </w:rPr>
              <w:t>0.255</w:t>
            </w:r>
          </w:p>
        </w:tc>
      </w:tr>
      <w:tr w:rsidR="005525D5" w:rsidRPr="000965AB" w14:paraId="5ECAB0A3"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665F3E66"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6EE9C032" w14:textId="77777777" w:rsidR="005525D5" w:rsidRPr="009D16B6" w:rsidRDefault="005525D5" w:rsidP="005525D5">
            <w:pPr>
              <w:contextualSpacing/>
              <w:rPr>
                <w:sz w:val="18"/>
                <w:szCs w:val="18"/>
              </w:rPr>
            </w:pPr>
            <w:r w:rsidRPr="009D16B6">
              <w:rPr>
                <w:rFonts w:cs="Times New Roman"/>
                <w:sz w:val="18"/>
                <w:szCs w:val="18"/>
              </w:rPr>
              <w:t>S</w:t>
            </w:r>
            <w:r w:rsidRPr="0002298E">
              <w:rPr>
                <w:rFonts w:cs="Times New Roman"/>
                <w:sz w:val="18"/>
                <w:szCs w:val="18"/>
              </w:rPr>
              <w:t>elf-rating of understanding the patient’s wants</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87F22A5" w14:textId="77777777" w:rsidR="005525D5" w:rsidRPr="00E04887" w:rsidRDefault="005525D5" w:rsidP="005525D5">
            <w:pPr>
              <w:contextualSpacing/>
              <w:jc w:val="center"/>
              <w:rPr>
                <w:sz w:val="18"/>
                <w:szCs w:val="18"/>
              </w:rPr>
            </w:pPr>
            <w:r w:rsidRPr="0002298E">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060DDBE" w14:textId="77777777" w:rsidR="005525D5" w:rsidRPr="00E04887" w:rsidRDefault="005525D5" w:rsidP="005525D5">
            <w:pPr>
              <w:contextualSpacing/>
              <w:jc w:val="center"/>
              <w:rPr>
                <w:sz w:val="18"/>
                <w:szCs w:val="18"/>
              </w:rPr>
            </w:pPr>
            <w:r w:rsidRPr="0002298E">
              <w:rPr>
                <w:sz w:val="18"/>
                <w:szCs w:val="18"/>
              </w:rPr>
              <w:t>0.629</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F27BF00" w14:textId="77777777" w:rsidR="005525D5" w:rsidRPr="002E2933" w:rsidRDefault="005525D5" w:rsidP="005525D5">
            <w:pPr>
              <w:contextualSpacing/>
              <w:jc w:val="center"/>
              <w:rPr>
                <w:sz w:val="18"/>
                <w:szCs w:val="18"/>
              </w:rPr>
            </w:pPr>
            <w:r w:rsidRPr="002E293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32D7624E" w14:textId="77777777" w:rsidR="005525D5" w:rsidRPr="002E2933" w:rsidRDefault="005525D5" w:rsidP="005525D5">
            <w:pPr>
              <w:contextualSpacing/>
              <w:jc w:val="center"/>
              <w:rPr>
                <w:sz w:val="18"/>
                <w:szCs w:val="18"/>
              </w:rPr>
            </w:pPr>
            <w:r w:rsidRPr="002E2933">
              <w:rPr>
                <w:sz w:val="18"/>
                <w:szCs w:val="18"/>
              </w:rPr>
              <w:t>0.652</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0BE31531" w14:textId="77777777" w:rsidR="005525D5" w:rsidRPr="00653753" w:rsidRDefault="005525D5" w:rsidP="005525D5">
            <w:pPr>
              <w:contextualSpacing/>
              <w:jc w:val="center"/>
              <w:rPr>
                <w:sz w:val="18"/>
                <w:szCs w:val="18"/>
              </w:rPr>
            </w:pPr>
            <w:r w:rsidRPr="00653753">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1B0BDE3" w14:textId="77777777" w:rsidR="005525D5" w:rsidRPr="00653753" w:rsidRDefault="005525D5" w:rsidP="005525D5">
            <w:pPr>
              <w:contextualSpacing/>
              <w:jc w:val="center"/>
              <w:rPr>
                <w:sz w:val="18"/>
                <w:szCs w:val="18"/>
              </w:rPr>
            </w:pPr>
            <w:r w:rsidRPr="00653753">
              <w:rPr>
                <w:sz w:val="18"/>
                <w:szCs w:val="18"/>
              </w:rPr>
              <w:t>0.653</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14717314" w14:textId="77777777" w:rsidR="005525D5" w:rsidRPr="000965AB" w:rsidRDefault="005525D5" w:rsidP="005525D5">
            <w:pPr>
              <w:contextualSpacing/>
              <w:jc w:val="center"/>
              <w:rPr>
                <w:sz w:val="18"/>
                <w:szCs w:val="18"/>
              </w:rPr>
            </w:pPr>
            <w:r w:rsidRPr="000965AB">
              <w:rPr>
                <w:sz w:val="18"/>
                <w:szCs w:val="18"/>
              </w:rPr>
              <w:t>1.09</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5F586FED" w14:textId="77777777" w:rsidR="005525D5" w:rsidRPr="000965AB" w:rsidRDefault="005525D5" w:rsidP="005525D5">
            <w:pPr>
              <w:contextualSpacing/>
              <w:jc w:val="center"/>
              <w:rPr>
                <w:sz w:val="18"/>
                <w:szCs w:val="18"/>
              </w:rPr>
            </w:pPr>
            <w:r w:rsidRPr="000965AB">
              <w:rPr>
                <w:sz w:val="18"/>
                <w:szCs w:val="18"/>
              </w:rPr>
              <w:t>0.122</w:t>
            </w:r>
            <w:r>
              <w:rPr>
                <w:sz w:val="18"/>
                <w:szCs w:val="18"/>
              </w:rPr>
              <w:t>*</w:t>
            </w:r>
          </w:p>
        </w:tc>
      </w:tr>
      <w:tr w:rsidR="005525D5" w:rsidRPr="000965AB" w14:paraId="4642F0D8" w14:textId="77777777" w:rsidTr="005525D5">
        <w:trPr>
          <w:trHeight w:val="288"/>
        </w:trPr>
        <w:tc>
          <w:tcPr>
            <w:tcW w:w="990" w:type="dxa"/>
            <w:tcBorders>
              <w:top w:val="single" w:sz="4" w:space="0" w:color="BFBFBF" w:themeColor="background1" w:themeShade="BF"/>
              <w:left w:val="nil"/>
              <w:bottom w:val="single" w:sz="4" w:space="0" w:color="auto"/>
              <w:right w:val="nil"/>
            </w:tcBorders>
          </w:tcPr>
          <w:p w14:paraId="20E73961"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auto"/>
              <w:right w:val="nil"/>
            </w:tcBorders>
            <w:noWrap/>
            <w:vAlign w:val="center"/>
          </w:tcPr>
          <w:p w14:paraId="619101BF" w14:textId="77777777" w:rsidR="005525D5" w:rsidRPr="0067270C" w:rsidRDefault="005525D5" w:rsidP="005525D5">
            <w:pPr>
              <w:contextualSpacing/>
              <w:rPr>
                <w:sz w:val="18"/>
                <w:szCs w:val="18"/>
              </w:rPr>
            </w:pPr>
            <w:r>
              <w:rPr>
                <w:sz w:val="18"/>
                <w:szCs w:val="18"/>
              </w:rPr>
              <w:t>Clinician trust score</w:t>
            </w:r>
          </w:p>
        </w:tc>
        <w:tc>
          <w:tcPr>
            <w:tcW w:w="1240" w:type="dxa"/>
            <w:tcBorders>
              <w:top w:val="single" w:sz="4" w:space="0" w:color="BFBFBF" w:themeColor="background1" w:themeShade="BF"/>
              <w:left w:val="nil"/>
              <w:bottom w:val="single" w:sz="4" w:space="0" w:color="auto"/>
              <w:right w:val="nil"/>
            </w:tcBorders>
            <w:noWrap/>
            <w:vAlign w:val="center"/>
          </w:tcPr>
          <w:p w14:paraId="12FCEF7B" w14:textId="77777777" w:rsidR="005525D5" w:rsidRPr="00E04887" w:rsidRDefault="005525D5" w:rsidP="005525D5">
            <w:pPr>
              <w:contextualSpacing/>
              <w:jc w:val="center"/>
              <w:rPr>
                <w:sz w:val="18"/>
                <w:szCs w:val="18"/>
              </w:rPr>
            </w:pPr>
            <w:r w:rsidRPr="0002298E">
              <w:rPr>
                <w:sz w:val="18"/>
                <w:szCs w:val="18"/>
              </w:rPr>
              <w:t>-0.02</w:t>
            </w:r>
          </w:p>
        </w:tc>
        <w:tc>
          <w:tcPr>
            <w:tcW w:w="806" w:type="dxa"/>
            <w:tcBorders>
              <w:top w:val="single" w:sz="4" w:space="0" w:color="BFBFBF" w:themeColor="background1" w:themeShade="BF"/>
              <w:left w:val="nil"/>
              <w:bottom w:val="single" w:sz="4" w:space="0" w:color="auto"/>
              <w:right w:val="nil"/>
            </w:tcBorders>
            <w:noWrap/>
            <w:vAlign w:val="center"/>
          </w:tcPr>
          <w:p w14:paraId="0C7BF52A" w14:textId="77777777" w:rsidR="005525D5" w:rsidRPr="00E04887" w:rsidRDefault="005525D5" w:rsidP="005525D5">
            <w:pPr>
              <w:contextualSpacing/>
              <w:jc w:val="center"/>
              <w:rPr>
                <w:sz w:val="18"/>
                <w:szCs w:val="18"/>
              </w:rPr>
            </w:pPr>
            <w:r w:rsidRPr="0002298E">
              <w:rPr>
                <w:sz w:val="18"/>
                <w:szCs w:val="18"/>
              </w:rPr>
              <w:t>0.474</w:t>
            </w:r>
          </w:p>
        </w:tc>
        <w:tc>
          <w:tcPr>
            <w:tcW w:w="1240" w:type="dxa"/>
            <w:tcBorders>
              <w:top w:val="single" w:sz="4" w:space="0" w:color="BFBFBF" w:themeColor="background1" w:themeShade="BF"/>
              <w:left w:val="nil"/>
              <w:bottom w:val="single" w:sz="4" w:space="0" w:color="auto"/>
              <w:right w:val="nil"/>
            </w:tcBorders>
            <w:noWrap/>
            <w:vAlign w:val="center"/>
          </w:tcPr>
          <w:p w14:paraId="0A78F792" w14:textId="77777777" w:rsidR="005525D5" w:rsidRPr="002E2933" w:rsidRDefault="005525D5" w:rsidP="005525D5">
            <w:pPr>
              <w:contextualSpacing/>
              <w:jc w:val="center"/>
              <w:rPr>
                <w:sz w:val="18"/>
                <w:szCs w:val="18"/>
              </w:rPr>
            </w:pPr>
            <w:r w:rsidRPr="002E2933">
              <w:rPr>
                <w:sz w:val="18"/>
                <w:szCs w:val="18"/>
              </w:rPr>
              <w:t>-0.02</w:t>
            </w:r>
          </w:p>
        </w:tc>
        <w:tc>
          <w:tcPr>
            <w:tcW w:w="806" w:type="dxa"/>
            <w:tcBorders>
              <w:top w:val="single" w:sz="4" w:space="0" w:color="BFBFBF" w:themeColor="background1" w:themeShade="BF"/>
              <w:left w:val="nil"/>
              <w:bottom w:val="single" w:sz="4" w:space="0" w:color="auto"/>
              <w:right w:val="nil"/>
            </w:tcBorders>
            <w:noWrap/>
            <w:vAlign w:val="center"/>
          </w:tcPr>
          <w:p w14:paraId="5DBE4F10" w14:textId="77777777" w:rsidR="005525D5" w:rsidRPr="002E2933" w:rsidRDefault="005525D5" w:rsidP="005525D5">
            <w:pPr>
              <w:contextualSpacing/>
              <w:jc w:val="center"/>
              <w:rPr>
                <w:sz w:val="18"/>
                <w:szCs w:val="18"/>
              </w:rPr>
            </w:pPr>
            <w:r w:rsidRPr="002E2933">
              <w:rPr>
                <w:sz w:val="18"/>
                <w:szCs w:val="18"/>
              </w:rPr>
              <w:t>0.579</w:t>
            </w:r>
          </w:p>
        </w:tc>
        <w:tc>
          <w:tcPr>
            <w:tcW w:w="1240" w:type="dxa"/>
            <w:tcBorders>
              <w:top w:val="single" w:sz="4" w:space="0" w:color="BFBFBF" w:themeColor="background1" w:themeShade="BF"/>
              <w:left w:val="nil"/>
              <w:bottom w:val="single" w:sz="4" w:space="0" w:color="auto"/>
              <w:right w:val="nil"/>
            </w:tcBorders>
            <w:noWrap/>
            <w:vAlign w:val="center"/>
          </w:tcPr>
          <w:p w14:paraId="68EC0D66" w14:textId="77777777" w:rsidR="005525D5" w:rsidRPr="00653753" w:rsidRDefault="005525D5" w:rsidP="005525D5">
            <w:pPr>
              <w:contextualSpacing/>
              <w:jc w:val="center"/>
              <w:rPr>
                <w:sz w:val="18"/>
                <w:szCs w:val="18"/>
              </w:rPr>
            </w:pPr>
            <w:r w:rsidRPr="00653753">
              <w:rPr>
                <w:sz w:val="18"/>
                <w:szCs w:val="18"/>
              </w:rPr>
              <w:t>-0.02</w:t>
            </w:r>
          </w:p>
        </w:tc>
        <w:tc>
          <w:tcPr>
            <w:tcW w:w="806" w:type="dxa"/>
            <w:tcBorders>
              <w:top w:val="single" w:sz="4" w:space="0" w:color="BFBFBF" w:themeColor="background1" w:themeShade="BF"/>
              <w:left w:val="nil"/>
              <w:bottom w:val="single" w:sz="4" w:space="0" w:color="auto"/>
              <w:right w:val="nil"/>
            </w:tcBorders>
            <w:noWrap/>
            <w:vAlign w:val="center"/>
          </w:tcPr>
          <w:p w14:paraId="42CAF42C" w14:textId="77777777" w:rsidR="005525D5" w:rsidRPr="00653753" w:rsidRDefault="005525D5" w:rsidP="005525D5">
            <w:pPr>
              <w:contextualSpacing/>
              <w:jc w:val="center"/>
              <w:rPr>
                <w:sz w:val="18"/>
                <w:szCs w:val="18"/>
              </w:rPr>
            </w:pPr>
            <w:r w:rsidRPr="00653753">
              <w:rPr>
                <w:sz w:val="18"/>
                <w:szCs w:val="18"/>
              </w:rPr>
              <w:t>0.545</w:t>
            </w:r>
          </w:p>
        </w:tc>
        <w:tc>
          <w:tcPr>
            <w:tcW w:w="1275" w:type="dxa"/>
            <w:tcBorders>
              <w:top w:val="single" w:sz="4" w:space="0" w:color="BFBFBF" w:themeColor="background1" w:themeShade="BF"/>
              <w:left w:val="nil"/>
              <w:bottom w:val="single" w:sz="4" w:space="0" w:color="auto"/>
              <w:right w:val="nil"/>
            </w:tcBorders>
            <w:vAlign w:val="center"/>
          </w:tcPr>
          <w:p w14:paraId="7F0607F5" w14:textId="77777777" w:rsidR="005525D5" w:rsidRPr="000965AB" w:rsidRDefault="005525D5" w:rsidP="005525D5">
            <w:pPr>
              <w:contextualSpacing/>
              <w:jc w:val="center"/>
              <w:rPr>
                <w:sz w:val="18"/>
                <w:szCs w:val="18"/>
              </w:rPr>
            </w:pPr>
            <w:r w:rsidRPr="000965AB">
              <w:rPr>
                <w:sz w:val="18"/>
                <w:szCs w:val="18"/>
              </w:rPr>
              <w:t>1.02</w:t>
            </w:r>
          </w:p>
        </w:tc>
        <w:tc>
          <w:tcPr>
            <w:tcW w:w="810" w:type="dxa"/>
            <w:tcBorders>
              <w:top w:val="single" w:sz="4" w:space="0" w:color="BFBFBF" w:themeColor="background1" w:themeShade="BF"/>
              <w:left w:val="nil"/>
              <w:bottom w:val="single" w:sz="4" w:space="0" w:color="auto"/>
              <w:right w:val="nil"/>
            </w:tcBorders>
            <w:vAlign w:val="center"/>
          </w:tcPr>
          <w:p w14:paraId="256C4940" w14:textId="77777777" w:rsidR="005525D5" w:rsidRPr="000965AB" w:rsidRDefault="005525D5" w:rsidP="005525D5">
            <w:pPr>
              <w:contextualSpacing/>
              <w:jc w:val="center"/>
              <w:rPr>
                <w:sz w:val="18"/>
                <w:szCs w:val="18"/>
              </w:rPr>
            </w:pPr>
            <w:r w:rsidRPr="000965AB">
              <w:rPr>
                <w:sz w:val="18"/>
                <w:szCs w:val="18"/>
              </w:rPr>
              <w:t>0.608</w:t>
            </w:r>
          </w:p>
        </w:tc>
      </w:tr>
      <w:tr w:rsidR="005525D5" w:rsidRPr="000965AB" w14:paraId="4651F7C3" w14:textId="77777777" w:rsidTr="005525D5">
        <w:trPr>
          <w:trHeight w:val="288"/>
        </w:trPr>
        <w:tc>
          <w:tcPr>
            <w:tcW w:w="990" w:type="dxa"/>
            <w:tcBorders>
              <w:top w:val="single" w:sz="4" w:space="0" w:color="auto"/>
              <w:left w:val="nil"/>
              <w:bottom w:val="single" w:sz="4" w:space="0" w:color="BFBFBF" w:themeColor="background1" w:themeShade="BF"/>
              <w:right w:val="nil"/>
            </w:tcBorders>
            <w:vAlign w:val="center"/>
          </w:tcPr>
          <w:p w14:paraId="111E6B15" w14:textId="77777777" w:rsidR="005525D5" w:rsidRPr="0067270C" w:rsidRDefault="005525D5" w:rsidP="005525D5">
            <w:pPr>
              <w:contextualSpacing/>
              <w:rPr>
                <w:sz w:val="18"/>
                <w:szCs w:val="18"/>
              </w:rPr>
            </w:pPr>
            <w:r>
              <w:rPr>
                <w:sz w:val="18"/>
                <w:szCs w:val="18"/>
              </w:rPr>
              <w:t>Clinician</w:t>
            </w:r>
          </w:p>
        </w:tc>
        <w:tc>
          <w:tcPr>
            <w:tcW w:w="2037" w:type="dxa"/>
            <w:tcBorders>
              <w:top w:val="single" w:sz="4" w:space="0" w:color="auto"/>
              <w:left w:val="nil"/>
              <w:bottom w:val="single" w:sz="4" w:space="0" w:color="BFBFBF" w:themeColor="background1" w:themeShade="BF"/>
              <w:right w:val="nil"/>
            </w:tcBorders>
            <w:noWrap/>
            <w:vAlign w:val="center"/>
          </w:tcPr>
          <w:p w14:paraId="56FECB96" w14:textId="77777777" w:rsidR="005525D5" w:rsidRPr="0067270C" w:rsidRDefault="005525D5" w:rsidP="005525D5">
            <w:pPr>
              <w:contextualSpacing/>
              <w:rPr>
                <w:sz w:val="18"/>
                <w:szCs w:val="18"/>
              </w:rPr>
            </w:pPr>
            <w:r>
              <w:rPr>
                <w:sz w:val="18"/>
                <w:szCs w:val="18"/>
              </w:rPr>
              <w:t>Age</w:t>
            </w:r>
          </w:p>
        </w:tc>
        <w:tc>
          <w:tcPr>
            <w:tcW w:w="1240" w:type="dxa"/>
            <w:tcBorders>
              <w:top w:val="single" w:sz="4" w:space="0" w:color="auto"/>
              <w:left w:val="nil"/>
              <w:bottom w:val="single" w:sz="4" w:space="0" w:color="BFBFBF" w:themeColor="background1" w:themeShade="BF"/>
              <w:right w:val="nil"/>
            </w:tcBorders>
            <w:noWrap/>
            <w:vAlign w:val="center"/>
          </w:tcPr>
          <w:p w14:paraId="07D513DC" w14:textId="77777777" w:rsidR="005525D5" w:rsidRPr="00E04887" w:rsidRDefault="005525D5" w:rsidP="005525D5">
            <w:pPr>
              <w:contextualSpacing/>
              <w:jc w:val="center"/>
              <w:rPr>
                <w:sz w:val="18"/>
                <w:szCs w:val="18"/>
              </w:rPr>
            </w:pPr>
            <w:r w:rsidRPr="0002298E">
              <w:rPr>
                <w:sz w:val="18"/>
                <w:szCs w:val="18"/>
              </w:rPr>
              <w:t>0.00</w:t>
            </w:r>
            <w:r>
              <w:rPr>
                <w:sz w:val="18"/>
                <w:szCs w:val="18"/>
              </w:rPr>
              <w:t>2</w:t>
            </w:r>
          </w:p>
        </w:tc>
        <w:tc>
          <w:tcPr>
            <w:tcW w:w="806" w:type="dxa"/>
            <w:tcBorders>
              <w:top w:val="single" w:sz="4" w:space="0" w:color="auto"/>
              <w:left w:val="nil"/>
              <w:bottom w:val="single" w:sz="4" w:space="0" w:color="BFBFBF" w:themeColor="background1" w:themeShade="BF"/>
              <w:right w:val="nil"/>
            </w:tcBorders>
            <w:noWrap/>
            <w:vAlign w:val="center"/>
          </w:tcPr>
          <w:p w14:paraId="146794A6" w14:textId="77777777" w:rsidR="005525D5" w:rsidRPr="00E04887" w:rsidRDefault="005525D5" w:rsidP="005525D5">
            <w:pPr>
              <w:contextualSpacing/>
              <w:jc w:val="center"/>
              <w:rPr>
                <w:sz w:val="18"/>
                <w:szCs w:val="18"/>
              </w:rPr>
            </w:pPr>
            <w:r w:rsidRPr="0002298E">
              <w:rPr>
                <w:sz w:val="18"/>
                <w:szCs w:val="18"/>
              </w:rPr>
              <w:t>0.842</w:t>
            </w:r>
          </w:p>
        </w:tc>
        <w:tc>
          <w:tcPr>
            <w:tcW w:w="1240" w:type="dxa"/>
            <w:tcBorders>
              <w:top w:val="single" w:sz="4" w:space="0" w:color="auto"/>
              <w:left w:val="nil"/>
              <w:bottom w:val="single" w:sz="4" w:space="0" w:color="BFBFBF" w:themeColor="background1" w:themeShade="BF"/>
              <w:right w:val="nil"/>
            </w:tcBorders>
            <w:noWrap/>
            <w:vAlign w:val="center"/>
          </w:tcPr>
          <w:p w14:paraId="64BE60D8" w14:textId="77777777" w:rsidR="005525D5" w:rsidRPr="002E2933" w:rsidRDefault="005525D5" w:rsidP="005525D5">
            <w:pPr>
              <w:contextualSpacing/>
              <w:jc w:val="center"/>
              <w:rPr>
                <w:sz w:val="18"/>
                <w:szCs w:val="18"/>
              </w:rPr>
            </w:pPr>
            <w:r w:rsidRPr="002E2933">
              <w:rPr>
                <w:sz w:val="18"/>
                <w:szCs w:val="18"/>
              </w:rPr>
              <w:t>0.003</w:t>
            </w:r>
          </w:p>
        </w:tc>
        <w:tc>
          <w:tcPr>
            <w:tcW w:w="806" w:type="dxa"/>
            <w:tcBorders>
              <w:top w:val="single" w:sz="4" w:space="0" w:color="auto"/>
              <w:left w:val="nil"/>
              <w:bottom w:val="single" w:sz="4" w:space="0" w:color="BFBFBF" w:themeColor="background1" w:themeShade="BF"/>
              <w:right w:val="nil"/>
            </w:tcBorders>
            <w:noWrap/>
            <w:vAlign w:val="center"/>
          </w:tcPr>
          <w:p w14:paraId="769635AD" w14:textId="77777777" w:rsidR="005525D5" w:rsidRPr="002E2933" w:rsidRDefault="005525D5" w:rsidP="005525D5">
            <w:pPr>
              <w:contextualSpacing/>
              <w:jc w:val="center"/>
              <w:rPr>
                <w:sz w:val="18"/>
                <w:szCs w:val="18"/>
              </w:rPr>
            </w:pPr>
            <w:r w:rsidRPr="002E2933">
              <w:rPr>
                <w:sz w:val="18"/>
                <w:szCs w:val="18"/>
              </w:rPr>
              <w:t>0.748</w:t>
            </w:r>
          </w:p>
        </w:tc>
        <w:tc>
          <w:tcPr>
            <w:tcW w:w="1240" w:type="dxa"/>
            <w:tcBorders>
              <w:top w:val="single" w:sz="4" w:space="0" w:color="auto"/>
              <w:left w:val="nil"/>
              <w:bottom w:val="single" w:sz="4" w:space="0" w:color="BFBFBF" w:themeColor="background1" w:themeShade="BF"/>
              <w:right w:val="nil"/>
            </w:tcBorders>
            <w:noWrap/>
            <w:vAlign w:val="center"/>
          </w:tcPr>
          <w:p w14:paraId="7B962DAC" w14:textId="77777777" w:rsidR="005525D5" w:rsidRPr="00653753" w:rsidRDefault="005525D5" w:rsidP="005525D5">
            <w:pPr>
              <w:contextualSpacing/>
              <w:jc w:val="center"/>
              <w:rPr>
                <w:sz w:val="18"/>
                <w:szCs w:val="18"/>
              </w:rPr>
            </w:pPr>
            <w:r w:rsidRPr="00653753">
              <w:rPr>
                <w:sz w:val="18"/>
                <w:szCs w:val="18"/>
              </w:rPr>
              <w:t>0.002</w:t>
            </w:r>
          </w:p>
        </w:tc>
        <w:tc>
          <w:tcPr>
            <w:tcW w:w="806" w:type="dxa"/>
            <w:tcBorders>
              <w:top w:val="single" w:sz="4" w:space="0" w:color="auto"/>
              <w:left w:val="nil"/>
              <w:bottom w:val="single" w:sz="4" w:space="0" w:color="BFBFBF" w:themeColor="background1" w:themeShade="BF"/>
              <w:right w:val="nil"/>
            </w:tcBorders>
            <w:noWrap/>
            <w:vAlign w:val="center"/>
          </w:tcPr>
          <w:p w14:paraId="4B631B31" w14:textId="77777777" w:rsidR="005525D5" w:rsidRPr="00653753" w:rsidRDefault="005525D5" w:rsidP="005525D5">
            <w:pPr>
              <w:contextualSpacing/>
              <w:jc w:val="center"/>
              <w:rPr>
                <w:sz w:val="18"/>
                <w:szCs w:val="18"/>
              </w:rPr>
            </w:pPr>
            <w:r w:rsidRPr="00653753">
              <w:rPr>
                <w:sz w:val="18"/>
                <w:szCs w:val="18"/>
              </w:rPr>
              <w:t>0.819</w:t>
            </w:r>
          </w:p>
        </w:tc>
        <w:tc>
          <w:tcPr>
            <w:tcW w:w="1275" w:type="dxa"/>
            <w:tcBorders>
              <w:top w:val="single" w:sz="4" w:space="0" w:color="auto"/>
              <w:left w:val="nil"/>
              <w:bottom w:val="single" w:sz="4" w:space="0" w:color="BFBFBF" w:themeColor="background1" w:themeShade="BF"/>
              <w:right w:val="nil"/>
            </w:tcBorders>
            <w:vAlign w:val="center"/>
          </w:tcPr>
          <w:p w14:paraId="3416FC72" w14:textId="77777777" w:rsidR="005525D5" w:rsidRPr="000965AB" w:rsidRDefault="005525D5" w:rsidP="005525D5">
            <w:pPr>
              <w:contextualSpacing/>
              <w:jc w:val="center"/>
              <w:rPr>
                <w:sz w:val="18"/>
                <w:szCs w:val="18"/>
              </w:rPr>
            </w:pPr>
            <w:r w:rsidRPr="000965AB">
              <w:rPr>
                <w:sz w:val="18"/>
                <w:szCs w:val="18"/>
              </w:rPr>
              <w:t>0.99</w:t>
            </w:r>
          </w:p>
        </w:tc>
        <w:tc>
          <w:tcPr>
            <w:tcW w:w="810" w:type="dxa"/>
            <w:tcBorders>
              <w:top w:val="single" w:sz="4" w:space="0" w:color="auto"/>
              <w:left w:val="nil"/>
              <w:bottom w:val="single" w:sz="4" w:space="0" w:color="BFBFBF" w:themeColor="background1" w:themeShade="BF"/>
              <w:right w:val="nil"/>
            </w:tcBorders>
            <w:vAlign w:val="center"/>
          </w:tcPr>
          <w:p w14:paraId="70DF6C7D" w14:textId="77777777" w:rsidR="005525D5" w:rsidRPr="000965AB" w:rsidRDefault="005525D5" w:rsidP="005525D5">
            <w:pPr>
              <w:contextualSpacing/>
              <w:jc w:val="center"/>
              <w:rPr>
                <w:sz w:val="18"/>
                <w:szCs w:val="18"/>
              </w:rPr>
            </w:pPr>
            <w:r w:rsidRPr="000965AB">
              <w:rPr>
                <w:sz w:val="18"/>
                <w:szCs w:val="18"/>
              </w:rPr>
              <w:t>0.312</w:t>
            </w:r>
          </w:p>
        </w:tc>
      </w:tr>
      <w:tr w:rsidR="005525D5" w:rsidRPr="000965AB" w14:paraId="15DFC378"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519AD386"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3BB193CC" w14:textId="77777777" w:rsidR="005525D5" w:rsidRPr="0067270C" w:rsidRDefault="005525D5" w:rsidP="005525D5">
            <w:pPr>
              <w:contextualSpacing/>
              <w:rPr>
                <w:sz w:val="18"/>
                <w:szCs w:val="18"/>
              </w:rPr>
            </w:pPr>
            <w:r>
              <w:rPr>
                <w:sz w:val="18"/>
                <w:szCs w:val="18"/>
              </w:rPr>
              <w:t>M</w:t>
            </w:r>
            <w:r w:rsidRPr="0067270C">
              <w:rPr>
                <w:sz w:val="18"/>
                <w:szCs w:val="18"/>
              </w:rPr>
              <w:t>ale</w:t>
            </w:r>
            <w:r>
              <w:rPr>
                <w:sz w:val="18"/>
                <w:szCs w:val="18"/>
              </w:rPr>
              <w:t xml:space="preserve"> (vs. female)</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267FC3F7" w14:textId="77777777" w:rsidR="005525D5" w:rsidRPr="00E04887" w:rsidRDefault="005525D5" w:rsidP="005525D5">
            <w:pPr>
              <w:contextualSpacing/>
              <w:jc w:val="center"/>
              <w:rPr>
                <w:sz w:val="18"/>
                <w:szCs w:val="18"/>
              </w:rPr>
            </w:pPr>
            <w:r w:rsidRPr="0002298E">
              <w:rPr>
                <w:sz w:val="18"/>
                <w:szCs w:val="18"/>
              </w:rPr>
              <w:t>-0.02</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E8D9FD1" w14:textId="77777777" w:rsidR="005525D5" w:rsidRPr="00E04887" w:rsidRDefault="005525D5" w:rsidP="005525D5">
            <w:pPr>
              <w:contextualSpacing/>
              <w:jc w:val="center"/>
              <w:rPr>
                <w:sz w:val="18"/>
                <w:szCs w:val="18"/>
              </w:rPr>
            </w:pPr>
            <w:r w:rsidRPr="0002298E">
              <w:rPr>
                <w:sz w:val="18"/>
                <w:szCs w:val="18"/>
              </w:rPr>
              <w:t>0.948</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A38DA88" w14:textId="77777777" w:rsidR="005525D5" w:rsidRPr="002E2933" w:rsidRDefault="005525D5" w:rsidP="005525D5">
            <w:pPr>
              <w:contextualSpacing/>
              <w:jc w:val="center"/>
              <w:rPr>
                <w:sz w:val="18"/>
                <w:szCs w:val="18"/>
              </w:rPr>
            </w:pPr>
            <w:r w:rsidRPr="002E2933">
              <w:rPr>
                <w:sz w:val="18"/>
                <w:szCs w:val="18"/>
              </w:rPr>
              <w:t>-0.03</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22489CC" w14:textId="77777777" w:rsidR="005525D5" w:rsidRPr="002E2933" w:rsidRDefault="005525D5" w:rsidP="005525D5">
            <w:pPr>
              <w:contextualSpacing/>
              <w:jc w:val="center"/>
              <w:rPr>
                <w:sz w:val="18"/>
                <w:szCs w:val="18"/>
              </w:rPr>
            </w:pPr>
            <w:r w:rsidRPr="002E2933">
              <w:rPr>
                <w:sz w:val="18"/>
                <w:szCs w:val="18"/>
              </w:rPr>
              <w:t>0.893</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6EC70A48" w14:textId="77777777" w:rsidR="005525D5" w:rsidRPr="00653753" w:rsidRDefault="005525D5" w:rsidP="005525D5">
            <w:pPr>
              <w:contextualSpacing/>
              <w:jc w:val="center"/>
              <w:rPr>
                <w:sz w:val="18"/>
                <w:szCs w:val="18"/>
              </w:rPr>
            </w:pPr>
            <w:r w:rsidRPr="00653753">
              <w:rPr>
                <w:sz w:val="18"/>
                <w:szCs w:val="18"/>
              </w:rPr>
              <w:t>0.004</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64E26EAE" w14:textId="77777777" w:rsidR="005525D5" w:rsidRPr="00653753" w:rsidRDefault="005525D5" w:rsidP="005525D5">
            <w:pPr>
              <w:contextualSpacing/>
              <w:jc w:val="center"/>
              <w:rPr>
                <w:sz w:val="18"/>
                <w:szCs w:val="18"/>
              </w:rPr>
            </w:pPr>
            <w:r w:rsidRPr="00653753">
              <w:rPr>
                <w:sz w:val="18"/>
                <w:szCs w:val="18"/>
              </w:rPr>
              <w:t>0.988</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5DBCF33C" w14:textId="77777777" w:rsidR="005525D5" w:rsidRPr="000965AB" w:rsidRDefault="005525D5" w:rsidP="005525D5">
            <w:pPr>
              <w:contextualSpacing/>
              <w:jc w:val="center"/>
              <w:rPr>
                <w:sz w:val="18"/>
                <w:szCs w:val="18"/>
              </w:rPr>
            </w:pPr>
            <w:r w:rsidRPr="000965AB">
              <w:rPr>
                <w:sz w:val="18"/>
                <w:szCs w:val="18"/>
              </w:rPr>
              <w:t>1.02</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34CC1F76" w14:textId="77777777" w:rsidR="005525D5" w:rsidRPr="000965AB" w:rsidRDefault="005525D5" w:rsidP="005525D5">
            <w:pPr>
              <w:contextualSpacing/>
              <w:jc w:val="center"/>
              <w:rPr>
                <w:sz w:val="18"/>
                <w:szCs w:val="18"/>
              </w:rPr>
            </w:pPr>
            <w:r w:rsidRPr="000965AB">
              <w:rPr>
                <w:sz w:val="18"/>
                <w:szCs w:val="18"/>
              </w:rPr>
              <w:t>0.943</w:t>
            </w:r>
          </w:p>
        </w:tc>
      </w:tr>
      <w:tr w:rsidR="005525D5" w:rsidRPr="000965AB" w14:paraId="22DBF29D"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445A7EA7"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5EB99F03" w14:textId="77777777" w:rsidR="005525D5" w:rsidRPr="0067270C" w:rsidRDefault="005525D5" w:rsidP="005525D5">
            <w:pPr>
              <w:contextualSpacing/>
              <w:rPr>
                <w:sz w:val="18"/>
                <w:szCs w:val="18"/>
              </w:rPr>
            </w:pPr>
            <w:r>
              <w:rPr>
                <w:sz w:val="18"/>
                <w:szCs w:val="18"/>
              </w:rPr>
              <w:t>Race: non-Hispanic white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21627D6" w14:textId="77777777" w:rsidR="005525D5" w:rsidRPr="00E04887" w:rsidRDefault="005525D5" w:rsidP="005525D5">
            <w:pPr>
              <w:contextualSpacing/>
              <w:jc w:val="center"/>
              <w:rPr>
                <w:sz w:val="18"/>
                <w:szCs w:val="18"/>
              </w:rPr>
            </w:pPr>
            <w:r w:rsidRPr="0002298E">
              <w:rPr>
                <w:sz w:val="18"/>
                <w:szCs w:val="18"/>
              </w:rPr>
              <w:t>0.07</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7702E5E0" w14:textId="77777777" w:rsidR="005525D5" w:rsidRPr="00E04887" w:rsidRDefault="005525D5" w:rsidP="005525D5">
            <w:pPr>
              <w:contextualSpacing/>
              <w:jc w:val="center"/>
              <w:rPr>
                <w:sz w:val="18"/>
                <w:szCs w:val="18"/>
              </w:rPr>
            </w:pPr>
            <w:r w:rsidRPr="0002298E">
              <w:rPr>
                <w:sz w:val="18"/>
                <w:szCs w:val="18"/>
              </w:rPr>
              <w:t>0.774</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539B7DD" w14:textId="77777777" w:rsidR="005525D5" w:rsidRPr="002E2933" w:rsidRDefault="005525D5" w:rsidP="005525D5">
            <w:pPr>
              <w:contextualSpacing/>
              <w:jc w:val="center"/>
              <w:rPr>
                <w:sz w:val="18"/>
                <w:szCs w:val="18"/>
              </w:rPr>
            </w:pPr>
            <w:r w:rsidRPr="002E2933">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524F6BEE" w14:textId="77777777" w:rsidR="005525D5" w:rsidRPr="002E2933" w:rsidRDefault="005525D5" w:rsidP="005525D5">
            <w:pPr>
              <w:contextualSpacing/>
              <w:jc w:val="center"/>
              <w:rPr>
                <w:sz w:val="18"/>
                <w:szCs w:val="18"/>
              </w:rPr>
            </w:pPr>
            <w:r w:rsidRPr="002E2933">
              <w:rPr>
                <w:sz w:val="18"/>
                <w:szCs w:val="18"/>
              </w:rPr>
              <w:t>0.828</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BEC70B6" w14:textId="77777777" w:rsidR="005525D5" w:rsidRPr="00653753" w:rsidRDefault="005525D5" w:rsidP="005525D5">
            <w:pPr>
              <w:contextualSpacing/>
              <w:jc w:val="center"/>
              <w:rPr>
                <w:sz w:val="18"/>
                <w:szCs w:val="18"/>
              </w:rPr>
            </w:pPr>
            <w:r w:rsidRPr="00653753">
              <w:rPr>
                <w:sz w:val="18"/>
                <w:szCs w:val="18"/>
              </w:rPr>
              <w:t>0.05</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8ACDB7F" w14:textId="77777777" w:rsidR="005525D5" w:rsidRPr="00653753" w:rsidRDefault="005525D5" w:rsidP="005525D5">
            <w:pPr>
              <w:contextualSpacing/>
              <w:jc w:val="center"/>
              <w:rPr>
                <w:sz w:val="18"/>
                <w:szCs w:val="18"/>
              </w:rPr>
            </w:pPr>
            <w:r w:rsidRPr="00653753">
              <w:rPr>
                <w:sz w:val="18"/>
                <w:szCs w:val="18"/>
              </w:rPr>
              <w:t>0.823</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2A6D67C3" w14:textId="77777777" w:rsidR="005525D5" w:rsidRPr="000965AB" w:rsidRDefault="005525D5" w:rsidP="005525D5">
            <w:pPr>
              <w:contextualSpacing/>
              <w:jc w:val="center"/>
              <w:rPr>
                <w:sz w:val="18"/>
                <w:szCs w:val="18"/>
              </w:rPr>
            </w:pPr>
            <w:r w:rsidRPr="000965AB">
              <w:rPr>
                <w:sz w:val="18"/>
                <w:szCs w:val="18"/>
              </w:rPr>
              <w:t>1.29</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42326866" w14:textId="77777777" w:rsidR="005525D5" w:rsidRPr="000965AB" w:rsidRDefault="005525D5" w:rsidP="005525D5">
            <w:pPr>
              <w:contextualSpacing/>
              <w:jc w:val="center"/>
              <w:rPr>
                <w:sz w:val="18"/>
                <w:szCs w:val="18"/>
              </w:rPr>
            </w:pPr>
            <w:r w:rsidRPr="000965AB">
              <w:rPr>
                <w:sz w:val="18"/>
                <w:szCs w:val="18"/>
              </w:rPr>
              <w:t>0.378</w:t>
            </w:r>
          </w:p>
        </w:tc>
      </w:tr>
      <w:tr w:rsidR="005525D5" w:rsidRPr="000965AB" w14:paraId="746FB3B7" w14:textId="77777777" w:rsidTr="005525D5">
        <w:trPr>
          <w:trHeight w:val="288"/>
        </w:trPr>
        <w:tc>
          <w:tcPr>
            <w:tcW w:w="990" w:type="dxa"/>
            <w:tcBorders>
              <w:top w:val="single" w:sz="4" w:space="0" w:color="BFBFBF" w:themeColor="background1" w:themeShade="BF"/>
              <w:left w:val="nil"/>
              <w:bottom w:val="single" w:sz="4" w:space="0" w:color="BFBFBF" w:themeColor="background1" w:themeShade="BF"/>
              <w:right w:val="nil"/>
            </w:tcBorders>
          </w:tcPr>
          <w:p w14:paraId="6AF7378A"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BFBFBF" w:themeColor="background1" w:themeShade="BF"/>
              <w:right w:val="nil"/>
            </w:tcBorders>
            <w:noWrap/>
            <w:vAlign w:val="center"/>
          </w:tcPr>
          <w:p w14:paraId="291AA66A" w14:textId="77777777" w:rsidR="005525D5" w:rsidRPr="0067270C" w:rsidRDefault="005525D5" w:rsidP="005525D5">
            <w:pPr>
              <w:contextualSpacing/>
              <w:rPr>
                <w:sz w:val="18"/>
                <w:szCs w:val="18"/>
              </w:rPr>
            </w:pPr>
            <w:r>
              <w:rPr>
                <w:sz w:val="18"/>
                <w:szCs w:val="18"/>
              </w:rPr>
              <w:t>Attending vs. other</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7E6EFEF4" w14:textId="77777777" w:rsidR="005525D5" w:rsidRPr="00E04887" w:rsidRDefault="005525D5" w:rsidP="005525D5">
            <w:pPr>
              <w:contextualSpacing/>
              <w:jc w:val="center"/>
              <w:rPr>
                <w:sz w:val="18"/>
                <w:szCs w:val="18"/>
              </w:rPr>
            </w:pPr>
            <w:r w:rsidRPr="0002298E">
              <w:rPr>
                <w:sz w:val="18"/>
                <w:szCs w:val="18"/>
              </w:rPr>
              <w:t>-0.04</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0337DDAA" w14:textId="77777777" w:rsidR="005525D5" w:rsidRPr="00E04887" w:rsidRDefault="005525D5" w:rsidP="005525D5">
            <w:pPr>
              <w:contextualSpacing/>
              <w:jc w:val="center"/>
              <w:rPr>
                <w:sz w:val="18"/>
                <w:szCs w:val="18"/>
              </w:rPr>
            </w:pPr>
            <w:r w:rsidRPr="0002298E">
              <w:rPr>
                <w:sz w:val="18"/>
                <w:szCs w:val="18"/>
              </w:rPr>
              <w:t>0.851</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113F8286" w14:textId="77777777" w:rsidR="005525D5" w:rsidRPr="002E2933" w:rsidRDefault="005525D5" w:rsidP="005525D5">
            <w:pPr>
              <w:contextualSpacing/>
              <w:jc w:val="center"/>
              <w:rPr>
                <w:sz w:val="18"/>
                <w:szCs w:val="18"/>
              </w:rPr>
            </w:pPr>
            <w:r w:rsidRPr="002E2933">
              <w:rPr>
                <w:sz w:val="18"/>
                <w:szCs w:val="18"/>
              </w:rPr>
              <w:t>-0.01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4C7F1843" w14:textId="77777777" w:rsidR="005525D5" w:rsidRPr="002E2933" w:rsidRDefault="005525D5" w:rsidP="005525D5">
            <w:pPr>
              <w:contextualSpacing/>
              <w:jc w:val="center"/>
              <w:rPr>
                <w:sz w:val="18"/>
                <w:szCs w:val="18"/>
              </w:rPr>
            </w:pPr>
            <w:r w:rsidRPr="002E2933">
              <w:rPr>
                <w:sz w:val="18"/>
                <w:szCs w:val="18"/>
              </w:rPr>
              <w:t>0.971</w:t>
            </w:r>
          </w:p>
        </w:tc>
        <w:tc>
          <w:tcPr>
            <w:tcW w:w="1240" w:type="dxa"/>
            <w:tcBorders>
              <w:top w:val="single" w:sz="4" w:space="0" w:color="BFBFBF" w:themeColor="background1" w:themeShade="BF"/>
              <w:left w:val="nil"/>
              <w:bottom w:val="single" w:sz="4" w:space="0" w:color="BFBFBF" w:themeColor="background1" w:themeShade="BF"/>
              <w:right w:val="nil"/>
            </w:tcBorders>
            <w:noWrap/>
            <w:vAlign w:val="center"/>
          </w:tcPr>
          <w:p w14:paraId="42D29B0E" w14:textId="77777777" w:rsidR="005525D5" w:rsidRPr="00653753" w:rsidRDefault="005525D5" w:rsidP="005525D5">
            <w:pPr>
              <w:contextualSpacing/>
              <w:jc w:val="center"/>
              <w:rPr>
                <w:sz w:val="18"/>
                <w:szCs w:val="18"/>
              </w:rPr>
            </w:pPr>
            <w:r w:rsidRPr="00653753">
              <w:rPr>
                <w:sz w:val="18"/>
                <w:szCs w:val="18"/>
              </w:rPr>
              <w:t>-0.01</w:t>
            </w:r>
          </w:p>
        </w:tc>
        <w:tc>
          <w:tcPr>
            <w:tcW w:w="806" w:type="dxa"/>
            <w:tcBorders>
              <w:top w:val="single" w:sz="4" w:space="0" w:color="BFBFBF" w:themeColor="background1" w:themeShade="BF"/>
              <w:left w:val="nil"/>
              <w:bottom w:val="single" w:sz="4" w:space="0" w:color="BFBFBF" w:themeColor="background1" w:themeShade="BF"/>
              <w:right w:val="nil"/>
            </w:tcBorders>
            <w:noWrap/>
            <w:vAlign w:val="center"/>
          </w:tcPr>
          <w:p w14:paraId="24934453" w14:textId="77777777" w:rsidR="005525D5" w:rsidRPr="00653753" w:rsidRDefault="005525D5" w:rsidP="005525D5">
            <w:pPr>
              <w:contextualSpacing/>
              <w:jc w:val="center"/>
              <w:rPr>
                <w:sz w:val="18"/>
                <w:szCs w:val="18"/>
              </w:rPr>
            </w:pPr>
            <w:r w:rsidRPr="00653753">
              <w:rPr>
                <w:sz w:val="18"/>
                <w:szCs w:val="18"/>
              </w:rPr>
              <w:t>0.966</w:t>
            </w:r>
          </w:p>
        </w:tc>
        <w:tc>
          <w:tcPr>
            <w:tcW w:w="1275" w:type="dxa"/>
            <w:tcBorders>
              <w:top w:val="single" w:sz="4" w:space="0" w:color="BFBFBF" w:themeColor="background1" w:themeShade="BF"/>
              <w:left w:val="nil"/>
              <w:bottom w:val="single" w:sz="4" w:space="0" w:color="BFBFBF" w:themeColor="background1" w:themeShade="BF"/>
              <w:right w:val="nil"/>
            </w:tcBorders>
            <w:vAlign w:val="center"/>
          </w:tcPr>
          <w:p w14:paraId="40B0EEA2" w14:textId="77777777" w:rsidR="005525D5" w:rsidRPr="000965AB" w:rsidRDefault="005525D5" w:rsidP="005525D5">
            <w:pPr>
              <w:contextualSpacing/>
              <w:jc w:val="center"/>
              <w:rPr>
                <w:sz w:val="18"/>
                <w:szCs w:val="18"/>
              </w:rPr>
            </w:pPr>
            <w:r w:rsidRPr="000965AB">
              <w:rPr>
                <w:sz w:val="18"/>
                <w:szCs w:val="18"/>
              </w:rPr>
              <w:t>0.70</w:t>
            </w:r>
          </w:p>
        </w:tc>
        <w:tc>
          <w:tcPr>
            <w:tcW w:w="810" w:type="dxa"/>
            <w:tcBorders>
              <w:top w:val="single" w:sz="4" w:space="0" w:color="BFBFBF" w:themeColor="background1" w:themeShade="BF"/>
              <w:left w:val="nil"/>
              <w:bottom w:val="single" w:sz="4" w:space="0" w:color="BFBFBF" w:themeColor="background1" w:themeShade="BF"/>
              <w:right w:val="nil"/>
            </w:tcBorders>
            <w:vAlign w:val="center"/>
          </w:tcPr>
          <w:p w14:paraId="5EBF8575" w14:textId="77777777" w:rsidR="005525D5" w:rsidRPr="000965AB" w:rsidRDefault="005525D5" w:rsidP="005525D5">
            <w:pPr>
              <w:contextualSpacing/>
              <w:jc w:val="center"/>
              <w:rPr>
                <w:sz w:val="18"/>
                <w:szCs w:val="18"/>
              </w:rPr>
            </w:pPr>
            <w:r w:rsidRPr="000965AB">
              <w:rPr>
                <w:sz w:val="18"/>
                <w:szCs w:val="18"/>
              </w:rPr>
              <w:t>0.172</w:t>
            </w:r>
            <w:r>
              <w:rPr>
                <w:sz w:val="18"/>
                <w:szCs w:val="18"/>
              </w:rPr>
              <w:t>*</w:t>
            </w:r>
          </w:p>
        </w:tc>
      </w:tr>
      <w:tr w:rsidR="005525D5" w:rsidRPr="000965AB" w14:paraId="72764FED" w14:textId="77777777" w:rsidTr="005525D5">
        <w:trPr>
          <w:trHeight w:val="288"/>
        </w:trPr>
        <w:tc>
          <w:tcPr>
            <w:tcW w:w="990" w:type="dxa"/>
            <w:tcBorders>
              <w:top w:val="single" w:sz="4" w:space="0" w:color="BFBFBF" w:themeColor="background1" w:themeShade="BF"/>
              <w:left w:val="nil"/>
              <w:bottom w:val="single" w:sz="4" w:space="0" w:color="auto"/>
              <w:right w:val="nil"/>
            </w:tcBorders>
          </w:tcPr>
          <w:p w14:paraId="7C4E67FE" w14:textId="77777777" w:rsidR="005525D5" w:rsidRPr="0067270C" w:rsidRDefault="005525D5" w:rsidP="005525D5">
            <w:pPr>
              <w:contextualSpacing/>
              <w:rPr>
                <w:sz w:val="18"/>
                <w:szCs w:val="18"/>
              </w:rPr>
            </w:pPr>
          </w:p>
        </w:tc>
        <w:tc>
          <w:tcPr>
            <w:tcW w:w="2037" w:type="dxa"/>
            <w:tcBorders>
              <w:top w:val="single" w:sz="4" w:space="0" w:color="BFBFBF" w:themeColor="background1" w:themeShade="BF"/>
              <w:left w:val="nil"/>
              <w:bottom w:val="single" w:sz="4" w:space="0" w:color="auto"/>
              <w:right w:val="nil"/>
            </w:tcBorders>
            <w:noWrap/>
            <w:vAlign w:val="center"/>
          </w:tcPr>
          <w:p w14:paraId="66F8667E" w14:textId="77777777" w:rsidR="005525D5" w:rsidRPr="0067270C" w:rsidRDefault="005525D5" w:rsidP="005525D5">
            <w:pPr>
              <w:contextualSpacing/>
              <w:rPr>
                <w:sz w:val="18"/>
                <w:szCs w:val="18"/>
              </w:rPr>
            </w:pPr>
            <w:r>
              <w:rPr>
                <w:sz w:val="18"/>
                <w:szCs w:val="18"/>
              </w:rPr>
              <w:t>Years in practice</w:t>
            </w:r>
          </w:p>
        </w:tc>
        <w:tc>
          <w:tcPr>
            <w:tcW w:w="1240" w:type="dxa"/>
            <w:tcBorders>
              <w:top w:val="single" w:sz="4" w:space="0" w:color="BFBFBF" w:themeColor="background1" w:themeShade="BF"/>
              <w:left w:val="nil"/>
              <w:bottom w:val="single" w:sz="4" w:space="0" w:color="auto"/>
              <w:right w:val="nil"/>
            </w:tcBorders>
            <w:noWrap/>
            <w:vAlign w:val="center"/>
          </w:tcPr>
          <w:p w14:paraId="6280ED47" w14:textId="77777777" w:rsidR="005525D5" w:rsidRPr="00E04887" w:rsidRDefault="005525D5" w:rsidP="005525D5">
            <w:pPr>
              <w:contextualSpacing/>
              <w:jc w:val="center"/>
              <w:rPr>
                <w:sz w:val="18"/>
                <w:szCs w:val="18"/>
              </w:rPr>
            </w:pPr>
            <w:r w:rsidRPr="0002298E">
              <w:rPr>
                <w:sz w:val="18"/>
                <w:szCs w:val="18"/>
              </w:rPr>
              <w:t>0.001</w:t>
            </w:r>
          </w:p>
        </w:tc>
        <w:tc>
          <w:tcPr>
            <w:tcW w:w="806" w:type="dxa"/>
            <w:tcBorders>
              <w:top w:val="single" w:sz="4" w:space="0" w:color="BFBFBF" w:themeColor="background1" w:themeShade="BF"/>
              <w:left w:val="nil"/>
              <w:bottom w:val="single" w:sz="4" w:space="0" w:color="auto"/>
              <w:right w:val="nil"/>
            </w:tcBorders>
            <w:noWrap/>
            <w:vAlign w:val="center"/>
          </w:tcPr>
          <w:p w14:paraId="071BA027" w14:textId="77777777" w:rsidR="005525D5" w:rsidRPr="00E04887" w:rsidRDefault="005525D5" w:rsidP="005525D5">
            <w:pPr>
              <w:contextualSpacing/>
              <w:jc w:val="center"/>
              <w:rPr>
                <w:sz w:val="18"/>
                <w:szCs w:val="18"/>
              </w:rPr>
            </w:pPr>
            <w:r w:rsidRPr="0002298E">
              <w:rPr>
                <w:sz w:val="18"/>
                <w:szCs w:val="18"/>
              </w:rPr>
              <w:t>0.92</w:t>
            </w:r>
            <w:r>
              <w:rPr>
                <w:sz w:val="18"/>
                <w:szCs w:val="18"/>
              </w:rPr>
              <w:t>0</w:t>
            </w:r>
          </w:p>
        </w:tc>
        <w:tc>
          <w:tcPr>
            <w:tcW w:w="1240" w:type="dxa"/>
            <w:tcBorders>
              <w:top w:val="single" w:sz="4" w:space="0" w:color="BFBFBF" w:themeColor="background1" w:themeShade="BF"/>
              <w:left w:val="nil"/>
              <w:bottom w:val="single" w:sz="4" w:space="0" w:color="auto"/>
              <w:right w:val="nil"/>
            </w:tcBorders>
            <w:noWrap/>
            <w:vAlign w:val="center"/>
          </w:tcPr>
          <w:p w14:paraId="49DBA619" w14:textId="77777777" w:rsidR="005525D5" w:rsidRPr="002E2933" w:rsidRDefault="005525D5" w:rsidP="005525D5">
            <w:pPr>
              <w:contextualSpacing/>
              <w:jc w:val="center"/>
              <w:rPr>
                <w:sz w:val="18"/>
                <w:szCs w:val="18"/>
              </w:rPr>
            </w:pPr>
            <w:r w:rsidRPr="002E2933">
              <w:rPr>
                <w:sz w:val="18"/>
                <w:szCs w:val="18"/>
              </w:rPr>
              <w:t>0.002</w:t>
            </w:r>
          </w:p>
        </w:tc>
        <w:tc>
          <w:tcPr>
            <w:tcW w:w="806" w:type="dxa"/>
            <w:tcBorders>
              <w:top w:val="single" w:sz="4" w:space="0" w:color="BFBFBF" w:themeColor="background1" w:themeShade="BF"/>
              <w:left w:val="nil"/>
              <w:bottom w:val="single" w:sz="4" w:space="0" w:color="auto"/>
              <w:right w:val="nil"/>
            </w:tcBorders>
            <w:noWrap/>
            <w:vAlign w:val="center"/>
          </w:tcPr>
          <w:p w14:paraId="0A7FF430" w14:textId="77777777" w:rsidR="005525D5" w:rsidRPr="002E2933" w:rsidRDefault="005525D5" w:rsidP="005525D5">
            <w:pPr>
              <w:contextualSpacing/>
              <w:jc w:val="center"/>
              <w:rPr>
                <w:sz w:val="18"/>
                <w:szCs w:val="18"/>
              </w:rPr>
            </w:pPr>
            <w:r w:rsidRPr="002E2933">
              <w:rPr>
                <w:sz w:val="18"/>
                <w:szCs w:val="18"/>
              </w:rPr>
              <w:t>0.834</w:t>
            </w:r>
          </w:p>
        </w:tc>
        <w:tc>
          <w:tcPr>
            <w:tcW w:w="1240" w:type="dxa"/>
            <w:tcBorders>
              <w:top w:val="single" w:sz="4" w:space="0" w:color="BFBFBF" w:themeColor="background1" w:themeShade="BF"/>
              <w:left w:val="nil"/>
              <w:bottom w:val="single" w:sz="4" w:space="0" w:color="auto"/>
              <w:right w:val="nil"/>
            </w:tcBorders>
            <w:noWrap/>
            <w:vAlign w:val="center"/>
          </w:tcPr>
          <w:p w14:paraId="69C78683" w14:textId="77777777" w:rsidR="005525D5" w:rsidRPr="00653753" w:rsidRDefault="005525D5" w:rsidP="005525D5">
            <w:pPr>
              <w:contextualSpacing/>
              <w:jc w:val="center"/>
              <w:rPr>
                <w:sz w:val="18"/>
                <w:szCs w:val="18"/>
              </w:rPr>
            </w:pPr>
            <w:r w:rsidRPr="00653753">
              <w:rPr>
                <w:sz w:val="18"/>
                <w:szCs w:val="18"/>
              </w:rPr>
              <w:t>0.001</w:t>
            </w:r>
          </w:p>
        </w:tc>
        <w:tc>
          <w:tcPr>
            <w:tcW w:w="806" w:type="dxa"/>
            <w:tcBorders>
              <w:top w:val="single" w:sz="4" w:space="0" w:color="BFBFBF" w:themeColor="background1" w:themeShade="BF"/>
              <w:left w:val="nil"/>
              <w:bottom w:val="single" w:sz="4" w:space="0" w:color="auto"/>
              <w:right w:val="nil"/>
            </w:tcBorders>
            <w:noWrap/>
            <w:vAlign w:val="center"/>
          </w:tcPr>
          <w:p w14:paraId="26804ED2" w14:textId="77777777" w:rsidR="005525D5" w:rsidRPr="00653753" w:rsidRDefault="005525D5" w:rsidP="005525D5">
            <w:pPr>
              <w:contextualSpacing/>
              <w:jc w:val="center"/>
              <w:rPr>
                <w:sz w:val="18"/>
                <w:szCs w:val="18"/>
              </w:rPr>
            </w:pPr>
            <w:r w:rsidRPr="00653753">
              <w:rPr>
                <w:sz w:val="18"/>
                <w:szCs w:val="18"/>
              </w:rPr>
              <w:t>0.898</w:t>
            </w:r>
          </w:p>
        </w:tc>
        <w:tc>
          <w:tcPr>
            <w:tcW w:w="1275" w:type="dxa"/>
            <w:tcBorders>
              <w:top w:val="single" w:sz="4" w:space="0" w:color="BFBFBF" w:themeColor="background1" w:themeShade="BF"/>
              <w:left w:val="nil"/>
              <w:bottom w:val="single" w:sz="4" w:space="0" w:color="auto"/>
              <w:right w:val="nil"/>
            </w:tcBorders>
            <w:vAlign w:val="center"/>
          </w:tcPr>
          <w:p w14:paraId="235C921A" w14:textId="77777777" w:rsidR="005525D5" w:rsidRPr="000965AB" w:rsidRDefault="005525D5" w:rsidP="005525D5">
            <w:pPr>
              <w:contextualSpacing/>
              <w:jc w:val="center"/>
              <w:rPr>
                <w:sz w:val="18"/>
                <w:szCs w:val="18"/>
              </w:rPr>
            </w:pPr>
            <w:r w:rsidRPr="000965AB">
              <w:rPr>
                <w:sz w:val="18"/>
                <w:szCs w:val="18"/>
              </w:rPr>
              <w:t>0.98</w:t>
            </w:r>
          </w:p>
        </w:tc>
        <w:tc>
          <w:tcPr>
            <w:tcW w:w="810" w:type="dxa"/>
            <w:tcBorders>
              <w:top w:val="single" w:sz="4" w:space="0" w:color="BFBFBF" w:themeColor="background1" w:themeShade="BF"/>
              <w:left w:val="nil"/>
              <w:bottom w:val="single" w:sz="4" w:space="0" w:color="auto"/>
              <w:right w:val="nil"/>
            </w:tcBorders>
            <w:vAlign w:val="center"/>
          </w:tcPr>
          <w:p w14:paraId="315DB1AF" w14:textId="77777777" w:rsidR="005525D5" w:rsidRPr="000965AB" w:rsidRDefault="005525D5" w:rsidP="005525D5">
            <w:pPr>
              <w:contextualSpacing/>
              <w:jc w:val="center"/>
              <w:rPr>
                <w:sz w:val="18"/>
                <w:szCs w:val="18"/>
              </w:rPr>
            </w:pPr>
            <w:r w:rsidRPr="000965AB">
              <w:rPr>
                <w:sz w:val="18"/>
                <w:szCs w:val="18"/>
              </w:rPr>
              <w:t>0.199</w:t>
            </w:r>
            <w:r>
              <w:rPr>
                <w:sz w:val="18"/>
                <w:szCs w:val="18"/>
              </w:rPr>
              <w:t>*</w:t>
            </w:r>
          </w:p>
        </w:tc>
      </w:tr>
      <w:tr w:rsidR="005525D5" w:rsidRPr="0067270C" w14:paraId="105769D8" w14:textId="77777777" w:rsidTr="005525D5">
        <w:trPr>
          <w:trHeight w:val="288"/>
        </w:trPr>
        <w:tc>
          <w:tcPr>
            <w:tcW w:w="11250" w:type="dxa"/>
            <w:gridSpan w:val="10"/>
            <w:tcBorders>
              <w:top w:val="single" w:sz="4" w:space="0" w:color="auto"/>
              <w:left w:val="nil"/>
              <w:bottom w:val="nil"/>
              <w:right w:val="nil"/>
            </w:tcBorders>
          </w:tcPr>
          <w:p w14:paraId="3FE530A2" w14:textId="77777777" w:rsidR="005525D5" w:rsidRDefault="005525D5" w:rsidP="005525D5">
            <w:pPr>
              <w:contextualSpacing/>
              <w:rPr>
                <w:sz w:val="18"/>
                <w:szCs w:val="18"/>
              </w:rPr>
            </w:pPr>
            <w:r>
              <w:rPr>
                <w:sz w:val="18"/>
                <w:szCs w:val="18"/>
              </w:rPr>
              <w:t>Cohort is (a) patient that did not survived hospitalization, n=122 (b) all patients, n=275</w:t>
            </w:r>
          </w:p>
          <w:p w14:paraId="5687824E" w14:textId="77777777" w:rsidR="005525D5" w:rsidRDefault="005525D5" w:rsidP="005525D5">
            <w:pPr>
              <w:contextualSpacing/>
              <w:rPr>
                <w:sz w:val="18"/>
                <w:szCs w:val="18"/>
              </w:rPr>
            </w:pPr>
            <w:r w:rsidRPr="0067270C">
              <w:rPr>
                <w:sz w:val="18"/>
                <w:szCs w:val="18"/>
              </w:rPr>
              <w:t xml:space="preserve">*Variables with p&lt;0.20 were </w:t>
            </w:r>
            <w:r>
              <w:rPr>
                <w:sz w:val="18"/>
                <w:szCs w:val="18"/>
              </w:rPr>
              <w:t>subsequently considered in the stepwise regression</w:t>
            </w:r>
          </w:p>
          <w:p w14:paraId="279EC0CE" w14:textId="77777777" w:rsidR="005525D5" w:rsidRPr="0067270C" w:rsidRDefault="005525D5" w:rsidP="005525D5">
            <w:pPr>
              <w:contextualSpacing/>
              <w:rPr>
                <w:sz w:val="18"/>
                <w:szCs w:val="18"/>
              </w:rPr>
            </w:pPr>
            <w:r w:rsidRPr="0002298E">
              <w:rPr>
                <w:rFonts w:cs="Times New Roman"/>
                <w:i/>
                <w:sz w:val="18"/>
                <w:szCs w:val="18"/>
              </w:rPr>
              <w:lastRenderedPageBreak/>
              <w:t>Definitions of abbreviations:</w:t>
            </w:r>
            <w:r w:rsidRPr="0002298E">
              <w:rPr>
                <w:rFonts w:cs="Times New Roman"/>
                <w:sz w:val="18"/>
                <w:szCs w:val="18"/>
              </w:rPr>
              <w:t xml:space="preserve"> ICU = intensive care unit</w:t>
            </w:r>
            <w:r>
              <w:rPr>
                <w:rFonts w:cs="Times New Roman"/>
                <w:sz w:val="18"/>
                <w:szCs w:val="18"/>
              </w:rPr>
              <w:t xml:space="preserve"> ; LOS=Length of Stay; </w:t>
            </w:r>
            <w:r w:rsidRPr="0002298E">
              <w:rPr>
                <w:rFonts w:cs="Times New Roman"/>
                <w:sz w:val="18"/>
                <w:szCs w:val="18"/>
              </w:rPr>
              <w:t>APACHE II = Acute Physiology and Chronic Health Evaluation II; STOFHLA = Short Test of Functional Health Literacy in Adults; LOTR = Revised Life Orientation Test; PHQ9 = Patient Health Questionnaire-9; GAD7 = Generalized Anxiety Disorder 7-item</w:t>
            </w:r>
          </w:p>
        </w:tc>
      </w:tr>
    </w:tbl>
    <w:p w14:paraId="04843021" w14:textId="77777777" w:rsidR="003A701F" w:rsidRDefault="003A701F" w:rsidP="003A701F">
      <w:pPr>
        <w:contextualSpacing/>
      </w:pPr>
    </w:p>
    <w:p w14:paraId="5E371F5A" w14:textId="77777777" w:rsidR="000E0CF7" w:rsidRDefault="000E0CF7">
      <w:pPr>
        <w:rPr>
          <w:b/>
          <w:sz w:val="18"/>
          <w:szCs w:val="18"/>
        </w:rPr>
      </w:pPr>
      <w:r>
        <w:rPr>
          <w:b/>
          <w:sz w:val="18"/>
          <w:szCs w:val="18"/>
        </w:rPr>
        <w:br w:type="page"/>
      </w:r>
    </w:p>
    <w:p w14:paraId="03BAB6D6" w14:textId="77777777" w:rsidR="000E0CF7" w:rsidRDefault="000E0CF7" w:rsidP="003A701F">
      <w:pPr>
        <w:rPr>
          <w:b/>
          <w:sz w:val="18"/>
          <w:szCs w:val="18"/>
        </w:rPr>
        <w:sectPr w:rsidR="000E0CF7" w:rsidSect="005525D5">
          <w:pgSz w:w="15840" w:h="12240" w:orient="landscape"/>
          <w:pgMar w:top="1699" w:right="1411" w:bottom="1699" w:left="1411" w:header="720" w:footer="720" w:gutter="0"/>
          <w:cols w:space="720"/>
          <w:docGrid w:linePitch="360"/>
        </w:sectPr>
      </w:pPr>
    </w:p>
    <w:p w14:paraId="2D04DBE0" w14:textId="77777777" w:rsidR="003A701F" w:rsidRPr="00C67F1F" w:rsidRDefault="003A701F" w:rsidP="003A701F">
      <w:pPr>
        <w:rPr>
          <w:sz w:val="20"/>
          <w:szCs w:val="20"/>
        </w:rPr>
      </w:pPr>
      <w:r w:rsidRPr="00C67F1F">
        <w:rPr>
          <w:b/>
          <w:sz w:val="20"/>
          <w:szCs w:val="20"/>
        </w:rPr>
        <w:lastRenderedPageBreak/>
        <w:t xml:space="preserve">APPENDIX B. NO DIFFERENCES IN THE DEMOGRAPHIC CHARACTERISTICS OF ENROLLED VS NON-ENROLLED </w:t>
      </w:r>
      <w:r w:rsidR="00C67F1F">
        <w:rPr>
          <w:b/>
          <w:sz w:val="20"/>
          <w:szCs w:val="20"/>
        </w:rPr>
        <w:t>PATIENTS</w:t>
      </w:r>
    </w:p>
    <w:tbl>
      <w:tblPr>
        <w:tblStyle w:val="TableGrid"/>
        <w:tblW w:w="0" w:type="auto"/>
        <w:tblLook w:val="04A0" w:firstRow="1" w:lastRow="0" w:firstColumn="1" w:lastColumn="0" w:noHBand="0" w:noVBand="1"/>
      </w:tblPr>
      <w:tblGrid>
        <w:gridCol w:w="1098"/>
        <w:gridCol w:w="2520"/>
        <w:gridCol w:w="900"/>
        <w:gridCol w:w="920"/>
        <w:gridCol w:w="1060"/>
        <w:gridCol w:w="990"/>
        <w:gridCol w:w="990"/>
      </w:tblGrid>
      <w:tr w:rsidR="003A701F" w:rsidRPr="00C67F1F" w14:paraId="6574E689" w14:textId="77777777" w:rsidTr="00FB49B5">
        <w:trPr>
          <w:trHeight w:val="288"/>
        </w:trPr>
        <w:tc>
          <w:tcPr>
            <w:tcW w:w="3618" w:type="dxa"/>
            <w:gridSpan w:val="2"/>
            <w:vMerge w:val="restart"/>
            <w:tcBorders>
              <w:left w:val="nil"/>
              <w:bottom w:val="single" w:sz="4" w:space="0" w:color="auto"/>
              <w:right w:val="nil"/>
            </w:tcBorders>
          </w:tcPr>
          <w:p w14:paraId="2E73F9B1" w14:textId="77777777" w:rsidR="003A701F" w:rsidRPr="00C67F1F" w:rsidRDefault="003A701F" w:rsidP="00FB49B5">
            <w:pPr>
              <w:contextualSpacing/>
              <w:jc w:val="center"/>
              <w:rPr>
                <w:b/>
                <w:sz w:val="20"/>
                <w:szCs w:val="20"/>
              </w:rPr>
            </w:pPr>
            <w:r w:rsidRPr="00C67F1F">
              <w:rPr>
                <w:b/>
                <w:sz w:val="20"/>
                <w:szCs w:val="20"/>
              </w:rPr>
              <w:t>Characteristic</w:t>
            </w:r>
          </w:p>
        </w:tc>
        <w:tc>
          <w:tcPr>
            <w:tcW w:w="1820" w:type="dxa"/>
            <w:gridSpan w:val="2"/>
            <w:tcBorders>
              <w:left w:val="nil"/>
              <w:bottom w:val="single" w:sz="4" w:space="0" w:color="auto"/>
              <w:right w:val="nil"/>
            </w:tcBorders>
            <w:noWrap/>
          </w:tcPr>
          <w:p w14:paraId="323EC28F" w14:textId="77777777" w:rsidR="003A701F" w:rsidRPr="00C67F1F" w:rsidRDefault="003A701F" w:rsidP="00FB49B5">
            <w:pPr>
              <w:contextualSpacing/>
              <w:jc w:val="center"/>
              <w:rPr>
                <w:b/>
                <w:sz w:val="20"/>
                <w:szCs w:val="20"/>
              </w:rPr>
            </w:pPr>
            <w:r w:rsidRPr="00C67F1F">
              <w:rPr>
                <w:b/>
                <w:sz w:val="20"/>
                <w:szCs w:val="20"/>
              </w:rPr>
              <w:t>Non-Enrolled</w:t>
            </w:r>
          </w:p>
          <w:p w14:paraId="2CBAB7D3" w14:textId="77777777" w:rsidR="003A701F" w:rsidRPr="00C67F1F" w:rsidRDefault="003A701F" w:rsidP="00FB49B5">
            <w:pPr>
              <w:contextualSpacing/>
              <w:jc w:val="center"/>
              <w:rPr>
                <w:b/>
                <w:sz w:val="20"/>
                <w:szCs w:val="20"/>
              </w:rPr>
            </w:pPr>
            <w:r w:rsidRPr="00C67F1F">
              <w:rPr>
                <w:b/>
                <w:sz w:val="20"/>
                <w:szCs w:val="20"/>
              </w:rPr>
              <w:t>(N=130)</w:t>
            </w:r>
          </w:p>
        </w:tc>
        <w:tc>
          <w:tcPr>
            <w:tcW w:w="2050" w:type="dxa"/>
            <w:gridSpan w:val="2"/>
            <w:tcBorders>
              <w:left w:val="nil"/>
              <w:bottom w:val="single" w:sz="4" w:space="0" w:color="auto"/>
              <w:right w:val="nil"/>
            </w:tcBorders>
            <w:noWrap/>
          </w:tcPr>
          <w:p w14:paraId="122AE542" w14:textId="77777777" w:rsidR="003A701F" w:rsidRPr="00C67F1F" w:rsidRDefault="003A701F" w:rsidP="00FB49B5">
            <w:pPr>
              <w:contextualSpacing/>
              <w:jc w:val="center"/>
              <w:rPr>
                <w:b/>
                <w:sz w:val="20"/>
                <w:szCs w:val="20"/>
              </w:rPr>
            </w:pPr>
            <w:r w:rsidRPr="00C67F1F">
              <w:rPr>
                <w:b/>
                <w:sz w:val="20"/>
                <w:szCs w:val="20"/>
              </w:rPr>
              <w:t>Enrolled</w:t>
            </w:r>
          </w:p>
          <w:p w14:paraId="12A9D305" w14:textId="77777777" w:rsidR="003A701F" w:rsidRPr="00C67F1F" w:rsidRDefault="003A701F" w:rsidP="00FB49B5">
            <w:pPr>
              <w:contextualSpacing/>
              <w:jc w:val="center"/>
              <w:rPr>
                <w:b/>
                <w:sz w:val="20"/>
                <w:szCs w:val="20"/>
              </w:rPr>
            </w:pPr>
            <w:r w:rsidRPr="00C67F1F">
              <w:rPr>
                <w:b/>
                <w:sz w:val="20"/>
                <w:szCs w:val="20"/>
              </w:rPr>
              <w:t>(N=275)</w:t>
            </w:r>
          </w:p>
        </w:tc>
        <w:tc>
          <w:tcPr>
            <w:tcW w:w="990" w:type="dxa"/>
            <w:vMerge w:val="restart"/>
            <w:tcBorders>
              <w:left w:val="nil"/>
              <w:bottom w:val="single" w:sz="4" w:space="0" w:color="auto"/>
              <w:right w:val="nil"/>
            </w:tcBorders>
            <w:noWrap/>
          </w:tcPr>
          <w:p w14:paraId="18112995" w14:textId="77777777" w:rsidR="003A701F" w:rsidRPr="00C67F1F" w:rsidRDefault="003A701F" w:rsidP="00FB49B5">
            <w:pPr>
              <w:contextualSpacing/>
              <w:jc w:val="center"/>
              <w:rPr>
                <w:b/>
                <w:i/>
                <w:sz w:val="20"/>
                <w:szCs w:val="20"/>
              </w:rPr>
            </w:pPr>
            <w:r w:rsidRPr="00C67F1F">
              <w:rPr>
                <w:b/>
                <w:i/>
                <w:sz w:val="20"/>
                <w:szCs w:val="20"/>
              </w:rPr>
              <w:t>p</w:t>
            </w:r>
          </w:p>
        </w:tc>
      </w:tr>
      <w:tr w:rsidR="003A701F" w:rsidRPr="00C67F1F" w14:paraId="6C5E88F3" w14:textId="77777777" w:rsidTr="00FB49B5">
        <w:trPr>
          <w:trHeight w:val="288"/>
        </w:trPr>
        <w:tc>
          <w:tcPr>
            <w:tcW w:w="3618" w:type="dxa"/>
            <w:gridSpan w:val="2"/>
            <w:vMerge/>
            <w:tcBorders>
              <w:top w:val="nil"/>
              <w:left w:val="nil"/>
              <w:bottom w:val="single" w:sz="4" w:space="0" w:color="auto"/>
              <w:right w:val="nil"/>
            </w:tcBorders>
          </w:tcPr>
          <w:p w14:paraId="50BCF275" w14:textId="77777777" w:rsidR="003A701F" w:rsidRPr="00C67F1F" w:rsidRDefault="003A701F" w:rsidP="00FB49B5">
            <w:pPr>
              <w:contextualSpacing/>
              <w:rPr>
                <w:sz w:val="20"/>
                <w:szCs w:val="20"/>
              </w:rPr>
            </w:pPr>
          </w:p>
        </w:tc>
        <w:tc>
          <w:tcPr>
            <w:tcW w:w="1820" w:type="dxa"/>
            <w:gridSpan w:val="2"/>
            <w:tcBorders>
              <w:top w:val="single" w:sz="4" w:space="0" w:color="auto"/>
              <w:left w:val="nil"/>
              <w:bottom w:val="single" w:sz="4" w:space="0" w:color="auto"/>
              <w:right w:val="nil"/>
            </w:tcBorders>
            <w:noWrap/>
          </w:tcPr>
          <w:p w14:paraId="7BAE406D" w14:textId="77777777" w:rsidR="003A701F" w:rsidRPr="00C67F1F" w:rsidRDefault="003A701F" w:rsidP="00FB49B5">
            <w:pPr>
              <w:contextualSpacing/>
              <w:jc w:val="center"/>
              <w:rPr>
                <w:b/>
                <w:sz w:val="20"/>
                <w:szCs w:val="20"/>
              </w:rPr>
            </w:pPr>
            <w:r w:rsidRPr="00C67F1F">
              <w:rPr>
                <w:b/>
                <w:sz w:val="20"/>
                <w:szCs w:val="20"/>
              </w:rPr>
              <w:t>n (%)</w:t>
            </w:r>
          </w:p>
        </w:tc>
        <w:tc>
          <w:tcPr>
            <w:tcW w:w="2050" w:type="dxa"/>
            <w:gridSpan w:val="2"/>
            <w:tcBorders>
              <w:top w:val="single" w:sz="4" w:space="0" w:color="auto"/>
              <w:left w:val="nil"/>
              <w:bottom w:val="single" w:sz="4" w:space="0" w:color="auto"/>
              <w:right w:val="nil"/>
            </w:tcBorders>
            <w:noWrap/>
          </w:tcPr>
          <w:p w14:paraId="66EA9234" w14:textId="77777777" w:rsidR="003A701F" w:rsidRPr="00C67F1F" w:rsidRDefault="003A701F" w:rsidP="00FB49B5">
            <w:pPr>
              <w:contextualSpacing/>
              <w:jc w:val="center"/>
              <w:rPr>
                <w:b/>
                <w:sz w:val="20"/>
                <w:szCs w:val="20"/>
              </w:rPr>
            </w:pPr>
            <w:r w:rsidRPr="00C67F1F">
              <w:rPr>
                <w:b/>
                <w:sz w:val="20"/>
                <w:szCs w:val="20"/>
              </w:rPr>
              <w:t>n (%)</w:t>
            </w:r>
          </w:p>
        </w:tc>
        <w:tc>
          <w:tcPr>
            <w:tcW w:w="990" w:type="dxa"/>
            <w:vMerge/>
            <w:tcBorders>
              <w:top w:val="nil"/>
              <w:left w:val="nil"/>
              <w:bottom w:val="single" w:sz="4" w:space="0" w:color="auto"/>
              <w:right w:val="nil"/>
            </w:tcBorders>
            <w:noWrap/>
          </w:tcPr>
          <w:p w14:paraId="4FF7B16D" w14:textId="77777777" w:rsidR="003A701F" w:rsidRPr="00C67F1F" w:rsidRDefault="003A701F" w:rsidP="00FB49B5">
            <w:pPr>
              <w:contextualSpacing/>
              <w:rPr>
                <w:sz w:val="20"/>
                <w:szCs w:val="20"/>
              </w:rPr>
            </w:pPr>
          </w:p>
        </w:tc>
      </w:tr>
      <w:tr w:rsidR="003A701F" w:rsidRPr="00C67F1F" w14:paraId="73F6759B" w14:textId="77777777" w:rsidTr="00FB49B5">
        <w:trPr>
          <w:trHeight w:val="288"/>
        </w:trPr>
        <w:tc>
          <w:tcPr>
            <w:tcW w:w="1098" w:type="dxa"/>
            <w:tcBorders>
              <w:left w:val="nil"/>
              <w:bottom w:val="single" w:sz="4" w:space="0" w:color="808080" w:themeColor="background1" w:themeShade="80"/>
              <w:right w:val="nil"/>
            </w:tcBorders>
          </w:tcPr>
          <w:p w14:paraId="01B8B0C4" w14:textId="77777777" w:rsidR="003A701F" w:rsidRPr="00C67F1F" w:rsidRDefault="003A701F" w:rsidP="00FB49B5">
            <w:pPr>
              <w:contextualSpacing/>
              <w:rPr>
                <w:sz w:val="20"/>
                <w:szCs w:val="20"/>
              </w:rPr>
            </w:pPr>
            <w:r w:rsidRPr="00C67F1F">
              <w:rPr>
                <w:sz w:val="20"/>
                <w:szCs w:val="20"/>
              </w:rPr>
              <w:t>Age</w:t>
            </w:r>
          </w:p>
        </w:tc>
        <w:tc>
          <w:tcPr>
            <w:tcW w:w="2520" w:type="dxa"/>
            <w:tcBorders>
              <w:left w:val="nil"/>
              <w:bottom w:val="single" w:sz="4" w:space="0" w:color="808080" w:themeColor="background1" w:themeShade="80"/>
              <w:right w:val="nil"/>
            </w:tcBorders>
            <w:noWrap/>
          </w:tcPr>
          <w:p w14:paraId="256204A1" w14:textId="77777777" w:rsidR="003A701F" w:rsidRPr="00C67F1F" w:rsidRDefault="003A701F" w:rsidP="00FB49B5">
            <w:pPr>
              <w:contextualSpacing/>
              <w:rPr>
                <w:sz w:val="20"/>
                <w:szCs w:val="20"/>
              </w:rPr>
            </w:pPr>
          </w:p>
        </w:tc>
        <w:tc>
          <w:tcPr>
            <w:tcW w:w="900" w:type="dxa"/>
            <w:tcBorders>
              <w:left w:val="nil"/>
              <w:bottom w:val="single" w:sz="4" w:space="0" w:color="808080" w:themeColor="background1" w:themeShade="80"/>
              <w:right w:val="nil"/>
            </w:tcBorders>
            <w:noWrap/>
          </w:tcPr>
          <w:p w14:paraId="3C585B86" w14:textId="77777777" w:rsidR="003A701F" w:rsidRPr="00C67F1F" w:rsidRDefault="003A701F" w:rsidP="00FB49B5">
            <w:pPr>
              <w:contextualSpacing/>
              <w:jc w:val="right"/>
              <w:rPr>
                <w:sz w:val="20"/>
                <w:szCs w:val="20"/>
              </w:rPr>
            </w:pPr>
            <w:r w:rsidRPr="00C67F1F">
              <w:rPr>
                <w:sz w:val="20"/>
                <w:szCs w:val="20"/>
              </w:rPr>
              <w:t>58.0</w:t>
            </w:r>
          </w:p>
        </w:tc>
        <w:tc>
          <w:tcPr>
            <w:tcW w:w="920" w:type="dxa"/>
            <w:tcBorders>
              <w:left w:val="nil"/>
              <w:bottom w:val="single" w:sz="4" w:space="0" w:color="808080" w:themeColor="background1" w:themeShade="80"/>
              <w:right w:val="nil"/>
            </w:tcBorders>
            <w:noWrap/>
          </w:tcPr>
          <w:p w14:paraId="24BBF5A7" w14:textId="77777777" w:rsidR="003A701F" w:rsidRPr="00C67F1F" w:rsidRDefault="003A701F" w:rsidP="00FB49B5">
            <w:pPr>
              <w:contextualSpacing/>
              <w:rPr>
                <w:sz w:val="20"/>
                <w:szCs w:val="20"/>
              </w:rPr>
            </w:pPr>
            <w:r w:rsidRPr="00C67F1F">
              <w:rPr>
                <w:sz w:val="20"/>
                <w:szCs w:val="20"/>
              </w:rPr>
              <w:t>(15.5)</w:t>
            </w:r>
          </w:p>
        </w:tc>
        <w:tc>
          <w:tcPr>
            <w:tcW w:w="1060" w:type="dxa"/>
            <w:tcBorders>
              <w:left w:val="nil"/>
              <w:bottom w:val="single" w:sz="4" w:space="0" w:color="808080" w:themeColor="background1" w:themeShade="80"/>
              <w:right w:val="nil"/>
            </w:tcBorders>
            <w:noWrap/>
          </w:tcPr>
          <w:p w14:paraId="59CBD691" w14:textId="77777777" w:rsidR="003A701F" w:rsidRPr="00C67F1F" w:rsidRDefault="003A701F" w:rsidP="00FB49B5">
            <w:pPr>
              <w:contextualSpacing/>
              <w:jc w:val="right"/>
              <w:rPr>
                <w:sz w:val="20"/>
                <w:szCs w:val="20"/>
              </w:rPr>
            </w:pPr>
            <w:r w:rsidRPr="00C67F1F">
              <w:rPr>
                <w:sz w:val="20"/>
                <w:szCs w:val="20"/>
              </w:rPr>
              <w:t>58.2</w:t>
            </w:r>
          </w:p>
        </w:tc>
        <w:tc>
          <w:tcPr>
            <w:tcW w:w="990" w:type="dxa"/>
            <w:tcBorders>
              <w:left w:val="nil"/>
              <w:bottom w:val="single" w:sz="4" w:space="0" w:color="808080" w:themeColor="background1" w:themeShade="80"/>
              <w:right w:val="nil"/>
            </w:tcBorders>
            <w:noWrap/>
          </w:tcPr>
          <w:p w14:paraId="7BF35CC7" w14:textId="77777777" w:rsidR="003A701F" w:rsidRPr="00C67F1F" w:rsidRDefault="003A701F" w:rsidP="00FB49B5">
            <w:pPr>
              <w:contextualSpacing/>
              <w:rPr>
                <w:sz w:val="20"/>
                <w:szCs w:val="20"/>
              </w:rPr>
            </w:pPr>
            <w:r w:rsidRPr="00C67F1F">
              <w:rPr>
                <w:sz w:val="20"/>
                <w:szCs w:val="20"/>
              </w:rPr>
              <w:t>(16.5)</w:t>
            </w:r>
          </w:p>
        </w:tc>
        <w:tc>
          <w:tcPr>
            <w:tcW w:w="990" w:type="dxa"/>
            <w:tcBorders>
              <w:left w:val="nil"/>
              <w:bottom w:val="single" w:sz="4" w:space="0" w:color="808080" w:themeColor="background1" w:themeShade="80"/>
              <w:right w:val="nil"/>
            </w:tcBorders>
            <w:noWrap/>
          </w:tcPr>
          <w:p w14:paraId="423B31E8" w14:textId="77777777" w:rsidR="003A701F" w:rsidRPr="00C67F1F" w:rsidRDefault="003A701F" w:rsidP="00FB49B5">
            <w:pPr>
              <w:contextualSpacing/>
              <w:jc w:val="center"/>
              <w:rPr>
                <w:sz w:val="20"/>
                <w:szCs w:val="20"/>
              </w:rPr>
            </w:pPr>
            <w:r w:rsidRPr="00C67F1F">
              <w:rPr>
                <w:sz w:val="20"/>
                <w:szCs w:val="20"/>
              </w:rPr>
              <w:t>0.896</w:t>
            </w:r>
          </w:p>
        </w:tc>
      </w:tr>
      <w:tr w:rsidR="003A701F" w:rsidRPr="00C67F1F" w14:paraId="0E2756E0" w14:textId="77777777" w:rsidTr="00FB49B5">
        <w:trPr>
          <w:trHeight w:val="288"/>
        </w:trPr>
        <w:tc>
          <w:tcPr>
            <w:tcW w:w="1098" w:type="dxa"/>
            <w:tcBorders>
              <w:top w:val="single" w:sz="4" w:space="0" w:color="808080" w:themeColor="background1" w:themeShade="80"/>
              <w:left w:val="nil"/>
              <w:bottom w:val="nil"/>
              <w:right w:val="nil"/>
            </w:tcBorders>
          </w:tcPr>
          <w:p w14:paraId="510AC3D4" w14:textId="77777777" w:rsidR="003A701F" w:rsidRPr="00C67F1F" w:rsidRDefault="003A701F" w:rsidP="00FB49B5">
            <w:pPr>
              <w:contextualSpacing/>
              <w:rPr>
                <w:sz w:val="20"/>
                <w:szCs w:val="20"/>
              </w:rPr>
            </w:pPr>
            <w:r w:rsidRPr="00C67F1F">
              <w:rPr>
                <w:sz w:val="20"/>
                <w:szCs w:val="20"/>
              </w:rPr>
              <w:t>Gender</w:t>
            </w:r>
          </w:p>
        </w:tc>
        <w:tc>
          <w:tcPr>
            <w:tcW w:w="2520" w:type="dxa"/>
            <w:tcBorders>
              <w:top w:val="single" w:sz="4" w:space="0" w:color="808080" w:themeColor="background1" w:themeShade="80"/>
              <w:left w:val="nil"/>
              <w:bottom w:val="nil"/>
              <w:right w:val="nil"/>
            </w:tcBorders>
            <w:noWrap/>
          </w:tcPr>
          <w:p w14:paraId="2507740F" w14:textId="77777777" w:rsidR="003A701F" w:rsidRPr="00C67F1F" w:rsidRDefault="003A701F" w:rsidP="00FB49B5">
            <w:pPr>
              <w:contextualSpacing/>
              <w:rPr>
                <w:sz w:val="20"/>
                <w:szCs w:val="20"/>
              </w:rPr>
            </w:pPr>
            <w:r w:rsidRPr="00C67F1F">
              <w:rPr>
                <w:sz w:val="20"/>
                <w:szCs w:val="20"/>
              </w:rPr>
              <w:t>Female</w:t>
            </w:r>
          </w:p>
        </w:tc>
        <w:tc>
          <w:tcPr>
            <w:tcW w:w="900" w:type="dxa"/>
            <w:tcBorders>
              <w:top w:val="single" w:sz="4" w:space="0" w:color="808080" w:themeColor="background1" w:themeShade="80"/>
              <w:left w:val="nil"/>
              <w:bottom w:val="nil"/>
              <w:right w:val="nil"/>
            </w:tcBorders>
            <w:noWrap/>
          </w:tcPr>
          <w:p w14:paraId="29FC2756" w14:textId="77777777" w:rsidR="003A701F" w:rsidRPr="00C67F1F" w:rsidRDefault="003A701F" w:rsidP="00FB49B5">
            <w:pPr>
              <w:contextualSpacing/>
              <w:jc w:val="right"/>
              <w:rPr>
                <w:sz w:val="20"/>
                <w:szCs w:val="20"/>
              </w:rPr>
            </w:pPr>
            <w:r w:rsidRPr="00C67F1F">
              <w:rPr>
                <w:sz w:val="20"/>
                <w:szCs w:val="20"/>
              </w:rPr>
              <w:t>55</w:t>
            </w:r>
          </w:p>
        </w:tc>
        <w:tc>
          <w:tcPr>
            <w:tcW w:w="920" w:type="dxa"/>
            <w:tcBorders>
              <w:top w:val="single" w:sz="4" w:space="0" w:color="808080" w:themeColor="background1" w:themeShade="80"/>
              <w:left w:val="nil"/>
              <w:bottom w:val="nil"/>
              <w:right w:val="nil"/>
            </w:tcBorders>
            <w:noWrap/>
          </w:tcPr>
          <w:p w14:paraId="497DD772" w14:textId="77777777" w:rsidR="003A701F" w:rsidRPr="00C67F1F" w:rsidRDefault="003A701F" w:rsidP="00FB49B5">
            <w:pPr>
              <w:contextualSpacing/>
              <w:rPr>
                <w:sz w:val="20"/>
                <w:szCs w:val="20"/>
              </w:rPr>
            </w:pPr>
            <w:r w:rsidRPr="00C67F1F">
              <w:rPr>
                <w:sz w:val="20"/>
                <w:szCs w:val="20"/>
              </w:rPr>
              <w:t>(42.6)</w:t>
            </w:r>
          </w:p>
        </w:tc>
        <w:tc>
          <w:tcPr>
            <w:tcW w:w="1060" w:type="dxa"/>
            <w:tcBorders>
              <w:top w:val="single" w:sz="4" w:space="0" w:color="808080" w:themeColor="background1" w:themeShade="80"/>
              <w:left w:val="nil"/>
              <w:bottom w:val="nil"/>
              <w:right w:val="nil"/>
            </w:tcBorders>
            <w:noWrap/>
          </w:tcPr>
          <w:p w14:paraId="7BBF1C02" w14:textId="77777777" w:rsidR="003A701F" w:rsidRPr="00C67F1F" w:rsidRDefault="003A701F" w:rsidP="00FB49B5">
            <w:pPr>
              <w:contextualSpacing/>
              <w:jc w:val="right"/>
              <w:rPr>
                <w:sz w:val="20"/>
                <w:szCs w:val="20"/>
              </w:rPr>
            </w:pPr>
            <w:r w:rsidRPr="00C67F1F">
              <w:rPr>
                <w:sz w:val="20"/>
                <w:szCs w:val="20"/>
              </w:rPr>
              <w:t>123</w:t>
            </w:r>
          </w:p>
        </w:tc>
        <w:tc>
          <w:tcPr>
            <w:tcW w:w="990" w:type="dxa"/>
            <w:tcBorders>
              <w:top w:val="single" w:sz="4" w:space="0" w:color="808080" w:themeColor="background1" w:themeShade="80"/>
              <w:left w:val="nil"/>
              <w:bottom w:val="nil"/>
              <w:right w:val="nil"/>
            </w:tcBorders>
            <w:noWrap/>
          </w:tcPr>
          <w:p w14:paraId="6DA272A2" w14:textId="77777777" w:rsidR="003A701F" w:rsidRPr="00C67F1F" w:rsidRDefault="003A701F" w:rsidP="00FB49B5">
            <w:pPr>
              <w:contextualSpacing/>
              <w:rPr>
                <w:sz w:val="20"/>
                <w:szCs w:val="20"/>
              </w:rPr>
            </w:pPr>
            <w:r w:rsidRPr="00C67F1F">
              <w:rPr>
                <w:sz w:val="20"/>
                <w:szCs w:val="20"/>
              </w:rPr>
              <w:t>(44.7)</w:t>
            </w:r>
          </w:p>
        </w:tc>
        <w:tc>
          <w:tcPr>
            <w:tcW w:w="990" w:type="dxa"/>
            <w:tcBorders>
              <w:top w:val="single" w:sz="4" w:space="0" w:color="808080" w:themeColor="background1" w:themeShade="80"/>
              <w:left w:val="nil"/>
              <w:bottom w:val="nil"/>
              <w:right w:val="nil"/>
            </w:tcBorders>
            <w:noWrap/>
          </w:tcPr>
          <w:p w14:paraId="0C149F13" w14:textId="77777777" w:rsidR="003A701F" w:rsidRPr="00C67F1F" w:rsidRDefault="003A701F" w:rsidP="00FB49B5">
            <w:pPr>
              <w:contextualSpacing/>
              <w:jc w:val="center"/>
              <w:rPr>
                <w:sz w:val="20"/>
                <w:szCs w:val="20"/>
              </w:rPr>
            </w:pPr>
            <w:r w:rsidRPr="00C67F1F">
              <w:rPr>
                <w:sz w:val="20"/>
                <w:szCs w:val="20"/>
              </w:rPr>
              <w:t>0.747</w:t>
            </w:r>
          </w:p>
        </w:tc>
      </w:tr>
      <w:tr w:rsidR="003A701F" w:rsidRPr="00C67F1F" w14:paraId="5BC04C36" w14:textId="77777777" w:rsidTr="00FB49B5">
        <w:trPr>
          <w:trHeight w:val="288"/>
        </w:trPr>
        <w:tc>
          <w:tcPr>
            <w:tcW w:w="1098" w:type="dxa"/>
            <w:tcBorders>
              <w:top w:val="nil"/>
              <w:left w:val="nil"/>
              <w:bottom w:val="single" w:sz="4" w:space="0" w:color="808080" w:themeColor="background1" w:themeShade="80"/>
              <w:right w:val="nil"/>
            </w:tcBorders>
          </w:tcPr>
          <w:p w14:paraId="163C80FB" w14:textId="77777777" w:rsidR="003A701F" w:rsidRPr="00C67F1F" w:rsidRDefault="003A701F" w:rsidP="00FB49B5">
            <w:pPr>
              <w:contextualSpacing/>
              <w:rPr>
                <w:sz w:val="20"/>
                <w:szCs w:val="20"/>
              </w:rPr>
            </w:pPr>
          </w:p>
        </w:tc>
        <w:tc>
          <w:tcPr>
            <w:tcW w:w="2520" w:type="dxa"/>
            <w:tcBorders>
              <w:top w:val="nil"/>
              <w:left w:val="nil"/>
              <w:bottom w:val="single" w:sz="4" w:space="0" w:color="808080" w:themeColor="background1" w:themeShade="80"/>
              <w:right w:val="nil"/>
            </w:tcBorders>
            <w:noWrap/>
          </w:tcPr>
          <w:p w14:paraId="2A2CDA1A" w14:textId="77777777" w:rsidR="003A701F" w:rsidRPr="00C67F1F" w:rsidRDefault="003A701F" w:rsidP="00FB49B5">
            <w:pPr>
              <w:contextualSpacing/>
              <w:rPr>
                <w:sz w:val="20"/>
                <w:szCs w:val="20"/>
              </w:rPr>
            </w:pPr>
            <w:r w:rsidRPr="00C67F1F">
              <w:rPr>
                <w:sz w:val="20"/>
                <w:szCs w:val="20"/>
              </w:rPr>
              <w:t>Male</w:t>
            </w:r>
          </w:p>
        </w:tc>
        <w:tc>
          <w:tcPr>
            <w:tcW w:w="900" w:type="dxa"/>
            <w:tcBorders>
              <w:top w:val="nil"/>
              <w:left w:val="nil"/>
              <w:bottom w:val="single" w:sz="4" w:space="0" w:color="808080" w:themeColor="background1" w:themeShade="80"/>
              <w:right w:val="nil"/>
            </w:tcBorders>
            <w:noWrap/>
          </w:tcPr>
          <w:p w14:paraId="15B7E4C6" w14:textId="77777777" w:rsidR="003A701F" w:rsidRPr="00C67F1F" w:rsidRDefault="003A701F" w:rsidP="00FB49B5">
            <w:pPr>
              <w:contextualSpacing/>
              <w:jc w:val="right"/>
              <w:rPr>
                <w:sz w:val="20"/>
                <w:szCs w:val="20"/>
              </w:rPr>
            </w:pPr>
            <w:r w:rsidRPr="00C67F1F">
              <w:rPr>
                <w:sz w:val="20"/>
                <w:szCs w:val="20"/>
              </w:rPr>
              <w:t>74</w:t>
            </w:r>
          </w:p>
        </w:tc>
        <w:tc>
          <w:tcPr>
            <w:tcW w:w="920" w:type="dxa"/>
            <w:tcBorders>
              <w:top w:val="nil"/>
              <w:left w:val="nil"/>
              <w:bottom w:val="single" w:sz="4" w:space="0" w:color="808080" w:themeColor="background1" w:themeShade="80"/>
              <w:right w:val="nil"/>
            </w:tcBorders>
            <w:noWrap/>
          </w:tcPr>
          <w:p w14:paraId="4AD044CA" w14:textId="77777777" w:rsidR="003A701F" w:rsidRPr="00C67F1F" w:rsidRDefault="003A701F" w:rsidP="00FB49B5">
            <w:pPr>
              <w:contextualSpacing/>
              <w:rPr>
                <w:sz w:val="20"/>
                <w:szCs w:val="20"/>
              </w:rPr>
            </w:pPr>
            <w:r w:rsidRPr="00C67F1F">
              <w:rPr>
                <w:sz w:val="20"/>
                <w:szCs w:val="20"/>
              </w:rPr>
              <w:t>(57.4)</w:t>
            </w:r>
          </w:p>
        </w:tc>
        <w:tc>
          <w:tcPr>
            <w:tcW w:w="1060" w:type="dxa"/>
            <w:tcBorders>
              <w:top w:val="nil"/>
              <w:left w:val="nil"/>
              <w:bottom w:val="single" w:sz="4" w:space="0" w:color="808080" w:themeColor="background1" w:themeShade="80"/>
              <w:right w:val="nil"/>
            </w:tcBorders>
            <w:noWrap/>
          </w:tcPr>
          <w:p w14:paraId="32EBD073" w14:textId="77777777" w:rsidR="003A701F" w:rsidRPr="00C67F1F" w:rsidRDefault="003A701F" w:rsidP="00FB49B5">
            <w:pPr>
              <w:contextualSpacing/>
              <w:jc w:val="right"/>
              <w:rPr>
                <w:sz w:val="20"/>
                <w:szCs w:val="20"/>
              </w:rPr>
            </w:pPr>
            <w:r w:rsidRPr="00C67F1F">
              <w:rPr>
                <w:sz w:val="20"/>
                <w:szCs w:val="20"/>
              </w:rPr>
              <w:t>152</w:t>
            </w:r>
          </w:p>
        </w:tc>
        <w:tc>
          <w:tcPr>
            <w:tcW w:w="990" w:type="dxa"/>
            <w:tcBorders>
              <w:top w:val="nil"/>
              <w:left w:val="nil"/>
              <w:bottom w:val="single" w:sz="4" w:space="0" w:color="808080" w:themeColor="background1" w:themeShade="80"/>
              <w:right w:val="nil"/>
            </w:tcBorders>
            <w:noWrap/>
          </w:tcPr>
          <w:p w14:paraId="1BA8A82B" w14:textId="77777777" w:rsidR="003A701F" w:rsidRPr="00C67F1F" w:rsidRDefault="003A701F" w:rsidP="00FB49B5">
            <w:pPr>
              <w:contextualSpacing/>
              <w:rPr>
                <w:sz w:val="20"/>
                <w:szCs w:val="20"/>
              </w:rPr>
            </w:pPr>
            <w:r w:rsidRPr="00C67F1F">
              <w:rPr>
                <w:sz w:val="20"/>
                <w:szCs w:val="20"/>
              </w:rPr>
              <w:t>(55.3)</w:t>
            </w:r>
          </w:p>
        </w:tc>
        <w:tc>
          <w:tcPr>
            <w:tcW w:w="990" w:type="dxa"/>
            <w:tcBorders>
              <w:top w:val="nil"/>
              <w:left w:val="nil"/>
              <w:bottom w:val="single" w:sz="4" w:space="0" w:color="808080" w:themeColor="background1" w:themeShade="80"/>
              <w:right w:val="nil"/>
            </w:tcBorders>
            <w:noWrap/>
          </w:tcPr>
          <w:p w14:paraId="30482BAD" w14:textId="77777777" w:rsidR="003A701F" w:rsidRPr="00C67F1F" w:rsidRDefault="003A701F" w:rsidP="00FB49B5">
            <w:pPr>
              <w:contextualSpacing/>
              <w:jc w:val="center"/>
              <w:rPr>
                <w:sz w:val="20"/>
                <w:szCs w:val="20"/>
              </w:rPr>
            </w:pPr>
          </w:p>
        </w:tc>
      </w:tr>
      <w:tr w:rsidR="003A701F" w:rsidRPr="00C67F1F" w14:paraId="0F0C47C3" w14:textId="77777777" w:rsidTr="00FB49B5">
        <w:trPr>
          <w:trHeight w:val="288"/>
        </w:trPr>
        <w:tc>
          <w:tcPr>
            <w:tcW w:w="1098" w:type="dxa"/>
            <w:tcBorders>
              <w:top w:val="single" w:sz="4" w:space="0" w:color="808080" w:themeColor="background1" w:themeShade="80"/>
              <w:left w:val="nil"/>
              <w:bottom w:val="nil"/>
              <w:right w:val="nil"/>
            </w:tcBorders>
          </w:tcPr>
          <w:p w14:paraId="7B388E94" w14:textId="77777777" w:rsidR="003A701F" w:rsidRPr="00C67F1F" w:rsidRDefault="003A701F" w:rsidP="00FB49B5">
            <w:pPr>
              <w:contextualSpacing/>
              <w:rPr>
                <w:sz w:val="20"/>
                <w:szCs w:val="20"/>
              </w:rPr>
            </w:pPr>
            <w:r w:rsidRPr="00C67F1F">
              <w:rPr>
                <w:sz w:val="20"/>
                <w:szCs w:val="20"/>
              </w:rPr>
              <w:t>Ethnicity</w:t>
            </w:r>
          </w:p>
        </w:tc>
        <w:tc>
          <w:tcPr>
            <w:tcW w:w="2520" w:type="dxa"/>
            <w:tcBorders>
              <w:top w:val="single" w:sz="4" w:space="0" w:color="808080" w:themeColor="background1" w:themeShade="80"/>
              <w:left w:val="nil"/>
              <w:bottom w:val="nil"/>
              <w:right w:val="nil"/>
            </w:tcBorders>
            <w:noWrap/>
          </w:tcPr>
          <w:p w14:paraId="43C2B13C" w14:textId="77777777" w:rsidR="003A701F" w:rsidRPr="00C67F1F" w:rsidRDefault="003A701F" w:rsidP="00FB49B5">
            <w:pPr>
              <w:contextualSpacing/>
              <w:rPr>
                <w:sz w:val="20"/>
                <w:szCs w:val="20"/>
              </w:rPr>
            </w:pPr>
            <w:r w:rsidRPr="00C67F1F">
              <w:rPr>
                <w:sz w:val="20"/>
                <w:szCs w:val="20"/>
              </w:rPr>
              <w:t>Non-Hispanic</w:t>
            </w:r>
          </w:p>
        </w:tc>
        <w:tc>
          <w:tcPr>
            <w:tcW w:w="900" w:type="dxa"/>
            <w:tcBorders>
              <w:top w:val="single" w:sz="4" w:space="0" w:color="808080" w:themeColor="background1" w:themeShade="80"/>
              <w:left w:val="nil"/>
              <w:bottom w:val="nil"/>
              <w:right w:val="nil"/>
            </w:tcBorders>
            <w:noWrap/>
          </w:tcPr>
          <w:p w14:paraId="1F16332D" w14:textId="77777777" w:rsidR="003A701F" w:rsidRPr="00C67F1F" w:rsidRDefault="003A701F" w:rsidP="00FB49B5">
            <w:pPr>
              <w:contextualSpacing/>
              <w:jc w:val="right"/>
              <w:rPr>
                <w:sz w:val="20"/>
                <w:szCs w:val="20"/>
              </w:rPr>
            </w:pPr>
            <w:r w:rsidRPr="00C67F1F">
              <w:rPr>
                <w:sz w:val="20"/>
                <w:szCs w:val="20"/>
              </w:rPr>
              <w:t>75</w:t>
            </w:r>
          </w:p>
        </w:tc>
        <w:tc>
          <w:tcPr>
            <w:tcW w:w="920" w:type="dxa"/>
            <w:tcBorders>
              <w:top w:val="single" w:sz="4" w:space="0" w:color="808080" w:themeColor="background1" w:themeShade="80"/>
              <w:left w:val="nil"/>
              <w:bottom w:val="nil"/>
              <w:right w:val="nil"/>
            </w:tcBorders>
            <w:noWrap/>
          </w:tcPr>
          <w:p w14:paraId="31B5F9CC" w14:textId="77777777" w:rsidR="003A701F" w:rsidRPr="00C67F1F" w:rsidRDefault="003A701F" w:rsidP="00FB49B5">
            <w:pPr>
              <w:contextualSpacing/>
              <w:rPr>
                <w:sz w:val="20"/>
                <w:szCs w:val="20"/>
              </w:rPr>
            </w:pPr>
            <w:r w:rsidRPr="00C67F1F">
              <w:rPr>
                <w:sz w:val="20"/>
                <w:szCs w:val="20"/>
              </w:rPr>
              <w:t>(86.2)</w:t>
            </w:r>
          </w:p>
        </w:tc>
        <w:tc>
          <w:tcPr>
            <w:tcW w:w="1060" w:type="dxa"/>
            <w:tcBorders>
              <w:top w:val="single" w:sz="4" w:space="0" w:color="808080" w:themeColor="background1" w:themeShade="80"/>
              <w:left w:val="nil"/>
              <w:bottom w:val="nil"/>
              <w:right w:val="nil"/>
            </w:tcBorders>
            <w:noWrap/>
          </w:tcPr>
          <w:p w14:paraId="2D3CE6A5" w14:textId="77777777" w:rsidR="003A701F" w:rsidRPr="00C67F1F" w:rsidRDefault="003A701F" w:rsidP="00FB49B5">
            <w:pPr>
              <w:contextualSpacing/>
              <w:jc w:val="right"/>
              <w:rPr>
                <w:sz w:val="20"/>
                <w:szCs w:val="20"/>
              </w:rPr>
            </w:pPr>
            <w:r w:rsidRPr="00C67F1F">
              <w:rPr>
                <w:sz w:val="20"/>
                <w:szCs w:val="20"/>
              </w:rPr>
              <w:t>213</w:t>
            </w:r>
          </w:p>
        </w:tc>
        <w:tc>
          <w:tcPr>
            <w:tcW w:w="990" w:type="dxa"/>
            <w:tcBorders>
              <w:top w:val="single" w:sz="4" w:space="0" w:color="808080" w:themeColor="background1" w:themeShade="80"/>
              <w:left w:val="nil"/>
              <w:bottom w:val="nil"/>
              <w:right w:val="nil"/>
            </w:tcBorders>
            <w:noWrap/>
          </w:tcPr>
          <w:p w14:paraId="14691220" w14:textId="77777777" w:rsidR="003A701F" w:rsidRPr="00C67F1F" w:rsidRDefault="003A701F" w:rsidP="00FB49B5">
            <w:pPr>
              <w:contextualSpacing/>
              <w:rPr>
                <w:sz w:val="20"/>
                <w:szCs w:val="20"/>
              </w:rPr>
            </w:pPr>
            <w:r w:rsidRPr="00C67F1F">
              <w:rPr>
                <w:sz w:val="20"/>
                <w:szCs w:val="20"/>
              </w:rPr>
              <w:t>(91.0)</w:t>
            </w:r>
          </w:p>
        </w:tc>
        <w:tc>
          <w:tcPr>
            <w:tcW w:w="990" w:type="dxa"/>
            <w:tcBorders>
              <w:top w:val="single" w:sz="4" w:space="0" w:color="808080" w:themeColor="background1" w:themeShade="80"/>
              <w:left w:val="nil"/>
              <w:bottom w:val="nil"/>
              <w:right w:val="nil"/>
            </w:tcBorders>
            <w:noWrap/>
          </w:tcPr>
          <w:p w14:paraId="1DE9025C" w14:textId="77777777" w:rsidR="003A701F" w:rsidRPr="00C67F1F" w:rsidRDefault="003A701F" w:rsidP="00FB49B5">
            <w:pPr>
              <w:contextualSpacing/>
              <w:jc w:val="center"/>
              <w:rPr>
                <w:sz w:val="20"/>
                <w:szCs w:val="20"/>
              </w:rPr>
            </w:pPr>
            <w:r w:rsidRPr="00C67F1F">
              <w:rPr>
                <w:sz w:val="20"/>
                <w:szCs w:val="20"/>
              </w:rPr>
              <w:t>0.218</w:t>
            </w:r>
          </w:p>
        </w:tc>
      </w:tr>
      <w:tr w:rsidR="003A701F" w:rsidRPr="00C67F1F" w14:paraId="0CA75396" w14:textId="77777777" w:rsidTr="00FB49B5">
        <w:trPr>
          <w:trHeight w:val="288"/>
        </w:trPr>
        <w:tc>
          <w:tcPr>
            <w:tcW w:w="1098" w:type="dxa"/>
            <w:tcBorders>
              <w:top w:val="nil"/>
              <w:left w:val="nil"/>
              <w:bottom w:val="single" w:sz="4" w:space="0" w:color="808080" w:themeColor="background1" w:themeShade="80"/>
              <w:right w:val="nil"/>
            </w:tcBorders>
          </w:tcPr>
          <w:p w14:paraId="6529AA20" w14:textId="77777777" w:rsidR="003A701F" w:rsidRPr="00C67F1F" w:rsidRDefault="003A701F" w:rsidP="00FB49B5">
            <w:pPr>
              <w:contextualSpacing/>
              <w:rPr>
                <w:sz w:val="20"/>
                <w:szCs w:val="20"/>
              </w:rPr>
            </w:pPr>
          </w:p>
        </w:tc>
        <w:tc>
          <w:tcPr>
            <w:tcW w:w="2520" w:type="dxa"/>
            <w:tcBorders>
              <w:top w:val="nil"/>
              <w:left w:val="nil"/>
              <w:bottom w:val="single" w:sz="4" w:space="0" w:color="808080" w:themeColor="background1" w:themeShade="80"/>
              <w:right w:val="nil"/>
            </w:tcBorders>
            <w:noWrap/>
          </w:tcPr>
          <w:p w14:paraId="0A7086DD" w14:textId="77777777" w:rsidR="003A701F" w:rsidRPr="00C67F1F" w:rsidRDefault="003A701F" w:rsidP="00FB49B5">
            <w:pPr>
              <w:contextualSpacing/>
              <w:rPr>
                <w:sz w:val="20"/>
                <w:szCs w:val="20"/>
              </w:rPr>
            </w:pPr>
            <w:r w:rsidRPr="00C67F1F">
              <w:rPr>
                <w:sz w:val="20"/>
                <w:szCs w:val="20"/>
              </w:rPr>
              <w:t>Hispanic</w:t>
            </w:r>
          </w:p>
        </w:tc>
        <w:tc>
          <w:tcPr>
            <w:tcW w:w="900" w:type="dxa"/>
            <w:tcBorders>
              <w:top w:val="nil"/>
              <w:left w:val="nil"/>
              <w:bottom w:val="single" w:sz="4" w:space="0" w:color="808080" w:themeColor="background1" w:themeShade="80"/>
              <w:right w:val="nil"/>
            </w:tcBorders>
            <w:noWrap/>
          </w:tcPr>
          <w:p w14:paraId="19F27BB8" w14:textId="77777777" w:rsidR="003A701F" w:rsidRPr="00C67F1F" w:rsidRDefault="003A701F" w:rsidP="00FB49B5">
            <w:pPr>
              <w:contextualSpacing/>
              <w:jc w:val="right"/>
              <w:rPr>
                <w:sz w:val="20"/>
                <w:szCs w:val="20"/>
              </w:rPr>
            </w:pPr>
            <w:r w:rsidRPr="00C67F1F">
              <w:rPr>
                <w:sz w:val="20"/>
                <w:szCs w:val="20"/>
              </w:rPr>
              <w:t>12</w:t>
            </w:r>
          </w:p>
        </w:tc>
        <w:tc>
          <w:tcPr>
            <w:tcW w:w="920" w:type="dxa"/>
            <w:tcBorders>
              <w:top w:val="nil"/>
              <w:left w:val="nil"/>
              <w:bottom w:val="single" w:sz="4" w:space="0" w:color="808080" w:themeColor="background1" w:themeShade="80"/>
              <w:right w:val="nil"/>
            </w:tcBorders>
            <w:noWrap/>
          </w:tcPr>
          <w:p w14:paraId="0680F480" w14:textId="77777777" w:rsidR="003A701F" w:rsidRPr="00C67F1F" w:rsidRDefault="003A701F" w:rsidP="00FB49B5">
            <w:pPr>
              <w:contextualSpacing/>
              <w:rPr>
                <w:sz w:val="20"/>
                <w:szCs w:val="20"/>
              </w:rPr>
            </w:pPr>
            <w:r w:rsidRPr="00C67F1F">
              <w:rPr>
                <w:sz w:val="20"/>
                <w:szCs w:val="20"/>
              </w:rPr>
              <w:t>(13.8)</w:t>
            </w:r>
          </w:p>
        </w:tc>
        <w:tc>
          <w:tcPr>
            <w:tcW w:w="1060" w:type="dxa"/>
            <w:tcBorders>
              <w:top w:val="nil"/>
              <w:left w:val="nil"/>
              <w:bottom w:val="single" w:sz="4" w:space="0" w:color="808080" w:themeColor="background1" w:themeShade="80"/>
              <w:right w:val="nil"/>
            </w:tcBorders>
            <w:noWrap/>
          </w:tcPr>
          <w:p w14:paraId="1C307DE3" w14:textId="77777777" w:rsidR="003A701F" w:rsidRPr="00C67F1F" w:rsidRDefault="003A701F" w:rsidP="00FB49B5">
            <w:pPr>
              <w:contextualSpacing/>
              <w:jc w:val="right"/>
              <w:rPr>
                <w:sz w:val="20"/>
                <w:szCs w:val="20"/>
              </w:rPr>
            </w:pPr>
            <w:r w:rsidRPr="00C67F1F">
              <w:rPr>
                <w:sz w:val="20"/>
                <w:szCs w:val="20"/>
              </w:rPr>
              <w:t>21</w:t>
            </w:r>
          </w:p>
        </w:tc>
        <w:tc>
          <w:tcPr>
            <w:tcW w:w="990" w:type="dxa"/>
            <w:tcBorders>
              <w:top w:val="nil"/>
              <w:left w:val="nil"/>
              <w:bottom w:val="single" w:sz="4" w:space="0" w:color="808080" w:themeColor="background1" w:themeShade="80"/>
              <w:right w:val="nil"/>
            </w:tcBorders>
            <w:noWrap/>
          </w:tcPr>
          <w:p w14:paraId="0B5A2776" w14:textId="77777777" w:rsidR="003A701F" w:rsidRPr="00C67F1F" w:rsidRDefault="003A701F" w:rsidP="00FB49B5">
            <w:pPr>
              <w:contextualSpacing/>
              <w:rPr>
                <w:sz w:val="20"/>
                <w:szCs w:val="20"/>
              </w:rPr>
            </w:pPr>
            <w:r w:rsidRPr="00C67F1F">
              <w:rPr>
                <w:sz w:val="20"/>
                <w:szCs w:val="20"/>
              </w:rPr>
              <w:t>(9.0)</w:t>
            </w:r>
          </w:p>
        </w:tc>
        <w:tc>
          <w:tcPr>
            <w:tcW w:w="990" w:type="dxa"/>
            <w:tcBorders>
              <w:top w:val="nil"/>
              <w:left w:val="nil"/>
              <w:bottom w:val="single" w:sz="4" w:space="0" w:color="808080" w:themeColor="background1" w:themeShade="80"/>
              <w:right w:val="nil"/>
            </w:tcBorders>
            <w:noWrap/>
          </w:tcPr>
          <w:p w14:paraId="1CA8A3F9" w14:textId="77777777" w:rsidR="003A701F" w:rsidRPr="00C67F1F" w:rsidRDefault="003A701F" w:rsidP="00FB49B5">
            <w:pPr>
              <w:contextualSpacing/>
              <w:jc w:val="center"/>
              <w:rPr>
                <w:sz w:val="20"/>
                <w:szCs w:val="20"/>
              </w:rPr>
            </w:pPr>
          </w:p>
        </w:tc>
      </w:tr>
      <w:tr w:rsidR="003A701F" w:rsidRPr="00C67F1F" w14:paraId="28B13A1C" w14:textId="77777777" w:rsidTr="00FB49B5">
        <w:trPr>
          <w:trHeight w:val="288"/>
        </w:trPr>
        <w:tc>
          <w:tcPr>
            <w:tcW w:w="1098" w:type="dxa"/>
            <w:tcBorders>
              <w:top w:val="single" w:sz="4" w:space="0" w:color="808080" w:themeColor="background1" w:themeShade="80"/>
              <w:left w:val="nil"/>
              <w:bottom w:val="nil"/>
              <w:right w:val="nil"/>
            </w:tcBorders>
          </w:tcPr>
          <w:p w14:paraId="0A3E69F4" w14:textId="77777777" w:rsidR="003A701F" w:rsidRPr="00C67F1F" w:rsidRDefault="003A701F" w:rsidP="00FB49B5">
            <w:pPr>
              <w:contextualSpacing/>
              <w:rPr>
                <w:sz w:val="20"/>
                <w:szCs w:val="20"/>
              </w:rPr>
            </w:pPr>
            <w:r w:rsidRPr="00C67F1F">
              <w:rPr>
                <w:sz w:val="20"/>
                <w:szCs w:val="20"/>
              </w:rPr>
              <w:t>Race</w:t>
            </w:r>
          </w:p>
        </w:tc>
        <w:tc>
          <w:tcPr>
            <w:tcW w:w="2520" w:type="dxa"/>
            <w:tcBorders>
              <w:top w:val="single" w:sz="4" w:space="0" w:color="808080" w:themeColor="background1" w:themeShade="80"/>
              <w:left w:val="nil"/>
              <w:bottom w:val="nil"/>
              <w:right w:val="nil"/>
            </w:tcBorders>
            <w:noWrap/>
          </w:tcPr>
          <w:p w14:paraId="17735B8F" w14:textId="77777777" w:rsidR="003A701F" w:rsidRPr="00C67F1F" w:rsidRDefault="003A701F" w:rsidP="00FB49B5">
            <w:pPr>
              <w:contextualSpacing/>
              <w:rPr>
                <w:sz w:val="20"/>
                <w:szCs w:val="20"/>
              </w:rPr>
            </w:pPr>
            <w:r w:rsidRPr="00C67F1F">
              <w:rPr>
                <w:sz w:val="20"/>
                <w:szCs w:val="20"/>
              </w:rPr>
              <w:t>Asian</w:t>
            </w:r>
          </w:p>
        </w:tc>
        <w:tc>
          <w:tcPr>
            <w:tcW w:w="900" w:type="dxa"/>
            <w:tcBorders>
              <w:top w:val="single" w:sz="4" w:space="0" w:color="808080" w:themeColor="background1" w:themeShade="80"/>
              <w:left w:val="nil"/>
              <w:bottom w:val="nil"/>
              <w:right w:val="nil"/>
            </w:tcBorders>
            <w:noWrap/>
          </w:tcPr>
          <w:p w14:paraId="3F8C2CFB" w14:textId="77777777" w:rsidR="003A701F" w:rsidRPr="00C67F1F" w:rsidRDefault="003A701F" w:rsidP="00FB49B5">
            <w:pPr>
              <w:contextualSpacing/>
              <w:jc w:val="right"/>
              <w:rPr>
                <w:sz w:val="20"/>
                <w:szCs w:val="20"/>
              </w:rPr>
            </w:pPr>
            <w:r w:rsidRPr="00C67F1F">
              <w:rPr>
                <w:sz w:val="20"/>
                <w:szCs w:val="20"/>
              </w:rPr>
              <w:t>6</w:t>
            </w:r>
          </w:p>
        </w:tc>
        <w:tc>
          <w:tcPr>
            <w:tcW w:w="920" w:type="dxa"/>
            <w:tcBorders>
              <w:top w:val="single" w:sz="4" w:space="0" w:color="808080" w:themeColor="background1" w:themeShade="80"/>
              <w:left w:val="nil"/>
              <w:bottom w:val="nil"/>
              <w:right w:val="nil"/>
            </w:tcBorders>
            <w:noWrap/>
          </w:tcPr>
          <w:p w14:paraId="7FA65D37" w14:textId="77777777" w:rsidR="003A701F" w:rsidRPr="00C67F1F" w:rsidRDefault="003A701F" w:rsidP="00FB49B5">
            <w:pPr>
              <w:contextualSpacing/>
              <w:rPr>
                <w:sz w:val="20"/>
                <w:szCs w:val="20"/>
              </w:rPr>
            </w:pPr>
            <w:r w:rsidRPr="00C67F1F">
              <w:rPr>
                <w:sz w:val="20"/>
                <w:szCs w:val="20"/>
              </w:rPr>
              <w:t>(4.9)</w:t>
            </w:r>
          </w:p>
        </w:tc>
        <w:tc>
          <w:tcPr>
            <w:tcW w:w="1060" w:type="dxa"/>
            <w:tcBorders>
              <w:top w:val="single" w:sz="4" w:space="0" w:color="808080" w:themeColor="background1" w:themeShade="80"/>
              <w:left w:val="nil"/>
              <w:bottom w:val="nil"/>
              <w:right w:val="nil"/>
            </w:tcBorders>
            <w:noWrap/>
          </w:tcPr>
          <w:p w14:paraId="2C53047D" w14:textId="77777777" w:rsidR="003A701F" w:rsidRPr="00C67F1F" w:rsidRDefault="003A701F" w:rsidP="00FB49B5">
            <w:pPr>
              <w:contextualSpacing/>
              <w:jc w:val="right"/>
              <w:rPr>
                <w:sz w:val="20"/>
                <w:szCs w:val="20"/>
              </w:rPr>
            </w:pPr>
            <w:r w:rsidRPr="00C67F1F">
              <w:rPr>
                <w:sz w:val="20"/>
                <w:szCs w:val="20"/>
              </w:rPr>
              <w:t>13</w:t>
            </w:r>
          </w:p>
        </w:tc>
        <w:tc>
          <w:tcPr>
            <w:tcW w:w="990" w:type="dxa"/>
            <w:tcBorders>
              <w:top w:val="single" w:sz="4" w:space="0" w:color="808080" w:themeColor="background1" w:themeShade="80"/>
              <w:left w:val="nil"/>
              <w:bottom w:val="nil"/>
              <w:right w:val="nil"/>
            </w:tcBorders>
            <w:noWrap/>
          </w:tcPr>
          <w:p w14:paraId="07DFEC7B" w14:textId="77777777" w:rsidR="003A701F" w:rsidRPr="00C67F1F" w:rsidRDefault="003A701F" w:rsidP="00FB49B5">
            <w:pPr>
              <w:contextualSpacing/>
              <w:rPr>
                <w:sz w:val="20"/>
                <w:szCs w:val="20"/>
              </w:rPr>
            </w:pPr>
            <w:r w:rsidRPr="00C67F1F">
              <w:rPr>
                <w:sz w:val="20"/>
                <w:szCs w:val="20"/>
              </w:rPr>
              <w:t>(4.8)</w:t>
            </w:r>
          </w:p>
        </w:tc>
        <w:tc>
          <w:tcPr>
            <w:tcW w:w="990" w:type="dxa"/>
            <w:tcBorders>
              <w:top w:val="single" w:sz="4" w:space="0" w:color="808080" w:themeColor="background1" w:themeShade="80"/>
              <w:left w:val="nil"/>
              <w:bottom w:val="nil"/>
              <w:right w:val="nil"/>
            </w:tcBorders>
            <w:noWrap/>
          </w:tcPr>
          <w:p w14:paraId="347FDF96" w14:textId="77777777" w:rsidR="003A701F" w:rsidRPr="00C67F1F" w:rsidRDefault="003A701F" w:rsidP="00FB49B5">
            <w:pPr>
              <w:contextualSpacing/>
              <w:jc w:val="center"/>
              <w:rPr>
                <w:sz w:val="20"/>
                <w:szCs w:val="20"/>
              </w:rPr>
            </w:pPr>
            <w:r w:rsidRPr="00C67F1F">
              <w:rPr>
                <w:sz w:val="20"/>
                <w:szCs w:val="20"/>
              </w:rPr>
              <w:t>0.245</w:t>
            </w:r>
          </w:p>
        </w:tc>
      </w:tr>
      <w:tr w:rsidR="003A701F" w:rsidRPr="00C67F1F" w14:paraId="314953BB" w14:textId="77777777" w:rsidTr="00FB49B5">
        <w:trPr>
          <w:trHeight w:val="288"/>
        </w:trPr>
        <w:tc>
          <w:tcPr>
            <w:tcW w:w="1098" w:type="dxa"/>
            <w:tcBorders>
              <w:top w:val="nil"/>
              <w:left w:val="nil"/>
              <w:bottom w:val="nil"/>
              <w:right w:val="nil"/>
            </w:tcBorders>
          </w:tcPr>
          <w:p w14:paraId="320F1BFD" w14:textId="77777777" w:rsidR="003A701F" w:rsidRPr="00C67F1F" w:rsidRDefault="003A701F" w:rsidP="00FB49B5">
            <w:pPr>
              <w:contextualSpacing/>
              <w:rPr>
                <w:sz w:val="20"/>
                <w:szCs w:val="20"/>
              </w:rPr>
            </w:pPr>
          </w:p>
        </w:tc>
        <w:tc>
          <w:tcPr>
            <w:tcW w:w="2520" w:type="dxa"/>
            <w:tcBorders>
              <w:top w:val="nil"/>
              <w:left w:val="nil"/>
              <w:bottom w:val="nil"/>
              <w:right w:val="nil"/>
            </w:tcBorders>
            <w:noWrap/>
          </w:tcPr>
          <w:p w14:paraId="08B18E42" w14:textId="77777777" w:rsidR="003A701F" w:rsidRPr="00C67F1F" w:rsidRDefault="003A701F" w:rsidP="00FB49B5">
            <w:pPr>
              <w:contextualSpacing/>
              <w:rPr>
                <w:sz w:val="20"/>
                <w:szCs w:val="20"/>
              </w:rPr>
            </w:pPr>
            <w:r w:rsidRPr="00C67F1F">
              <w:rPr>
                <w:sz w:val="20"/>
                <w:szCs w:val="20"/>
              </w:rPr>
              <w:t>Black</w:t>
            </w:r>
          </w:p>
        </w:tc>
        <w:tc>
          <w:tcPr>
            <w:tcW w:w="900" w:type="dxa"/>
            <w:tcBorders>
              <w:top w:val="nil"/>
              <w:left w:val="nil"/>
              <w:bottom w:val="nil"/>
              <w:right w:val="nil"/>
            </w:tcBorders>
            <w:noWrap/>
          </w:tcPr>
          <w:p w14:paraId="1EAB292F" w14:textId="77777777" w:rsidR="003A701F" w:rsidRPr="00C67F1F" w:rsidRDefault="003A701F" w:rsidP="00FB49B5">
            <w:pPr>
              <w:contextualSpacing/>
              <w:jc w:val="right"/>
              <w:rPr>
                <w:sz w:val="20"/>
                <w:szCs w:val="20"/>
              </w:rPr>
            </w:pPr>
            <w:r w:rsidRPr="00C67F1F">
              <w:rPr>
                <w:sz w:val="20"/>
                <w:szCs w:val="20"/>
              </w:rPr>
              <w:t>19</w:t>
            </w:r>
          </w:p>
        </w:tc>
        <w:tc>
          <w:tcPr>
            <w:tcW w:w="920" w:type="dxa"/>
            <w:tcBorders>
              <w:top w:val="nil"/>
              <w:left w:val="nil"/>
              <w:bottom w:val="nil"/>
              <w:right w:val="nil"/>
            </w:tcBorders>
            <w:noWrap/>
          </w:tcPr>
          <w:p w14:paraId="2757B430" w14:textId="77777777" w:rsidR="003A701F" w:rsidRPr="00C67F1F" w:rsidRDefault="003A701F" w:rsidP="00FB49B5">
            <w:pPr>
              <w:contextualSpacing/>
              <w:rPr>
                <w:sz w:val="20"/>
                <w:szCs w:val="20"/>
              </w:rPr>
            </w:pPr>
            <w:r w:rsidRPr="00C67F1F">
              <w:rPr>
                <w:sz w:val="20"/>
                <w:szCs w:val="20"/>
              </w:rPr>
              <w:t>(15.4)</w:t>
            </w:r>
          </w:p>
        </w:tc>
        <w:tc>
          <w:tcPr>
            <w:tcW w:w="1060" w:type="dxa"/>
            <w:tcBorders>
              <w:top w:val="nil"/>
              <w:left w:val="nil"/>
              <w:bottom w:val="nil"/>
              <w:right w:val="nil"/>
            </w:tcBorders>
            <w:noWrap/>
          </w:tcPr>
          <w:p w14:paraId="6AA84D2F" w14:textId="77777777" w:rsidR="003A701F" w:rsidRPr="00C67F1F" w:rsidRDefault="003A701F" w:rsidP="00FB49B5">
            <w:pPr>
              <w:contextualSpacing/>
              <w:jc w:val="right"/>
              <w:rPr>
                <w:sz w:val="20"/>
                <w:szCs w:val="20"/>
              </w:rPr>
            </w:pPr>
            <w:r w:rsidRPr="00C67F1F">
              <w:rPr>
                <w:sz w:val="20"/>
                <w:szCs w:val="20"/>
              </w:rPr>
              <w:t>31</w:t>
            </w:r>
          </w:p>
        </w:tc>
        <w:tc>
          <w:tcPr>
            <w:tcW w:w="990" w:type="dxa"/>
            <w:tcBorders>
              <w:top w:val="nil"/>
              <w:left w:val="nil"/>
              <w:bottom w:val="nil"/>
              <w:right w:val="nil"/>
            </w:tcBorders>
            <w:noWrap/>
          </w:tcPr>
          <w:p w14:paraId="55A5E34F" w14:textId="77777777" w:rsidR="003A701F" w:rsidRPr="00C67F1F" w:rsidRDefault="003A701F" w:rsidP="00FB49B5">
            <w:pPr>
              <w:contextualSpacing/>
              <w:rPr>
                <w:sz w:val="20"/>
                <w:szCs w:val="20"/>
              </w:rPr>
            </w:pPr>
            <w:r w:rsidRPr="00C67F1F">
              <w:rPr>
                <w:sz w:val="20"/>
                <w:szCs w:val="20"/>
              </w:rPr>
              <w:t>(11.4)</w:t>
            </w:r>
          </w:p>
        </w:tc>
        <w:tc>
          <w:tcPr>
            <w:tcW w:w="990" w:type="dxa"/>
            <w:tcBorders>
              <w:top w:val="nil"/>
              <w:left w:val="nil"/>
              <w:bottom w:val="nil"/>
              <w:right w:val="nil"/>
            </w:tcBorders>
            <w:noWrap/>
          </w:tcPr>
          <w:p w14:paraId="580E225E" w14:textId="77777777" w:rsidR="003A701F" w:rsidRPr="00C67F1F" w:rsidRDefault="003A701F" w:rsidP="00FB49B5">
            <w:pPr>
              <w:contextualSpacing/>
              <w:jc w:val="center"/>
              <w:rPr>
                <w:sz w:val="20"/>
                <w:szCs w:val="20"/>
              </w:rPr>
            </w:pPr>
          </w:p>
        </w:tc>
      </w:tr>
      <w:tr w:rsidR="003A701F" w:rsidRPr="00C67F1F" w14:paraId="7EB17640" w14:textId="77777777" w:rsidTr="00FB49B5">
        <w:trPr>
          <w:trHeight w:val="288"/>
        </w:trPr>
        <w:tc>
          <w:tcPr>
            <w:tcW w:w="1098" w:type="dxa"/>
            <w:tcBorders>
              <w:top w:val="nil"/>
              <w:left w:val="nil"/>
              <w:bottom w:val="nil"/>
              <w:right w:val="nil"/>
            </w:tcBorders>
          </w:tcPr>
          <w:p w14:paraId="651DEFC5" w14:textId="77777777" w:rsidR="003A701F" w:rsidRPr="00C67F1F" w:rsidRDefault="003A701F" w:rsidP="00FB49B5">
            <w:pPr>
              <w:contextualSpacing/>
              <w:rPr>
                <w:sz w:val="20"/>
                <w:szCs w:val="20"/>
              </w:rPr>
            </w:pPr>
          </w:p>
        </w:tc>
        <w:tc>
          <w:tcPr>
            <w:tcW w:w="2520" w:type="dxa"/>
            <w:tcBorders>
              <w:top w:val="nil"/>
              <w:left w:val="nil"/>
              <w:bottom w:val="nil"/>
              <w:right w:val="nil"/>
            </w:tcBorders>
            <w:noWrap/>
          </w:tcPr>
          <w:p w14:paraId="4884334E" w14:textId="77777777" w:rsidR="003A701F" w:rsidRPr="00C67F1F" w:rsidRDefault="003A701F" w:rsidP="00FB49B5">
            <w:pPr>
              <w:contextualSpacing/>
              <w:rPr>
                <w:sz w:val="20"/>
                <w:szCs w:val="20"/>
              </w:rPr>
            </w:pPr>
            <w:r w:rsidRPr="00C67F1F">
              <w:rPr>
                <w:sz w:val="20"/>
                <w:szCs w:val="20"/>
              </w:rPr>
              <w:t>Multiethnic</w:t>
            </w:r>
          </w:p>
        </w:tc>
        <w:tc>
          <w:tcPr>
            <w:tcW w:w="900" w:type="dxa"/>
            <w:tcBorders>
              <w:top w:val="nil"/>
              <w:left w:val="nil"/>
              <w:bottom w:val="nil"/>
              <w:right w:val="nil"/>
            </w:tcBorders>
            <w:noWrap/>
          </w:tcPr>
          <w:p w14:paraId="12B10FE7" w14:textId="77777777" w:rsidR="003A701F" w:rsidRPr="00C67F1F" w:rsidRDefault="003A701F" w:rsidP="00FB49B5">
            <w:pPr>
              <w:contextualSpacing/>
              <w:jc w:val="right"/>
              <w:rPr>
                <w:sz w:val="20"/>
                <w:szCs w:val="20"/>
              </w:rPr>
            </w:pPr>
            <w:r w:rsidRPr="00C67F1F">
              <w:rPr>
                <w:sz w:val="20"/>
                <w:szCs w:val="20"/>
              </w:rPr>
              <w:t>0</w:t>
            </w:r>
          </w:p>
        </w:tc>
        <w:tc>
          <w:tcPr>
            <w:tcW w:w="920" w:type="dxa"/>
            <w:tcBorders>
              <w:top w:val="nil"/>
              <w:left w:val="nil"/>
              <w:bottom w:val="nil"/>
              <w:right w:val="nil"/>
            </w:tcBorders>
            <w:noWrap/>
          </w:tcPr>
          <w:p w14:paraId="2DBBDF38" w14:textId="77777777" w:rsidR="003A701F" w:rsidRPr="00C67F1F" w:rsidRDefault="003A701F" w:rsidP="00FB49B5">
            <w:pPr>
              <w:contextualSpacing/>
              <w:rPr>
                <w:sz w:val="20"/>
                <w:szCs w:val="20"/>
              </w:rPr>
            </w:pPr>
            <w:r w:rsidRPr="00C67F1F">
              <w:rPr>
                <w:sz w:val="20"/>
                <w:szCs w:val="20"/>
              </w:rPr>
              <w:t>(0)</w:t>
            </w:r>
          </w:p>
        </w:tc>
        <w:tc>
          <w:tcPr>
            <w:tcW w:w="1060" w:type="dxa"/>
            <w:tcBorders>
              <w:top w:val="nil"/>
              <w:left w:val="nil"/>
              <w:bottom w:val="nil"/>
              <w:right w:val="nil"/>
            </w:tcBorders>
            <w:noWrap/>
          </w:tcPr>
          <w:p w14:paraId="1B6F3A11" w14:textId="77777777" w:rsidR="003A701F" w:rsidRPr="00C67F1F" w:rsidRDefault="003A701F" w:rsidP="00FB49B5">
            <w:pPr>
              <w:contextualSpacing/>
              <w:jc w:val="right"/>
              <w:rPr>
                <w:sz w:val="20"/>
                <w:szCs w:val="20"/>
              </w:rPr>
            </w:pPr>
            <w:r w:rsidRPr="00C67F1F">
              <w:rPr>
                <w:sz w:val="20"/>
                <w:szCs w:val="20"/>
              </w:rPr>
              <w:t>3</w:t>
            </w:r>
          </w:p>
        </w:tc>
        <w:tc>
          <w:tcPr>
            <w:tcW w:w="990" w:type="dxa"/>
            <w:tcBorders>
              <w:top w:val="nil"/>
              <w:left w:val="nil"/>
              <w:bottom w:val="nil"/>
              <w:right w:val="nil"/>
            </w:tcBorders>
            <w:noWrap/>
          </w:tcPr>
          <w:p w14:paraId="15136609" w14:textId="77777777" w:rsidR="003A701F" w:rsidRPr="00C67F1F" w:rsidRDefault="003A701F" w:rsidP="00FB49B5">
            <w:pPr>
              <w:contextualSpacing/>
              <w:rPr>
                <w:sz w:val="20"/>
                <w:szCs w:val="20"/>
              </w:rPr>
            </w:pPr>
            <w:r w:rsidRPr="00C67F1F">
              <w:rPr>
                <w:sz w:val="20"/>
                <w:szCs w:val="20"/>
              </w:rPr>
              <w:t>(1.1)</w:t>
            </w:r>
          </w:p>
        </w:tc>
        <w:tc>
          <w:tcPr>
            <w:tcW w:w="990" w:type="dxa"/>
            <w:tcBorders>
              <w:top w:val="nil"/>
              <w:left w:val="nil"/>
              <w:bottom w:val="nil"/>
              <w:right w:val="nil"/>
            </w:tcBorders>
            <w:noWrap/>
          </w:tcPr>
          <w:p w14:paraId="243E222A" w14:textId="77777777" w:rsidR="003A701F" w:rsidRPr="00C67F1F" w:rsidRDefault="003A701F" w:rsidP="00FB49B5">
            <w:pPr>
              <w:contextualSpacing/>
              <w:rPr>
                <w:sz w:val="20"/>
                <w:szCs w:val="20"/>
              </w:rPr>
            </w:pPr>
          </w:p>
        </w:tc>
      </w:tr>
      <w:tr w:rsidR="003A701F" w:rsidRPr="00C67F1F" w14:paraId="232E21FD" w14:textId="77777777" w:rsidTr="00FB49B5">
        <w:trPr>
          <w:trHeight w:val="288"/>
        </w:trPr>
        <w:tc>
          <w:tcPr>
            <w:tcW w:w="1098" w:type="dxa"/>
            <w:tcBorders>
              <w:top w:val="nil"/>
              <w:left w:val="nil"/>
              <w:bottom w:val="nil"/>
              <w:right w:val="nil"/>
            </w:tcBorders>
          </w:tcPr>
          <w:p w14:paraId="79128303" w14:textId="77777777" w:rsidR="003A701F" w:rsidRPr="00C67F1F" w:rsidRDefault="003A701F" w:rsidP="00FB49B5">
            <w:pPr>
              <w:contextualSpacing/>
              <w:rPr>
                <w:sz w:val="20"/>
                <w:szCs w:val="20"/>
              </w:rPr>
            </w:pPr>
          </w:p>
        </w:tc>
        <w:tc>
          <w:tcPr>
            <w:tcW w:w="2520" w:type="dxa"/>
            <w:tcBorders>
              <w:top w:val="nil"/>
              <w:left w:val="nil"/>
              <w:bottom w:val="nil"/>
              <w:right w:val="nil"/>
            </w:tcBorders>
            <w:noWrap/>
          </w:tcPr>
          <w:p w14:paraId="5638FD67" w14:textId="77777777" w:rsidR="003A701F" w:rsidRPr="00C67F1F" w:rsidRDefault="003A701F" w:rsidP="00FB49B5">
            <w:pPr>
              <w:contextualSpacing/>
              <w:rPr>
                <w:sz w:val="20"/>
                <w:szCs w:val="20"/>
              </w:rPr>
            </w:pPr>
            <w:r w:rsidRPr="00C67F1F">
              <w:rPr>
                <w:sz w:val="20"/>
                <w:szCs w:val="20"/>
              </w:rPr>
              <w:t>Native American</w:t>
            </w:r>
          </w:p>
        </w:tc>
        <w:tc>
          <w:tcPr>
            <w:tcW w:w="900" w:type="dxa"/>
            <w:tcBorders>
              <w:top w:val="nil"/>
              <w:left w:val="nil"/>
              <w:bottom w:val="nil"/>
              <w:right w:val="nil"/>
            </w:tcBorders>
            <w:noWrap/>
          </w:tcPr>
          <w:p w14:paraId="635E473C" w14:textId="77777777" w:rsidR="003A701F" w:rsidRPr="00C67F1F" w:rsidRDefault="003A701F" w:rsidP="00FB49B5">
            <w:pPr>
              <w:contextualSpacing/>
              <w:jc w:val="right"/>
              <w:rPr>
                <w:sz w:val="20"/>
                <w:szCs w:val="20"/>
              </w:rPr>
            </w:pPr>
            <w:r w:rsidRPr="00C67F1F">
              <w:rPr>
                <w:sz w:val="20"/>
                <w:szCs w:val="20"/>
              </w:rPr>
              <w:t>1</w:t>
            </w:r>
          </w:p>
        </w:tc>
        <w:tc>
          <w:tcPr>
            <w:tcW w:w="920" w:type="dxa"/>
            <w:tcBorders>
              <w:top w:val="nil"/>
              <w:left w:val="nil"/>
              <w:bottom w:val="nil"/>
              <w:right w:val="nil"/>
            </w:tcBorders>
            <w:noWrap/>
          </w:tcPr>
          <w:p w14:paraId="32DFBB70" w14:textId="77777777" w:rsidR="003A701F" w:rsidRPr="00C67F1F" w:rsidRDefault="003A701F" w:rsidP="00FB49B5">
            <w:pPr>
              <w:contextualSpacing/>
              <w:rPr>
                <w:sz w:val="20"/>
                <w:szCs w:val="20"/>
              </w:rPr>
            </w:pPr>
            <w:r w:rsidRPr="00C67F1F">
              <w:rPr>
                <w:sz w:val="20"/>
                <w:szCs w:val="20"/>
              </w:rPr>
              <w:t>(0.8)</w:t>
            </w:r>
          </w:p>
        </w:tc>
        <w:tc>
          <w:tcPr>
            <w:tcW w:w="1060" w:type="dxa"/>
            <w:tcBorders>
              <w:top w:val="nil"/>
              <w:left w:val="nil"/>
              <w:bottom w:val="nil"/>
              <w:right w:val="nil"/>
            </w:tcBorders>
            <w:noWrap/>
          </w:tcPr>
          <w:p w14:paraId="4C268E14" w14:textId="77777777" w:rsidR="003A701F" w:rsidRPr="00C67F1F" w:rsidRDefault="003A701F" w:rsidP="00FB49B5">
            <w:pPr>
              <w:contextualSpacing/>
              <w:jc w:val="right"/>
              <w:rPr>
                <w:sz w:val="20"/>
                <w:szCs w:val="20"/>
              </w:rPr>
            </w:pPr>
            <w:r w:rsidRPr="00C67F1F">
              <w:rPr>
                <w:sz w:val="20"/>
                <w:szCs w:val="20"/>
              </w:rPr>
              <w:t>2</w:t>
            </w:r>
          </w:p>
        </w:tc>
        <w:tc>
          <w:tcPr>
            <w:tcW w:w="990" w:type="dxa"/>
            <w:tcBorders>
              <w:top w:val="nil"/>
              <w:left w:val="nil"/>
              <w:bottom w:val="nil"/>
              <w:right w:val="nil"/>
            </w:tcBorders>
            <w:noWrap/>
          </w:tcPr>
          <w:p w14:paraId="7E257FA9" w14:textId="77777777" w:rsidR="003A701F" w:rsidRPr="00C67F1F" w:rsidRDefault="003A701F" w:rsidP="00FB49B5">
            <w:pPr>
              <w:contextualSpacing/>
              <w:rPr>
                <w:sz w:val="20"/>
                <w:szCs w:val="20"/>
              </w:rPr>
            </w:pPr>
            <w:r w:rsidRPr="00C67F1F">
              <w:rPr>
                <w:sz w:val="20"/>
                <w:szCs w:val="20"/>
              </w:rPr>
              <w:t>(0.7)</w:t>
            </w:r>
          </w:p>
        </w:tc>
        <w:tc>
          <w:tcPr>
            <w:tcW w:w="990" w:type="dxa"/>
            <w:tcBorders>
              <w:top w:val="nil"/>
              <w:left w:val="nil"/>
              <w:bottom w:val="nil"/>
              <w:right w:val="nil"/>
            </w:tcBorders>
            <w:noWrap/>
          </w:tcPr>
          <w:p w14:paraId="7F9F73E5" w14:textId="77777777" w:rsidR="003A701F" w:rsidRPr="00C67F1F" w:rsidRDefault="003A701F" w:rsidP="00FB49B5">
            <w:pPr>
              <w:contextualSpacing/>
              <w:rPr>
                <w:sz w:val="20"/>
                <w:szCs w:val="20"/>
              </w:rPr>
            </w:pPr>
          </w:p>
        </w:tc>
      </w:tr>
      <w:tr w:rsidR="003A701F" w:rsidRPr="00C67F1F" w14:paraId="108350E2" w14:textId="77777777" w:rsidTr="00FB49B5">
        <w:trPr>
          <w:trHeight w:val="288"/>
        </w:trPr>
        <w:tc>
          <w:tcPr>
            <w:tcW w:w="1098" w:type="dxa"/>
            <w:tcBorders>
              <w:top w:val="nil"/>
              <w:left w:val="nil"/>
              <w:bottom w:val="nil"/>
              <w:right w:val="nil"/>
            </w:tcBorders>
          </w:tcPr>
          <w:p w14:paraId="3BDA9BE3" w14:textId="77777777" w:rsidR="003A701F" w:rsidRPr="00C67F1F" w:rsidRDefault="003A701F" w:rsidP="00FB49B5">
            <w:pPr>
              <w:contextualSpacing/>
              <w:rPr>
                <w:sz w:val="20"/>
                <w:szCs w:val="20"/>
              </w:rPr>
            </w:pPr>
          </w:p>
        </w:tc>
        <w:tc>
          <w:tcPr>
            <w:tcW w:w="2520" w:type="dxa"/>
            <w:tcBorders>
              <w:top w:val="nil"/>
              <w:left w:val="nil"/>
              <w:bottom w:val="nil"/>
              <w:right w:val="nil"/>
            </w:tcBorders>
            <w:noWrap/>
          </w:tcPr>
          <w:p w14:paraId="4C9B170D" w14:textId="77777777" w:rsidR="003A701F" w:rsidRPr="00C67F1F" w:rsidRDefault="003A701F" w:rsidP="00FB49B5">
            <w:pPr>
              <w:contextualSpacing/>
              <w:rPr>
                <w:sz w:val="20"/>
                <w:szCs w:val="20"/>
              </w:rPr>
            </w:pPr>
            <w:r w:rsidRPr="00C67F1F">
              <w:rPr>
                <w:sz w:val="20"/>
                <w:szCs w:val="20"/>
              </w:rPr>
              <w:t>Pacific Islander/Hawaiian</w:t>
            </w:r>
          </w:p>
        </w:tc>
        <w:tc>
          <w:tcPr>
            <w:tcW w:w="900" w:type="dxa"/>
            <w:tcBorders>
              <w:top w:val="nil"/>
              <w:left w:val="nil"/>
              <w:bottom w:val="nil"/>
              <w:right w:val="nil"/>
            </w:tcBorders>
            <w:noWrap/>
          </w:tcPr>
          <w:p w14:paraId="74D0216A" w14:textId="77777777" w:rsidR="003A701F" w:rsidRPr="00C67F1F" w:rsidRDefault="003A701F" w:rsidP="00FB49B5">
            <w:pPr>
              <w:contextualSpacing/>
              <w:jc w:val="right"/>
              <w:rPr>
                <w:sz w:val="20"/>
                <w:szCs w:val="20"/>
              </w:rPr>
            </w:pPr>
            <w:r w:rsidRPr="00C67F1F">
              <w:rPr>
                <w:sz w:val="20"/>
                <w:szCs w:val="20"/>
              </w:rPr>
              <w:t>2</w:t>
            </w:r>
          </w:p>
        </w:tc>
        <w:tc>
          <w:tcPr>
            <w:tcW w:w="920" w:type="dxa"/>
            <w:tcBorders>
              <w:top w:val="nil"/>
              <w:left w:val="nil"/>
              <w:bottom w:val="nil"/>
              <w:right w:val="nil"/>
            </w:tcBorders>
            <w:noWrap/>
          </w:tcPr>
          <w:p w14:paraId="6F9EDB96" w14:textId="77777777" w:rsidR="003A701F" w:rsidRPr="00C67F1F" w:rsidRDefault="003A701F" w:rsidP="00FB49B5">
            <w:pPr>
              <w:contextualSpacing/>
              <w:rPr>
                <w:sz w:val="20"/>
                <w:szCs w:val="20"/>
              </w:rPr>
            </w:pPr>
            <w:r w:rsidRPr="00C67F1F">
              <w:rPr>
                <w:sz w:val="20"/>
                <w:szCs w:val="20"/>
              </w:rPr>
              <w:t>(1.6)</w:t>
            </w:r>
          </w:p>
        </w:tc>
        <w:tc>
          <w:tcPr>
            <w:tcW w:w="1060" w:type="dxa"/>
            <w:tcBorders>
              <w:top w:val="nil"/>
              <w:left w:val="nil"/>
              <w:bottom w:val="nil"/>
              <w:right w:val="nil"/>
            </w:tcBorders>
            <w:noWrap/>
          </w:tcPr>
          <w:p w14:paraId="3C5B01E7" w14:textId="77777777" w:rsidR="003A701F" w:rsidRPr="00C67F1F" w:rsidRDefault="003A701F" w:rsidP="00FB49B5">
            <w:pPr>
              <w:contextualSpacing/>
              <w:jc w:val="right"/>
              <w:rPr>
                <w:sz w:val="20"/>
                <w:szCs w:val="20"/>
              </w:rPr>
            </w:pPr>
            <w:r w:rsidRPr="00C67F1F">
              <w:rPr>
                <w:sz w:val="20"/>
                <w:szCs w:val="20"/>
              </w:rPr>
              <w:t>0</w:t>
            </w:r>
          </w:p>
        </w:tc>
        <w:tc>
          <w:tcPr>
            <w:tcW w:w="990" w:type="dxa"/>
            <w:tcBorders>
              <w:top w:val="nil"/>
              <w:left w:val="nil"/>
              <w:bottom w:val="nil"/>
              <w:right w:val="nil"/>
            </w:tcBorders>
            <w:noWrap/>
          </w:tcPr>
          <w:p w14:paraId="0A64D0DD" w14:textId="77777777" w:rsidR="003A701F" w:rsidRPr="00C67F1F" w:rsidRDefault="003A701F" w:rsidP="00FB49B5">
            <w:pPr>
              <w:contextualSpacing/>
              <w:rPr>
                <w:sz w:val="20"/>
                <w:szCs w:val="20"/>
              </w:rPr>
            </w:pPr>
            <w:r w:rsidRPr="00C67F1F">
              <w:rPr>
                <w:sz w:val="20"/>
                <w:szCs w:val="20"/>
              </w:rPr>
              <w:t>(0)</w:t>
            </w:r>
          </w:p>
        </w:tc>
        <w:tc>
          <w:tcPr>
            <w:tcW w:w="990" w:type="dxa"/>
            <w:tcBorders>
              <w:top w:val="nil"/>
              <w:left w:val="nil"/>
              <w:bottom w:val="nil"/>
              <w:right w:val="nil"/>
            </w:tcBorders>
            <w:noWrap/>
          </w:tcPr>
          <w:p w14:paraId="58AD6EDF" w14:textId="77777777" w:rsidR="003A701F" w:rsidRPr="00C67F1F" w:rsidRDefault="003A701F" w:rsidP="00FB49B5">
            <w:pPr>
              <w:contextualSpacing/>
              <w:rPr>
                <w:sz w:val="20"/>
                <w:szCs w:val="20"/>
              </w:rPr>
            </w:pPr>
          </w:p>
        </w:tc>
      </w:tr>
      <w:tr w:rsidR="003A701F" w:rsidRPr="00C67F1F" w14:paraId="6DF64ED3" w14:textId="77777777" w:rsidTr="00FB49B5">
        <w:trPr>
          <w:trHeight w:val="288"/>
        </w:trPr>
        <w:tc>
          <w:tcPr>
            <w:tcW w:w="1098" w:type="dxa"/>
            <w:tcBorders>
              <w:top w:val="nil"/>
              <w:left w:val="nil"/>
              <w:right w:val="nil"/>
            </w:tcBorders>
          </w:tcPr>
          <w:p w14:paraId="18C2A8D9" w14:textId="77777777" w:rsidR="003A701F" w:rsidRPr="00C67F1F" w:rsidRDefault="003A701F" w:rsidP="00FB49B5">
            <w:pPr>
              <w:contextualSpacing/>
              <w:rPr>
                <w:sz w:val="20"/>
                <w:szCs w:val="20"/>
              </w:rPr>
            </w:pPr>
          </w:p>
        </w:tc>
        <w:tc>
          <w:tcPr>
            <w:tcW w:w="2520" w:type="dxa"/>
            <w:tcBorders>
              <w:top w:val="nil"/>
              <w:left w:val="nil"/>
              <w:right w:val="nil"/>
            </w:tcBorders>
            <w:noWrap/>
          </w:tcPr>
          <w:p w14:paraId="7ED44FE4" w14:textId="77777777" w:rsidR="003A701F" w:rsidRPr="00C67F1F" w:rsidRDefault="003A701F" w:rsidP="00FB49B5">
            <w:pPr>
              <w:contextualSpacing/>
              <w:rPr>
                <w:sz w:val="20"/>
                <w:szCs w:val="20"/>
              </w:rPr>
            </w:pPr>
            <w:r w:rsidRPr="00C67F1F">
              <w:rPr>
                <w:sz w:val="20"/>
                <w:szCs w:val="20"/>
              </w:rPr>
              <w:t>White</w:t>
            </w:r>
          </w:p>
        </w:tc>
        <w:tc>
          <w:tcPr>
            <w:tcW w:w="900" w:type="dxa"/>
            <w:tcBorders>
              <w:top w:val="nil"/>
              <w:left w:val="nil"/>
              <w:right w:val="nil"/>
            </w:tcBorders>
            <w:noWrap/>
          </w:tcPr>
          <w:p w14:paraId="3209CD79" w14:textId="77777777" w:rsidR="003A701F" w:rsidRPr="00C67F1F" w:rsidRDefault="003A701F" w:rsidP="00FB49B5">
            <w:pPr>
              <w:contextualSpacing/>
              <w:jc w:val="right"/>
              <w:rPr>
                <w:sz w:val="20"/>
                <w:szCs w:val="20"/>
              </w:rPr>
            </w:pPr>
            <w:r w:rsidRPr="00C67F1F">
              <w:rPr>
                <w:sz w:val="20"/>
                <w:szCs w:val="20"/>
              </w:rPr>
              <w:t>95</w:t>
            </w:r>
          </w:p>
        </w:tc>
        <w:tc>
          <w:tcPr>
            <w:tcW w:w="920" w:type="dxa"/>
            <w:tcBorders>
              <w:top w:val="nil"/>
              <w:left w:val="nil"/>
              <w:right w:val="nil"/>
            </w:tcBorders>
            <w:noWrap/>
          </w:tcPr>
          <w:p w14:paraId="3D1C674F" w14:textId="77777777" w:rsidR="003A701F" w:rsidRPr="00C67F1F" w:rsidRDefault="003A701F" w:rsidP="00FB49B5">
            <w:pPr>
              <w:contextualSpacing/>
              <w:rPr>
                <w:sz w:val="20"/>
                <w:szCs w:val="20"/>
              </w:rPr>
            </w:pPr>
            <w:r w:rsidRPr="00C67F1F">
              <w:rPr>
                <w:sz w:val="20"/>
                <w:szCs w:val="20"/>
              </w:rPr>
              <w:t>(77.2)</w:t>
            </w:r>
          </w:p>
        </w:tc>
        <w:tc>
          <w:tcPr>
            <w:tcW w:w="1060" w:type="dxa"/>
            <w:tcBorders>
              <w:top w:val="nil"/>
              <w:left w:val="nil"/>
              <w:right w:val="nil"/>
            </w:tcBorders>
            <w:noWrap/>
          </w:tcPr>
          <w:p w14:paraId="05B41F10" w14:textId="77777777" w:rsidR="003A701F" w:rsidRPr="00C67F1F" w:rsidRDefault="003A701F" w:rsidP="00FB49B5">
            <w:pPr>
              <w:contextualSpacing/>
              <w:jc w:val="right"/>
              <w:rPr>
                <w:sz w:val="20"/>
                <w:szCs w:val="20"/>
              </w:rPr>
            </w:pPr>
            <w:r w:rsidRPr="00C67F1F">
              <w:rPr>
                <w:sz w:val="20"/>
                <w:szCs w:val="20"/>
              </w:rPr>
              <w:t>222</w:t>
            </w:r>
          </w:p>
        </w:tc>
        <w:tc>
          <w:tcPr>
            <w:tcW w:w="990" w:type="dxa"/>
            <w:tcBorders>
              <w:top w:val="nil"/>
              <w:left w:val="nil"/>
              <w:right w:val="nil"/>
            </w:tcBorders>
            <w:noWrap/>
          </w:tcPr>
          <w:p w14:paraId="6A1868B9" w14:textId="77777777" w:rsidR="003A701F" w:rsidRPr="00C67F1F" w:rsidRDefault="003A701F" w:rsidP="00FB49B5">
            <w:pPr>
              <w:contextualSpacing/>
              <w:rPr>
                <w:sz w:val="20"/>
                <w:szCs w:val="20"/>
              </w:rPr>
            </w:pPr>
            <w:r w:rsidRPr="00C67F1F">
              <w:rPr>
                <w:sz w:val="20"/>
                <w:szCs w:val="20"/>
              </w:rPr>
              <w:t>(81.9)</w:t>
            </w:r>
          </w:p>
        </w:tc>
        <w:tc>
          <w:tcPr>
            <w:tcW w:w="990" w:type="dxa"/>
            <w:tcBorders>
              <w:top w:val="nil"/>
              <w:left w:val="nil"/>
              <w:right w:val="nil"/>
            </w:tcBorders>
            <w:noWrap/>
          </w:tcPr>
          <w:p w14:paraId="45767F16" w14:textId="77777777" w:rsidR="003A701F" w:rsidRPr="00C67F1F" w:rsidRDefault="003A701F" w:rsidP="00FB49B5">
            <w:pPr>
              <w:contextualSpacing/>
              <w:rPr>
                <w:sz w:val="20"/>
                <w:szCs w:val="20"/>
              </w:rPr>
            </w:pPr>
          </w:p>
        </w:tc>
      </w:tr>
    </w:tbl>
    <w:p w14:paraId="1D3ADAB5" w14:textId="77777777" w:rsidR="003A701F" w:rsidRPr="00D80C42" w:rsidRDefault="003A701F" w:rsidP="003A701F">
      <w:pPr>
        <w:contextualSpacing/>
        <w:rPr>
          <w:sz w:val="18"/>
          <w:szCs w:val="18"/>
        </w:rPr>
      </w:pPr>
      <w:r w:rsidRPr="00D80C42">
        <w:rPr>
          <w:sz w:val="18"/>
          <w:szCs w:val="18"/>
        </w:rPr>
        <w:t>Mean (SD) where appropriated</w:t>
      </w:r>
    </w:p>
    <w:p w14:paraId="75E51483" w14:textId="77777777" w:rsidR="003A701F" w:rsidRPr="00D80C42" w:rsidRDefault="003A701F" w:rsidP="003A701F">
      <w:pPr>
        <w:contextualSpacing/>
        <w:rPr>
          <w:sz w:val="18"/>
          <w:szCs w:val="18"/>
        </w:rPr>
      </w:pPr>
      <w:r w:rsidRPr="007247B9">
        <w:rPr>
          <w:sz w:val="18"/>
          <w:szCs w:val="18"/>
        </w:rPr>
        <w:t xml:space="preserve">Comparison tests used were t-test and Fisher’s exact test </w:t>
      </w:r>
    </w:p>
    <w:p w14:paraId="7050DFB8" w14:textId="77777777" w:rsidR="003A701F" w:rsidRDefault="003A701F" w:rsidP="003A701F">
      <w:pPr>
        <w:contextualSpacing/>
        <w:rPr>
          <w:b/>
          <w:sz w:val="18"/>
          <w:szCs w:val="18"/>
        </w:rPr>
      </w:pPr>
    </w:p>
    <w:p w14:paraId="69A3990A" w14:textId="77777777" w:rsidR="00BB508A" w:rsidRDefault="00BB508A" w:rsidP="00FE375D">
      <w:pPr>
        <w:contextualSpacing/>
        <w:rPr>
          <w:rFonts w:cs="Times New Roman"/>
          <w:b/>
          <w:sz w:val="18"/>
          <w:szCs w:val="18"/>
        </w:rPr>
      </w:pPr>
    </w:p>
    <w:p w14:paraId="443316EF" w14:textId="77777777" w:rsidR="00C67F1F" w:rsidRDefault="00C67F1F" w:rsidP="00FE375D">
      <w:pPr>
        <w:contextualSpacing/>
      </w:pPr>
    </w:p>
    <w:p w14:paraId="7703A3CA" w14:textId="77777777" w:rsidR="00A04553" w:rsidRDefault="00A04553">
      <w:pPr>
        <w:rPr>
          <w:rFonts w:cs="Times New Roman"/>
          <w:b/>
          <w:color w:val="FF0000"/>
          <w:sz w:val="18"/>
          <w:szCs w:val="18"/>
        </w:rPr>
      </w:pPr>
      <w:r>
        <w:rPr>
          <w:rFonts w:cs="Times New Roman"/>
          <w:b/>
          <w:color w:val="FF0000"/>
          <w:sz w:val="18"/>
          <w:szCs w:val="18"/>
        </w:rPr>
        <w:br w:type="page"/>
      </w:r>
    </w:p>
    <w:p w14:paraId="61AF7BD6" w14:textId="77777777" w:rsidR="008642A2" w:rsidRPr="00A67E5E" w:rsidRDefault="008642A2" w:rsidP="001F4DAE">
      <w:pPr>
        <w:contextualSpacing/>
        <w:rPr>
          <w:rFonts w:cs="Times New Roman"/>
          <w:b/>
        </w:rPr>
      </w:pPr>
      <w:r w:rsidRPr="00A67E5E">
        <w:rPr>
          <w:rFonts w:cs="Times New Roman"/>
          <w:b/>
        </w:rPr>
        <w:lastRenderedPageBreak/>
        <w:t>APPENDIX C.  DISCRIMINANT ACCURACY AND CALIBRATION OF PHYSICIANS’ AND SURROGATES PREDICTIONS FOR HOSPITAL SURVIVAL</w:t>
      </w:r>
    </w:p>
    <w:p w14:paraId="242E9989" w14:textId="77777777" w:rsidR="004C07BB" w:rsidRPr="00A67E5E" w:rsidRDefault="004C07BB" w:rsidP="004C07BB">
      <w:pPr>
        <w:pStyle w:val="PlainText"/>
      </w:pPr>
    </w:p>
    <w:tbl>
      <w:tblPr>
        <w:tblStyle w:val="TableGrid1"/>
        <w:tblW w:w="0" w:type="auto"/>
        <w:jc w:val="center"/>
        <w:tblLook w:val="04A0" w:firstRow="1" w:lastRow="0" w:firstColumn="1" w:lastColumn="0" w:noHBand="0" w:noVBand="1"/>
      </w:tblPr>
      <w:tblGrid>
        <w:gridCol w:w="2785"/>
        <w:gridCol w:w="2340"/>
        <w:gridCol w:w="3150"/>
      </w:tblGrid>
      <w:tr w:rsidR="00A67E5E" w:rsidRPr="00A67E5E" w14:paraId="06B4D442" w14:textId="77777777" w:rsidTr="00D732EE">
        <w:trPr>
          <w:jc w:val="center"/>
        </w:trPr>
        <w:tc>
          <w:tcPr>
            <w:tcW w:w="2785" w:type="dxa"/>
            <w:tcBorders>
              <w:bottom w:val="single" w:sz="4" w:space="0" w:color="auto"/>
            </w:tcBorders>
            <w:shd w:val="clear" w:color="auto" w:fill="E7E6E6"/>
          </w:tcPr>
          <w:p w14:paraId="2AC4D99D" w14:textId="77777777" w:rsidR="004C07BB" w:rsidRPr="00A67E5E" w:rsidRDefault="004C07BB" w:rsidP="00D732EE">
            <w:pPr>
              <w:jc w:val="center"/>
              <w:rPr>
                <w:rFonts w:ascii="Calibri" w:eastAsia="Calibri" w:hAnsi="Calibri"/>
                <w:b/>
              </w:rPr>
            </w:pPr>
            <w:r w:rsidRPr="00A67E5E">
              <w:rPr>
                <w:rFonts w:ascii="Calibri" w:eastAsia="Calibri" w:hAnsi="Calibri"/>
                <w:b/>
              </w:rPr>
              <w:t>Physician prediction of chance of hospital survival</w:t>
            </w:r>
          </w:p>
        </w:tc>
        <w:tc>
          <w:tcPr>
            <w:tcW w:w="2340" w:type="dxa"/>
            <w:tcBorders>
              <w:bottom w:val="single" w:sz="4" w:space="0" w:color="auto"/>
            </w:tcBorders>
            <w:shd w:val="clear" w:color="auto" w:fill="E7E6E6"/>
          </w:tcPr>
          <w:p w14:paraId="5CDD2264" w14:textId="77777777" w:rsidR="004C07BB" w:rsidRPr="00A67E5E" w:rsidRDefault="004C07BB" w:rsidP="00D732EE">
            <w:pPr>
              <w:jc w:val="center"/>
              <w:rPr>
                <w:rFonts w:ascii="Calibri" w:eastAsia="Calibri" w:hAnsi="Calibri"/>
                <w:b/>
              </w:rPr>
            </w:pPr>
            <w:r w:rsidRPr="00A67E5E">
              <w:rPr>
                <w:rFonts w:ascii="Calibri" w:eastAsia="Calibri" w:hAnsi="Calibri"/>
                <w:b/>
              </w:rPr>
              <w:t>Number of patients (n</w:t>
            </w:r>
            <w:r w:rsidRPr="00A67E5E">
              <w:rPr>
                <w:rFonts w:ascii="Calibri" w:eastAsia="Calibri" w:hAnsi="Calibri"/>
                <w:b/>
                <w:vertAlign w:val="subscript"/>
              </w:rPr>
              <w:t>1</w:t>
            </w:r>
            <w:r w:rsidRPr="00A67E5E">
              <w:rPr>
                <w:rFonts w:ascii="Calibri" w:eastAsia="Calibri" w:hAnsi="Calibri"/>
                <w:b/>
              </w:rPr>
              <w:t>)</w:t>
            </w:r>
          </w:p>
        </w:tc>
        <w:tc>
          <w:tcPr>
            <w:tcW w:w="3150" w:type="dxa"/>
            <w:tcBorders>
              <w:bottom w:val="single" w:sz="4" w:space="0" w:color="auto"/>
            </w:tcBorders>
            <w:shd w:val="clear" w:color="auto" w:fill="E7E6E6"/>
          </w:tcPr>
          <w:p w14:paraId="2A7D45AC" w14:textId="77777777" w:rsidR="004C07BB" w:rsidRPr="00A67E5E" w:rsidRDefault="004C07BB" w:rsidP="00D732EE">
            <w:pPr>
              <w:jc w:val="center"/>
              <w:rPr>
                <w:rFonts w:ascii="Calibri" w:eastAsia="Calibri" w:hAnsi="Calibri"/>
                <w:b/>
              </w:rPr>
            </w:pPr>
            <w:r w:rsidRPr="00A67E5E">
              <w:rPr>
                <w:rFonts w:ascii="Calibri" w:eastAsia="Calibri" w:hAnsi="Calibri"/>
                <w:b/>
              </w:rPr>
              <w:t>Survived to hospital discharge</w:t>
            </w:r>
          </w:p>
          <w:p w14:paraId="22E6AE2E" w14:textId="77777777" w:rsidR="004C07BB" w:rsidRPr="00A67E5E" w:rsidRDefault="004C07BB" w:rsidP="00D732EE">
            <w:pPr>
              <w:jc w:val="center"/>
              <w:rPr>
                <w:rFonts w:ascii="Calibri" w:eastAsia="Calibri" w:hAnsi="Calibri"/>
                <w:b/>
              </w:rPr>
            </w:pPr>
            <w:r w:rsidRPr="00A67E5E">
              <w:rPr>
                <w:rFonts w:ascii="Calibri" w:eastAsia="Calibri" w:hAnsi="Calibri"/>
                <w:b/>
              </w:rPr>
              <w:t>n</w:t>
            </w:r>
            <w:r w:rsidRPr="00A67E5E">
              <w:rPr>
                <w:rFonts w:ascii="Calibri" w:eastAsia="Calibri" w:hAnsi="Calibri"/>
                <w:b/>
                <w:vertAlign w:val="subscript"/>
              </w:rPr>
              <w:t>2</w:t>
            </w:r>
            <w:r w:rsidRPr="00A67E5E">
              <w:rPr>
                <w:rFonts w:ascii="Calibri" w:eastAsia="Calibri" w:hAnsi="Calibri"/>
                <w:b/>
              </w:rPr>
              <w:t xml:space="preserve"> (% out of n</w:t>
            </w:r>
            <w:r w:rsidRPr="00A67E5E">
              <w:rPr>
                <w:rFonts w:ascii="Calibri" w:eastAsia="Calibri" w:hAnsi="Calibri"/>
                <w:b/>
                <w:vertAlign w:val="subscript"/>
              </w:rPr>
              <w:t>1</w:t>
            </w:r>
            <w:r w:rsidRPr="00A67E5E">
              <w:rPr>
                <w:rFonts w:ascii="Calibri" w:eastAsia="Calibri" w:hAnsi="Calibri"/>
                <w:b/>
              </w:rPr>
              <w:t>)</w:t>
            </w:r>
          </w:p>
        </w:tc>
      </w:tr>
      <w:tr w:rsidR="00A67E5E" w:rsidRPr="00A67E5E" w14:paraId="4FCA18C6" w14:textId="77777777" w:rsidTr="00D732EE">
        <w:trPr>
          <w:jc w:val="center"/>
        </w:trPr>
        <w:tc>
          <w:tcPr>
            <w:tcW w:w="2785" w:type="dxa"/>
            <w:tcBorders>
              <w:top w:val="single" w:sz="8" w:space="0" w:color="auto"/>
            </w:tcBorders>
          </w:tcPr>
          <w:p w14:paraId="623FAEA2" w14:textId="77777777" w:rsidR="004C07BB" w:rsidRPr="00A67E5E" w:rsidRDefault="004C07BB" w:rsidP="00D732EE">
            <w:pPr>
              <w:ind w:left="150"/>
              <w:jc w:val="center"/>
              <w:rPr>
                <w:rFonts w:ascii="Calibri" w:eastAsia="Calibri" w:hAnsi="Calibri"/>
              </w:rPr>
            </w:pPr>
            <w:r w:rsidRPr="00A67E5E">
              <w:rPr>
                <w:rFonts w:ascii="Calibri" w:eastAsia="Calibri" w:hAnsi="Calibri"/>
              </w:rPr>
              <w:t>&gt;95%</w:t>
            </w:r>
          </w:p>
        </w:tc>
        <w:tc>
          <w:tcPr>
            <w:tcW w:w="2340" w:type="dxa"/>
            <w:tcBorders>
              <w:top w:val="single" w:sz="8" w:space="0" w:color="auto"/>
            </w:tcBorders>
          </w:tcPr>
          <w:p w14:paraId="401B61B5" w14:textId="77777777" w:rsidR="004C07BB" w:rsidRPr="00A67E5E" w:rsidRDefault="004C07BB" w:rsidP="00D732EE">
            <w:pPr>
              <w:jc w:val="center"/>
              <w:rPr>
                <w:rFonts w:ascii="Calibri" w:eastAsia="Calibri" w:hAnsi="Calibri"/>
              </w:rPr>
            </w:pPr>
            <w:r w:rsidRPr="00A67E5E">
              <w:rPr>
                <w:rFonts w:ascii="Calibri" w:eastAsia="Calibri" w:hAnsi="Calibri"/>
              </w:rPr>
              <w:t>6</w:t>
            </w:r>
          </w:p>
        </w:tc>
        <w:tc>
          <w:tcPr>
            <w:tcW w:w="3150" w:type="dxa"/>
            <w:tcBorders>
              <w:top w:val="single" w:sz="8" w:space="0" w:color="auto"/>
            </w:tcBorders>
          </w:tcPr>
          <w:p w14:paraId="758022F5" w14:textId="77777777" w:rsidR="004C07BB" w:rsidRPr="00A67E5E" w:rsidRDefault="004C07BB" w:rsidP="00D732EE">
            <w:pPr>
              <w:jc w:val="center"/>
              <w:rPr>
                <w:rFonts w:ascii="Calibri" w:eastAsia="Calibri" w:hAnsi="Calibri"/>
              </w:rPr>
            </w:pPr>
            <w:r w:rsidRPr="00A67E5E">
              <w:rPr>
                <w:rFonts w:ascii="Calibri" w:eastAsia="Calibri" w:hAnsi="Calibri"/>
              </w:rPr>
              <w:t>5 (83.3%)</w:t>
            </w:r>
          </w:p>
        </w:tc>
      </w:tr>
      <w:tr w:rsidR="00A67E5E" w:rsidRPr="00A67E5E" w14:paraId="67CDA63C" w14:textId="77777777" w:rsidTr="00D732EE">
        <w:trPr>
          <w:jc w:val="center"/>
        </w:trPr>
        <w:tc>
          <w:tcPr>
            <w:tcW w:w="2785" w:type="dxa"/>
            <w:tcBorders>
              <w:top w:val="single" w:sz="8" w:space="0" w:color="auto"/>
            </w:tcBorders>
          </w:tcPr>
          <w:p w14:paraId="172542DE" w14:textId="77777777" w:rsidR="004C07BB" w:rsidRPr="00A67E5E" w:rsidRDefault="004C07BB" w:rsidP="00D732EE">
            <w:pPr>
              <w:ind w:left="150"/>
              <w:jc w:val="center"/>
              <w:rPr>
                <w:rFonts w:ascii="Calibri" w:eastAsia="Calibri" w:hAnsi="Calibri"/>
              </w:rPr>
            </w:pPr>
            <w:r w:rsidRPr="00A67E5E">
              <w:rPr>
                <w:rFonts w:ascii="Calibri" w:eastAsia="Calibri" w:hAnsi="Calibri"/>
              </w:rPr>
              <w:t>&gt;90%</w:t>
            </w:r>
          </w:p>
        </w:tc>
        <w:tc>
          <w:tcPr>
            <w:tcW w:w="2340" w:type="dxa"/>
            <w:tcBorders>
              <w:top w:val="single" w:sz="8" w:space="0" w:color="auto"/>
            </w:tcBorders>
          </w:tcPr>
          <w:p w14:paraId="0B82F773" w14:textId="77777777" w:rsidR="004C07BB" w:rsidRPr="00A67E5E" w:rsidRDefault="004C07BB" w:rsidP="00D732EE">
            <w:pPr>
              <w:jc w:val="center"/>
              <w:rPr>
                <w:rFonts w:ascii="Calibri" w:eastAsia="Calibri" w:hAnsi="Calibri"/>
              </w:rPr>
            </w:pPr>
            <w:r w:rsidRPr="00A67E5E">
              <w:rPr>
                <w:rFonts w:ascii="Calibri" w:eastAsia="Calibri" w:hAnsi="Calibri"/>
              </w:rPr>
              <w:t>12</w:t>
            </w:r>
          </w:p>
        </w:tc>
        <w:tc>
          <w:tcPr>
            <w:tcW w:w="3150" w:type="dxa"/>
            <w:tcBorders>
              <w:top w:val="single" w:sz="8" w:space="0" w:color="auto"/>
            </w:tcBorders>
          </w:tcPr>
          <w:p w14:paraId="3A5B9E1E" w14:textId="77777777" w:rsidR="004C07BB" w:rsidRPr="00A67E5E" w:rsidRDefault="004C07BB" w:rsidP="00D732EE">
            <w:pPr>
              <w:jc w:val="center"/>
              <w:rPr>
                <w:rFonts w:ascii="Calibri" w:eastAsia="Calibri" w:hAnsi="Calibri"/>
              </w:rPr>
            </w:pPr>
            <w:r w:rsidRPr="00A67E5E">
              <w:rPr>
                <w:rFonts w:ascii="Calibri" w:eastAsia="Calibri" w:hAnsi="Calibri"/>
              </w:rPr>
              <w:t>11 (91.7%)</w:t>
            </w:r>
          </w:p>
        </w:tc>
      </w:tr>
      <w:tr w:rsidR="00A67E5E" w:rsidRPr="00A67E5E" w14:paraId="1DB7F857" w14:textId="77777777" w:rsidTr="00D732EE">
        <w:trPr>
          <w:jc w:val="center"/>
        </w:trPr>
        <w:tc>
          <w:tcPr>
            <w:tcW w:w="2785" w:type="dxa"/>
            <w:tcBorders>
              <w:top w:val="single" w:sz="8" w:space="0" w:color="auto"/>
            </w:tcBorders>
          </w:tcPr>
          <w:p w14:paraId="576F349F" w14:textId="77777777" w:rsidR="004C07BB" w:rsidRPr="00A67E5E" w:rsidRDefault="004C07BB" w:rsidP="00D732EE">
            <w:pPr>
              <w:ind w:left="150"/>
              <w:jc w:val="center"/>
              <w:rPr>
                <w:rFonts w:ascii="Calibri" w:eastAsia="Calibri" w:hAnsi="Calibri"/>
              </w:rPr>
            </w:pPr>
            <w:r w:rsidRPr="00A67E5E">
              <w:rPr>
                <w:rFonts w:ascii="Calibri" w:eastAsia="Calibri" w:hAnsi="Calibri"/>
              </w:rPr>
              <w:t>&gt;80%</w:t>
            </w:r>
          </w:p>
        </w:tc>
        <w:tc>
          <w:tcPr>
            <w:tcW w:w="2340" w:type="dxa"/>
            <w:tcBorders>
              <w:top w:val="single" w:sz="8" w:space="0" w:color="auto"/>
            </w:tcBorders>
          </w:tcPr>
          <w:p w14:paraId="60429605" w14:textId="77777777" w:rsidR="004C07BB" w:rsidRPr="00A67E5E" w:rsidRDefault="004C07BB" w:rsidP="00D732EE">
            <w:pPr>
              <w:jc w:val="center"/>
              <w:rPr>
                <w:rFonts w:ascii="Calibri" w:eastAsia="Calibri" w:hAnsi="Calibri"/>
              </w:rPr>
            </w:pPr>
            <w:r w:rsidRPr="00A67E5E">
              <w:rPr>
                <w:rFonts w:ascii="Calibri" w:eastAsia="Calibri" w:hAnsi="Calibri"/>
              </w:rPr>
              <w:t>44</w:t>
            </w:r>
          </w:p>
        </w:tc>
        <w:tc>
          <w:tcPr>
            <w:tcW w:w="3150" w:type="dxa"/>
            <w:tcBorders>
              <w:top w:val="single" w:sz="8" w:space="0" w:color="auto"/>
            </w:tcBorders>
          </w:tcPr>
          <w:p w14:paraId="75822AFC" w14:textId="77777777" w:rsidR="004C07BB" w:rsidRPr="00A67E5E" w:rsidRDefault="004C07BB" w:rsidP="00D732EE">
            <w:pPr>
              <w:jc w:val="center"/>
              <w:rPr>
                <w:rFonts w:ascii="Calibri" w:eastAsia="Calibri" w:hAnsi="Calibri"/>
              </w:rPr>
            </w:pPr>
            <w:r w:rsidRPr="00A67E5E">
              <w:rPr>
                <w:rFonts w:ascii="Calibri" w:eastAsia="Calibri" w:hAnsi="Calibri"/>
              </w:rPr>
              <w:t>37 (84.1%)</w:t>
            </w:r>
          </w:p>
        </w:tc>
      </w:tr>
      <w:tr w:rsidR="00A67E5E" w:rsidRPr="00A67E5E" w14:paraId="636AA978" w14:textId="77777777" w:rsidTr="00D732EE">
        <w:trPr>
          <w:jc w:val="center"/>
        </w:trPr>
        <w:tc>
          <w:tcPr>
            <w:tcW w:w="2785" w:type="dxa"/>
            <w:tcBorders>
              <w:top w:val="single" w:sz="8" w:space="0" w:color="auto"/>
            </w:tcBorders>
          </w:tcPr>
          <w:p w14:paraId="35BEDF92" w14:textId="77777777" w:rsidR="004C07BB" w:rsidRPr="00A67E5E" w:rsidRDefault="004C07BB" w:rsidP="00D732EE">
            <w:pPr>
              <w:ind w:left="150"/>
              <w:jc w:val="center"/>
              <w:rPr>
                <w:rFonts w:ascii="Calibri" w:eastAsia="Calibri" w:hAnsi="Calibri"/>
              </w:rPr>
            </w:pPr>
            <w:r w:rsidRPr="00A67E5E">
              <w:rPr>
                <w:rFonts w:ascii="Calibri" w:eastAsia="Calibri" w:hAnsi="Calibri"/>
              </w:rPr>
              <w:t>&lt;20%</w:t>
            </w:r>
          </w:p>
        </w:tc>
        <w:tc>
          <w:tcPr>
            <w:tcW w:w="2340" w:type="dxa"/>
            <w:tcBorders>
              <w:top w:val="single" w:sz="8" w:space="0" w:color="auto"/>
            </w:tcBorders>
          </w:tcPr>
          <w:p w14:paraId="7693C631" w14:textId="77777777" w:rsidR="004C07BB" w:rsidRPr="00A67E5E" w:rsidRDefault="004C07BB" w:rsidP="00D732EE">
            <w:pPr>
              <w:jc w:val="center"/>
              <w:rPr>
                <w:rFonts w:ascii="Calibri" w:eastAsia="Calibri" w:hAnsi="Calibri"/>
              </w:rPr>
            </w:pPr>
            <w:r w:rsidRPr="00A67E5E">
              <w:rPr>
                <w:rFonts w:ascii="Calibri" w:eastAsia="Calibri" w:hAnsi="Calibri"/>
              </w:rPr>
              <w:t xml:space="preserve">38 </w:t>
            </w:r>
          </w:p>
        </w:tc>
        <w:tc>
          <w:tcPr>
            <w:tcW w:w="3150" w:type="dxa"/>
            <w:tcBorders>
              <w:top w:val="single" w:sz="8" w:space="0" w:color="auto"/>
            </w:tcBorders>
          </w:tcPr>
          <w:p w14:paraId="1E27440F" w14:textId="77777777" w:rsidR="004C07BB" w:rsidRPr="00A67E5E" w:rsidRDefault="004C07BB" w:rsidP="00D732EE">
            <w:pPr>
              <w:jc w:val="center"/>
              <w:rPr>
                <w:rFonts w:ascii="Calibri" w:eastAsia="Calibri" w:hAnsi="Calibri"/>
              </w:rPr>
            </w:pPr>
            <w:r w:rsidRPr="00A67E5E">
              <w:rPr>
                <w:rFonts w:ascii="Calibri" w:eastAsia="Calibri" w:hAnsi="Calibri"/>
              </w:rPr>
              <w:t>5 (13.2%)</w:t>
            </w:r>
          </w:p>
        </w:tc>
      </w:tr>
      <w:tr w:rsidR="00A67E5E" w:rsidRPr="00A67E5E" w14:paraId="210C8BE2" w14:textId="77777777" w:rsidTr="00D732EE">
        <w:trPr>
          <w:jc w:val="center"/>
        </w:trPr>
        <w:tc>
          <w:tcPr>
            <w:tcW w:w="2785" w:type="dxa"/>
          </w:tcPr>
          <w:p w14:paraId="0DF45F60" w14:textId="77777777" w:rsidR="004C07BB" w:rsidRPr="00A67E5E" w:rsidRDefault="004C07BB" w:rsidP="00D732EE">
            <w:pPr>
              <w:ind w:left="150"/>
              <w:jc w:val="center"/>
              <w:rPr>
                <w:rFonts w:ascii="Calibri" w:eastAsia="Calibri" w:hAnsi="Calibri"/>
              </w:rPr>
            </w:pPr>
            <w:r w:rsidRPr="00A67E5E">
              <w:rPr>
                <w:rFonts w:ascii="Calibri" w:eastAsia="Calibri" w:hAnsi="Calibri"/>
              </w:rPr>
              <w:t>&lt;10%</w:t>
            </w:r>
          </w:p>
        </w:tc>
        <w:tc>
          <w:tcPr>
            <w:tcW w:w="2340" w:type="dxa"/>
          </w:tcPr>
          <w:p w14:paraId="72FBA63C" w14:textId="77777777" w:rsidR="004C07BB" w:rsidRPr="00A67E5E" w:rsidRDefault="004C07BB" w:rsidP="00D732EE">
            <w:pPr>
              <w:jc w:val="center"/>
              <w:rPr>
                <w:rFonts w:ascii="Calibri" w:eastAsia="Calibri" w:hAnsi="Calibri"/>
              </w:rPr>
            </w:pPr>
            <w:r w:rsidRPr="00A67E5E">
              <w:rPr>
                <w:rFonts w:ascii="Calibri" w:eastAsia="Calibri" w:hAnsi="Calibri"/>
              </w:rPr>
              <w:t xml:space="preserve">23 </w:t>
            </w:r>
          </w:p>
        </w:tc>
        <w:tc>
          <w:tcPr>
            <w:tcW w:w="3150" w:type="dxa"/>
          </w:tcPr>
          <w:p w14:paraId="3B254D20" w14:textId="77777777" w:rsidR="004C07BB" w:rsidRPr="00A67E5E" w:rsidRDefault="004C07BB" w:rsidP="00D732EE">
            <w:pPr>
              <w:jc w:val="center"/>
              <w:rPr>
                <w:rFonts w:ascii="Calibri" w:eastAsia="Calibri" w:hAnsi="Calibri"/>
              </w:rPr>
            </w:pPr>
            <w:r w:rsidRPr="00A67E5E">
              <w:rPr>
                <w:rFonts w:ascii="Calibri" w:eastAsia="Calibri" w:hAnsi="Calibri"/>
              </w:rPr>
              <w:t>1 (4.3%)</w:t>
            </w:r>
          </w:p>
        </w:tc>
      </w:tr>
      <w:tr w:rsidR="00A67E5E" w:rsidRPr="00A67E5E" w14:paraId="75F5CB35" w14:textId="77777777" w:rsidTr="00D732EE">
        <w:trPr>
          <w:jc w:val="center"/>
        </w:trPr>
        <w:tc>
          <w:tcPr>
            <w:tcW w:w="2785" w:type="dxa"/>
            <w:tcBorders>
              <w:bottom w:val="single" w:sz="12" w:space="0" w:color="auto"/>
            </w:tcBorders>
          </w:tcPr>
          <w:p w14:paraId="795F2CF9" w14:textId="77777777" w:rsidR="004C07BB" w:rsidRPr="00A67E5E" w:rsidRDefault="004C07BB" w:rsidP="00D732EE">
            <w:pPr>
              <w:ind w:left="150"/>
              <w:jc w:val="center"/>
              <w:rPr>
                <w:rFonts w:ascii="Calibri" w:eastAsia="Calibri" w:hAnsi="Calibri"/>
              </w:rPr>
            </w:pPr>
            <w:r w:rsidRPr="00A67E5E">
              <w:rPr>
                <w:rFonts w:ascii="Calibri" w:eastAsia="Calibri" w:hAnsi="Calibri"/>
              </w:rPr>
              <w:t>&lt;5%</w:t>
            </w:r>
          </w:p>
        </w:tc>
        <w:tc>
          <w:tcPr>
            <w:tcW w:w="2340" w:type="dxa"/>
            <w:tcBorders>
              <w:bottom w:val="single" w:sz="12" w:space="0" w:color="auto"/>
            </w:tcBorders>
          </w:tcPr>
          <w:p w14:paraId="534D3E6C" w14:textId="77777777" w:rsidR="004C07BB" w:rsidRPr="00A67E5E" w:rsidRDefault="004C07BB" w:rsidP="00D732EE">
            <w:pPr>
              <w:jc w:val="center"/>
              <w:rPr>
                <w:rFonts w:ascii="Calibri" w:eastAsia="Calibri" w:hAnsi="Calibri"/>
              </w:rPr>
            </w:pPr>
            <w:r w:rsidRPr="00A67E5E">
              <w:rPr>
                <w:rFonts w:ascii="Calibri" w:eastAsia="Calibri" w:hAnsi="Calibri"/>
              </w:rPr>
              <w:t xml:space="preserve">17 </w:t>
            </w:r>
          </w:p>
        </w:tc>
        <w:tc>
          <w:tcPr>
            <w:tcW w:w="3150" w:type="dxa"/>
            <w:tcBorders>
              <w:bottom w:val="single" w:sz="12" w:space="0" w:color="auto"/>
            </w:tcBorders>
          </w:tcPr>
          <w:p w14:paraId="556099B6" w14:textId="77777777" w:rsidR="004C07BB" w:rsidRPr="00A67E5E" w:rsidRDefault="004C07BB" w:rsidP="00D732EE">
            <w:pPr>
              <w:jc w:val="center"/>
              <w:rPr>
                <w:rFonts w:ascii="Calibri" w:eastAsia="Calibri" w:hAnsi="Calibri"/>
              </w:rPr>
            </w:pPr>
            <w:r w:rsidRPr="00A67E5E">
              <w:rPr>
                <w:rFonts w:ascii="Calibri" w:eastAsia="Calibri" w:hAnsi="Calibri"/>
              </w:rPr>
              <w:t>0 (0%)</w:t>
            </w:r>
          </w:p>
        </w:tc>
      </w:tr>
    </w:tbl>
    <w:p w14:paraId="7181A643" w14:textId="77777777" w:rsidR="004C07BB" w:rsidRPr="00A67E5E" w:rsidRDefault="004C07BB" w:rsidP="004C07BB">
      <w:pPr>
        <w:pStyle w:val="PlainText"/>
      </w:pPr>
    </w:p>
    <w:p w14:paraId="15D45BD8" w14:textId="77777777" w:rsidR="004C07BB" w:rsidRPr="00A67E5E" w:rsidRDefault="004C07BB" w:rsidP="004C07BB">
      <w:pPr>
        <w:pStyle w:val="PlainText"/>
        <w:rPr>
          <w:rFonts w:ascii="Arial" w:hAnsi="Arial" w:cs="Arial"/>
        </w:rPr>
      </w:pPr>
      <w:r w:rsidRPr="00A67E5E">
        <w:rPr>
          <w:rFonts w:ascii="Arial" w:hAnsi="Arial" w:cs="Arial"/>
        </w:rPr>
        <w:t xml:space="preserve">We determined the calibration and discrimination of physicians’ predictions and surrogates’ predictions, measured with the Brier score and area under the ROC curve, respectively. </w:t>
      </w:r>
    </w:p>
    <w:p w14:paraId="0ED4188E" w14:textId="77777777" w:rsidR="004C07BB" w:rsidRPr="00A67E5E" w:rsidRDefault="004C07BB" w:rsidP="004C07BB">
      <w:pPr>
        <w:pStyle w:val="PlainText"/>
      </w:pPr>
    </w:p>
    <w:p w14:paraId="79BEC411" w14:textId="77777777" w:rsidR="004C07BB" w:rsidRPr="00A67E5E" w:rsidRDefault="004C07BB" w:rsidP="004C07BB">
      <w:pPr>
        <w:rPr>
          <w:rFonts w:ascii="Arial" w:hAnsi="Arial" w:cs="Arial"/>
        </w:rPr>
      </w:pPr>
      <w:r w:rsidRPr="00A67E5E">
        <w:rPr>
          <w:rFonts w:ascii="Arial" w:hAnsi="Arial" w:cs="Arial"/>
        </w:rPr>
        <w:t xml:space="preserve">We determined the discriminative accuracy of physicians’ and surrogates’ prognostic estimates by calculating the area under the receiver operating characteristic curves for each group.  Patient mortality during the hospitalization was the dependent variable. Physicians’ and surrogates’ survival estimates were the independent variables. We calculated the C-statistic (i.e., the area under the ROC curve), which gives the probability that a randomly selected patient who died had a higher risk score than a patient who did not die. The C-statistic score ranges from 0.5 to 1, with 1 indicating perfect accuracy.  The C-statistic for physicians’ survival predictions was 0.77. The C-statistic for surrogates’ survival predictions was 0.72. </w:t>
      </w:r>
    </w:p>
    <w:p w14:paraId="2674C121" w14:textId="77777777" w:rsidR="004C07BB" w:rsidRPr="00A67E5E" w:rsidRDefault="004C07BB" w:rsidP="004C07BB">
      <w:pPr>
        <w:rPr>
          <w:rFonts w:ascii="Arial" w:hAnsi="Arial" w:cs="Arial"/>
        </w:rPr>
      </w:pPr>
      <w:r w:rsidRPr="00A67E5E">
        <w:rPr>
          <w:rFonts w:ascii="Arial" w:hAnsi="Arial" w:cs="Arial"/>
        </w:rPr>
        <w:t>To assess the calibration of physicians’ and surrogates’ survival predictions, we calculated Brier scores for both groups. Brier scores are commonly used to assess prediction model calibration (</w:t>
      </w:r>
      <w:proofErr w:type="spellStart"/>
      <w:r w:rsidRPr="00A67E5E">
        <w:rPr>
          <w:rFonts w:ascii="Arial" w:hAnsi="Arial" w:cs="Arial"/>
        </w:rPr>
        <w:t>Steyerberg</w:t>
      </w:r>
      <w:proofErr w:type="spellEnd"/>
      <w:r w:rsidRPr="00A67E5E">
        <w:rPr>
          <w:rFonts w:ascii="Arial" w:hAnsi="Arial" w:cs="Arial"/>
        </w:rPr>
        <w:t xml:space="preserve"> et al, 2010).  The Brier score ranges from 0 to a maximum value that depends on the incidence rate of the population of interest. A value of 0 indicates perfect probability prediction of the corresponding model. The maximum value of the Brier score indicates a noninformative prediction of the model. The incidence rate for patient’s survival to hospital discharge was estimated to be 56.33% in our sample, therefore the maximum (</w:t>
      </w:r>
      <w:proofErr w:type="spellStart"/>
      <w:r w:rsidRPr="00A67E5E">
        <w:rPr>
          <w:rFonts w:ascii="Arial" w:hAnsi="Arial" w:cs="Arial"/>
        </w:rPr>
        <w:t>ie</w:t>
      </w:r>
      <w:proofErr w:type="spellEnd"/>
      <w:r w:rsidRPr="00A67E5E">
        <w:rPr>
          <w:rFonts w:ascii="Arial" w:hAnsi="Arial" w:cs="Arial"/>
        </w:rPr>
        <w:t xml:space="preserve"> least </w:t>
      </w:r>
      <w:proofErr w:type="gramStart"/>
      <w:r w:rsidRPr="00A67E5E">
        <w:rPr>
          <w:rFonts w:ascii="Arial" w:hAnsi="Arial" w:cs="Arial"/>
        </w:rPr>
        <w:t>informative)  Brier</w:t>
      </w:r>
      <w:proofErr w:type="gramEnd"/>
      <w:r w:rsidRPr="00A67E5E">
        <w:rPr>
          <w:rFonts w:ascii="Arial" w:hAnsi="Arial" w:cs="Arial"/>
        </w:rPr>
        <w:t xml:space="preserve"> score that can be reached was 0.25.The Brier score for physicians’ survival predictions was 0.19. The Brier score for surrogates’ survival predictions was 0.24. </w:t>
      </w:r>
    </w:p>
    <w:p w14:paraId="6821D9B1" w14:textId="77777777" w:rsidR="004C07BB" w:rsidRPr="00A67E5E" w:rsidRDefault="004C07BB" w:rsidP="004C07BB">
      <w:pPr>
        <w:pStyle w:val="PlainText"/>
      </w:pPr>
    </w:p>
    <w:p w14:paraId="75A938CF" w14:textId="77777777" w:rsidR="004C07BB" w:rsidRPr="00A67E5E" w:rsidRDefault="004C07BB" w:rsidP="004C07BB">
      <w:pPr>
        <w:pStyle w:val="PlainText"/>
      </w:pPr>
    </w:p>
    <w:p w14:paraId="77F55169" w14:textId="77777777" w:rsidR="004C07BB" w:rsidRPr="00A67E5E" w:rsidRDefault="004C07BB" w:rsidP="00A67E5E">
      <w:pPr>
        <w:pStyle w:val="ListParagraph"/>
        <w:numPr>
          <w:ilvl w:val="0"/>
          <w:numId w:val="7"/>
        </w:numPr>
        <w:autoSpaceDE w:val="0"/>
        <w:autoSpaceDN w:val="0"/>
        <w:adjustRightInd w:val="0"/>
        <w:spacing w:after="0" w:line="240" w:lineRule="auto"/>
        <w:rPr>
          <w:rFonts w:ascii="Arial" w:hAnsi="Arial" w:cs="Arial"/>
          <w:bCs/>
        </w:rPr>
      </w:pPr>
      <w:proofErr w:type="spellStart"/>
      <w:r w:rsidRPr="00A67E5E">
        <w:rPr>
          <w:rFonts w:ascii="Arial" w:hAnsi="Arial" w:cs="Arial"/>
        </w:rPr>
        <w:t>Steyerberg</w:t>
      </w:r>
      <w:proofErr w:type="spellEnd"/>
      <w:r w:rsidRPr="00A67E5E">
        <w:rPr>
          <w:rFonts w:ascii="Arial" w:hAnsi="Arial" w:cs="Arial"/>
        </w:rPr>
        <w:t xml:space="preserve"> et al. </w:t>
      </w:r>
      <w:r w:rsidRPr="00A67E5E">
        <w:rPr>
          <w:rFonts w:ascii="Arial" w:hAnsi="Arial" w:cs="Arial"/>
          <w:bCs/>
        </w:rPr>
        <w:t xml:space="preserve">Assessing the performance of prediction models: a framework for some traditional and novel measures. </w:t>
      </w:r>
      <w:r w:rsidRPr="00A67E5E">
        <w:rPr>
          <w:rFonts w:ascii="Arial" w:hAnsi="Arial" w:cs="Arial"/>
        </w:rPr>
        <w:t xml:space="preserve">Epidemiology. 2010 </w:t>
      </w:r>
      <w:proofErr w:type="gramStart"/>
      <w:r w:rsidRPr="00A67E5E">
        <w:rPr>
          <w:rFonts w:ascii="Arial" w:hAnsi="Arial" w:cs="Arial"/>
        </w:rPr>
        <w:t>January ;</w:t>
      </w:r>
      <w:proofErr w:type="gramEnd"/>
      <w:r w:rsidRPr="00A67E5E">
        <w:rPr>
          <w:rFonts w:ascii="Arial" w:hAnsi="Arial" w:cs="Arial"/>
        </w:rPr>
        <w:t xml:space="preserve"> 21(1): 128–138</w:t>
      </w:r>
    </w:p>
    <w:p w14:paraId="19411EDC" w14:textId="77777777" w:rsidR="008642A2" w:rsidRPr="00A67E5E" w:rsidRDefault="008642A2" w:rsidP="001F4DAE">
      <w:pPr>
        <w:contextualSpacing/>
        <w:rPr>
          <w:rFonts w:cs="Times New Roman"/>
          <w:b/>
        </w:rPr>
      </w:pPr>
    </w:p>
    <w:p w14:paraId="72499F2F" w14:textId="77777777" w:rsidR="00391DBC" w:rsidRPr="00A67E5E" w:rsidRDefault="00391DBC">
      <w:pPr>
        <w:rPr>
          <w:rFonts w:cs="Times New Roman"/>
          <w:b/>
        </w:rPr>
      </w:pPr>
    </w:p>
    <w:p w14:paraId="0D6CAFEF" w14:textId="77777777" w:rsidR="00391DBC" w:rsidRPr="00A67E5E" w:rsidRDefault="00391DBC">
      <w:pPr>
        <w:rPr>
          <w:rFonts w:cs="Times New Roman"/>
          <w:b/>
        </w:rPr>
      </w:pPr>
    </w:p>
    <w:p w14:paraId="1DA61FFE" w14:textId="77777777" w:rsidR="00391DBC" w:rsidRPr="00A67E5E" w:rsidRDefault="00391DBC">
      <w:pPr>
        <w:rPr>
          <w:rFonts w:cs="Times New Roman"/>
          <w:b/>
        </w:rPr>
      </w:pPr>
    </w:p>
    <w:p w14:paraId="092627A5" w14:textId="77777777" w:rsidR="00391DBC" w:rsidRPr="00A67E5E" w:rsidRDefault="00391DBC">
      <w:r w:rsidRPr="00A67E5E">
        <w:rPr>
          <w:b/>
        </w:rPr>
        <w:t xml:space="preserve">APPENDIX D. PROPORTION OF DEATHS PRECEEDED BY DECISION TO FORGO LIFE SUSTAINING TREATMENT </w:t>
      </w:r>
    </w:p>
    <w:tbl>
      <w:tblPr>
        <w:tblStyle w:val="TableGrid2"/>
        <w:tblW w:w="0" w:type="auto"/>
        <w:tblInd w:w="85" w:type="dxa"/>
        <w:tblLook w:val="04A0" w:firstRow="1" w:lastRow="0" w:firstColumn="1" w:lastColumn="0" w:noHBand="0" w:noVBand="1"/>
      </w:tblPr>
      <w:tblGrid>
        <w:gridCol w:w="3060"/>
        <w:gridCol w:w="2340"/>
        <w:gridCol w:w="2739"/>
      </w:tblGrid>
      <w:tr w:rsidR="00A67E5E" w:rsidRPr="00A67E5E" w14:paraId="24366F5A" w14:textId="77777777" w:rsidTr="00D732EE">
        <w:tc>
          <w:tcPr>
            <w:tcW w:w="3060" w:type="dxa"/>
            <w:shd w:val="clear" w:color="auto" w:fill="E7E6E6"/>
            <w:vAlign w:val="bottom"/>
          </w:tcPr>
          <w:p w14:paraId="17CBACA7" w14:textId="77777777" w:rsidR="004C07BB" w:rsidRPr="00A67E5E" w:rsidRDefault="004C07BB" w:rsidP="00D732EE">
            <w:pPr>
              <w:contextualSpacing/>
              <w:jc w:val="center"/>
              <w:rPr>
                <w:rFonts w:ascii="Calibri" w:eastAsia="Calibri" w:hAnsi="Calibri"/>
                <w:b/>
              </w:rPr>
            </w:pPr>
          </w:p>
        </w:tc>
        <w:tc>
          <w:tcPr>
            <w:tcW w:w="2340" w:type="dxa"/>
            <w:shd w:val="clear" w:color="auto" w:fill="E7E6E6"/>
            <w:vAlign w:val="bottom"/>
          </w:tcPr>
          <w:p w14:paraId="7BAB2F9F" w14:textId="77777777" w:rsidR="004C07BB" w:rsidRPr="00A67E5E" w:rsidRDefault="004C07BB" w:rsidP="00D732EE">
            <w:pPr>
              <w:contextualSpacing/>
              <w:jc w:val="center"/>
              <w:rPr>
                <w:rFonts w:ascii="Calibri" w:eastAsia="Calibri" w:hAnsi="Calibri"/>
                <w:b/>
              </w:rPr>
            </w:pPr>
            <w:r w:rsidRPr="00A67E5E">
              <w:rPr>
                <w:rFonts w:ascii="Calibri" w:eastAsia="Calibri" w:hAnsi="Calibri"/>
                <w:b/>
              </w:rPr>
              <w:t>Among all patients who died in the hospital (N=122)</w:t>
            </w:r>
          </w:p>
          <w:p w14:paraId="714EE65D" w14:textId="77777777" w:rsidR="004C07BB" w:rsidRPr="00A67E5E" w:rsidRDefault="004C07BB" w:rsidP="00D732EE">
            <w:pPr>
              <w:contextualSpacing/>
              <w:jc w:val="center"/>
              <w:rPr>
                <w:rFonts w:ascii="Calibri" w:eastAsia="Calibri" w:hAnsi="Calibri"/>
                <w:b/>
              </w:rPr>
            </w:pPr>
            <w:r w:rsidRPr="00A67E5E">
              <w:rPr>
                <w:rFonts w:ascii="Calibri" w:eastAsia="Calibri" w:hAnsi="Calibri"/>
                <w:b/>
              </w:rPr>
              <w:t>Count (%)</w:t>
            </w:r>
          </w:p>
          <w:p w14:paraId="7AE86482" w14:textId="77777777" w:rsidR="004C07BB" w:rsidRPr="00A67E5E" w:rsidRDefault="004C07BB" w:rsidP="00D732EE">
            <w:pPr>
              <w:contextualSpacing/>
              <w:jc w:val="center"/>
              <w:rPr>
                <w:rFonts w:ascii="Calibri" w:eastAsia="Calibri" w:hAnsi="Calibri"/>
                <w:b/>
              </w:rPr>
            </w:pPr>
          </w:p>
          <w:p w14:paraId="4064D0A1" w14:textId="77777777" w:rsidR="004C07BB" w:rsidRPr="00A67E5E" w:rsidRDefault="004C07BB" w:rsidP="00D732EE">
            <w:pPr>
              <w:contextualSpacing/>
              <w:jc w:val="center"/>
              <w:rPr>
                <w:rFonts w:ascii="Calibri" w:eastAsia="Calibri" w:hAnsi="Calibri"/>
                <w:b/>
              </w:rPr>
            </w:pPr>
          </w:p>
        </w:tc>
        <w:tc>
          <w:tcPr>
            <w:tcW w:w="2739" w:type="dxa"/>
            <w:shd w:val="clear" w:color="auto" w:fill="E7E6E6"/>
          </w:tcPr>
          <w:p w14:paraId="76A47EA3" w14:textId="77777777" w:rsidR="004C07BB" w:rsidRPr="00A67E5E" w:rsidRDefault="004C07BB" w:rsidP="00D732EE">
            <w:pPr>
              <w:contextualSpacing/>
              <w:jc w:val="center"/>
              <w:rPr>
                <w:rFonts w:ascii="Calibri" w:eastAsia="Calibri" w:hAnsi="Calibri"/>
                <w:b/>
              </w:rPr>
            </w:pPr>
            <w:r w:rsidRPr="00A67E5E">
              <w:rPr>
                <w:rFonts w:ascii="Calibri" w:eastAsia="Calibri" w:hAnsi="Calibri"/>
                <w:b/>
              </w:rPr>
              <w:t>Among patients who died whose surrogate held optimistic prognostic expectations</w:t>
            </w:r>
          </w:p>
          <w:p w14:paraId="1F9B1E5D" w14:textId="77777777" w:rsidR="004C07BB" w:rsidRPr="00A67E5E" w:rsidRDefault="004C07BB" w:rsidP="00D732EE">
            <w:pPr>
              <w:contextualSpacing/>
              <w:jc w:val="center"/>
              <w:rPr>
                <w:rFonts w:ascii="Calibri" w:eastAsia="Calibri" w:hAnsi="Calibri"/>
                <w:b/>
              </w:rPr>
            </w:pPr>
            <w:r w:rsidRPr="00A67E5E">
              <w:rPr>
                <w:rFonts w:ascii="Calibri" w:eastAsia="Calibri" w:hAnsi="Calibri"/>
                <w:b/>
              </w:rPr>
              <w:t>(N= 45)</w:t>
            </w:r>
          </w:p>
          <w:p w14:paraId="1CE8A609" w14:textId="77777777" w:rsidR="004C07BB" w:rsidRPr="00A67E5E" w:rsidRDefault="004C07BB" w:rsidP="00D732EE">
            <w:pPr>
              <w:contextualSpacing/>
              <w:jc w:val="center"/>
              <w:rPr>
                <w:rFonts w:ascii="Calibri" w:eastAsia="Calibri" w:hAnsi="Calibri"/>
                <w:b/>
              </w:rPr>
            </w:pPr>
            <w:r w:rsidRPr="00A67E5E">
              <w:rPr>
                <w:rFonts w:ascii="Calibri" w:eastAsia="Calibri" w:hAnsi="Calibri"/>
                <w:b/>
              </w:rPr>
              <w:t>Count (%)</w:t>
            </w:r>
          </w:p>
        </w:tc>
      </w:tr>
      <w:tr w:rsidR="00A67E5E" w:rsidRPr="00A67E5E" w14:paraId="30BD51EE" w14:textId="77777777" w:rsidTr="00D732EE">
        <w:trPr>
          <w:cnfStyle w:val="000000010000" w:firstRow="0" w:lastRow="0" w:firstColumn="0" w:lastColumn="0" w:oddVBand="0" w:evenVBand="0" w:oddHBand="0" w:evenHBand="1" w:firstRowFirstColumn="0" w:firstRowLastColumn="0" w:lastRowFirstColumn="0" w:lastRowLastColumn="0"/>
        </w:trPr>
        <w:tc>
          <w:tcPr>
            <w:tcW w:w="3060" w:type="dxa"/>
            <w:vAlign w:val="center"/>
          </w:tcPr>
          <w:p w14:paraId="575A9F7E" w14:textId="77777777" w:rsidR="004C07BB" w:rsidRPr="00A67E5E" w:rsidRDefault="004C07BB" w:rsidP="00D732EE">
            <w:pPr>
              <w:contextualSpacing/>
              <w:rPr>
                <w:rFonts w:ascii="Calibri" w:eastAsia="Calibri" w:hAnsi="Calibri"/>
              </w:rPr>
            </w:pPr>
            <w:r w:rsidRPr="00A67E5E">
              <w:rPr>
                <w:rFonts w:ascii="Calibri" w:eastAsia="Calibri" w:hAnsi="Calibri"/>
              </w:rPr>
              <w:t>Life support withdrawn</w:t>
            </w:r>
          </w:p>
          <w:p w14:paraId="4AA58FC5" w14:textId="77777777" w:rsidR="004C07BB" w:rsidRPr="00A67E5E" w:rsidRDefault="004C07BB" w:rsidP="00D732EE">
            <w:pPr>
              <w:contextualSpacing/>
              <w:rPr>
                <w:rFonts w:ascii="Calibri" w:eastAsia="Calibri" w:hAnsi="Calibri"/>
              </w:rPr>
            </w:pPr>
            <w:r w:rsidRPr="00A67E5E">
              <w:rPr>
                <w:rFonts w:ascii="Calibri" w:eastAsia="Calibri" w:hAnsi="Calibri"/>
              </w:rPr>
              <w:t>Life support withheld</w:t>
            </w:r>
          </w:p>
        </w:tc>
        <w:tc>
          <w:tcPr>
            <w:tcW w:w="2340" w:type="dxa"/>
          </w:tcPr>
          <w:p w14:paraId="4C896117" w14:textId="77777777" w:rsidR="004C07BB" w:rsidRPr="00A67E5E" w:rsidRDefault="004C07BB" w:rsidP="00D732EE">
            <w:pPr>
              <w:contextualSpacing/>
              <w:jc w:val="center"/>
              <w:rPr>
                <w:rFonts w:ascii="Calibri" w:eastAsia="Calibri" w:hAnsi="Calibri"/>
              </w:rPr>
            </w:pPr>
            <w:r w:rsidRPr="00A67E5E">
              <w:rPr>
                <w:rFonts w:ascii="Calibri" w:eastAsia="Calibri" w:hAnsi="Calibri"/>
              </w:rPr>
              <w:t>91 (74.6%)</w:t>
            </w:r>
          </w:p>
          <w:p w14:paraId="4D5E981B" w14:textId="77777777" w:rsidR="004C07BB" w:rsidRPr="00A67E5E" w:rsidRDefault="004C07BB" w:rsidP="00D732EE">
            <w:pPr>
              <w:contextualSpacing/>
              <w:jc w:val="center"/>
              <w:rPr>
                <w:rFonts w:ascii="Calibri" w:eastAsia="Calibri" w:hAnsi="Calibri"/>
              </w:rPr>
            </w:pPr>
            <w:r w:rsidRPr="00A67E5E">
              <w:rPr>
                <w:rFonts w:ascii="Calibri" w:eastAsia="Calibri" w:hAnsi="Calibri"/>
              </w:rPr>
              <w:t>16 (13.1%)</w:t>
            </w:r>
          </w:p>
        </w:tc>
        <w:tc>
          <w:tcPr>
            <w:tcW w:w="2739" w:type="dxa"/>
          </w:tcPr>
          <w:p w14:paraId="40FE1B1A" w14:textId="77777777" w:rsidR="004C07BB" w:rsidRPr="00A67E5E" w:rsidRDefault="004C07BB" w:rsidP="00D732EE">
            <w:pPr>
              <w:contextualSpacing/>
              <w:jc w:val="center"/>
              <w:rPr>
                <w:rFonts w:ascii="Calibri" w:eastAsia="Calibri" w:hAnsi="Calibri"/>
              </w:rPr>
            </w:pPr>
            <w:r w:rsidRPr="00A67E5E">
              <w:rPr>
                <w:rFonts w:ascii="Calibri" w:eastAsia="Calibri" w:hAnsi="Calibri"/>
              </w:rPr>
              <w:t>31 (68.9%)</w:t>
            </w:r>
          </w:p>
          <w:p w14:paraId="6F627F5F" w14:textId="77777777" w:rsidR="004C07BB" w:rsidRPr="00A67E5E" w:rsidRDefault="004C07BB" w:rsidP="00D732EE">
            <w:pPr>
              <w:contextualSpacing/>
              <w:jc w:val="center"/>
              <w:rPr>
                <w:rFonts w:ascii="Calibri" w:eastAsia="Calibri" w:hAnsi="Calibri"/>
              </w:rPr>
            </w:pPr>
            <w:r w:rsidRPr="00A67E5E">
              <w:rPr>
                <w:rFonts w:ascii="Calibri" w:eastAsia="Calibri" w:hAnsi="Calibri"/>
              </w:rPr>
              <w:t>6 (13.3%)</w:t>
            </w:r>
          </w:p>
        </w:tc>
      </w:tr>
    </w:tbl>
    <w:p w14:paraId="69FCD905" w14:textId="77777777" w:rsidR="008642A2" w:rsidRPr="00A67E5E" w:rsidRDefault="008642A2">
      <w:pPr>
        <w:rPr>
          <w:rFonts w:cs="Times New Roman"/>
          <w:b/>
        </w:rPr>
      </w:pPr>
      <w:r w:rsidRPr="00A67E5E">
        <w:rPr>
          <w:rFonts w:cs="Times New Roman"/>
          <w:b/>
        </w:rPr>
        <w:br w:type="page"/>
      </w:r>
    </w:p>
    <w:p w14:paraId="241E928C" w14:textId="77777777" w:rsidR="001F4DAE" w:rsidRPr="00C67F1F" w:rsidRDefault="001F4DAE" w:rsidP="001F4DAE">
      <w:pPr>
        <w:contextualSpacing/>
        <w:rPr>
          <w:rFonts w:cs="Times New Roman"/>
          <w:b/>
        </w:rPr>
      </w:pPr>
      <w:r w:rsidRPr="00C67F1F">
        <w:rPr>
          <w:rFonts w:cs="Times New Roman"/>
          <w:b/>
        </w:rPr>
        <w:lastRenderedPageBreak/>
        <w:t>APPENDIX</w:t>
      </w:r>
      <w:r w:rsidRPr="008642A2">
        <w:rPr>
          <w:rFonts w:cs="Times New Roman"/>
          <w:b/>
          <w:color w:val="FF0000"/>
        </w:rPr>
        <w:t xml:space="preserve"> </w:t>
      </w:r>
      <w:r w:rsidR="00391DBC" w:rsidRPr="00A67E5E">
        <w:rPr>
          <w:rFonts w:cs="Times New Roman"/>
          <w:b/>
        </w:rPr>
        <w:t>E</w:t>
      </w:r>
      <w:r w:rsidRPr="00C67F1F">
        <w:rPr>
          <w:rFonts w:cs="Times New Roman"/>
          <w:b/>
        </w:rPr>
        <w:t>. MULTIVARIABLE ANALYSIS SHOWING NO ASSOCIATION BETWEEN OPTIMIS</w:t>
      </w:r>
      <w:r w:rsidR="003931BC" w:rsidRPr="00C67F1F">
        <w:rPr>
          <w:rFonts w:cs="Times New Roman"/>
          <w:b/>
        </w:rPr>
        <w:t xml:space="preserve">TIC EXPECTATIONS </w:t>
      </w:r>
      <w:r w:rsidRPr="00C67F1F">
        <w:rPr>
          <w:rFonts w:cs="Times New Roman"/>
          <w:b/>
        </w:rPr>
        <w:t xml:space="preserve">AND </w:t>
      </w:r>
      <w:r w:rsidR="00C67F1F">
        <w:rPr>
          <w:rFonts w:cs="Times New Roman"/>
          <w:b/>
        </w:rPr>
        <w:t xml:space="preserve">ICU LENGTH OF </w:t>
      </w:r>
      <w:r w:rsidR="003931BC" w:rsidRPr="00C67F1F">
        <w:rPr>
          <w:rFonts w:cs="Times New Roman"/>
          <w:b/>
        </w:rPr>
        <w:t>STAY</w:t>
      </w:r>
      <w:r w:rsidRPr="00C67F1F">
        <w:rPr>
          <w:rFonts w:cs="Times New Roman"/>
          <w:b/>
        </w:rPr>
        <w:t xml:space="preserve"> AMONG PATIENTS</w:t>
      </w:r>
      <w:r w:rsidR="003931BC" w:rsidRPr="00C67F1F">
        <w:rPr>
          <w:rFonts w:cs="Times New Roman"/>
          <w:b/>
        </w:rPr>
        <w:t xml:space="preserve"> WHO SURVIVED</w:t>
      </w:r>
      <w:r w:rsidRPr="00C67F1F">
        <w:rPr>
          <w:rFonts w:cs="Times New Roman"/>
          <w:b/>
        </w:rPr>
        <w:t xml:space="preserve"> </w:t>
      </w:r>
    </w:p>
    <w:tbl>
      <w:tblPr>
        <w:tblStyle w:val="TableGrid"/>
        <w:tblW w:w="0" w:type="auto"/>
        <w:tblLook w:val="04A0" w:firstRow="1" w:lastRow="0" w:firstColumn="1" w:lastColumn="0" w:noHBand="0" w:noVBand="1"/>
      </w:tblPr>
      <w:tblGrid>
        <w:gridCol w:w="2944"/>
        <w:gridCol w:w="4341"/>
        <w:gridCol w:w="1547"/>
      </w:tblGrid>
      <w:tr w:rsidR="00C3288E" w:rsidRPr="00C67F1F" w14:paraId="7C52F6B8" w14:textId="77777777" w:rsidTr="0016694F">
        <w:tc>
          <w:tcPr>
            <w:tcW w:w="2944" w:type="dxa"/>
            <w:tcBorders>
              <w:left w:val="nil"/>
              <w:bottom w:val="single" w:sz="4" w:space="0" w:color="auto"/>
              <w:right w:val="nil"/>
            </w:tcBorders>
            <w:vAlign w:val="center"/>
          </w:tcPr>
          <w:p w14:paraId="43E8D6C2" w14:textId="77777777" w:rsidR="001F4DAE" w:rsidRPr="00C67F1F" w:rsidRDefault="001F4DAE" w:rsidP="0016694F">
            <w:pPr>
              <w:contextualSpacing/>
              <w:jc w:val="center"/>
              <w:rPr>
                <w:rFonts w:cs="Times New Roman"/>
                <w:b/>
              </w:rPr>
            </w:pPr>
            <w:r w:rsidRPr="00C67F1F">
              <w:rPr>
                <w:rFonts w:cs="Times New Roman"/>
                <w:b/>
              </w:rPr>
              <w:t>Outcome of Regression Model</w:t>
            </w:r>
          </w:p>
        </w:tc>
        <w:tc>
          <w:tcPr>
            <w:tcW w:w="4341" w:type="dxa"/>
            <w:tcBorders>
              <w:left w:val="nil"/>
              <w:bottom w:val="single" w:sz="4" w:space="0" w:color="auto"/>
              <w:right w:val="nil"/>
            </w:tcBorders>
            <w:vAlign w:val="center"/>
          </w:tcPr>
          <w:p w14:paraId="56839868" w14:textId="77777777" w:rsidR="001F4DAE" w:rsidRPr="00C67F1F" w:rsidRDefault="001F4DAE" w:rsidP="0016694F">
            <w:pPr>
              <w:jc w:val="center"/>
              <w:rPr>
                <w:rFonts w:cs="Times New Roman"/>
                <w:b/>
                <w:vertAlign w:val="superscript"/>
              </w:rPr>
            </w:pPr>
            <w:r w:rsidRPr="00C67F1F">
              <w:rPr>
                <w:rFonts w:cs="Times New Roman"/>
                <w:b/>
              </w:rPr>
              <w:t>Regression Coefficient of Having Optimistic Prognostic Expectations (discordance≥20%)</w:t>
            </w:r>
          </w:p>
          <w:p w14:paraId="117AB602" w14:textId="77777777" w:rsidR="001F4DAE" w:rsidRPr="00C67F1F" w:rsidRDefault="001F4DAE" w:rsidP="0016694F">
            <w:pPr>
              <w:jc w:val="center"/>
              <w:rPr>
                <w:rFonts w:cs="Times New Roman"/>
                <w:b/>
                <w:vertAlign w:val="superscript"/>
              </w:rPr>
            </w:pPr>
            <w:r w:rsidRPr="00C67F1F">
              <w:rPr>
                <w:rFonts w:cs="Times New Roman"/>
                <w:b/>
              </w:rPr>
              <w:t>(95% CI)</w:t>
            </w:r>
          </w:p>
        </w:tc>
        <w:tc>
          <w:tcPr>
            <w:tcW w:w="1547" w:type="dxa"/>
            <w:tcBorders>
              <w:left w:val="nil"/>
              <w:bottom w:val="single" w:sz="4" w:space="0" w:color="auto"/>
              <w:right w:val="nil"/>
            </w:tcBorders>
            <w:vAlign w:val="center"/>
          </w:tcPr>
          <w:p w14:paraId="2BA5379B" w14:textId="77777777" w:rsidR="001F4DAE" w:rsidRPr="00C67F1F" w:rsidRDefault="001F4DAE" w:rsidP="0016694F">
            <w:pPr>
              <w:jc w:val="center"/>
              <w:rPr>
                <w:rFonts w:cs="Times New Roman"/>
                <w:b/>
                <w:vertAlign w:val="superscript"/>
              </w:rPr>
            </w:pPr>
            <w:r w:rsidRPr="00C67F1F">
              <w:rPr>
                <w:rFonts w:cs="Times New Roman"/>
                <w:b/>
                <w:i/>
              </w:rPr>
              <w:t>p</w:t>
            </w:r>
          </w:p>
        </w:tc>
      </w:tr>
      <w:tr w:rsidR="001F4DAE" w:rsidRPr="00C67F1F" w14:paraId="368FB09B" w14:textId="77777777" w:rsidTr="0016694F">
        <w:tc>
          <w:tcPr>
            <w:tcW w:w="2944" w:type="dxa"/>
            <w:tcBorders>
              <w:top w:val="single" w:sz="4" w:space="0" w:color="BFBFBF" w:themeColor="background1" w:themeShade="BF"/>
              <w:left w:val="nil"/>
              <w:bottom w:val="single" w:sz="4" w:space="0" w:color="auto"/>
              <w:right w:val="nil"/>
            </w:tcBorders>
            <w:vAlign w:val="center"/>
          </w:tcPr>
          <w:p w14:paraId="15CFE0A4" w14:textId="77777777" w:rsidR="001F4DAE" w:rsidRPr="00C67F1F" w:rsidRDefault="001F4DAE" w:rsidP="0016694F">
            <w:pPr>
              <w:contextualSpacing/>
              <w:jc w:val="center"/>
              <w:rPr>
                <w:rFonts w:cs="Times New Roman"/>
                <w:vertAlign w:val="superscript"/>
              </w:rPr>
            </w:pPr>
            <w:r w:rsidRPr="00C67F1F">
              <w:rPr>
                <w:rFonts w:cs="Times New Roman"/>
              </w:rPr>
              <w:t xml:space="preserve">ICU </w:t>
            </w:r>
            <w:proofErr w:type="spellStart"/>
            <w:r w:rsidRPr="00C67F1F">
              <w:rPr>
                <w:rFonts w:cs="Times New Roman"/>
              </w:rPr>
              <w:t>LOS</w:t>
            </w:r>
            <w:r w:rsidR="00331EE1" w:rsidRPr="00C67F1F">
              <w:rPr>
                <w:rFonts w:cs="Times New Roman"/>
                <w:vertAlign w:val="superscript"/>
              </w:rPr>
              <w:t>a</w:t>
            </w:r>
            <w:proofErr w:type="spellEnd"/>
          </w:p>
          <w:p w14:paraId="62E9A75A" w14:textId="77777777" w:rsidR="001F4DAE" w:rsidRPr="00C67F1F" w:rsidRDefault="00331EE1" w:rsidP="0016694F">
            <w:pPr>
              <w:contextualSpacing/>
              <w:jc w:val="center"/>
              <w:rPr>
                <w:rFonts w:cs="Times New Roman"/>
              </w:rPr>
            </w:pPr>
            <w:r w:rsidRPr="00C67F1F">
              <w:rPr>
                <w:rFonts w:cs="Times New Roman"/>
              </w:rPr>
              <w:t>(n=133</w:t>
            </w:r>
            <w:r w:rsidR="001F4DAE" w:rsidRPr="00C67F1F">
              <w:rPr>
                <w:rFonts w:cs="Times New Roman"/>
              </w:rPr>
              <w:t>)</w:t>
            </w:r>
          </w:p>
        </w:tc>
        <w:tc>
          <w:tcPr>
            <w:tcW w:w="4341" w:type="dxa"/>
            <w:tcBorders>
              <w:top w:val="single" w:sz="4" w:space="0" w:color="BFBFBF" w:themeColor="background1" w:themeShade="BF"/>
              <w:left w:val="nil"/>
              <w:bottom w:val="single" w:sz="4" w:space="0" w:color="auto"/>
              <w:right w:val="nil"/>
            </w:tcBorders>
            <w:vAlign w:val="center"/>
          </w:tcPr>
          <w:p w14:paraId="38C6153E" w14:textId="77777777" w:rsidR="001F4DAE" w:rsidRPr="00C67F1F" w:rsidRDefault="001F4DAE" w:rsidP="0016694F">
            <w:pPr>
              <w:contextualSpacing/>
              <w:jc w:val="center"/>
              <w:rPr>
                <w:rFonts w:cs="Times New Roman"/>
              </w:rPr>
            </w:pPr>
            <w:r w:rsidRPr="00C67F1F">
              <w:rPr>
                <w:rFonts w:cs="Times New Roman"/>
              </w:rPr>
              <w:t>-0.0</w:t>
            </w:r>
            <w:r w:rsidR="00331EE1" w:rsidRPr="00C67F1F">
              <w:rPr>
                <w:rFonts w:cs="Times New Roman"/>
              </w:rPr>
              <w:t>4</w:t>
            </w:r>
          </w:p>
          <w:p w14:paraId="2229B46E" w14:textId="77777777" w:rsidR="001F4DAE" w:rsidRPr="00C67F1F" w:rsidRDefault="001F4DAE" w:rsidP="0016694F">
            <w:pPr>
              <w:contextualSpacing/>
              <w:jc w:val="center"/>
              <w:rPr>
                <w:rFonts w:cs="Times New Roman"/>
              </w:rPr>
            </w:pPr>
            <w:r w:rsidRPr="00C67F1F">
              <w:rPr>
                <w:rFonts w:cs="Times New Roman"/>
              </w:rPr>
              <w:t>(-0.</w:t>
            </w:r>
            <w:r w:rsidR="00331EE1" w:rsidRPr="00C67F1F">
              <w:rPr>
                <w:rFonts w:cs="Times New Roman"/>
              </w:rPr>
              <w:t>30</w:t>
            </w:r>
            <w:r w:rsidRPr="00C67F1F">
              <w:rPr>
                <w:rFonts w:cs="Times New Roman"/>
              </w:rPr>
              <w:t xml:space="preserve"> to 0.</w:t>
            </w:r>
            <w:r w:rsidR="00331EE1" w:rsidRPr="00C67F1F">
              <w:rPr>
                <w:rFonts w:cs="Times New Roman"/>
              </w:rPr>
              <w:t>23</w:t>
            </w:r>
            <w:r w:rsidRPr="00C67F1F">
              <w:rPr>
                <w:rFonts w:cs="Times New Roman"/>
              </w:rPr>
              <w:t>)</w:t>
            </w:r>
          </w:p>
        </w:tc>
        <w:tc>
          <w:tcPr>
            <w:tcW w:w="1547" w:type="dxa"/>
            <w:tcBorders>
              <w:top w:val="single" w:sz="4" w:space="0" w:color="BFBFBF" w:themeColor="background1" w:themeShade="BF"/>
              <w:left w:val="nil"/>
              <w:bottom w:val="single" w:sz="4" w:space="0" w:color="auto"/>
              <w:right w:val="nil"/>
            </w:tcBorders>
            <w:vAlign w:val="center"/>
          </w:tcPr>
          <w:p w14:paraId="34FBAFB0" w14:textId="77777777" w:rsidR="001F4DAE" w:rsidRPr="00C67F1F" w:rsidRDefault="001F4DAE" w:rsidP="0016694F">
            <w:pPr>
              <w:contextualSpacing/>
              <w:jc w:val="center"/>
              <w:rPr>
                <w:rFonts w:cs="Times New Roman"/>
              </w:rPr>
            </w:pPr>
            <w:r w:rsidRPr="00C67F1F">
              <w:rPr>
                <w:rFonts w:cs="Times New Roman"/>
              </w:rPr>
              <w:t>0.</w:t>
            </w:r>
            <w:r w:rsidR="00331EE1" w:rsidRPr="00C67F1F">
              <w:rPr>
                <w:rFonts w:cs="Times New Roman"/>
              </w:rPr>
              <w:t>779</w:t>
            </w:r>
          </w:p>
        </w:tc>
      </w:tr>
      <w:tr w:rsidR="00C3288E" w:rsidRPr="00C3288E" w14:paraId="02E6E740" w14:textId="77777777" w:rsidTr="0016694F">
        <w:tc>
          <w:tcPr>
            <w:tcW w:w="8832" w:type="dxa"/>
            <w:gridSpan w:val="3"/>
            <w:tcBorders>
              <w:top w:val="single" w:sz="4" w:space="0" w:color="auto"/>
              <w:left w:val="nil"/>
              <w:bottom w:val="nil"/>
              <w:right w:val="nil"/>
            </w:tcBorders>
          </w:tcPr>
          <w:p w14:paraId="4176F097" w14:textId="77777777" w:rsidR="001F4DAE" w:rsidRPr="00C3288E" w:rsidRDefault="001F4DAE" w:rsidP="0016694F">
            <w:pPr>
              <w:rPr>
                <w:rFonts w:cs="Times New Roman"/>
                <w:sz w:val="18"/>
                <w:szCs w:val="18"/>
              </w:rPr>
            </w:pPr>
            <w:proofErr w:type="spellStart"/>
            <w:r w:rsidRPr="00C3288E">
              <w:rPr>
                <w:rFonts w:cs="Times New Roman"/>
                <w:sz w:val="18"/>
                <w:szCs w:val="18"/>
                <w:vertAlign w:val="superscript"/>
              </w:rPr>
              <w:t>a</w:t>
            </w:r>
            <w:r w:rsidRPr="00C3288E">
              <w:rPr>
                <w:rFonts w:cs="Times New Roman"/>
                <w:sz w:val="18"/>
                <w:szCs w:val="18"/>
              </w:rPr>
              <w:t>Adjusted</w:t>
            </w:r>
            <w:proofErr w:type="spellEnd"/>
            <w:r w:rsidRPr="00C3288E">
              <w:rPr>
                <w:rFonts w:cs="Times New Roman"/>
                <w:sz w:val="18"/>
                <w:szCs w:val="18"/>
              </w:rPr>
              <w:t xml:space="preserve"> for the following factors: the patient’s age, APACHE II score on the fifth day on mechanical ventilation (the same day prognostic estimates were taken), and admission source (from home vs. other)</w:t>
            </w:r>
          </w:p>
          <w:p w14:paraId="0AF8B93C" w14:textId="77777777" w:rsidR="001F4DAE" w:rsidRPr="00C3288E" w:rsidRDefault="001F4DAE" w:rsidP="001F4DAE">
            <w:pPr>
              <w:contextualSpacing/>
              <w:rPr>
                <w:rFonts w:cs="Times New Roman"/>
                <w:sz w:val="18"/>
                <w:szCs w:val="18"/>
              </w:rPr>
            </w:pPr>
            <w:r w:rsidRPr="00C3288E">
              <w:rPr>
                <w:rFonts w:cs="Times New Roman"/>
                <w:i/>
                <w:sz w:val="18"/>
                <w:szCs w:val="18"/>
              </w:rPr>
              <w:t>Definition of abbreviations:</w:t>
            </w:r>
            <w:r w:rsidRPr="00C3288E">
              <w:rPr>
                <w:rFonts w:cs="Times New Roman"/>
                <w:sz w:val="18"/>
                <w:szCs w:val="18"/>
              </w:rPr>
              <w:t xml:space="preserve"> LOS=Length of Stay; ICU=intensive care unit; APACHE II= Acute Physiology and Chronic Health Evaluation II.</w:t>
            </w:r>
          </w:p>
        </w:tc>
      </w:tr>
    </w:tbl>
    <w:p w14:paraId="6F423B6B" w14:textId="77777777" w:rsidR="001F4DAE" w:rsidRDefault="001F4DAE" w:rsidP="00FE375D">
      <w:pPr>
        <w:contextualSpacing/>
      </w:pPr>
    </w:p>
    <w:p w14:paraId="5AEE686A" w14:textId="77777777" w:rsidR="003758C2" w:rsidRDefault="003758C2" w:rsidP="00FE375D">
      <w:pPr>
        <w:contextualSpacing/>
        <w:rPr>
          <w:sz w:val="18"/>
          <w:szCs w:val="18"/>
        </w:rPr>
      </w:pPr>
    </w:p>
    <w:p w14:paraId="072894AF" w14:textId="77777777" w:rsidR="00A04553" w:rsidRDefault="00A04553">
      <w:pPr>
        <w:rPr>
          <w:sz w:val="18"/>
          <w:szCs w:val="18"/>
        </w:rPr>
      </w:pPr>
      <w:r>
        <w:rPr>
          <w:sz w:val="18"/>
          <w:szCs w:val="18"/>
        </w:rPr>
        <w:br w:type="page"/>
      </w:r>
    </w:p>
    <w:p w14:paraId="3ADCBFD0" w14:textId="77777777" w:rsidR="00C67F1F" w:rsidRPr="00B343D1" w:rsidRDefault="00C67F1F">
      <w:pPr>
        <w:rPr>
          <w:rFonts w:ascii="Arial" w:hAnsi="Arial" w:cs="Arial"/>
          <w:b/>
        </w:rPr>
      </w:pPr>
      <w:r w:rsidRPr="00C67F1F">
        <w:rPr>
          <w:rFonts w:ascii="Arial" w:hAnsi="Arial" w:cs="Arial"/>
          <w:b/>
        </w:rPr>
        <w:lastRenderedPageBreak/>
        <w:t>APPENDIX</w:t>
      </w:r>
      <w:r w:rsidRPr="00A67E5E">
        <w:rPr>
          <w:rFonts w:ascii="Arial" w:hAnsi="Arial" w:cs="Arial"/>
          <w:b/>
        </w:rPr>
        <w:t xml:space="preserve"> </w:t>
      </w:r>
      <w:r w:rsidR="00391DBC" w:rsidRPr="00A67E5E">
        <w:rPr>
          <w:rFonts w:ascii="Arial" w:hAnsi="Arial" w:cs="Arial"/>
          <w:b/>
        </w:rPr>
        <w:t>F</w:t>
      </w:r>
      <w:r w:rsidR="008123E5">
        <w:rPr>
          <w:rFonts w:ascii="Arial" w:hAnsi="Arial" w:cs="Arial"/>
          <w:b/>
        </w:rPr>
        <w:t xml:space="preserve">. </w:t>
      </w:r>
      <w:r w:rsidRPr="00C67F1F">
        <w:rPr>
          <w:rFonts w:ascii="Arial" w:hAnsi="Arial" w:cs="Arial"/>
          <w:b/>
        </w:rPr>
        <w:t xml:space="preserve"> SENSITIVITY ANALYSES VERIFYING THE ASSOCIATION BETWEEN SURROGATES’ OPTIMISTIC EXPECTATIONS ABOUT PROGNOSIS AND DURATION OF INTENSIVE TREATMENT </w:t>
      </w:r>
      <w:r w:rsidR="00B343D1">
        <w:rPr>
          <w:rFonts w:ascii="Arial" w:hAnsi="Arial" w:cs="Arial"/>
          <w:b/>
        </w:rPr>
        <w:t>AT THE END OF LIFE</w:t>
      </w:r>
    </w:p>
    <w:p w14:paraId="41B757EB" w14:textId="77777777" w:rsidR="008123E5" w:rsidRPr="00B343D1" w:rsidRDefault="008123E5" w:rsidP="008123E5">
      <w:pPr>
        <w:contextualSpacing/>
        <w:rPr>
          <w:rFonts w:ascii="Arial" w:hAnsi="Arial" w:cs="Arial"/>
          <w:b/>
          <w:sz w:val="20"/>
          <w:szCs w:val="20"/>
        </w:rPr>
      </w:pPr>
      <w:r w:rsidRPr="008123E5">
        <w:rPr>
          <w:b/>
        </w:rPr>
        <w:t>SENSITIVITY ANALYSIS 1.  USING THE SURVIVAL EXPECTANCY RATIO (</w:t>
      </w:r>
      <w:proofErr w:type="gramStart"/>
      <w:r w:rsidRPr="008123E5">
        <w:rPr>
          <w:b/>
        </w:rPr>
        <w:t>SER)  ≥</w:t>
      </w:r>
      <w:proofErr w:type="gramEnd"/>
      <w:r w:rsidRPr="008123E5">
        <w:rPr>
          <w:b/>
        </w:rPr>
        <w:t xml:space="preserve">1.2 TO DEFINE </w:t>
      </w:r>
      <w:r w:rsidRPr="00B343D1">
        <w:rPr>
          <w:rFonts w:ascii="Arial" w:hAnsi="Arial" w:cs="Arial"/>
          <w:b/>
          <w:sz w:val="20"/>
          <w:szCs w:val="20"/>
        </w:rPr>
        <w:t xml:space="preserve">OPTIMISTIC EXPECTATIONS BY SURROGATES. </w:t>
      </w:r>
      <w:r w:rsidR="00B343D1" w:rsidRPr="00B343D1">
        <w:rPr>
          <w:rFonts w:ascii="Arial" w:hAnsi="Arial" w:cs="Arial"/>
          <w:b/>
          <w:sz w:val="20"/>
          <w:szCs w:val="20"/>
        </w:rPr>
        <w:t xml:space="preserve"> </w:t>
      </w:r>
      <w:r w:rsidRPr="00B343D1">
        <w:rPr>
          <w:rFonts w:ascii="Arial" w:hAnsi="Arial" w:cs="Arial"/>
          <w:b/>
          <w:sz w:val="20"/>
          <w:szCs w:val="20"/>
        </w:rPr>
        <w:t xml:space="preserve">MULTIPLE VARIABLE ANALYSIS SHOWING ADJUSTED ASSOCIATION BETWEEN SER ≥1.2 AND HEALTHCARE UTILIZATION </w:t>
      </w:r>
    </w:p>
    <w:tbl>
      <w:tblPr>
        <w:tblStyle w:val="TableGrid1"/>
        <w:tblW w:w="9270" w:type="dxa"/>
        <w:jc w:val="center"/>
        <w:tblBorders>
          <w:left w:val="none" w:sz="0" w:space="0" w:color="auto"/>
          <w:bottom w:val="none" w:sz="0" w:space="0" w:color="auto"/>
          <w:right w:val="none" w:sz="0" w:space="0" w:color="auto"/>
        </w:tblBorders>
        <w:tblLook w:val="04A0" w:firstRow="1" w:lastRow="0" w:firstColumn="1" w:lastColumn="0" w:noHBand="0" w:noVBand="1"/>
      </w:tblPr>
      <w:tblGrid>
        <w:gridCol w:w="2700"/>
        <w:gridCol w:w="2970"/>
        <w:gridCol w:w="2340"/>
        <w:gridCol w:w="1260"/>
      </w:tblGrid>
      <w:tr w:rsidR="008123E5" w:rsidRPr="00B343D1" w14:paraId="768155A9" w14:textId="77777777" w:rsidTr="0093516D">
        <w:trPr>
          <w:trHeight w:val="288"/>
          <w:jc w:val="center"/>
        </w:trPr>
        <w:tc>
          <w:tcPr>
            <w:tcW w:w="2700" w:type="dxa"/>
            <w:noWrap/>
            <w:vAlign w:val="center"/>
          </w:tcPr>
          <w:p w14:paraId="31B4A58B" w14:textId="77777777" w:rsidR="008123E5" w:rsidRPr="00B343D1" w:rsidRDefault="008123E5" w:rsidP="0093516D">
            <w:pPr>
              <w:jc w:val="center"/>
              <w:rPr>
                <w:rFonts w:ascii="Arial" w:hAnsi="Arial" w:cs="Arial"/>
                <w:b/>
                <w:sz w:val="20"/>
                <w:szCs w:val="20"/>
              </w:rPr>
            </w:pPr>
            <w:r w:rsidRPr="00B343D1">
              <w:rPr>
                <w:rFonts w:ascii="Arial" w:hAnsi="Arial" w:cs="Arial"/>
                <w:b/>
                <w:sz w:val="20"/>
                <w:szCs w:val="20"/>
              </w:rPr>
              <w:t>Outcome of regression model</w:t>
            </w:r>
          </w:p>
        </w:tc>
        <w:tc>
          <w:tcPr>
            <w:tcW w:w="2970" w:type="dxa"/>
            <w:noWrap/>
            <w:vAlign w:val="center"/>
          </w:tcPr>
          <w:p w14:paraId="7A3F90CC" w14:textId="77777777" w:rsidR="008123E5" w:rsidRPr="00B343D1" w:rsidRDefault="008123E5" w:rsidP="0093516D">
            <w:pPr>
              <w:jc w:val="center"/>
              <w:rPr>
                <w:rFonts w:ascii="Arial" w:hAnsi="Arial" w:cs="Arial"/>
                <w:b/>
                <w:sz w:val="20"/>
                <w:szCs w:val="20"/>
                <w:vertAlign w:val="superscript"/>
              </w:rPr>
            </w:pPr>
            <w:r w:rsidRPr="00B343D1">
              <w:rPr>
                <w:rFonts w:ascii="Arial" w:hAnsi="Arial" w:cs="Arial"/>
                <w:b/>
                <w:sz w:val="20"/>
                <w:szCs w:val="20"/>
              </w:rPr>
              <w:t>Regression Coefficient of Having Optimistic Prognostic Expectations (SER≥1.2)</w:t>
            </w:r>
          </w:p>
          <w:p w14:paraId="73A2D100" w14:textId="77777777" w:rsidR="008123E5" w:rsidRPr="00B343D1" w:rsidRDefault="008123E5" w:rsidP="0093516D">
            <w:pPr>
              <w:jc w:val="center"/>
              <w:rPr>
                <w:rFonts w:ascii="Arial" w:hAnsi="Arial" w:cs="Arial"/>
                <w:b/>
                <w:sz w:val="20"/>
                <w:szCs w:val="20"/>
                <w:vertAlign w:val="superscript"/>
              </w:rPr>
            </w:pPr>
            <w:r w:rsidRPr="00B343D1">
              <w:rPr>
                <w:rFonts w:ascii="Arial" w:hAnsi="Arial" w:cs="Arial"/>
                <w:b/>
                <w:sz w:val="20"/>
                <w:szCs w:val="20"/>
              </w:rPr>
              <w:t>(95% CI)</w:t>
            </w:r>
          </w:p>
        </w:tc>
        <w:tc>
          <w:tcPr>
            <w:tcW w:w="2340" w:type="dxa"/>
            <w:vAlign w:val="center"/>
          </w:tcPr>
          <w:p w14:paraId="4838E69C" w14:textId="77777777" w:rsidR="008123E5" w:rsidRPr="00B343D1" w:rsidRDefault="008123E5" w:rsidP="0093516D">
            <w:pPr>
              <w:jc w:val="center"/>
              <w:rPr>
                <w:rFonts w:ascii="Arial" w:hAnsi="Arial" w:cs="Arial"/>
                <w:b/>
                <w:sz w:val="20"/>
                <w:szCs w:val="20"/>
              </w:rPr>
            </w:pPr>
            <w:r w:rsidRPr="00B343D1">
              <w:rPr>
                <w:rFonts w:ascii="Arial" w:hAnsi="Arial" w:cs="Arial"/>
                <w:b/>
                <w:sz w:val="20"/>
                <w:szCs w:val="20"/>
              </w:rPr>
              <w:t xml:space="preserve">Change from the </w:t>
            </w:r>
            <w:proofErr w:type="spellStart"/>
            <w:proofErr w:type="gramStart"/>
            <w:r w:rsidRPr="00B343D1">
              <w:rPr>
                <w:rFonts w:ascii="Arial" w:hAnsi="Arial" w:cs="Arial"/>
                <w:b/>
                <w:sz w:val="20"/>
                <w:szCs w:val="20"/>
              </w:rPr>
              <w:t>Mean</w:t>
            </w:r>
            <w:r w:rsidRPr="00B343D1">
              <w:rPr>
                <w:rFonts w:ascii="Arial" w:hAnsi="Arial" w:cs="Arial"/>
                <w:b/>
                <w:sz w:val="20"/>
                <w:szCs w:val="20"/>
                <w:vertAlign w:val="superscript"/>
              </w:rPr>
              <w:t>a,b</w:t>
            </w:r>
            <w:proofErr w:type="spellEnd"/>
            <w:proofErr w:type="gramEnd"/>
          </w:p>
          <w:p w14:paraId="49F3C105" w14:textId="77777777" w:rsidR="008123E5" w:rsidRPr="00B343D1" w:rsidRDefault="008123E5" w:rsidP="0093516D">
            <w:pPr>
              <w:jc w:val="center"/>
              <w:rPr>
                <w:rFonts w:ascii="Arial" w:hAnsi="Arial" w:cs="Arial"/>
                <w:b/>
                <w:sz w:val="20"/>
                <w:szCs w:val="20"/>
              </w:rPr>
            </w:pPr>
            <w:r w:rsidRPr="00B343D1">
              <w:rPr>
                <w:rFonts w:ascii="Arial" w:hAnsi="Arial" w:cs="Arial"/>
                <w:b/>
                <w:sz w:val="20"/>
                <w:szCs w:val="20"/>
              </w:rPr>
              <w:t>(% change)</w:t>
            </w:r>
          </w:p>
        </w:tc>
        <w:tc>
          <w:tcPr>
            <w:tcW w:w="1260" w:type="dxa"/>
            <w:noWrap/>
            <w:vAlign w:val="center"/>
          </w:tcPr>
          <w:p w14:paraId="2740A832" w14:textId="77777777" w:rsidR="008123E5" w:rsidRPr="00B343D1" w:rsidRDefault="008123E5" w:rsidP="0093516D">
            <w:pPr>
              <w:jc w:val="center"/>
              <w:rPr>
                <w:rFonts w:ascii="Arial" w:hAnsi="Arial" w:cs="Arial"/>
                <w:b/>
                <w:i/>
                <w:sz w:val="20"/>
                <w:szCs w:val="20"/>
              </w:rPr>
            </w:pPr>
            <w:r w:rsidRPr="00B343D1">
              <w:rPr>
                <w:rFonts w:ascii="Arial" w:hAnsi="Arial" w:cs="Arial"/>
                <w:b/>
                <w:i/>
                <w:sz w:val="20"/>
                <w:szCs w:val="20"/>
              </w:rPr>
              <w:t>p</w:t>
            </w:r>
          </w:p>
        </w:tc>
      </w:tr>
      <w:tr w:rsidR="008123E5" w:rsidRPr="00B343D1" w14:paraId="103080D8" w14:textId="77777777" w:rsidTr="0093516D">
        <w:trPr>
          <w:trHeight w:val="300"/>
          <w:jc w:val="center"/>
        </w:trPr>
        <w:tc>
          <w:tcPr>
            <w:tcW w:w="2700" w:type="dxa"/>
            <w:noWrap/>
            <w:vAlign w:val="center"/>
          </w:tcPr>
          <w:p w14:paraId="5AC029E1" w14:textId="77777777" w:rsidR="008123E5" w:rsidRPr="00B343D1" w:rsidRDefault="008123E5" w:rsidP="0093516D">
            <w:pPr>
              <w:rPr>
                <w:rFonts w:ascii="Arial" w:hAnsi="Arial" w:cs="Arial"/>
                <w:sz w:val="20"/>
                <w:szCs w:val="20"/>
              </w:rPr>
            </w:pPr>
            <w:r w:rsidRPr="00B343D1">
              <w:rPr>
                <w:rFonts w:ascii="Arial" w:hAnsi="Arial" w:cs="Arial"/>
                <w:sz w:val="20"/>
                <w:szCs w:val="20"/>
              </w:rPr>
              <w:t>ICU length of stay</w:t>
            </w:r>
          </w:p>
        </w:tc>
        <w:tc>
          <w:tcPr>
            <w:tcW w:w="2970" w:type="dxa"/>
            <w:noWrap/>
            <w:vAlign w:val="center"/>
          </w:tcPr>
          <w:p w14:paraId="191395C0" w14:textId="77777777" w:rsidR="008123E5" w:rsidRPr="00B343D1" w:rsidRDefault="008123E5" w:rsidP="0093516D">
            <w:pPr>
              <w:jc w:val="center"/>
              <w:rPr>
                <w:rFonts w:ascii="Arial" w:hAnsi="Arial" w:cs="Arial"/>
                <w:sz w:val="20"/>
                <w:szCs w:val="20"/>
              </w:rPr>
            </w:pPr>
            <w:r w:rsidRPr="00B343D1">
              <w:rPr>
                <w:rFonts w:ascii="Arial" w:hAnsi="Arial" w:cs="Arial"/>
                <w:sz w:val="20"/>
                <w:szCs w:val="20"/>
              </w:rPr>
              <w:t>0.55  (0.19- 0.91)</w:t>
            </w:r>
            <w:r w:rsidRPr="00B343D1">
              <w:rPr>
                <w:rFonts w:ascii="Arial" w:hAnsi="Arial" w:cs="Arial"/>
                <w:sz w:val="20"/>
                <w:szCs w:val="20"/>
                <w:vertAlign w:val="superscript"/>
              </w:rPr>
              <w:t>d</w:t>
            </w:r>
          </w:p>
        </w:tc>
        <w:tc>
          <w:tcPr>
            <w:tcW w:w="2340" w:type="dxa"/>
            <w:vAlign w:val="center"/>
          </w:tcPr>
          <w:p w14:paraId="1F64A7A4" w14:textId="77777777" w:rsidR="008123E5" w:rsidRPr="00B343D1" w:rsidRDefault="008123E5" w:rsidP="0093516D">
            <w:pPr>
              <w:jc w:val="center"/>
              <w:rPr>
                <w:rFonts w:ascii="Arial" w:hAnsi="Arial" w:cs="Arial"/>
                <w:sz w:val="20"/>
                <w:szCs w:val="20"/>
              </w:rPr>
            </w:pPr>
            <w:r w:rsidRPr="00B343D1">
              <w:rPr>
                <w:rFonts w:ascii="Arial" w:hAnsi="Arial" w:cs="Arial"/>
                <w:sz w:val="20"/>
                <w:szCs w:val="20"/>
              </w:rPr>
              <w:t>10.2 days (73.6%)</w:t>
            </w:r>
          </w:p>
        </w:tc>
        <w:tc>
          <w:tcPr>
            <w:tcW w:w="1260" w:type="dxa"/>
            <w:noWrap/>
            <w:vAlign w:val="center"/>
          </w:tcPr>
          <w:p w14:paraId="737FFD97" w14:textId="77777777" w:rsidR="008123E5" w:rsidRPr="00B343D1" w:rsidRDefault="008123E5" w:rsidP="0093516D">
            <w:pPr>
              <w:jc w:val="center"/>
              <w:rPr>
                <w:rFonts w:ascii="Arial" w:hAnsi="Arial" w:cs="Arial"/>
                <w:sz w:val="20"/>
                <w:szCs w:val="20"/>
              </w:rPr>
            </w:pPr>
            <w:r w:rsidRPr="00B343D1">
              <w:rPr>
                <w:rFonts w:ascii="Arial" w:hAnsi="Arial" w:cs="Arial"/>
                <w:sz w:val="20"/>
                <w:szCs w:val="20"/>
              </w:rPr>
              <w:t>0.003</w:t>
            </w:r>
          </w:p>
        </w:tc>
      </w:tr>
      <w:tr w:rsidR="008123E5" w:rsidRPr="00B343D1" w14:paraId="5BBEA366" w14:textId="77777777" w:rsidTr="0093516D">
        <w:trPr>
          <w:trHeight w:val="300"/>
          <w:jc w:val="center"/>
        </w:trPr>
        <w:tc>
          <w:tcPr>
            <w:tcW w:w="2700" w:type="dxa"/>
            <w:noWrap/>
            <w:vAlign w:val="center"/>
          </w:tcPr>
          <w:p w14:paraId="2FCBA308" w14:textId="77777777" w:rsidR="008123E5" w:rsidRPr="00B343D1" w:rsidRDefault="008123E5" w:rsidP="0093516D">
            <w:pPr>
              <w:rPr>
                <w:rFonts w:ascii="Arial" w:hAnsi="Arial" w:cs="Arial"/>
                <w:sz w:val="20"/>
                <w:szCs w:val="20"/>
              </w:rPr>
            </w:pPr>
            <w:r w:rsidRPr="00B343D1">
              <w:rPr>
                <w:rFonts w:ascii="Arial" w:hAnsi="Arial" w:cs="Arial"/>
                <w:sz w:val="20"/>
                <w:szCs w:val="20"/>
              </w:rPr>
              <w:t>Length of mechanical ventilation</w:t>
            </w:r>
          </w:p>
        </w:tc>
        <w:tc>
          <w:tcPr>
            <w:tcW w:w="2970" w:type="dxa"/>
            <w:noWrap/>
            <w:vAlign w:val="center"/>
          </w:tcPr>
          <w:p w14:paraId="323A251A" w14:textId="77777777" w:rsidR="008123E5" w:rsidRPr="00B343D1" w:rsidRDefault="008123E5" w:rsidP="0093516D">
            <w:pPr>
              <w:jc w:val="center"/>
              <w:rPr>
                <w:rFonts w:ascii="Arial" w:hAnsi="Arial" w:cs="Arial"/>
                <w:sz w:val="20"/>
                <w:szCs w:val="20"/>
              </w:rPr>
            </w:pPr>
            <w:r w:rsidRPr="00B343D1">
              <w:rPr>
                <w:rFonts w:ascii="Arial" w:hAnsi="Arial" w:cs="Arial"/>
                <w:sz w:val="20"/>
                <w:szCs w:val="20"/>
              </w:rPr>
              <w:t>0.44  (0.06-0.81)</w:t>
            </w:r>
            <w:r w:rsidRPr="00B343D1">
              <w:rPr>
                <w:rFonts w:ascii="Arial" w:hAnsi="Arial" w:cs="Arial"/>
                <w:sz w:val="20"/>
                <w:szCs w:val="20"/>
                <w:vertAlign w:val="superscript"/>
              </w:rPr>
              <w:t>c</w:t>
            </w:r>
          </w:p>
        </w:tc>
        <w:tc>
          <w:tcPr>
            <w:tcW w:w="2340" w:type="dxa"/>
            <w:vAlign w:val="center"/>
          </w:tcPr>
          <w:p w14:paraId="7BAE1CF3" w14:textId="77777777" w:rsidR="008123E5" w:rsidRPr="00B343D1" w:rsidRDefault="008123E5" w:rsidP="0093516D">
            <w:pPr>
              <w:jc w:val="center"/>
              <w:rPr>
                <w:rFonts w:ascii="Arial" w:hAnsi="Arial" w:cs="Arial"/>
                <w:sz w:val="20"/>
                <w:szCs w:val="20"/>
              </w:rPr>
            </w:pPr>
            <w:r w:rsidRPr="00B343D1">
              <w:rPr>
                <w:rFonts w:ascii="Arial" w:hAnsi="Arial" w:cs="Arial"/>
                <w:sz w:val="20"/>
                <w:szCs w:val="20"/>
              </w:rPr>
              <w:t>8.3 days (54.8%)</w:t>
            </w:r>
          </w:p>
        </w:tc>
        <w:tc>
          <w:tcPr>
            <w:tcW w:w="1260" w:type="dxa"/>
            <w:noWrap/>
            <w:vAlign w:val="center"/>
          </w:tcPr>
          <w:p w14:paraId="6199938E" w14:textId="77777777" w:rsidR="008123E5" w:rsidRPr="00B343D1" w:rsidRDefault="008123E5" w:rsidP="0093516D">
            <w:pPr>
              <w:jc w:val="center"/>
              <w:rPr>
                <w:rFonts w:ascii="Arial" w:hAnsi="Arial" w:cs="Arial"/>
                <w:sz w:val="20"/>
                <w:szCs w:val="20"/>
              </w:rPr>
            </w:pPr>
            <w:r w:rsidRPr="00B343D1">
              <w:rPr>
                <w:rFonts w:ascii="Arial" w:hAnsi="Arial" w:cs="Arial"/>
                <w:sz w:val="20"/>
                <w:szCs w:val="20"/>
              </w:rPr>
              <w:t>0.023</w:t>
            </w:r>
          </w:p>
        </w:tc>
      </w:tr>
      <w:tr w:rsidR="008123E5" w:rsidRPr="008123E5" w14:paraId="421622A5" w14:textId="77777777" w:rsidTr="0093516D">
        <w:trPr>
          <w:trHeight w:val="300"/>
          <w:jc w:val="center"/>
        </w:trPr>
        <w:tc>
          <w:tcPr>
            <w:tcW w:w="9270" w:type="dxa"/>
            <w:gridSpan w:val="4"/>
            <w:noWrap/>
            <w:vAlign w:val="center"/>
          </w:tcPr>
          <w:p w14:paraId="3B8F60B6" w14:textId="77777777" w:rsidR="008123E5" w:rsidRPr="008123E5" w:rsidRDefault="008123E5" w:rsidP="0093516D">
            <w:pPr>
              <w:rPr>
                <w:rFonts w:cs="Times New Roman"/>
                <w:sz w:val="20"/>
                <w:szCs w:val="20"/>
              </w:rPr>
            </w:pPr>
            <w:proofErr w:type="spellStart"/>
            <w:r w:rsidRPr="008123E5">
              <w:rPr>
                <w:rFonts w:cs="Times New Roman"/>
                <w:sz w:val="20"/>
                <w:szCs w:val="20"/>
                <w:vertAlign w:val="superscript"/>
              </w:rPr>
              <w:t>a</w:t>
            </w:r>
            <w:r w:rsidRPr="008123E5">
              <w:rPr>
                <w:rFonts w:cs="Times New Roman"/>
                <w:sz w:val="20"/>
                <w:szCs w:val="20"/>
              </w:rPr>
              <w:t>Among</w:t>
            </w:r>
            <w:proofErr w:type="spellEnd"/>
            <w:r w:rsidRPr="008123E5">
              <w:rPr>
                <w:rFonts w:cs="Times New Roman"/>
                <w:sz w:val="20"/>
                <w:szCs w:val="20"/>
              </w:rPr>
              <w:t xml:space="preserve"> the patients who died, the mean (median) hospital length of stay is=15.3 days (8 days), the mean (median) ICU length of stay is=13.9 days (8 days), and the mean (median) length of mechanical ventilation is=15.1 days (8 days).</w:t>
            </w:r>
          </w:p>
          <w:p w14:paraId="067E0C19" w14:textId="77777777" w:rsidR="008123E5" w:rsidRPr="008123E5" w:rsidRDefault="008123E5" w:rsidP="0093516D">
            <w:pPr>
              <w:rPr>
                <w:rFonts w:cs="Times New Roman"/>
                <w:sz w:val="20"/>
                <w:szCs w:val="20"/>
              </w:rPr>
            </w:pPr>
            <w:proofErr w:type="spellStart"/>
            <w:r w:rsidRPr="008123E5">
              <w:rPr>
                <w:rFonts w:cs="Times New Roman"/>
                <w:sz w:val="20"/>
                <w:szCs w:val="20"/>
                <w:vertAlign w:val="superscript"/>
              </w:rPr>
              <w:t>b</w:t>
            </w:r>
            <w:r w:rsidRPr="008123E5">
              <w:rPr>
                <w:rFonts w:cs="Times New Roman"/>
                <w:sz w:val="20"/>
                <w:szCs w:val="20"/>
              </w:rPr>
              <w:t>The</w:t>
            </w:r>
            <w:proofErr w:type="spellEnd"/>
            <w:r w:rsidRPr="008123E5">
              <w:rPr>
                <w:rFonts w:cs="Times New Roman"/>
                <w:sz w:val="20"/>
                <w:szCs w:val="20"/>
              </w:rPr>
              <w:t xml:space="preserve"> % change from the mean is computed by exponentiating the coefficient (beta) from the regression with log-transformed outcome</w:t>
            </w:r>
          </w:p>
          <w:p w14:paraId="2CA2D6BA" w14:textId="77777777" w:rsidR="008123E5" w:rsidRPr="008123E5" w:rsidRDefault="008123E5" w:rsidP="0093516D">
            <w:pPr>
              <w:rPr>
                <w:rFonts w:cs="Times New Roman"/>
                <w:sz w:val="20"/>
                <w:szCs w:val="20"/>
              </w:rPr>
            </w:pPr>
            <w:proofErr w:type="spellStart"/>
            <w:r w:rsidRPr="008123E5">
              <w:rPr>
                <w:rFonts w:cs="Times New Roman"/>
                <w:sz w:val="20"/>
                <w:szCs w:val="20"/>
                <w:vertAlign w:val="superscript"/>
              </w:rPr>
              <w:t>c</w:t>
            </w:r>
            <w:r w:rsidRPr="008123E5">
              <w:rPr>
                <w:rFonts w:cs="Times New Roman"/>
                <w:sz w:val="20"/>
                <w:szCs w:val="20"/>
              </w:rPr>
              <w:t>Adjusted</w:t>
            </w:r>
            <w:proofErr w:type="spellEnd"/>
            <w:r w:rsidRPr="008123E5">
              <w:rPr>
                <w:rFonts w:cs="Times New Roman"/>
                <w:sz w:val="20"/>
                <w:szCs w:val="20"/>
              </w:rPr>
              <w:t xml:space="preserve"> for the following factors: the patient’s APACHE II score on the fifth day on mechanical ventilation (the same day prognostic estimates were taken), and surrogate’s relationship to the patient</w:t>
            </w:r>
          </w:p>
          <w:p w14:paraId="7E146785" w14:textId="77777777" w:rsidR="008123E5" w:rsidRPr="008123E5" w:rsidRDefault="008123E5" w:rsidP="0093516D">
            <w:pPr>
              <w:rPr>
                <w:rFonts w:cs="Times New Roman"/>
                <w:sz w:val="20"/>
                <w:szCs w:val="20"/>
              </w:rPr>
            </w:pPr>
            <w:proofErr w:type="spellStart"/>
            <w:r w:rsidRPr="008123E5">
              <w:rPr>
                <w:rFonts w:cs="Times New Roman"/>
                <w:sz w:val="20"/>
                <w:szCs w:val="20"/>
                <w:vertAlign w:val="superscript"/>
              </w:rPr>
              <w:t>d</w:t>
            </w:r>
            <w:r w:rsidRPr="008123E5">
              <w:rPr>
                <w:rFonts w:cs="Times New Roman"/>
                <w:sz w:val="20"/>
                <w:szCs w:val="20"/>
              </w:rPr>
              <w:t>Adjusted</w:t>
            </w:r>
            <w:proofErr w:type="spellEnd"/>
            <w:r w:rsidRPr="008123E5">
              <w:rPr>
                <w:rFonts w:cs="Times New Roman"/>
                <w:sz w:val="20"/>
                <w:szCs w:val="20"/>
              </w:rPr>
              <w:t xml:space="preserve"> for the following factors: the patient’s APACHE II score on the fifth day on mechanical ventilation (the same day prognostic estimates were taken), surrogate’s relationship to the patient, and surrogate’s race (non-Hispanic black vs. other) </w:t>
            </w:r>
          </w:p>
          <w:p w14:paraId="6FD4643B" w14:textId="77777777" w:rsidR="008123E5" w:rsidRPr="008123E5" w:rsidRDefault="008123E5" w:rsidP="0093516D">
            <w:pPr>
              <w:ind w:left="176" w:firstLine="176"/>
              <w:rPr>
                <w:rFonts w:cs="Times New Roman"/>
                <w:sz w:val="20"/>
                <w:szCs w:val="20"/>
              </w:rPr>
            </w:pPr>
            <w:r w:rsidRPr="008123E5">
              <w:rPr>
                <w:rFonts w:cs="Times New Roman"/>
                <w:i/>
                <w:sz w:val="20"/>
                <w:szCs w:val="20"/>
              </w:rPr>
              <w:t>Definition of abbreviations</w:t>
            </w:r>
            <w:r w:rsidRPr="008123E5">
              <w:rPr>
                <w:rFonts w:cs="Times New Roman"/>
                <w:sz w:val="20"/>
                <w:szCs w:val="20"/>
              </w:rPr>
              <w:t>: SER=survival expectancy ratio;</w:t>
            </w:r>
            <w:r w:rsidRPr="008123E5">
              <w:rPr>
                <w:sz w:val="20"/>
                <w:szCs w:val="20"/>
              </w:rPr>
              <w:t xml:space="preserve"> </w:t>
            </w:r>
            <w:r w:rsidRPr="008123E5">
              <w:rPr>
                <w:rFonts w:cs="Times New Roman"/>
                <w:sz w:val="20"/>
                <w:szCs w:val="20"/>
              </w:rPr>
              <w:t>ICU = intensive care unit; APACHE II = Acute Physiology and Chronic Health Evaluation II.</w:t>
            </w:r>
          </w:p>
        </w:tc>
      </w:tr>
    </w:tbl>
    <w:p w14:paraId="663BED7B" w14:textId="77777777" w:rsidR="008123E5" w:rsidRDefault="008123E5">
      <w:pPr>
        <w:rPr>
          <w:rFonts w:ascii="Arial" w:hAnsi="Arial" w:cs="Arial"/>
        </w:rPr>
      </w:pPr>
    </w:p>
    <w:p w14:paraId="241263D9" w14:textId="77777777" w:rsidR="002B4AD3" w:rsidRDefault="002B4AD3">
      <w:pPr>
        <w:rPr>
          <w:rFonts w:ascii="Arial" w:hAnsi="Arial" w:cs="Arial"/>
        </w:rPr>
      </w:pPr>
    </w:p>
    <w:p w14:paraId="708D3F57" w14:textId="77777777" w:rsidR="008123E5" w:rsidRDefault="008123E5">
      <w:pPr>
        <w:rPr>
          <w:rFonts w:ascii="Arial" w:hAnsi="Arial" w:cs="Arial"/>
          <w:b/>
        </w:rPr>
      </w:pPr>
      <w:r>
        <w:rPr>
          <w:rFonts w:ascii="Arial" w:hAnsi="Arial" w:cs="Arial"/>
          <w:b/>
        </w:rPr>
        <w:t>SENSITIVITY ANALYSIS 2. EXCLUDING PATIENTS FOR WHOM THE TREATING PHYSICIAN PREDICTED ≥ 80% CHANCE OF SURVIVAL TO HOSPITAL DISCHARGE.</w:t>
      </w:r>
    </w:p>
    <w:p w14:paraId="75C3DFB1" w14:textId="77777777" w:rsidR="00B343D1" w:rsidRPr="00B343D1" w:rsidRDefault="00B343D1" w:rsidP="00B343D1">
      <w:pPr>
        <w:contextualSpacing/>
        <w:rPr>
          <w:rFonts w:ascii="Arial" w:hAnsi="Arial" w:cs="Arial"/>
          <w:sz w:val="24"/>
        </w:rPr>
      </w:pPr>
      <w:r w:rsidRPr="00B343D1">
        <w:rPr>
          <w:rFonts w:ascii="Arial" w:hAnsi="Arial" w:cs="Arial"/>
          <w:b/>
          <w:sz w:val="20"/>
          <w:szCs w:val="18"/>
        </w:rPr>
        <w:t>TABLE 4. MULTIPLE VARIABLE ANALYSIS SHOWING ADJUSTED ASSOCIATION BETWEEN OPTIMISM AND HEALTHCARE UTILIZATION EXCLUDING HIGH SURVIVAL PROGNOSIS BY THE PHYSICIAN (≥80%)</w:t>
      </w:r>
    </w:p>
    <w:tbl>
      <w:tblPr>
        <w:tblStyle w:val="TableGrid1"/>
        <w:tblW w:w="9270" w:type="dxa"/>
        <w:jc w:val="center"/>
        <w:tblBorders>
          <w:left w:val="none" w:sz="0" w:space="0" w:color="auto"/>
          <w:bottom w:val="none" w:sz="0" w:space="0" w:color="auto"/>
          <w:right w:val="none" w:sz="0" w:space="0" w:color="auto"/>
        </w:tblBorders>
        <w:tblLook w:val="04A0" w:firstRow="1" w:lastRow="0" w:firstColumn="1" w:lastColumn="0" w:noHBand="0" w:noVBand="1"/>
      </w:tblPr>
      <w:tblGrid>
        <w:gridCol w:w="2700"/>
        <w:gridCol w:w="2970"/>
        <w:gridCol w:w="2340"/>
        <w:gridCol w:w="1260"/>
      </w:tblGrid>
      <w:tr w:rsidR="00B343D1" w:rsidRPr="00B343D1" w14:paraId="06E6601F" w14:textId="77777777" w:rsidTr="0093516D">
        <w:trPr>
          <w:trHeight w:val="288"/>
          <w:jc w:val="center"/>
        </w:trPr>
        <w:tc>
          <w:tcPr>
            <w:tcW w:w="2700" w:type="dxa"/>
            <w:noWrap/>
            <w:vAlign w:val="center"/>
          </w:tcPr>
          <w:p w14:paraId="76698980" w14:textId="77777777" w:rsidR="00B343D1" w:rsidRPr="00B343D1" w:rsidRDefault="00B343D1" w:rsidP="0093516D">
            <w:pPr>
              <w:jc w:val="center"/>
              <w:rPr>
                <w:rFonts w:ascii="Arial" w:hAnsi="Arial" w:cs="Arial"/>
                <w:b/>
                <w:sz w:val="20"/>
                <w:szCs w:val="18"/>
              </w:rPr>
            </w:pPr>
            <w:r w:rsidRPr="00B343D1">
              <w:rPr>
                <w:rFonts w:ascii="Arial" w:hAnsi="Arial" w:cs="Arial"/>
                <w:b/>
                <w:sz w:val="20"/>
                <w:szCs w:val="18"/>
              </w:rPr>
              <w:t>Outcome of regression model</w:t>
            </w:r>
          </w:p>
        </w:tc>
        <w:tc>
          <w:tcPr>
            <w:tcW w:w="2970" w:type="dxa"/>
            <w:noWrap/>
            <w:vAlign w:val="center"/>
          </w:tcPr>
          <w:p w14:paraId="49CCEB9C" w14:textId="77777777" w:rsidR="00B343D1" w:rsidRPr="00B343D1" w:rsidRDefault="00B343D1" w:rsidP="0093516D">
            <w:pPr>
              <w:jc w:val="center"/>
              <w:rPr>
                <w:rFonts w:ascii="Arial" w:hAnsi="Arial" w:cs="Arial"/>
                <w:b/>
                <w:sz w:val="20"/>
                <w:szCs w:val="18"/>
                <w:vertAlign w:val="superscript"/>
              </w:rPr>
            </w:pPr>
            <w:r w:rsidRPr="00B343D1">
              <w:rPr>
                <w:rFonts w:ascii="Arial" w:hAnsi="Arial" w:cs="Arial"/>
                <w:b/>
                <w:sz w:val="20"/>
                <w:szCs w:val="18"/>
              </w:rPr>
              <w:t>Regression Coefficient of Having Overly Optimistic Prognostic Expectations (Discordance ≥ 20%)</w:t>
            </w:r>
          </w:p>
          <w:p w14:paraId="5577A01B" w14:textId="77777777" w:rsidR="00B343D1" w:rsidRPr="00B343D1" w:rsidRDefault="00B343D1" w:rsidP="0093516D">
            <w:pPr>
              <w:jc w:val="center"/>
              <w:rPr>
                <w:rFonts w:ascii="Arial" w:hAnsi="Arial" w:cs="Arial"/>
                <w:b/>
                <w:sz w:val="20"/>
                <w:szCs w:val="18"/>
                <w:vertAlign w:val="superscript"/>
              </w:rPr>
            </w:pPr>
            <w:r w:rsidRPr="00B343D1">
              <w:rPr>
                <w:rFonts w:ascii="Arial" w:hAnsi="Arial" w:cs="Arial"/>
                <w:b/>
                <w:sz w:val="20"/>
                <w:szCs w:val="18"/>
              </w:rPr>
              <w:t>(95% CI)</w:t>
            </w:r>
          </w:p>
        </w:tc>
        <w:tc>
          <w:tcPr>
            <w:tcW w:w="2340" w:type="dxa"/>
            <w:vAlign w:val="center"/>
          </w:tcPr>
          <w:p w14:paraId="6945FCE1" w14:textId="77777777" w:rsidR="00B343D1" w:rsidRPr="00B343D1" w:rsidRDefault="00B343D1" w:rsidP="0093516D">
            <w:pPr>
              <w:jc w:val="center"/>
              <w:rPr>
                <w:rFonts w:ascii="Arial" w:hAnsi="Arial" w:cs="Arial"/>
                <w:b/>
                <w:sz w:val="20"/>
                <w:szCs w:val="18"/>
              </w:rPr>
            </w:pPr>
            <w:r w:rsidRPr="00B343D1">
              <w:rPr>
                <w:rFonts w:ascii="Arial" w:hAnsi="Arial" w:cs="Arial"/>
                <w:b/>
                <w:sz w:val="20"/>
                <w:szCs w:val="18"/>
              </w:rPr>
              <w:t xml:space="preserve">Change from the </w:t>
            </w:r>
            <w:proofErr w:type="spellStart"/>
            <w:proofErr w:type="gramStart"/>
            <w:r w:rsidRPr="00B343D1">
              <w:rPr>
                <w:rFonts w:ascii="Arial" w:hAnsi="Arial" w:cs="Arial"/>
                <w:b/>
                <w:sz w:val="20"/>
                <w:szCs w:val="18"/>
              </w:rPr>
              <w:t>Mean</w:t>
            </w:r>
            <w:r w:rsidRPr="00B343D1">
              <w:rPr>
                <w:rFonts w:ascii="Arial" w:hAnsi="Arial" w:cs="Arial"/>
                <w:b/>
                <w:sz w:val="20"/>
                <w:szCs w:val="18"/>
                <w:vertAlign w:val="superscript"/>
              </w:rPr>
              <w:t>a,b</w:t>
            </w:r>
            <w:proofErr w:type="spellEnd"/>
            <w:proofErr w:type="gramEnd"/>
          </w:p>
          <w:p w14:paraId="3D03321C" w14:textId="77777777" w:rsidR="00B343D1" w:rsidRPr="00B343D1" w:rsidRDefault="00B343D1" w:rsidP="0093516D">
            <w:pPr>
              <w:jc w:val="center"/>
              <w:rPr>
                <w:rFonts w:ascii="Arial" w:hAnsi="Arial" w:cs="Arial"/>
                <w:b/>
                <w:sz w:val="20"/>
                <w:szCs w:val="18"/>
              </w:rPr>
            </w:pPr>
            <w:r w:rsidRPr="00B343D1">
              <w:rPr>
                <w:rFonts w:ascii="Arial" w:hAnsi="Arial" w:cs="Arial"/>
                <w:b/>
                <w:sz w:val="20"/>
                <w:szCs w:val="18"/>
              </w:rPr>
              <w:t>(% change)</w:t>
            </w:r>
          </w:p>
        </w:tc>
        <w:tc>
          <w:tcPr>
            <w:tcW w:w="1260" w:type="dxa"/>
            <w:noWrap/>
            <w:vAlign w:val="center"/>
          </w:tcPr>
          <w:p w14:paraId="3EA62501" w14:textId="77777777" w:rsidR="00B343D1" w:rsidRPr="00B343D1" w:rsidRDefault="00B343D1" w:rsidP="0093516D">
            <w:pPr>
              <w:jc w:val="center"/>
              <w:rPr>
                <w:rFonts w:ascii="Arial" w:hAnsi="Arial" w:cs="Arial"/>
                <w:b/>
                <w:i/>
                <w:sz w:val="20"/>
                <w:szCs w:val="18"/>
              </w:rPr>
            </w:pPr>
            <w:r w:rsidRPr="00B343D1">
              <w:rPr>
                <w:rFonts w:ascii="Arial" w:hAnsi="Arial" w:cs="Arial"/>
                <w:b/>
                <w:i/>
                <w:sz w:val="20"/>
                <w:szCs w:val="18"/>
              </w:rPr>
              <w:t>p</w:t>
            </w:r>
          </w:p>
        </w:tc>
      </w:tr>
      <w:tr w:rsidR="00B343D1" w:rsidRPr="00B343D1" w14:paraId="26195B7B" w14:textId="77777777" w:rsidTr="0093516D">
        <w:trPr>
          <w:trHeight w:val="300"/>
          <w:jc w:val="center"/>
        </w:trPr>
        <w:tc>
          <w:tcPr>
            <w:tcW w:w="2700" w:type="dxa"/>
            <w:noWrap/>
            <w:vAlign w:val="center"/>
          </w:tcPr>
          <w:p w14:paraId="4F02470C" w14:textId="77777777" w:rsidR="00B343D1" w:rsidRPr="00B343D1" w:rsidRDefault="00B343D1" w:rsidP="0093516D">
            <w:pPr>
              <w:rPr>
                <w:rFonts w:ascii="Arial" w:hAnsi="Arial" w:cs="Arial"/>
                <w:sz w:val="20"/>
                <w:szCs w:val="18"/>
              </w:rPr>
            </w:pPr>
            <w:r w:rsidRPr="00B343D1">
              <w:rPr>
                <w:rFonts w:ascii="Arial" w:hAnsi="Arial" w:cs="Arial"/>
                <w:sz w:val="20"/>
                <w:szCs w:val="18"/>
              </w:rPr>
              <w:t>ICU length of stay</w:t>
            </w:r>
          </w:p>
        </w:tc>
        <w:tc>
          <w:tcPr>
            <w:tcW w:w="2970" w:type="dxa"/>
            <w:noWrap/>
            <w:vAlign w:val="center"/>
          </w:tcPr>
          <w:p w14:paraId="256C83A2" w14:textId="77777777" w:rsidR="00B343D1" w:rsidRPr="00B343D1" w:rsidRDefault="00B343D1" w:rsidP="0093516D">
            <w:pPr>
              <w:jc w:val="center"/>
              <w:rPr>
                <w:rFonts w:ascii="Arial" w:hAnsi="Arial" w:cs="Arial"/>
                <w:sz w:val="20"/>
                <w:szCs w:val="18"/>
              </w:rPr>
            </w:pPr>
            <w:r w:rsidRPr="00B343D1">
              <w:rPr>
                <w:rFonts w:ascii="Arial" w:hAnsi="Arial" w:cs="Arial"/>
                <w:sz w:val="20"/>
                <w:szCs w:val="18"/>
              </w:rPr>
              <w:t>0.60  (0.18- 1.01)</w:t>
            </w:r>
            <w:r w:rsidRPr="00B343D1">
              <w:rPr>
                <w:rFonts w:ascii="Arial" w:hAnsi="Arial" w:cs="Arial"/>
                <w:sz w:val="20"/>
                <w:szCs w:val="18"/>
                <w:vertAlign w:val="superscript"/>
              </w:rPr>
              <w:t>d</w:t>
            </w:r>
          </w:p>
        </w:tc>
        <w:tc>
          <w:tcPr>
            <w:tcW w:w="2340" w:type="dxa"/>
            <w:vAlign w:val="center"/>
          </w:tcPr>
          <w:p w14:paraId="4F02A362" w14:textId="77777777" w:rsidR="00B343D1" w:rsidRPr="00B343D1" w:rsidRDefault="00B343D1" w:rsidP="0093516D">
            <w:pPr>
              <w:jc w:val="center"/>
              <w:rPr>
                <w:rFonts w:ascii="Arial" w:hAnsi="Arial" w:cs="Arial"/>
                <w:sz w:val="20"/>
                <w:szCs w:val="18"/>
              </w:rPr>
            </w:pPr>
            <w:r w:rsidRPr="00B343D1">
              <w:rPr>
                <w:rFonts w:ascii="Arial" w:hAnsi="Arial" w:cs="Arial"/>
                <w:sz w:val="20"/>
                <w:szCs w:val="18"/>
              </w:rPr>
              <w:t>11.3 days (81.4%)</w:t>
            </w:r>
          </w:p>
        </w:tc>
        <w:tc>
          <w:tcPr>
            <w:tcW w:w="1260" w:type="dxa"/>
            <w:noWrap/>
            <w:vAlign w:val="center"/>
          </w:tcPr>
          <w:p w14:paraId="3342D605" w14:textId="77777777" w:rsidR="00B343D1" w:rsidRPr="00B343D1" w:rsidRDefault="00B343D1" w:rsidP="0093516D">
            <w:pPr>
              <w:jc w:val="center"/>
              <w:rPr>
                <w:rFonts w:ascii="Arial" w:hAnsi="Arial" w:cs="Arial"/>
                <w:sz w:val="20"/>
                <w:szCs w:val="18"/>
              </w:rPr>
            </w:pPr>
            <w:r w:rsidRPr="00B343D1">
              <w:rPr>
                <w:rFonts w:ascii="Arial" w:hAnsi="Arial" w:cs="Arial"/>
                <w:sz w:val="20"/>
                <w:szCs w:val="18"/>
              </w:rPr>
              <w:t>0.005</w:t>
            </w:r>
          </w:p>
        </w:tc>
      </w:tr>
      <w:tr w:rsidR="00B343D1" w:rsidRPr="00B343D1" w14:paraId="67C0CFC3" w14:textId="77777777" w:rsidTr="0093516D">
        <w:trPr>
          <w:trHeight w:val="300"/>
          <w:jc w:val="center"/>
        </w:trPr>
        <w:tc>
          <w:tcPr>
            <w:tcW w:w="2700" w:type="dxa"/>
            <w:noWrap/>
            <w:vAlign w:val="center"/>
          </w:tcPr>
          <w:p w14:paraId="35D7331C" w14:textId="77777777" w:rsidR="00B343D1" w:rsidRPr="00B343D1" w:rsidRDefault="00B343D1" w:rsidP="0093516D">
            <w:pPr>
              <w:rPr>
                <w:rFonts w:ascii="Arial" w:hAnsi="Arial" w:cs="Arial"/>
                <w:sz w:val="20"/>
                <w:szCs w:val="18"/>
              </w:rPr>
            </w:pPr>
            <w:r w:rsidRPr="00B343D1">
              <w:rPr>
                <w:rFonts w:ascii="Arial" w:hAnsi="Arial" w:cs="Arial"/>
                <w:sz w:val="20"/>
                <w:szCs w:val="18"/>
              </w:rPr>
              <w:t>Length of mechanical ventilation</w:t>
            </w:r>
          </w:p>
        </w:tc>
        <w:tc>
          <w:tcPr>
            <w:tcW w:w="2970" w:type="dxa"/>
            <w:noWrap/>
            <w:vAlign w:val="center"/>
          </w:tcPr>
          <w:p w14:paraId="1BD08035" w14:textId="77777777" w:rsidR="00B343D1" w:rsidRPr="00B343D1" w:rsidRDefault="00B343D1" w:rsidP="0093516D">
            <w:pPr>
              <w:jc w:val="center"/>
              <w:rPr>
                <w:rFonts w:ascii="Arial" w:hAnsi="Arial" w:cs="Arial"/>
                <w:sz w:val="20"/>
                <w:szCs w:val="18"/>
              </w:rPr>
            </w:pPr>
            <w:r w:rsidRPr="00B343D1">
              <w:rPr>
                <w:rFonts w:ascii="Arial" w:hAnsi="Arial" w:cs="Arial"/>
                <w:sz w:val="20"/>
                <w:szCs w:val="18"/>
              </w:rPr>
              <w:t>0.43  (0.02-0.84)</w:t>
            </w:r>
            <w:r w:rsidRPr="00B343D1">
              <w:rPr>
                <w:rFonts w:ascii="Arial" w:hAnsi="Arial" w:cs="Arial"/>
                <w:sz w:val="20"/>
                <w:szCs w:val="18"/>
                <w:vertAlign w:val="superscript"/>
              </w:rPr>
              <w:t>c</w:t>
            </w:r>
          </w:p>
        </w:tc>
        <w:tc>
          <w:tcPr>
            <w:tcW w:w="2340" w:type="dxa"/>
            <w:vAlign w:val="center"/>
          </w:tcPr>
          <w:p w14:paraId="28D32C39" w14:textId="77777777" w:rsidR="00B343D1" w:rsidRPr="00B343D1" w:rsidRDefault="00B343D1" w:rsidP="0093516D">
            <w:pPr>
              <w:jc w:val="center"/>
              <w:rPr>
                <w:rFonts w:ascii="Arial" w:hAnsi="Arial" w:cs="Arial"/>
                <w:sz w:val="20"/>
                <w:szCs w:val="18"/>
              </w:rPr>
            </w:pPr>
            <w:r w:rsidRPr="00B343D1">
              <w:rPr>
                <w:rFonts w:ascii="Arial" w:hAnsi="Arial" w:cs="Arial"/>
                <w:sz w:val="20"/>
                <w:szCs w:val="18"/>
              </w:rPr>
              <w:t>8.1 days (53.5%)</w:t>
            </w:r>
          </w:p>
        </w:tc>
        <w:tc>
          <w:tcPr>
            <w:tcW w:w="1260" w:type="dxa"/>
            <w:noWrap/>
            <w:vAlign w:val="center"/>
          </w:tcPr>
          <w:p w14:paraId="48545EAC" w14:textId="77777777" w:rsidR="00B343D1" w:rsidRPr="00B343D1" w:rsidRDefault="00B343D1" w:rsidP="0093516D">
            <w:pPr>
              <w:jc w:val="center"/>
              <w:rPr>
                <w:rFonts w:ascii="Arial" w:hAnsi="Arial" w:cs="Arial"/>
                <w:sz w:val="20"/>
                <w:szCs w:val="18"/>
              </w:rPr>
            </w:pPr>
            <w:r w:rsidRPr="00B343D1">
              <w:rPr>
                <w:rFonts w:ascii="Arial" w:hAnsi="Arial" w:cs="Arial"/>
                <w:sz w:val="20"/>
                <w:szCs w:val="18"/>
              </w:rPr>
              <w:t>0.040</w:t>
            </w:r>
          </w:p>
        </w:tc>
      </w:tr>
      <w:tr w:rsidR="00B343D1" w:rsidRPr="00B343D1" w14:paraId="21B503C7" w14:textId="77777777" w:rsidTr="0093516D">
        <w:trPr>
          <w:trHeight w:val="300"/>
          <w:jc w:val="center"/>
        </w:trPr>
        <w:tc>
          <w:tcPr>
            <w:tcW w:w="9270" w:type="dxa"/>
            <w:gridSpan w:val="4"/>
            <w:noWrap/>
            <w:vAlign w:val="center"/>
          </w:tcPr>
          <w:p w14:paraId="6AEF5F87" w14:textId="77777777" w:rsidR="00B343D1" w:rsidRPr="00B343D1" w:rsidRDefault="00B343D1" w:rsidP="0093516D">
            <w:pPr>
              <w:rPr>
                <w:rFonts w:cs="Times New Roman"/>
                <w:sz w:val="18"/>
                <w:szCs w:val="18"/>
              </w:rPr>
            </w:pPr>
            <w:proofErr w:type="spellStart"/>
            <w:r w:rsidRPr="00B343D1">
              <w:rPr>
                <w:rFonts w:cs="Times New Roman"/>
                <w:sz w:val="18"/>
                <w:szCs w:val="18"/>
                <w:vertAlign w:val="superscript"/>
              </w:rPr>
              <w:t>a</w:t>
            </w:r>
            <w:r w:rsidRPr="00B343D1">
              <w:rPr>
                <w:rFonts w:cs="Times New Roman"/>
                <w:sz w:val="18"/>
                <w:szCs w:val="18"/>
              </w:rPr>
              <w:t>Among</w:t>
            </w:r>
            <w:proofErr w:type="spellEnd"/>
            <w:r w:rsidRPr="00B343D1">
              <w:rPr>
                <w:rFonts w:cs="Times New Roman"/>
                <w:sz w:val="18"/>
                <w:szCs w:val="18"/>
              </w:rPr>
              <w:t xml:space="preserve"> the patients who died, the mean (median) hospital length of stay is=15.3 days (8 days), the mean (median) ICU length of stay is=13.9 days (8 days), and the mean (median) length of mechanical ventilation is=15.1 days (8 days).</w:t>
            </w:r>
          </w:p>
          <w:p w14:paraId="7C30A943" w14:textId="77777777" w:rsidR="00B343D1" w:rsidRPr="00B343D1" w:rsidRDefault="00B343D1" w:rsidP="0093516D">
            <w:pPr>
              <w:rPr>
                <w:rFonts w:cs="Times New Roman"/>
                <w:sz w:val="18"/>
                <w:szCs w:val="18"/>
              </w:rPr>
            </w:pPr>
            <w:proofErr w:type="spellStart"/>
            <w:r w:rsidRPr="00B343D1">
              <w:rPr>
                <w:rFonts w:cs="Times New Roman"/>
                <w:sz w:val="18"/>
                <w:szCs w:val="18"/>
                <w:vertAlign w:val="superscript"/>
              </w:rPr>
              <w:t>b</w:t>
            </w:r>
            <w:r w:rsidRPr="00B343D1">
              <w:rPr>
                <w:rFonts w:cs="Times New Roman"/>
                <w:sz w:val="18"/>
                <w:szCs w:val="18"/>
              </w:rPr>
              <w:t>The</w:t>
            </w:r>
            <w:proofErr w:type="spellEnd"/>
            <w:r w:rsidRPr="00B343D1">
              <w:rPr>
                <w:rFonts w:cs="Times New Roman"/>
                <w:sz w:val="18"/>
                <w:szCs w:val="18"/>
              </w:rPr>
              <w:t xml:space="preserve"> % change from the mean is computed by exponentiating the coefficient (beta) from the regression with log-transformed outcome</w:t>
            </w:r>
          </w:p>
          <w:p w14:paraId="71DA6CD8" w14:textId="77777777" w:rsidR="00B343D1" w:rsidRPr="00B343D1" w:rsidRDefault="00B343D1" w:rsidP="0093516D">
            <w:pPr>
              <w:rPr>
                <w:rFonts w:cs="Times New Roman"/>
                <w:sz w:val="18"/>
                <w:szCs w:val="18"/>
              </w:rPr>
            </w:pPr>
            <w:proofErr w:type="spellStart"/>
            <w:r w:rsidRPr="00B343D1">
              <w:rPr>
                <w:rFonts w:cs="Times New Roman"/>
                <w:sz w:val="18"/>
                <w:szCs w:val="18"/>
                <w:vertAlign w:val="superscript"/>
              </w:rPr>
              <w:t>c</w:t>
            </w:r>
            <w:r w:rsidRPr="00B343D1">
              <w:rPr>
                <w:rFonts w:cs="Times New Roman"/>
                <w:sz w:val="18"/>
                <w:szCs w:val="18"/>
              </w:rPr>
              <w:t>Adjusted</w:t>
            </w:r>
            <w:proofErr w:type="spellEnd"/>
            <w:r w:rsidRPr="00B343D1">
              <w:rPr>
                <w:rFonts w:cs="Times New Roman"/>
                <w:sz w:val="18"/>
                <w:szCs w:val="18"/>
              </w:rPr>
              <w:t xml:space="preserve"> for the following factors: the patient’s APACHE II score on the fifth day on mechanical ventilation (the same day prognostic estimates were taken), and surrogate’s relationship to the patient</w:t>
            </w:r>
          </w:p>
          <w:p w14:paraId="638E7DE6" w14:textId="77777777" w:rsidR="00B343D1" w:rsidRPr="00B343D1" w:rsidRDefault="00B343D1" w:rsidP="0093516D">
            <w:pPr>
              <w:rPr>
                <w:rFonts w:cs="Times New Roman"/>
                <w:sz w:val="18"/>
                <w:szCs w:val="18"/>
              </w:rPr>
            </w:pPr>
            <w:proofErr w:type="spellStart"/>
            <w:r w:rsidRPr="00B343D1">
              <w:rPr>
                <w:rFonts w:cs="Times New Roman"/>
                <w:sz w:val="18"/>
                <w:szCs w:val="18"/>
                <w:vertAlign w:val="superscript"/>
              </w:rPr>
              <w:lastRenderedPageBreak/>
              <w:t>d</w:t>
            </w:r>
            <w:r w:rsidRPr="00B343D1">
              <w:rPr>
                <w:rFonts w:cs="Times New Roman"/>
                <w:sz w:val="18"/>
                <w:szCs w:val="18"/>
              </w:rPr>
              <w:t>Adjusted</w:t>
            </w:r>
            <w:proofErr w:type="spellEnd"/>
            <w:r w:rsidRPr="00B343D1">
              <w:rPr>
                <w:rFonts w:cs="Times New Roman"/>
                <w:sz w:val="18"/>
                <w:szCs w:val="18"/>
              </w:rPr>
              <w:t xml:space="preserve"> for the following factors: the patient’s APACHE II score on the fifth day on mechanical ventilation (the same day prognostic estimates were taken), surrogate’s relationship to the patient, and surrogate’s race (non-Hispanic black vs. other) </w:t>
            </w:r>
          </w:p>
          <w:p w14:paraId="6C80BBE4" w14:textId="77777777" w:rsidR="00B343D1" w:rsidRPr="00B343D1" w:rsidRDefault="00B343D1" w:rsidP="0093516D">
            <w:pPr>
              <w:ind w:left="176" w:firstLine="176"/>
              <w:rPr>
                <w:rFonts w:cs="Times New Roman"/>
                <w:sz w:val="18"/>
                <w:szCs w:val="18"/>
              </w:rPr>
            </w:pPr>
            <w:r w:rsidRPr="00B343D1">
              <w:rPr>
                <w:rFonts w:cs="Times New Roman"/>
                <w:i/>
                <w:sz w:val="18"/>
                <w:szCs w:val="18"/>
              </w:rPr>
              <w:t>Definition of abbreviations</w:t>
            </w:r>
            <w:r w:rsidRPr="00B343D1">
              <w:rPr>
                <w:rFonts w:cs="Times New Roman"/>
                <w:sz w:val="18"/>
                <w:szCs w:val="18"/>
              </w:rPr>
              <w:t>: ICU = intensive care unit; APACHE II = Acute Physiology and Chronic Health Evaluation II.</w:t>
            </w:r>
          </w:p>
        </w:tc>
      </w:tr>
    </w:tbl>
    <w:p w14:paraId="385EBD23" w14:textId="77777777" w:rsidR="002B4AD3" w:rsidRDefault="002B4AD3">
      <w:pPr>
        <w:rPr>
          <w:sz w:val="18"/>
          <w:szCs w:val="18"/>
        </w:rPr>
      </w:pPr>
    </w:p>
    <w:p w14:paraId="258ACB5F" w14:textId="77777777" w:rsidR="002B4AD3" w:rsidRPr="00A67E5E" w:rsidRDefault="002B4AD3">
      <w:pPr>
        <w:rPr>
          <w:sz w:val="18"/>
          <w:szCs w:val="18"/>
        </w:rPr>
      </w:pPr>
    </w:p>
    <w:p w14:paraId="58A8C551" w14:textId="77777777" w:rsidR="002B4AD3" w:rsidRPr="00A67E5E" w:rsidRDefault="002B4AD3" w:rsidP="002B4AD3">
      <w:pPr>
        <w:pStyle w:val="Default"/>
        <w:spacing w:after="120"/>
        <w:rPr>
          <w:rFonts w:asciiTheme="minorHAnsi" w:hAnsiTheme="minorHAnsi" w:cstheme="minorHAnsi"/>
          <w:b/>
          <w:color w:val="auto"/>
          <w:sz w:val="22"/>
        </w:rPr>
      </w:pPr>
      <w:r w:rsidRPr="00A67E5E">
        <w:rPr>
          <w:rFonts w:asciiTheme="minorHAnsi" w:hAnsiTheme="minorHAnsi" w:cstheme="minorHAnsi"/>
          <w:b/>
          <w:color w:val="auto"/>
          <w:sz w:val="22"/>
        </w:rPr>
        <w:t>Sources of optimistic prognostic expectations by surrogates (excluding cases in which the physician estimated ≥80% chance of survival)</w:t>
      </w:r>
    </w:p>
    <w:p w14:paraId="478AAAF7" w14:textId="3BF0CAC9" w:rsidR="00785FA8" w:rsidRPr="00DE75DC" w:rsidRDefault="002B4AD3" w:rsidP="00DE75DC">
      <w:pPr>
        <w:pStyle w:val="Default"/>
        <w:spacing w:after="120"/>
        <w:rPr>
          <w:rFonts w:asciiTheme="minorHAnsi" w:hAnsiTheme="minorHAnsi" w:cstheme="minorHAnsi"/>
          <w:color w:val="auto"/>
          <w:sz w:val="22"/>
        </w:rPr>
      </w:pPr>
      <w:r w:rsidRPr="00A67E5E">
        <w:rPr>
          <w:rFonts w:asciiTheme="minorHAnsi" w:hAnsiTheme="minorHAnsi" w:cstheme="minorHAnsi"/>
          <w:color w:val="auto"/>
          <w:sz w:val="22"/>
        </w:rPr>
        <w:t>In 44 cases (45%), the discordance arose from the surrogate misunderstanding the physician’s prognostic expectations. In 46 (47%) cases, the discordance arose from both surrogates misunderstanding physicians’ prognostic expectations and from surrogates holding systematically different beliefs about the patient’s prognosis compared to what they judged to be the physicians’ prognostic expectations.  In 7 (7%) cases, the prognostic discordance was caused only by surrogates holding systematically different beliefs about the patient’s prognosis compared to what they judged to be the physician’s prognostic expectations.  Data were missing from 1 surrogate who did not respond to the question eliciting what they thought the physician’s prognosis estimate was.</w:t>
      </w:r>
      <w:bookmarkStart w:id="0" w:name="_GoBack"/>
      <w:bookmarkEnd w:id="0"/>
      <w:r w:rsidR="003758C2">
        <w:rPr>
          <w:noProof/>
          <w:sz w:val="18"/>
          <w:szCs w:val="18"/>
        </w:rPr>
        <w:fldChar w:fldCharType="begin"/>
      </w:r>
      <w:r w:rsidR="003758C2">
        <w:rPr>
          <w:sz w:val="18"/>
          <w:szCs w:val="18"/>
        </w:rPr>
        <w:instrText xml:space="preserve"> ADDIN EN.REFLIST </w:instrText>
      </w:r>
      <w:r w:rsidR="003758C2">
        <w:rPr>
          <w:noProof/>
          <w:sz w:val="18"/>
          <w:szCs w:val="18"/>
        </w:rPr>
        <w:fldChar w:fldCharType="end"/>
      </w:r>
      <w:r w:rsidR="00DF4D3B">
        <w:rPr>
          <w:sz w:val="18"/>
          <w:szCs w:val="18"/>
        </w:rPr>
        <w:fldChar w:fldCharType="begin"/>
      </w:r>
      <w:r w:rsidR="00DF4D3B">
        <w:rPr>
          <w:sz w:val="18"/>
          <w:szCs w:val="18"/>
        </w:rPr>
        <w:instrText xml:space="preserve"> ADDIN </w:instrText>
      </w:r>
      <w:r w:rsidR="00DF4D3B">
        <w:rPr>
          <w:sz w:val="18"/>
          <w:szCs w:val="18"/>
        </w:rPr>
        <w:fldChar w:fldCharType="end"/>
      </w:r>
    </w:p>
    <w:sectPr w:rsidR="00785FA8" w:rsidRPr="00DE75DC" w:rsidSect="000E0CF7">
      <w:pgSz w:w="12240" w:h="15840"/>
      <w:pgMar w:top="1411" w:right="1699" w:bottom="1411"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5CFB" w14:textId="77777777" w:rsidR="008B0279" w:rsidRDefault="008B0279" w:rsidP="009972C7">
      <w:pPr>
        <w:spacing w:after="0" w:line="240" w:lineRule="auto"/>
      </w:pPr>
      <w:r>
        <w:separator/>
      </w:r>
    </w:p>
  </w:endnote>
  <w:endnote w:type="continuationSeparator" w:id="0">
    <w:p w14:paraId="1185E63F" w14:textId="77777777" w:rsidR="008B0279" w:rsidRDefault="008B0279" w:rsidP="0099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AA36" w14:textId="77777777" w:rsidR="008B0279" w:rsidRDefault="008B0279" w:rsidP="009972C7">
      <w:pPr>
        <w:spacing w:after="0" w:line="240" w:lineRule="auto"/>
      </w:pPr>
      <w:r>
        <w:separator/>
      </w:r>
    </w:p>
  </w:footnote>
  <w:footnote w:type="continuationSeparator" w:id="0">
    <w:p w14:paraId="4607A359" w14:textId="77777777" w:rsidR="008B0279" w:rsidRDefault="008B0279" w:rsidP="0099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B6E7" w14:textId="77777777" w:rsidR="00650006" w:rsidRDefault="00650006">
    <w:pPr>
      <w:pStyle w:val="Header"/>
      <w:jc w:val="right"/>
    </w:pPr>
  </w:p>
  <w:p w14:paraId="1289A053" w14:textId="77777777" w:rsidR="00650006" w:rsidRDefault="00650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2F20"/>
    <w:multiLevelType w:val="hybridMultilevel"/>
    <w:tmpl w:val="44C49C12"/>
    <w:lvl w:ilvl="0" w:tplc="889C40E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17834"/>
    <w:multiLevelType w:val="hybridMultilevel"/>
    <w:tmpl w:val="701A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1BD4"/>
    <w:multiLevelType w:val="hybridMultilevel"/>
    <w:tmpl w:val="8DF220C4"/>
    <w:lvl w:ilvl="0" w:tplc="3664EC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663FF"/>
    <w:multiLevelType w:val="hybridMultilevel"/>
    <w:tmpl w:val="128CC8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B2105"/>
    <w:multiLevelType w:val="hybridMultilevel"/>
    <w:tmpl w:val="690A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F4B6A"/>
    <w:multiLevelType w:val="hybridMultilevel"/>
    <w:tmpl w:val="A86CE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656D9"/>
    <w:multiLevelType w:val="hybridMultilevel"/>
    <w:tmpl w:val="10C4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E375D"/>
    <w:rsid w:val="0000154B"/>
    <w:rsid w:val="000065A5"/>
    <w:rsid w:val="00006CC0"/>
    <w:rsid w:val="00007063"/>
    <w:rsid w:val="000100CE"/>
    <w:rsid w:val="00010879"/>
    <w:rsid w:val="00014B16"/>
    <w:rsid w:val="000208B5"/>
    <w:rsid w:val="000242E5"/>
    <w:rsid w:val="00030500"/>
    <w:rsid w:val="0003091B"/>
    <w:rsid w:val="00032D44"/>
    <w:rsid w:val="00034444"/>
    <w:rsid w:val="00034F6B"/>
    <w:rsid w:val="000403B2"/>
    <w:rsid w:val="00040B9A"/>
    <w:rsid w:val="00042ECE"/>
    <w:rsid w:val="00044925"/>
    <w:rsid w:val="000476A5"/>
    <w:rsid w:val="00054624"/>
    <w:rsid w:val="00057FEE"/>
    <w:rsid w:val="00060827"/>
    <w:rsid w:val="000640E9"/>
    <w:rsid w:val="00064C9D"/>
    <w:rsid w:val="000656F1"/>
    <w:rsid w:val="00065BB9"/>
    <w:rsid w:val="000667A8"/>
    <w:rsid w:val="00066F29"/>
    <w:rsid w:val="000718E4"/>
    <w:rsid w:val="00071FFA"/>
    <w:rsid w:val="00075AEE"/>
    <w:rsid w:val="00075FE8"/>
    <w:rsid w:val="00077566"/>
    <w:rsid w:val="00077C6E"/>
    <w:rsid w:val="0008248C"/>
    <w:rsid w:val="0008427F"/>
    <w:rsid w:val="00091315"/>
    <w:rsid w:val="00091AC2"/>
    <w:rsid w:val="0009266A"/>
    <w:rsid w:val="00096F4F"/>
    <w:rsid w:val="00097C75"/>
    <w:rsid w:val="00097E05"/>
    <w:rsid w:val="000A2924"/>
    <w:rsid w:val="000A3BEF"/>
    <w:rsid w:val="000A5B77"/>
    <w:rsid w:val="000A799F"/>
    <w:rsid w:val="000A7EA6"/>
    <w:rsid w:val="000B286C"/>
    <w:rsid w:val="000B5E3F"/>
    <w:rsid w:val="000B64A4"/>
    <w:rsid w:val="000B6E07"/>
    <w:rsid w:val="000C09A3"/>
    <w:rsid w:val="000C1A51"/>
    <w:rsid w:val="000C56D1"/>
    <w:rsid w:val="000C6750"/>
    <w:rsid w:val="000D1F97"/>
    <w:rsid w:val="000D4B4C"/>
    <w:rsid w:val="000D7A7C"/>
    <w:rsid w:val="000E0CF7"/>
    <w:rsid w:val="000E5E95"/>
    <w:rsid w:val="000F1C94"/>
    <w:rsid w:val="000F4A5C"/>
    <w:rsid w:val="000F58BA"/>
    <w:rsid w:val="00103847"/>
    <w:rsid w:val="001060E9"/>
    <w:rsid w:val="00107558"/>
    <w:rsid w:val="0011106F"/>
    <w:rsid w:val="00116A34"/>
    <w:rsid w:val="00126E46"/>
    <w:rsid w:val="00131699"/>
    <w:rsid w:val="00132C5F"/>
    <w:rsid w:val="00140041"/>
    <w:rsid w:val="00141E35"/>
    <w:rsid w:val="001433DD"/>
    <w:rsid w:val="00143A59"/>
    <w:rsid w:val="001457A7"/>
    <w:rsid w:val="001505A6"/>
    <w:rsid w:val="00152EFD"/>
    <w:rsid w:val="00155D45"/>
    <w:rsid w:val="0015797C"/>
    <w:rsid w:val="00161AA7"/>
    <w:rsid w:val="00162DEF"/>
    <w:rsid w:val="001643E6"/>
    <w:rsid w:val="0016606F"/>
    <w:rsid w:val="0016694F"/>
    <w:rsid w:val="00166F00"/>
    <w:rsid w:val="00177E7F"/>
    <w:rsid w:val="001859AF"/>
    <w:rsid w:val="00193291"/>
    <w:rsid w:val="0019673B"/>
    <w:rsid w:val="001969B3"/>
    <w:rsid w:val="001A0378"/>
    <w:rsid w:val="001A0423"/>
    <w:rsid w:val="001A0693"/>
    <w:rsid w:val="001A27B7"/>
    <w:rsid w:val="001A7A7C"/>
    <w:rsid w:val="001B2A67"/>
    <w:rsid w:val="001B2F8D"/>
    <w:rsid w:val="001C4E58"/>
    <w:rsid w:val="001C5132"/>
    <w:rsid w:val="001D1E43"/>
    <w:rsid w:val="001D28C1"/>
    <w:rsid w:val="001D2F74"/>
    <w:rsid w:val="001D6707"/>
    <w:rsid w:val="001D6B63"/>
    <w:rsid w:val="001D6FD1"/>
    <w:rsid w:val="001E3699"/>
    <w:rsid w:val="001E38B8"/>
    <w:rsid w:val="001F1A2A"/>
    <w:rsid w:val="001F243D"/>
    <w:rsid w:val="001F4DAE"/>
    <w:rsid w:val="001F5A44"/>
    <w:rsid w:val="001F75A0"/>
    <w:rsid w:val="001F7D52"/>
    <w:rsid w:val="00202453"/>
    <w:rsid w:val="00205417"/>
    <w:rsid w:val="002060BC"/>
    <w:rsid w:val="00210B37"/>
    <w:rsid w:val="00213445"/>
    <w:rsid w:val="00220753"/>
    <w:rsid w:val="00225B04"/>
    <w:rsid w:val="002262FF"/>
    <w:rsid w:val="00231DE8"/>
    <w:rsid w:val="002360F2"/>
    <w:rsid w:val="002372FD"/>
    <w:rsid w:val="00241590"/>
    <w:rsid w:val="002510C6"/>
    <w:rsid w:val="00252AF2"/>
    <w:rsid w:val="00252F87"/>
    <w:rsid w:val="00261522"/>
    <w:rsid w:val="00261D17"/>
    <w:rsid w:val="00261F84"/>
    <w:rsid w:val="0026202B"/>
    <w:rsid w:val="002708C1"/>
    <w:rsid w:val="00272CFA"/>
    <w:rsid w:val="0027320B"/>
    <w:rsid w:val="00273608"/>
    <w:rsid w:val="002751FA"/>
    <w:rsid w:val="00281918"/>
    <w:rsid w:val="00284008"/>
    <w:rsid w:val="00293C93"/>
    <w:rsid w:val="00294A55"/>
    <w:rsid w:val="00297091"/>
    <w:rsid w:val="002A1A27"/>
    <w:rsid w:val="002A3A41"/>
    <w:rsid w:val="002A7F3B"/>
    <w:rsid w:val="002B0F0D"/>
    <w:rsid w:val="002B1C7F"/>
    <w:rsid w:val="002B3E30"/>
    <w:rsid w:val="002B4371"/>
    <w:rsid w:val="002B4AD3"/>
    <w:rsid w:val="002B5A54"/>
    <w:rsid w:val="002B7531"/>
    <w:rsid w:val="002C00EF"/>
    <w:rsid w:val="002C2C76"/>
    <w:rsid w:val="002C6234"/>
    <w:rsid w:val="002D015B"/>
    <w:rsid w:val="002D0B95"/>
    <w:rsid w:val="002D4FA3"/>
    <w:rsid w:val="002D6B54"/>
    <w:rsid w:val="002E1AA3"/>
    <w:rsid w:val="002E2EFB"/>
    <w:rsid w:val="002E3B75"/>
    <w:rsid w:val="002F58DE"/>
    <w:rsid w:val="002F679E"/>
    <w:rsid w:val="002F6C7A"/>
    <w:rsid w:val="002F6DE7"/>
    <w:rsid w:val="0030168E"/>
    <w:rsid w:val="00304836"/>
    <w:rsid w:val="00304A7A"/>
    <w:rsid w:val="00307920"/>
    <w:rsid w:val="00311413"/>
    <w:rsid w:val="00313C78"/>
    <w:rsid w:val="0031464F"/>
    <w:rsid w:val="00317EDC"/>
    <w:rsid w:val="00321C78"/>
    <w:rsid w:val="00326D98"/>
    <w:rsid w:val="00327168"/>
    <w:rsid w:val="003301A1"/>
    <w:rsid w:val="00331EE1"/>
    <w:rsid w:val="003345D7"/>
    <w:rsid w:val="00340A7F"/>
    <w:rsid w:val="00341E98"/>
    <w:rsid w:val="0034328E"/>
    <w:rsid w:val="0034736B"/>
    <w:rsid w:val="00347596"/>
    <w:rsid w:val="00350AB4"/>
    <w:rsid w:val="003525EB"/>
    <w:rsid w:val="003548F4"/>
    <w:rsid w:val="003571CA"/>
    <w:rsid w:val="00362BB3"/>
    <w:rsid w:val="00367D55"/>
    <w:rsid w:val="00371281"/>
    <w:rsid w:val="003738D5"/>
    <w:rsid w:val="003753EE"/>
    <w:rsid w:val="003758C2"/>
    <w:rsid w:val="00376525"/>
    <w:rsid w:val="003778AB"/>
    <w:rsid w:val="00380B9C"/>
    <w:rsid w:val="0038123A"/>
    <w:rsid w:val="00383BE5"/>
    <w:rsid w:val="003843EB"/>
    <w:rsid w:val="00391C94"/>
    <w:rsid w:val="00391DBC"/>
    <w:rsid w:val="003931BC"/>
    <w:rsid w:val="003948C2"/>
    <w:rsid w:val="00394B5D"/>
    <w:rsid w:val="0039550A"/>
    <w:rsid w:val="003A4395"/>
    <w:rsid w:val="003A4456"/>
    <w:rsid w:val="003A4F71"/>
    <w:rsid w:val="003A701F"/>
    <w:rsid w:val="003A72E6"/>
    <w:rsid w:val="003B2DF8"/>
    <w:rsid w:val="003B3824"/>
    <w:rsid w:val="003B404E"/>
    <w:rsid w:val="003C28DE"/>
    <w:rsid w:val="003C3CC9"/>
    <w:rsid w:val="003C62C6"/>
    <w:rsid w:val="003C78AA"/>
    <w:rsid w:val="003C78C4"/>
    <w:rsid w:val="003D153E"/>
    <w:rsid w:val="003E61F3"/>
    <w:rsid w:val="003F67DC"/>
    <w:rsid w:val="00401DCE"/>
    <w:rsid w:val="00404A7E"/>
    <w:rsid w:val="00405597"/>
    <w:rsid w:val="00411C99"/>
    <w:rsid w:val="00412DF3"/>
    <w:rsid w:val="004158C8"/>
    <w:rsid w:val="00425389"/>
    <w:rsid w:val="00425BAE"/>
    <w:rsid w:val="0043530E"/>
    <w:rsid w:val="0043587A"/>
    <w:rsid w:val="004379AD"/>
    <w:rsid w:val="0044178F"/>
    <w:rsid w:val="00444093"/>
    <w:rsid w:val="00452E25"/>
    <w:rsid w:val="00455715"/>
    <w:rsid w:val="0046041A"/>
    <w:rsid w:val="0046721E"/>
    <w:rsid w:val="00471881"/>
    <w:rsid w:val="0047667B"/>
    <w:rsid w:val="004916E4"/>
    <w:rsid w:val="0049298F"/>
    <w:rsid w:val="00493C0B"/>
    <w:rsid w:val="004958D0"/>
    <w:rsid w:val="00497D55"/>
    <w:rsid w:val="004A1E26"/>
    <w:rsid w:val="004B432A"/>
    <w:rsid w:val="004C040F"/>
    <w:rsid w:val="004C07BB"/>
    <w:rsid w:val="004C2B75"/>
    <w:rsid w:val="004C6021"/>
    <w:rsid w:val="004D1BC0"/>
    <w:rsid w:val="004D29CF"/>
    <w:rsid w:val="004E08BE"/>
    <w:rsid w:val="004E583E"/>
    <w:rsid w:val="004E6869"/>
    <w:rsid w:val="004E751C"/>
    <w:rsid w:val="004F1577"/>
    <w:rsid w:val="004F338E"/>
    <w:rsid w:val="004F66F2"/>
    <w:rsid w:val="004F7F15"/>
    <w:rsid w:val="00502CEC"/>
    <w:rsid w:val="0050494D"/>
    <w:rsid w:val="00514653"/>
    <w:rsid w:val="00531C4F"/>
    <w:rsid w:val="005336C7"/>
    <w:rsid w:val="00541C51"/>
    <w:rsid w:val="005446DD"/>
    <w:rsid w:val="005451AE"/>
    <w:rsid w:val="005466E9"/>
    <w:rsid w:val="00546A4D"/>
    <w:rsid w:val="005525D5"/>
    <w:rsid w:val="00553800"/>
    <w:rsid w:val="0055384E"/>
    <w:rsid w:val="00554396"/>
    <w:rsid w:val="0055795C"/>
    <w:rsid w:val="005615FA"/>
    <w:rsid w:val="0056556A"/>
    <w:rsid w:val="0057233B"/>
    <w:rsid w:val="0057347F"/>
    <w:rsid w:val="00575177"/>
    <w:rsid w:val="005803E5"/>
    <w:rsid w:val="00584AA8"/>
    <w:rsid w:val="00585322"/>
    <w:rsid w:val="005867C0"/>
    <w:rsid w:val="00586EA4"/>
    <w:rsid w:val="00587C11"/>
    <w:rsid w:val="0059393F"/>
    <w:rsid w:val="005945C2"/>
    <w:rsid w:val="0059581E"/>
    <w:rsid w:val="00595CA0"/>
    <w:rsid w:val="005A1A19"/>
    <w:rsid w:val="005A3E9F"/>
    <w:rsid w:val="005A411D"/>
    <w:rsid w:val="005B0DBF"/>
    <w:rsid w:val="005B44F6"/>
    <w:rsid w:val="005C29DA"/>
    <w:rsid w:val="005D07E6"/>
    <w:rsid w:val="005D2BB7"/>
    <w:rsid w:val="005D4CA6"/>
    <w:rsid w:val="005D715A"/>
    <w:rsid w:val="005E0484"/>
    <w:rsid w:val="005E12FF"/>
    <w:rsid w:val="005E1FD1"/>
    <w:rsid w:val="005E2309"/>
    <w:rsid w:val="005F0AB6"/>
    <w:rsid w:val="005F1568"/>
    <w:rsid w:val="005F2DE5"/>
    <w:rsid w:val="005F3A41"/>
    <w:rsid w:val="005F4DF0"/>
    <w:rsid w:val="005F7F75"/>
    <w:rsid w:val="00600A6B"/>
    <w:rsid w:val="006016D8"/>
    <w:rsid w:val="006022EE"/>
    <w:rsid w:val="00603B94"/>
    <w:rsid w:val="00607784"/>
    <w:rsid w:val="00610E26"/>
    <w:rsid w:val="006114DE"/>
    <w:rsid w:val="00622263"/>
    <w:rsid w:val="00622E4F"/>
    <w:rsid w:val="006237E9"/>
    <w:rsid w:val="00631CF5"/>
    <w:rsid w:val="00631F01"/>
    <w:rsid w:val="0063222C"/>
    <w:rsid w:val="00633F62"/>
    <w:rsid w:val="00636080"/>
    <w:rsid w:val="0064087B"/>
    <w:rsid w:val="00640B75"/>
    <w:rsid w:val="00642E37"/>
    <w:rsid w:val="00645A56"/>
    <w:rsid w:val="00650006"/>
    <w:rsid w:val="0065404F"/>
    <w:rsid w:val="0065412C"/>
    <w:rsid w:val="00654AD8"/>
    <w:rsid w:val="006578F7"/>
    <w:rsid w:val="0066236E"/>
    <w:rsid w:val="0066489E"/>
    <w:rsid w:val="0066603D"/>
    <w:rsid w:val="00667A74"/>
    <w:rsid w:val="0067010D"/>
    <w:rsid w:val="0067270C"/>
    <w:rsid w:val="00676B7A"/>
    <w:rsid w:val="00683604"/>
    <w:rsid w:val="00683C85"/>
    <w:rsid w:val="00685518"/>
    <w:rsid w:val="00686E93"/>
    <w:rsid w:val="00693B85"/>
    <w:rsid w:val="006979F5"/>
    <w:rsid w:val="00697EF9"/>
    <w:rsid w:val="006A09B7"/>
    <w:rsid w:val="006A2B11"/>
    <w:rsid w:val="006A7779"/>
    <w:rsid w:val="006B0CA9"/>
    <w:rsid w:val="006B123B"/>
    <w:rsid w:val="006B2697"/>
    <w:rsid w:val="006B2B5E"/>
    <w:rsid w:val="006B3ECC"/>
    <w:rsid w:val="006B6034"/>
    <w:rsid w:val="006C0E71"/>
    <w:rsid w:val="006C101F"/>
    <w:rsid w:val="006C164B"/>
    <w:rsid w:val="006C2BF4"/>
    <w:rsid w:val="006C48F2"/>
    <w:rsid w:val="006C6899"/>
    <w:rsid w:val="006C6957"/>
    <w:rsid w:val="006D5F8D"/>
    <w:rsid w:val="006D64D1"/>
    <w:rsid w:val="006E3457"/>
    <w:rsid w:val="006E6083"/>
    <w:rsid w:val="006E70A4"/>
    <w:rsid w:val="006F2255"/>
    <w:rsid w:val="006F28D4"/>
    <w:rsid w:val="0070053D"/>
    <w:rsid w:val="007047CD"/>
    <w:rsid w:val="0070488C"/>
    <w:rsid w:val="00707D2B"/>
    <w:rsid w:val="00711C23"/>
    <w:rsid w:val="00712C4C"/>
    <w:rsid w:val="00715BA3"/>
    <w:rsid w:val="007167C0"/>
    <w:rsid w:val="00716AAF"/>
    <w:rsid w:val="0072390C"/>
    <w:rsid w:val="007247B9"/>
    <w:rsid w:val="00725D20"/>
    <w:rsid w:val="0072737D"/>
    <w:rsid w:val="00730B63"/>
    <w:rsid w:val="00730D21"/>
    <w:rsid w:val="00731651"/>
    <w:rsid w:val="007329AC"/>
    <w:rsid w:val="00733840"/>
    <w:rsid w:val="00736986"/>
    <w:rsid w:val="00737C97"/>
    <w:rsid w:val="007444E3"/>
    <w:rsid w:val="007445BD"/>
    <w:rsid w:val="00746891"/>
    <w:rsid w:val="00746A91"/>
    <w:rsid w:val="007653F0"/>
    <w:rsid w:val="007655FF"/>
    <w:rsid w:val="0076590B"/>
    <w:rsid w:val="00770D96"/>
    <w:rsid w:val="007748A8"/>
    <w:rsid w:val="00775757"/>
    <w:rsid w:val="00776921"/>
    <w:rsid w:val="00777382"/>
    <w:rsid w:val="007843DF"/>
    <w:rsid w:val="00784873"/>
    <w:rsid w:val="00785FA8"/>
    <w:rsid w:val="00791B64"/>
    <w:rsid w:val="00793481"/>
    <w:rsid w:val="00794407"/>
    <w:rsid w:val="00796DC7"/>
    <w:rsid w:val="007A0088"/>
    <w:rsid w:val="007A38E1"/>
    <w:rsid w:val="007A4DDA"/>
    <w:rsid w:val="007A6555"/>
    <w:rsid w:val="007A72A0"/>
    <w:rsid w:val="007B1399"/>
    <w:rsid w:val="007B4AF1"/>
    <w:rsid w:val="007B5994"/>
    <w:rsid w:val="007B61AB"/>
    <w:rsid w:val="007B7450"/>
    <w:rsid w:val="007B7BE5"/>
    <w:rsid w:val="007C0DFE"/>
    <w:rsid w:val="007C1408"/>
    <w:rsid w:val="007C1866"/>
    <w:rsid w:val="007C4B2B"/>
    <w:rsid w:val="007D1A5F"/>
    <w:rsid w:val="007D66A5"/>
    <w:rsid w:val="007D675E"/>
    <w:rsid w:val="007E28AC"/>
    <w:rsid w:val="007E321B"/>
    <w:rsid w:val="007E41B7"/>
    <w:rsid w:val="007E4B94"/>
    <w:rsid w:val="007E54B3"/>
    <w:rsid w:val="007E55F7"/>
    <w:rsid w:val="007E6116"/>
    <w:rsid w:val="007F1493"/>
    <w:rsid w:val="007F4B16"/>
    <w:rsid w:val="007F7039"/>
    <w:rsid w:val="007F789C"/>
    <w:rsid w:val="0080054A"/>
    <w:rsid w:val="00810D2B"/>
    <w:rsid w:val="008123E5"/>
    <w:rsid w:val="00812485"/>
    <w:rsid w:val="00814028"/>
    <w:rsid w:val="00814525"/>
    <w:rsid w:val="008200F5"/>
    <w:rsid w:val="00821DF9"/>
    <w:rsid w:val="00825BD1"/>
    <w:rsid w:val="00827A3C"/>
    <w:rsid w:val="00827EA7"/>
    <w:rsid w:val="0083114A"/>
    <w:rsid w:val="008333D8"/>
    <w:rsid w:val="00836D48"/>
    <w:rsid w:val="0084036A"/>
    <w:rsid w:val="00840A63"/>
    <w:rsid w:val="00841E01"/>
    <w:rsid w:val="00842651"/>
    <w:rsid w:val="00851BB5"/>
    <w:rsid w:val="00851DB4"/>
    <w:rsid w:val="00854B91"/>
    <w:rsid w:val="00855D3E"/>
    <w:rsid w:val="008573C9"/>
    <w:rsid w:val="008642A2"/>
    <w:rsid w:val="00867B8D"/>
    <w:rsid w:val="008810BC"/>
    <w:rsid w:val="00882255"/>
    <w:rsid w:val="00882933"/>
    <w:rsid w:val="00885A5E"/>
    <w:rsid w:val="00895720"/>
    <w:rsid w:val="00896C80"/>
    <w:rsid w:val="008975F8"/>
    <w:rsid w:val="008977DA"/>
    <w:rsid w:val="008A008F"/>
    <w:rsid w:val="008A05C1"/>
    <w:rsid w:val="008B0279"/>
    <w:rsid w:val="008B3AC5"/>
    <w:rsid w:val="008B42CC"/>
    <w:rsid w:val="008B4537"/>
    <w:rsid w:val="008B4B02"/>
    <w:rsid w:val="008B5EE8"/>
    <w:rsid w:val="008B6189"/>
    <w:rsid w:val="008B7FBC"/>
    <w:rsid w:val="008C6E15"/>
    <w:rsid w:val="008C7305"/>
    <w:rsid w:val="008C7337"/>
    <w:rsid w:val="008D170F"/>
    <w:rsid w:val="008D3AE7"/>
    <w:rsid w:val="008D4088"/>
    <w:rsid w:val="008D5A87"/>
    <w:rsid w:val="008E02BD"/>
    <w:rsid w:val="008E05E9"/>
    <w:rsid w:val="008E5516"/>
    <w:rsid w:val="008E58C4"/>
    <w:rsid w:val="008F0BE5"/>
    <w:rsid w:val="008F5E22"/>
    <w:rsid w:val="008F7A7D"/>
    <w:rsid w:val="009130C0"/>
    <w:rsid w:val="00913A66"/>
    <w:rsid w:val="00913AE8"/>
    <w:rsid w:val="0093516D"/>
    <w:rsid w:val="009361BF"/>
    <w:rsid w:val="009368CE"/>
    <w:rsid w:val="00942A52"/>
    <w:rsid w:val="00943442"/>
    <w:rsid w:val="009475FA"/>
    <w:rsid w:val="00955F15"/>
    <w:rsid w:val="00956A92"/>
    <w:rsid w:val="00957351"/>
    <w:rsid w:val="00965176"/>
    <w:rsid w:val="009711D6"/>
    <w:rsid w:val="0097468A"/>
    <w:rsid w:val="00975F6C"/>
    <w:rsid w:val="009761E9"/>
    <w:rsid w:val="009770B1"/>
    <w:rsid w:val="0097784C"/>
    <w:rsid w:val="00977DE5"/>
    <w:rsid w:val="009827AD"/>
    <w:rsid w:val="00987D71"/>
    <w:rsid w:val="00992D0A"/>
    <w:rsid w:val="0099408A"/>
    <w:rsid w:val="00994942"/>
    <w:rsid w:val="009972C7"/>
    <w:rsid w:val="009A0883"/>
    <w:rsid w:val="009A26E9"/>
    <w:rsid w:val="009A55A6"/>
    <w:rsid w:val="009B2EB3"/>
    <w:rsid w:val="009C1DF4"/>
    <w:rsid w:val="009D0490"/>
    <w:rsid w:val="009D1122"/>
    <w:rsid w:val="009D5D86"/>
    <w:rsid w:val="009E2215"/>
    <w:rsid w:val="009E2E08"/>
    <w:rsid w:val="009E64C1"/>
    <w:rsid w:val="009E6CB5"/>
    <w:rsid w:val="009E6E07"/>
    <w:rsid w:val="009F662E"/>
    <w:rsid w:val="00A00B29"/>
    <w:rsid w:val="00A0123B"/>
    <w:rsid w:val="00A04553"/>
    <w:rsid w:val="00A04D60"/>
    <w:rsid w:val="00A11AE8"/>
    <w:rsid w:val="00A20A48"/>
    <w:rsid w:val="00A21407"/>
    <w:rsid w:val="00A22B3B"/>
    <w:rsid w:val="00A24F1F"/>
    <w:rsid w:val="00A25959"/>
    <w:rsid w:val="00A270C2"/>
    <w:rsid w:val="00A30779"/>
    <w:rsid w:val="00A32AA1"/>
    <w:rsid w:val="00A32BFF"/>
    <w:rsid w:val="00A33B66"/>
    <w:rsid w:val="00A3404E"/>
    <w:rsid w:val="00A34A0A"/>
    <w:rsid w:val="00A40E19"/>
    <w:rsid w:val="00A47C4A"/>
    <w:rsid w:val="00A47D28"/>
    <w:rsid w:val="00A505E4"/>
    <w:rsid w:val="00A50873"/>
    <w:rsid w:val="00A5362E"/>
    <w:rsid w:val="00A55D5F"/>
    <w:rsid w:val="00A61145"/>
    <w:rsid w:val="00A61908"/>
    <w:rsid w:val="00A63AE3"/>
    <w:rsid w:val="00A66052"/>
    <w:rsid w:val="00A6718A"/>
    <w:rsid w:val="00A67E5E"/>
    <w:rsid w:val="00A724A2"/>
    <w:rsid w:val="00A76479"/>
    <w:rsid w:val="00A77B89"/>
    <w:rsid w:val="00A83B99"/>
    <w:rsid w:val="00A847E1"/>
    <w:rsid w:val="00A85F69"/>
    <w:rsid w:val="00AA4749"/>
    <w:rsid w:val="00AA6BF9"/>
    <w:rsid w:val="00AB13AE"/>
    <w:rsid w:val="00AB5AB5"/>
    <w:rsid w:val="00AB6BA4"/>
    <w:rsid w:val="00AC124E"/>
    <w:rsid w:val="00AC1E58"/>
    <w:rsid w:val="00AC221D"/>
    <w:rsid w:val="00AC2E72"/>
    <w:rsid w:val="00AD02F7"/>
    <w:rsid w:val="00AD2E0E"/>
    <w:rsid w:val="00AD3892"/>
    <w:rsid w:val="00AD57D7"/>
    <w:rsid w:val="00AE5AEB"/>
    <w:rsid w:val="00AE6A38"/>
    <w:rsid w:val="00AE6E6E"/>
    <w:rsid w:val="00AE76C5"/>
    <w:rsid w:val="00AF34C2"/>
    <w:rsid w:val="00AF4AEE"/>
    <w:rsid w:val="00AF5BA0"/>
    <w:rsid w:val="00B023D2"/>
    <w:rsid w:val="00B14850"/>
    <w:rsid w:val="00B20BA3"/>
    <w:rsid w:val="00B252C4"/>
    <w:rsid w:val="00B25D9D"/>
    <w:rsid w:val="00B25ED9"/>
    <w:rsid w:val="00B268A7"/>
    <w:rsid w:val="00B27C69"/>
    <w:rsid w:val="00B32505"/>
    <w:rsid w:val="00B343D1"/>
    <w:rsid w:val="00B34BB3"/>
    <w:rsid w:val="00B35D3C"/>
    <w:rsid w:val="00B372AD"/>
    <w:rsid w:val="00B375D8"/>
    <w:rsid w:val="00B40889"/>
    <w:rsid w:val="00B45E20"/>
    <w:rsid w:val="00B46059"/>
    <w:rsid w:val="00B55830"/>
    <w:rsid w:val="00B55EAD"/>
    <w:rsid w:val="00B55F9E"/>
    <w:rsid w:val="00B6632B"/>
    <w:rsid w:val="00B707D6"/>
    <w:rsid w:val="00B71B43"/>
    <w:rsid w:val="00B72A90"/>
    <w:rsid w:val="00B72BD4"/>
    <w:rsid w:val="00B7529D"/>
    <w:rsid w:val="00B7615F"/>
    <w:rsid w:val="00B766F0"/>
    <w:rsid w:val="00B77985"/>
    <w:rsid w:val="00B77D7A"/>
    <w:rsid w:val="00B81EAD"/>
    <w:rsid w:val="00B83041"/>
    <w:rsid w:val="00BA069B"/>
    <w:rsid w:val="00BA2F36"/>
    <w:rsid w:val="00BB4691"/>
    <w:rsid w:val="00BB508A"/>
    <w:rsid w:val="00BB59CD"/>
    <w:rsid w:val="00BC1726"/>
    <w:rsid w:val="00BC1BA7"/>
    <w:rsid w:val="00BC1F83"/>
    <w:rsid w:val="00BC38B7"/>
    <w:rsid w:val="00BC3D86"/>
    <w:rsid w:val="00BC3E7F"/>
    <w:rsid w:val="00BC4437"/>
    <w:rsid w:val="00BD5BF1"/>
    <w:rsid w:val="00BD7F15"/>
    <w:rsid w:val="00BE1BFA"/>
    <w:rsid w:val="00BE21A9"/>
    <w:rsid w:val="00BE26A4"/>
    <w:rsid w:val="00BE2B20"/>
    <w:rsid w:val="00BE396C"/>
    <w:rsid w:val="00BE71CC"/>
    <w:rsid w:val="00BF50E6"/>
    <w:rsid w:val="00BF548A"/>
    <w:rsid w:val="00C00F95"/>
    <w:rsid w:val="00C03D26"/>
    <w:rsid w:val="00C04ABE"/>
    <w:rsid w:val="00C108E2"/>
    <w:rsid w:val="00C112EC"/>
    <w:rsid w:val="00C11E6C"/>
    <w:rsid w:val="00C12A95"/>
    <w:rsid w:val="00C13B8C"/>
    <w:rsid w:val="00C208A9"/>
    <w:rsid w:val="00C27996"/>
    <w:rsid w:val="00C27DDC"/>
    <w:rsid w:val="00C30CFF"/>
    <w:rsid w:val="00C3288E"/>
    <w:rsid w:val="00C33A41"/>
    <w:rsid w:val="00C350BD"/>
    <w:rsid w:val="00C41091"/>
    <w:rsid w:val="00C41E74"/>
    <w:rsid w:val="00C42A51"/>
    <w:rsid w:val="00C42B49"/>
    <w:rsid w:val="00C43DEF"/>
    <w:rsid w:val="00C52360"/>
    <w:rsid w:val="00C52D6B"/>
    <w:rsid w:val="00C55E7E"/>
    <w:rsid w:val="00C562C4"/>
    <w:rsid w:val="00C563FC"/>
    <w:rsid w:val="00C61FB8"/>
    <w:rsid w:val="00C6652A"/>
    <w:rsid w:val="00C67F1F"/>
    <w:rsid w:val="00C7037D"/>
    <w:rsid w:val="00C71727"/>
    <w:rsid w:val="00C741C5"/>
    <w:rsid w:val="00C8555A"/>
    <w:rsid w:val="00C93C6E"/>
    <w:rsid w:val="00C94C57"/>
    <w:rsid w:val="00C95E06"/>
    <w:rsid w:val="00CA351F"/>
    <w:rsid w:val="00CA4673"/>
    <w:rsid w:val="00CA62E7"/>
    <w:rsid w:val="00CA70A3"/>
    <w:rsid w:val="00CB3CD7"/>
    <w:rsid w:val="00CB4B50"/>
    <w:rsid w:val="00CC0930"/>
    <w:rsid w:val="00CC446A"/>
    <w:rsid w:val="00CC5464"/>
    <w:rsid w:val="00CC6470"/>
    <w:rsid w:val="00CC7E8A"/>
    <w:rsid w:val="00CD0C05"/>
    <w:rsid w:val="00CD2923"/>
    <w:rsid w:val="00CD4E22"/>
    <w:rsid w:val="00CD6561"/>
    <w:rsid w:val="00CE22DC"/>
    <w:rsid w:val="00CE35BE"/>
    <w:rsid w:val="00CE67CF"/>
    <w:rsid w:val="00CF32B1"/>
    <w:rsid w:val="00D00671"/>
    <w:rsid w:val="00D04D48"/>
    <w:rsid w:val="00D05814"/>
    <w:rsid w:val="00D07D7E"/>
    <w:rsid w:val="00D15C65"/>
    <w:rsid w:val="00D30CCD"/>
    <w:rsid w:val="00D32077"/>
    <w:rsid w:val="00D33577"/>
    <w:rsid w:val="00D344B8"/>
    <w:rsid w:val="00D42735"/>
    <w:rsid w:val="00D4427F"/>
    <w:rsid w:val="00D44E68"/>
    <w:rsid w:val="00D46663"/>
    <w:rsid w:val="00D50654"/>
    <w:rsid w:val="00D51433"/>
    <w:rsid w:val="00D54EE8"/>
    <w:rsid w:val="00D60ED3"/>
    <w:rsid w:val="00D6256B"/>
    <w:rsid w:val="00D66821"/>
    <w:rsid w:val="00D674F3"/>
    <w:rsid w:val="00D71083"/>
    <w:rsid w:val="00D728F8"/>
    <w:rsid w:val="00D74342"/>
    <w:rsid w:val="00D80C42"/>
    <w:rsid w:val="00D814E3"/>
    <w:rsid w:val="00D90715"/>
    <w:rsid w:val="00D94F2E"/>
    <w:rsid w:val="00DA1C02"/>
    <w:rsid w:val="00DA4E43"/>
    <w:rsid w:val="00DA5DBA"/>
    <w:rsid w:val="00DB180B"/>
    <w:rsid w:val="00DC26E6"/>
    <w:rsid w:val="00DC319D"/>
    <w:rsid w:val="00DC3957"/>
    <w:rsid w:val="00DC63A2"/>
    <w:rsid w:val="00DD1C50"/>
    <w:rsid w:val="00DE267A"/>
    <w:rsid w:val="00DE405B"/>
    <w:rsid w:val="00DE75DC"/>
    <w:rsid w:val="00DF1845"/>
    <w:rsid w:val="00DF22F5"/>
    <w:rsid w:val="00DF4D3B"/>
    <w:rsid w:val="00DF5973"/>
    <w:rsid w:val="00DF69FF"/>
    <w:rsid w:val="00DF728D"/>
    <w:rsid w:val="00E00790"/>
    <w:rsid w:val="00E06A60"/>
    <w:rsid w:val="00E07D24"/>
    <w:rsid w:val="00E118FE"/>
    <w:rsid w:val="00E12189"/>
    <w:rsid w:val="00E121E9"/>
    <w:rsid w:val="00E1256E"/>
    <w:rsid w:val="00E13E41"/>
    <w:rsid w:val="00E14736"/>
    <w:rsid w:val="00E15D0F"/>
    <w:rsid w:val="00E16507"/>
    <w:rsid w:val="00E2011D"/>
    <w:rsid w:val="00E232DD"/>
    <w:rsid w:val="00E26713"/>
    <w:rsid w:val="00E274FC"/>
    <w:rsid w:val="00E279F3"/>
    <w:rsid w:val="00E310AF"/>
    <w:rsid w:val="00E313B2"/>
    <w:rsid w:val="00E31F01"/>
    <w:rsid w:val="00E356AB"/>
    <w:rsid w:val="00E403CB"/>
    <w:rsid w:val="00E40905"/>
    <w:rsid w:val="00E41AC1"/>
    <w:rsid w:val="00E41D82"/>
    <w:rsid w:val="00E42BD5"/>
    <w:rsid w:val="00E42EE4"/>
    <w:rsid w:val="00E44D39"/>
    <w:rsid w:val="00E45BF9"/>
    <w:rsid w:val="00E45C87"/>
    <w:rsid w:val="00E45E22"/>
    <w:rsid w:val="00E467B6"/>
    <w:rsid w:val="00E47E78"/>
    <w:rsid w:val="00E54197"/>
    <w:rsid w:val="00E6344C"/>
    <w:rsid w:val="00E63A2E"/>
    <w:rsid w:val="00E70977"/>
    <w:rsid w:val="00E77040"/>
    <w:rsid w:val="00E77CE4"/>
    <w:rsid w:val="00E87097"/>
    <w:rsid w:val="00E92B9E"/>
    <w:rsid w:val="00E93608"/>
    <w:rsid w:val="00E97AEA"/>
    <w:rsid w:val="00EA1B60"/>
    <w:rsid w:val="00EA4A88"/>
    <w:rsid w:val="00EA50DF"/>
    <w:rsid w:val="00EA51E8"/>
    <w:rsid w:val="00EA5B2F"/>
    <w:rsid w:val="00EA65F3"/>
    <w:rsid w:val="00EB12D2"/>
    <w:rsid w:val="00EB3E79"/>
    <w:rsid w:val="00EC6628"/>
    <w:rsid w:val="00ED0DFC"/>
    <w:rsid w:val="00ED24BA"/>
    <w:rsid w:val="00ED5769"/>
    <w:rsid w:val="00EE15B1"/>
    <w:rsid w:val="00EE29EC"/>
    <w:rsid w:val="00EE2F73"/>
    <w:rsid w:val="00EE44DC"/>
    <w:rsid w:val="00EE46AA"/>
    <w:rsid w:val="00EE63BC"/>
    <w:rsid w:val="00EF14C4"/>
    <w:rsid w:val="00EF44FE"/>
    <w:rsid w:val="00EF551C"/>
    <w:rsid w:val="00F010CF"/>
    <w:rsid w:val="00F034E4"/>
    <w:rsid w:val="00F04C1C"/>
    <w:rsid w:val="00F07FD8"/>
    <w:rsid w:val="00F11965"/>
    <w:rsid w:val="00F13867"/>
    <w:rsid w:val="00F1795F"/>
    <w:rsid w:val="00F258B1"/>
    <w:rsid w:val="00F26579"/>
    <w:rsid w:val="00F30D24"/>
    <w:rsid w:val="00F37194"/>
    <w:rsid w:val="00F37813"/>
    <w:rsid w:val="00F44CBC"/>
    <w:rsid w:val="00F473E2"/>
    <w:rsid w:val="00F529F7"/>
    <w:rsid w:val="00F61325"/>
    <w:rsid w:val="00F63920"/>
    <w:rsid w:val="00F664B8"/>
    <w:rsid w:val="00F71973"/>
    <w:rsid w:val="00F7331F"/>
    <w:rsid w:val="00F800A8"/>
    <w:rsid w:val="00F84A82"/>
    <w:rsid w:val="00F85CA6"/>
    <w:rsid w:val="00F862A3"/>
    <w:rsid w:val="00F92B1E"/>
    <w:rsid w:val="00F96358"/>
    <w:rsid w:val="00FA4A65"/>
    <w:rsid w:val="00FB2C6D"/>
    <w:rsid w:val="00FB3102"/>
    <w:rsid w:val="00FB49B5"/>
    <w:rsid w:val="00FB74AD"/>
    <w:rsid w:val="00FB7E8E"/>
    <w:rsid w:val="00FC69AB"/>
    <w:rsid w:val="00FD1F1D"/>
    <w:rsid w:val="00FD326E"/>
    <w:rsid w:val="00FD3772"/>
    <w:rsid w:val="00FE375D"/>
    <w:rsid w:val="00FE754F"/>
    <w:rsid w:val="00FF3964"/>
    <w:rsid w:val="00FF39C2"/>
    <w:rsid w:val="00FF4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CDAB"/>
  <w15:docId w15:val="{DD3BBB22-07A8-4933-AE6F-AC57CFB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E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2C7"/>
    <w:pPr>
      <w:tabs>
        <w:tab w:val="center" w:pos="4419"/>
        <w:tab w:val="right" w:pos="8838"/>
      </w:tabs>
      <w:spacing w:after="0" w:line="240" w:lineRule="auto"/>
    </w:pPr>
  </w:style>
  <w:style w:type="character" w:customStyle="1" w:styleId="HeaderChar">
    <w:name w:val="Header Char"/>
    <w:basedOn w:val="DefaultParagraphFont"/>
    <w:link w:val="Header"/>
    <w:uiPriority w:val="99"/>
    <w:rsid w:val="009972C7"/>
  </w:style>
  <w:style w:type="paragraph" w:styleId="Footer">
    <w:name w:val="footer"/>
    <w:basedOn w:val="Normal"/>
    <w:link w:val="FooterChar"/>
    <w:uiPriority w:val="99"/>
    <w:unhideWhenUsed/>
    <w:rsid w:val="009972C7"/>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72C7"/>
  </w:style>
  <w:style w:type="paragraph" w:styleId="ListParagraph">
    <w:name w:val="List Paragraph"/>
    <w:basedOn w:val="Normal"/>
    <w:uiPriority w:val="34"/>
    <w:qFormat/>
    <w:rsid w:val="00B34BB3"/>
    <w:pPr>
      <w:ind w:left="720"/>
      <w:contextualSpacing/>
    </w:pPr>
  </w:style>
  <w:style w:type="character" w:styleId="CommentReference">
    <w:name w:val="annotation reference"/>
    <w:basedOn w:val="DefaultParagraphFont"/>
    <w:uiPriority w:val="99"/>
    <w:semiHidden/>
    <w:unhideWhenUsed/>
    <w:rsid w:val="00143A59"/>
    <w:rPr>
      <w:sz w:val="16"/>
      <w:szCs w:val="16"/>
    </w:rPr>
  </w:style>
  <w:style w:type="paragraph" w:styleId="CommentText">
    <w:name w:val="annotation text"/>
    <w:basedOn w:val="Normal"/>
    <w:link w:val="CommentTextChar"/>
    <w:uiPriority w:val="99"/>
    <w:unhideWhenUsed/>
    <w:rsid w:val="00143A59"/>
    <w:pPr>
      <w:spacing w:line="240" w:lineRule="auto"/>
    </w:pPr>
    <w:rPr>
      <w:sz w:val="20"/>
      <w:szCs w:val="20"/>
    </w:rPr>
  </w:style>
  <w:style w:type="character" w:customStyle="1" w:styleId="CommentTextChar">
    <w:name w:val="Comment Text Char"/>
    <w:basedOn w:val="DefaultParagraphFont"/>
    <w:link w:val="CommentText"/>
    <w:uiPriority w:val="99"/>
    <w:rsid w:val="00143A59"/>
    <w:rPr>
      <w:sz w:val="20"/>
      <w:szCs w:val="20"/>
    </w:rPr>
  </w:style>
  <w:style w:type="paragraph" w:styleId="CommentSubject">
    <w:name w:val="annotation subject"/>
    <w:basedOn w:val="CommentText"/>
    <w:next w:val="CommentText"/>
    <w:link w:val="CommentSubjectChar"/>
    <w:uiPriority w:val="99"/>
    <w:semiHidden/>
    <w:unhideWhenUsed/>
    <w:rsid w:val="00143A59"/>
    <w:rPr>
      <w:b/>
      <w:bCs/>
    </w:rPr>
  </w:style>
  <w:style w:type="character" w:customStyle="1" w:styleId="CommentSubjectChar">
    <w:name w:val="Comment Subject Char"/>
    <w:basedOn w:val="CommentTextChar"/>
    <w:link w:val="CommentSubject"/>
    <w:uiPriority w:val="99"/>
    <w:semiHidden/>
    <w:rsid w:val="00143A59"/>
    <w:rPr>
      <w:b/>
      <w:bCs/>
      <w:sz w:val="20"/>
      <w:szCs w:val="20"/>
    </w:rPr>
  </w:style>
  <w:style w:type="paragraph" w:styleId="BalloonText">
    <w:name w:val="Balloon Text"/>
    <w:basedOn w:val="Normal"/>
    <w:link w:val="BalloonTextChar"/>
    <w:uiPriority w:val="99"/>
    <w:semiHidden/>
    <w:unhideWhenUsed/>
    <w:rsid w:val="0014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59"/>
    <w:rPr>
      <w:rFonts w:ascii="Tahoma" w:hAnsi="Tahoma" w:cs="Tahoma"/>
      <w:sz w:val="16"/>
      <w:szCs w:val="16"/>
    </w:rPr>
  </w:style>
  <w:style w:type="paragraph" w:customStyle="1" w:styleId="Default">
    <w:name w:val="Default"/>
    <w:rsid w:val="00C00F9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95E06"/>
    <w:pPr>
      <w:spacing w:after="0" w:line="240" w:lineRule="auto"/>
    </w:pPr>
  </w:style>
  <w:style w:type="character" w:styleId="Hyperlink">
    <w:name w:val="Hyperlink"/>
    <w:basedOn w:val="DefaultParagraphFont"/>
    <w:uiPriority w:val="99"/>
    <w:unhideWhenUsed/>
    <w:rsid w:val="006114DE"/>
    <w:rPr>
      <w:color w:val="0000FF" w:themeColor="hyperlink"/>
      <w:u w:val="single"/>
    </w:rPr>
  </w:style>
  <w:style w:type="table" w:customStyle="1" w:styleId="TableGrid2">
    <w:name w:val="Table Grid2"/>
    <w:basedOn w:val="TableNormal"/>
    <w:next w:val="TableGrid"/>
    <w:uiPriority w:val="39"/>
    <w:rsid w:val="00EE29E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hemeFill="background1" w:themeFillShade="F2"/>
      </w:tcPr>
    </w:tblStylePr>
  </w:style>
  <w:style w:type="table" w:customStyle="1" w:styleId="TableGrid3">
    <w:name w:val="Table Grid3"/>
    <w:basedOn w:val="TableNormal"/>
    <w:next w:val="TableGrid"/>
    <w:uiPriority w:val="59"/>
    <w:rsid w:val="00EE29E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hemeFill="background1" w:themeFillShade="F2"/>
      </w:tcPr>
    </w:tblStylePr>
  </w:style>
  <w:style w:type="character" w:styleId="Strong">
    <w:name w:val="Strong"/>
    <w:basedOn w:val="DefaultParagraphFont"/>
    <w:qFormat/>
    <w:rsid w:val="00E45C87"/>
    <w:rPr>
      <w:b/>
      <w:bCs/>
    </w:rPr>
  </w:style>
  <w:style w:type="paragraph" w:styleId="BodyText2">
    <w:name w:val="Body Text 2"/>
    <w:basedOn w:val="Normal"/>
    <w:link w:val="BodyText2Char"/>
    <w:rsid w:val="00CD0C05"/>
    <w:pPr>
      <w:spacing w:after="0" w:line="240" w:lineRule="auto"/>
    </w:pPr>
    <w:rPr>
      <w:rFonts w:ascii="Arial" w:eastAsia="Times New Roman" w:hAnsi="Arial" w:cs="Arial"/>
    </w:rPr>
  </w:style>
  <w:style w:type="character" w:customStyle="1" w:styleId="BodyText2Char">
    <w:name w:val="Body Text 2 Char"/>
    <w:basedOn w:val="DefaultParagraphFont"/>
    <w:link w:val="BodyText2"/>
    <w:rsid w:val="00CD0C05"/>
    <w:rPr>
      <w:rFonts w:ascii="Arial" w:eastAsia="Times New Roman" w:hAnsi="Arial" w:cs="Arial"/>
    </w:rPr>
  </w:style>
  <w:style w:type="paragraph" w:styleId="EndnoteText">
    <w:name w:val="endnote text"/>
    <w:basedOn w:val="Normal"/>
    <w:link w:val="EndnoteTextChar"/>
    <w:uiPriority w:val="99"/>
    <w:semiHidden/>
    <w:unhideWhenUsed/>
    <w:rsid w:val="00375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8C2"/>
    <w:rPr>
      <w:sz w:val="20"/>
      <w:szCs w:val="20"/>
    </w:rPr>
  </w:style>
  <w:style w:type="character" w:styleId="EndnoteReference">
    <w:name w:val="endnote reference"/>
    <w:basedOn w:val="DefaultParagraphFont"/>
    <w:uiPriority w:val="99"/>
    <w:semiHidden/>
    <w:unhideWhenUsed/>
    <w:rsid w:val="003758C2"/>
    <w:rPr>
      <w:vertAlign w:val="superscript"/>
    </w:rPr>
  </w:style>
  <w:style w:type="paragraph" w:customStyle="1" w:styleId="EndNoteBibliographyTitle">
    <w:name w:val="EndNote Bibliography Title"/>
    <w:basedOn w:val="Normal"/>
    <w:link w:val="EndNoteBibliographyTitleChar"/>
    <w:rsid w:val="003758C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758C2"/>
    <w:rPr>
      <w:rFonts w:ascii="Calibri" w:hAnsi="Calibri" w:cs="Calibri"/>
      <w:noProof/>
    </w:rPr>
  </w:style>
  <w:style w:type="paragraph" w:customStyle="1" w:styleId="EndNoteBibliography">
    <w:name w:val="EndNote Bibliography"/>
    <w:basedOn w:val="Normal"/>
    <w:link w:val="EndNoteBibliographyChar"/>
    <w:rsid w:val="003758C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758C2"/>
    <w:rPr>
      <w:rFonts w:ascii="Calibri" w:hAnsi="Calibri" w:cs="Calibri"/>
      <w:noProof/>
    </w:rPr>
  </w:style>
  <w:style w:type="paragraph" w:styleId="PlainText">
    <w:name w:val="Plain Text"/>
    <w:basedOn w:val="Normal"/>
    <w:link w:val="PlainTextChar"/>
    <w:uiPriority w:val="99"/>
    <w:unhideWhenUsed/>
    <w:rsid w:val="004C07B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C07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1605">
      <w:bodyDiv w:val="1"/>
      <w:marLeft w:val="0"/>
      <w:marRight w:val="0"/>
      <w:marTop w:val="0"/>
      <w:marBottom w:val="0"/>
      <w:divBdr>
        <w:top w:val="none" w:sz="0" w:space="0" w:color="auto"/>
        <w:left w:val="none" w:sz="0" w:space="0" w:color="auto"/>
        <w:bottom w:val="none" w:sz="0" w:space="0" w:color="auto"/>
        <w:right w:val="none" w:sz="0" w:space="0" w:color="auto"/>
      </w:divBdr>
    </w:div>
    <w:div w:id="469831864">
      <w:bodyDiv w:val="1"/>
      <w:marLeft w:val="0"/>
      <w:marRight w:val="0"/>
      <w:marTop w:val="0"/>
      <w:marBottom w:val="0"/>
      <w:divBdr>
        <w:top w:val="none" w:sz="0" w:space="0" w:color="auto"/>
        <w:left w:val="none" w:sz="0" w:space="0" w:color="auto"/>
        <w:bottom w:val="none" w:sz="0" w:space="0" w:color="auto"/>
        <w:right w:val="none" w:sz="0" w:space="0" w:color="auto"/>
      </w:divBdr>
      <w:divsChild>
        <w:div w:id="17004494">
          <w:marLeft w:val="0"/>
          <w:marRight w:val="0"/>
          <w:marTop w:val="0"/>
          <w:marBottom w:val="0"/>
          <w:divBdr>
            <w:top w:val="none" w:sz="0" w:space="0" w:color="auto"/>
            <w:left w:val="none" w:sz="0" w:space="0" w:color="auto"/>
            <w:bottom w:val="none" w:sz="0" w:space="0" w:color="auto"/>
            <w:right w:val="none" w:sz="0" w:space="0" w:color="auto"/>
          </w:divBdr>
        </w:div>
        <w:div w:id="21712175">
          <w:marLeft w:val="0"/>
          <w:marRight w:val="0"/>
          <w:marTop w:val="0"/>
          <w:marBottom w:val="0"/>
          <w:divBdr>
            <w:top w:val="none" w:sz="0" w:space="0" w:color="auto"/>
            <w:left w:val="none" w:sz="0" w:space="0" w:color="auto"/>
            <w:bottom w:val="none" w:sz="0" w:space="0" w:color="auto"/>
            <w:right w:val="none" w:sz="0" w:space="0" w:color="auto"/>
          </w:divBdr>
        </w:div>
        <w:div w:id="42141622">
          <w:marLeft w:val="0"/>
          <w:marRight w:val="0"/>
          <w:marTop w:val="0"/>
          <w:marBottom w:val="0"/>
          <w:divBdr>
            <w:top w:val="none" w:sz="0" w:space="0" w:color="auto"/>
            <w:left w:val="none" w:sz="0" w:space="0" w:color="auto"/>
            <w:bottom w:val="none" w:sz="0" w:space="0" w:color="auto"/>
            <w:right w:val="none" w:sz="0" w:space="0" w:color="auto"/>
          </w:divBdr>
        </w:div>
        <w:div w:id="80033995">
          <w:marLeft w:val="0"/>
          <w:marRight w:val="0"/>
          <w:marTop w:val="0"/>
          <w:marBottom w:val="0"/>
          <w:divBdr>
            <w:top w:val="none" w:sz="0" w:space="0" w:color="auto"/>
            <w:left w:val="none" w:sz="0" w:space="0" w:color="auto"/>
            <w:bottom w:val="none" w:sz="0" w:space="0" w:color="auto"/>
            <w:right w:val="none" w:sz="0" w:space="0" w:color="auto"/>
          </w:divBdr>
        </w:div>
        <w:div w:id="472797253">
          <w:marLeft w:val="0"/>
          <w:marRight w:val="0"/>
          <w:marTop w:val="0"/>
          <w:marBottom w:val="0"/>
          <w:divBdr>
            <w:top w:val="none" w:sz="0" w:space="0" w:color="auto"/>
            <w:left w:val="none" w:sz="0" w:space="0" w:color="auto"/>
            <w:bottom w:val="none" w:sz="0" w:space="0" w:color="auto"/>
            <w:right w:val="none" w:sz="0" w:space="0" w:color="auto"/>
          </w:divBdr>
        </w:div>
        <w:div w:id="504906476">
          <w:marLeft w:val="0"/>
          <w:marRight w:val="0"/>
          <w:marTop w:val="0"/>
          <w:marBottom w:val="0"/>
          <w:divBdr>
            <w:top w:val="none" w:sz="0" w:space="0" w:color="auto"/>
            <w:left w:val="none" w:sz="0" w:space="0" w:color="auto"/>
            <w:bottom w:val="none" w:sz="0" w:space="0" w:color="auto"/>
            <w:right w:val="none" w:sz="0" w:space="0" w:color="auto"/>
          </w:divBdr>
        </w:div>
        <w:div w:id="1199658247">
          <w:marLeft w:val="0"/>
          <w:marRight w:val="0"/>
          <w:marTop w:val="0"/>
          <w:marBottom w:val="0"/>
          <w:divBdr>
            <w:top w:val="none" w:sz="0" w:space="0" w:color="auto"/>
            <w:left w:val="none" w:sz="0" w:space="0" w:color="auto"/>
            <w:bottom w:val="none" w:sz="0" w:space="0" w:color="auto"/>
            <w:right w:val="none" w:sz="0" w:space="0" w:color="auto"/>
          </w:divBdr>
        </w:div>
        <w:div w:id="1350910496">
          <w:marLeft w:val="0"/>
          <w:marRight w:val="0"/>
          <w:marTop w:val="0"/>
          <w:marBottom w:val="0"/>
          <w:divBdr>
            <w:top w:val="none" w:sz="0" w:space="0" w:color="auto"/>
            <w:left w:val="none" w:sz="0" w:space="0" w:color="auto"/>
            <w:bottom w:val="none" w:sz="0" w:space="0" w:color="auto"/>
            <w:right w:val="none" w:sz="0" w:space="0" w:color="auto"/>
          </w:divBdr>
        </w:div>
        <w:div w:id="1367439635">
          <w:marLeft w:val="0"/>
          <w:marRight w:val="0"/>
          <w:marTop w:val="0"/>
          <w:marBottom w:val="0"/>
          <w:divBdr>
            <w:top w:val="none" w:sz="0" w:space="0" w:color="auto"/>
            <w:left w:val="none" w:sz="0" w:space="0" w:color="auto"/>
            <w:bottom w:val="none" w:sz="0" w:space="0" w:color="auto"/>
            <w:right w:val="none" w:sz="0" w:space="0" w:color="auto"/>
          </w:divBdr>
        </w:div>
        <w:div w:id="1378236470">
          <w:marLeft w:val="0"/>
          <w:marRight w:val="0"/>
          <w:marTop w:val="0"/>
          <w:marBottom w:val="0"/>
          <w:divBdr>
            <w:top w:val="none" w:sz="0" w:space="0" w:color="auto"/>
            <w:left w:val="none" w:sz="0" w:space="0" w:color="auto"/>
            <w:bottom w:val="none" w:sz="0" w:space="0" w:color="auto"/>
            <w:right w:val="none" w:sz="0" w:space="0" w:color="auto"/>
          </w:divBdr>
        </w:div>
        <w:div w:id="1501584711">
          <w:marLeft w:val="0"/>
          <w:marRight w:val="0"/>
          <w:marTop w:val="0"/>
          <w:marBottom w:val="0"/>
          <w:divBdr>
            <w:top w:val="none" w:sz="0" w:space="0" w:color="auto"/>
            <w:left w:val="none" w:sz="0" w:space="0" w:color="auto"/>
            <w:bottom w:val="none" w:sz="0" w:space="0" w:color="auto"/>
            <w:right w:val="none" w:sz="0" w:space="0" w:color="auto"/>
          </w:divBdr>
        </w:div>
        <w:div w:id="1543441278">
          <w:marLeft w:val="0"/>
          <w:marRight w:val="0"/>
          <w:marTop w:val="0"/>
          <w:marBottom w:val="0"/>
          <w:divBdr>
            <w:top w:val="none" w:sz="0" w:space="0" w:color="auto"/>
            <w:left w:val="none" w:sz="0" w:space="0" w:color="auto"/>
            <w:bottom w:val="none" w:sz="0" w:space="0" w:color="auto"/>
            <w:right w:val="none" w:sz="0" w:space="0" w:color="auto"/>
          </w:divBdr>
        </w:div>
        <w:div w:id="1545676322">
          <w:marLeft w:val="0"/>
          <w:marRight w:val="0"/>
          <w:marTop w:val="0"/>
          <w:marBottom w:val="0"/>
          <w:divBdr>
            <w:top w:val="none" w:sz="0" w:space="0" w:color="auto"/>
            <w:left w:val="none" w:sz="0" w:space="0" w:color="auto"/>
            <w:bottom w:val="none" w:sz="0" w:space="0" w:color="auto"/>
            <w:right w:val="none" w:sz="0" w:space="0" w:color="auto"/>
          </w:divBdr>
        </w:div>
        <w:div w:id="1729377993">
          <w:marLeft w:val="0"/>
          <w:marRight w:val="0"/>
          <w:marTop w:val="0"/>
          <w:marBottom w:val="0"/>
          <w:divBdr>
            <w:top w:val="none" w:sz="0" w:space="0" w:color="auto"/>
            <w:left w:val="none" w:sz="0" w:space="0" w:color="auto"/>
            <w:bottom w:val="none" w:sz="0" w:space="0" w:color="auto"/>
            <w:right w:val="none" w:sz="0" w:space="0" w:color="auto"/>
          </w:divBdr>
        </w:div>
        <w:div w:id="1840005426">
          <w:marLeft w:val="0"/>
          <w:marRight w:val="0"/>
          <w:marTop w:val="0"/>
          <w:marBottom w:val="0"/>
          <w:divBdr>
            <w:top w:val="none" w:sz="0" w:space="0" w:color="auto"/>
            <w:left w:val="none" w:sz="0" w:space="0" w:color="auto"/>
            <w:bottom w:val="none" w:sz="0" w:space="0" w:color="auto"/>
            <w:right w:val="none" w:sz="0" w:space="0" w:color="auto"/>
          </w:divBdr>
        </w:div>
        <w:div w:id="1945653820">
          <w:marLeft w:val="0"/>
          <w:marRight w:val="0"/>
          <w:marTop w:val="0"/>
          <w:marBottom w:val="0"/>
          <w:divBdr>
            <w:top w:val="none" w:sz="0" w:space="0" w:color="auto"/>
            <w:left w:val="none" w:sz="0" w:space="0" w:color="auto"/>
            <w:bottom w:val="none" w:sz="0" w:space="0" w:color="auto"/>
            <w:right w:val="none" w:sz="0" w:space="0" w:color="auto"/>
          </w:divBdr>
        </w:div>
        <w:div w:id="1955669636">
          <w:marLeft w:val="0"/>
          <w:marRight w:val="0"/>
          <w:marTop w:val="0"/>
          <w:marBottom w:val="0"/>
          <w:divBdr>
            <w:top w:val="none" w:sz="0" w:space="0" w:color="auto"/>
            <w:left w:val="none" w:sz="0" w:space="0" w:color="auto"/>
            <w:bottom w:val="none" w:sz="0" w:space="0" w:color="auto"/>
            <w:right w:val="none" w:sz="0" w:space="0" w:color="auto"/>
          </w:divBdr>
          <w:divsChild>
            <w:div w:id="1141918715">
              <w:marLeft w:val="0"/>
              <w:marRight w:val="0"/>
              <w:marTop w:val="0"/>
              <w:marBottom w:val="0"/>
              <w:divBdr>
                <w:top w:val="none" w:sz="0" w:space="0" w:color="auto"/>
                <w:left w:val="none" w:sz="0" w:space="0" w:color="auto"/>
                <w:bottom w:val="none" w:sz="0" w:space="0" w:color="auto"/>
                <w:right w:val="none" w:sz="0" w:space="0" w:color="auto"/>
              </w:divBdr>
              <w:divsChild>
                <w:div w:id="551694611">
                  <w:marLeft w:val="0"/>
                  <w:marRight w:val="0"/>
                  <w:marTop w:val="0"/>
                  <w:marBottom w:val="0"/>
                  <w:divBdr>
                    <w:top w:val="none" w:sz="0" w:space="0" w:color="auto"/>
                    <w:left w:val="none" w:sz="0" w:space="0" w:color="auto"/>
                    <w:bottom w:val="none" w:sz="0" w:space="0" w:color="auto"/>
                    <w:right w:val="none" w:sz="0" w:space="0" w:color="auto"/>
                  </w:divBdr>
                  <w:divsChild>
                    <w:div w:id="1403140845">
                      <w:marLeft w:val="0"/>
                      <w:marRight w:val="0"/>
                      <w:marTop w:val="0"/>
                      <w:marBottom w:val="0"/>
                      <w:divBdr>
                        <w:top w:val="none" w:sz="0" w:space="0" w:color="auto"/>
                        <w:left w:val="none" w:sz="0" w:space="0" w:color="auto"/>
                        <w:bottom w:val="none" w:sz="0" w:space="0" w:color="auto"/>
                        <w:right w:val="none" w:sz="0" w:space="0" w:color="auto"/>
                      </w:divBdr>
                      <w:divsChild>
                        <w:div w:id="172960006">
                          <w:marLeft w:val="0"/>
                          <w:marRight w:val="0"/>
                          <w:marTop w:val="0"/>
                          <w:marBottom w:val="0"/>
                          <w:divBdr>
                            <w:top w:val="none" w:sz="0" w:space="0" w:color="auto"/>
                            <w:left w:val="none" w:sz="0" w:space="0" w:color="auto"/>
                            <w:bottom w:val="none" w:sz="0" w:space="0" w:color="auto"/>
                            <w:right w:val="none" w:sz="0" w:space="0" w:color="auto"/>
                          </w:divBdr>
                          <w:divsChild>
                            <w:div w:id="62417330">
                              <w:marLeft w:val="0"/>
                              <w:marRight w:val="0"/>
                              <w:marTop w:val="0"/>
                              <w:marBottom w:val="0"/>
                              <w:divBdr>
                                <w:top w:val="none" w:sz="0" w:space="0" w:color="auto"/>
                                <w:left w:val="none" w:sz="0" w:space="0" w:color="auto"/>
                                <w:bottom w:val="none" w:sz="0" w:space="0" w:color="auto"/>
                                <w:right w:val="none" w:sz="0" w:space="0" w:color="auto"/>
                              </w:divBdr>
                              <w:divsChild>
                                <w:div w:id="1080371623">
                                  <w:marLeft w:val="0"/>
                                  <w:marRight w:val="0"/>
                                  <w:marTop w:val="0"/>
                                  <w:marBottom w:val="0"/>
                                  <w:divBdr>
                                    <w:top w:val="none" w:sz="0" w:space="0" w:color="auto"/>
                                    <w:left w:val="none" w:sz="0" w:space="0" w:color="auto"/>
                                    <w:bottom w:val="none" w:sz="0" w:space="0" w:color="auto"/>
                                    <w:right w:val="none" w:sz="0" w:space="0" w:color="auto"/>
                                  </w:divBdr>
                                  <w:divsChild>
                                    <w:div w:id="2011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842618">
          <w:marLeft w:val="0"/>
          <w:marRight w:val="0"/>
          <w:marTop w:val="0"/>
          <w:marBottom w:val="0"/>
          <w:divBdr>
            <w:top w:val="none" w:sz="0" w:space="0" w:color="auto"/>
            <w:left w:val="none" w:sz="0" w:space="0" w:color="auto"/>
            <w:bottom w:val="none" w:sz="0" w:space="0" w:color="auto"/>
            <w:right w:val="none" w:sz="0" w:space="0" w:color="auto"/>
          </w:divBdr>
        </w:div>
        <w:div w:id="2087484647">
          <w:marLeft w:val="0"/>
          <w:marRight w:val="0"/>
          <w:marTop w:val="0"/>
          <w:marBottom w:val="0"/>
          <w:divBdr>
            <w:top w:val="none" w:sz="0" w:space="0" w:color="auto"/>
            <w:left w:val="none" w:sz="0" w:space="0" w:color="auto"/>
            <w:bottom w:val="none" w:sz="0" w:space="0" w:color="auto"/>
            <w:right w:val="none" w:sz="0" w:space="0" w:color="auto"/>
          </w:divBdr>
        </w:div>
      </w:divsChild>
    </w:div>
    <w:div w:id="1263684607">
      <w:bodyDiv w:val="1"/>
      <w:marLeft w:val="0"/>
      <w:marRight w:val="0"/>
      <w:marTop w:val="0"/>
      <w:marBottom w:val="0"/>
      <w:divBdr>
        <w:top w:val="none" w:sz="0" w:space="0" w:color="auto"/>
        <w:left w:val="none" w:sz="0" w:space="0" w:color="auto"/>
        <w:bottom w:val="none" w:sz="0" w:space="0" w:color="auto"/>
        <w:right w:val="none" w:sz="0" w:space="0" w:color="auto"/>
      </w:divBdr>
    </w:div>
    <w:div w:id="1298611100">
      <w:bodyDiv w:val="1"/>
      <w:marLeft w:val="0"/>
      <w:marRight w:val="0"/>
      <w:marTop w:val="0"/>
      <w:marBottom w:val="0"/>
      <w:divBdr>
        <w:top w:val="none" w:sz="0" w:space="0" w:color="auto"/>
        <w:left w:val="none" w:sz="0" w:space="0" w:color="auto"/>
        <w:bottom w:val="none" w:sz="0" w:space="0" w:color="auto"/>
        <w:right w:val="none" w:sz="0" w:space="0" w:color="auto"/>
      </w:divBdr>
    </w:div>
    <w:div w:id="1473208462">
      <w:bodyDiv w:val="1"/>
      <w:marLeft w:val="0"/>
      <w:marRight w:val="0"/>
      <w:marTop w:val="0"/>
      <w:marBottom w:val="0"/>
      <w:divBdr>
        <w:top w:val="none" w:sz="0" w:space="0" w:color="auto"/>
        <w:left w:val="none" w:sz="0" w:space="0" w:color="auto"/>
        <w:bottom w:val="none" w:sz="0" w:space="0" w:color="auto"/>
        <w:right w:val="none" w:sz="0" w:space="0" w:color="auto"/>
      </w:divBdr>
    </w:div>
    <w:div w:id="1488476655">
      <w:bodyDiv w:val="1"/>
      <w:marLeft w:val="0"/>
      <w:marRight w:val="0"/>
      <w:marTop w:val="0"/>
      <w:marBottom w:val="0"/>
      <w:divBdr>
        <w:top w:val="none" w:sz="0" w:space="0" w:color="auto"/>
        <w:left w:val="none" w:sz="0" w:space="0" w:color="auto"/>
        <w:bottom w:val="none" w:sz="0" w:space="0" w:color="auto"/>
        <w:right w:val="none" w:sz="0" w:space="0" w:color="auto"/>
      </w:divBdr>
    </w:div>
    <w:div w:id="1542744468">
      <w:bodyDiv w:val="1"/>
      <w:marLeft w:val="0"/>
      <w:marRight w:val="0"/>
      <w:marTop w:val="0"/>
      <w:marBottom w:val="0"/>
      <w:divBdr>
        <w:top w:val="none" w:sz="0" w:space="0" w:color="auto"/>
        <w:left w:val="none" w:sz="0" w:space="0" w:color="auto"/>
        <w:bottom w:val="none" w:sz="0" w:space="0" w:color="auto"/>
        <w:right w:val="none" w:sz="0" w:space="0" w:color="auto"/>
      </w:divBdr>
    </w:div>
    <w:div w:id="16999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BBF2-FE07-4DE7-A217-6D81D25F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Praew</dc:creator>
  <cp:lastModifiedBy>Baeuerlein, Christopher</cp:lastModifiedBy>
  <cp:revision>4</cp:revision>
  <cp:lastPrinted>2015-01-05T14:58:00Z</cp:lastPrinted>
  <dcterms:created xsi:type="dcterms:W3CDTF">2019-01-14T14:57:00Z</dcterms:created>
  <dcterms:modified xsi:type="dcterms:W3CDTF">2019-04-17T19:58:00Z</dcterms:modified>
</cp:coreProperties>
</file>