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E45A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t>Monocyte Distribution Width, A Novel Indicator of Sepsis-2 and Sepsis-3 in</w:t>
      </w:r>
    </w:p>
    <w:p w14:paraId="03A7E45B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t>High Risk Emergency Department Patients</w:t>
      </w:r>
    </w:p>
    <w:p w14:paraId="03A7E45C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</w:p>
    <w:p w14:paraId="03A7E45D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</w:p>
    <w:p w14:paraId="03A7E45E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</w:rPr>
      </w:pPr>
      <w:r w:rsidRPr="000319C8">
        <w:rPr>
          <w:rFonts w:ascii="Arial" w:hAnsi="Arial" w:cs="Arial"/>
        </w:rPr>
        <w:t>Elliott D. Crouser, MD</w:t>
      </w:r>
      <w:r w:rsidRPr="000319C8">
        <w:rPr>
          <w:rFonts w:ascii="Arial" w:hAnsi="Arial" w:cs="Arial"/>
          <w:vertAlign w:val="superscript"/>
        </w:rPr>
        <w:t>1</w:t>
      </w:r>
      <w:r w:rsidRPr="000319C8">
        <w:rPr>
          <w:rFonts w:ascii="Arial" w:hAnsi="Arial" w:cs="Arial"/>
        </w:rPr>
        <w:t>, Joseph E. Parrillo, MD</w:t>
      </w:r>
      <w:r w:rsidRPr="000319C8">
        <w:rPr>
          <w:rFonts w:ascii="Arial" w:hAnsi="Arial" w:cs="Arial"/>
          <w:vertAlign w:val="superscript"/>
        </w:rPr>
        <w:t>2</w:t>
      </w:r>
      <w:r w:rsidRPr="000319C8">
        <w:rPr>
          <w:rFonts w:ascii="Arial" w:hAnsi="Arial" w:cs="Arial"/>
        </w:rPr>
        <w:t>, Christopher W. Seymour, MD</w:t>
      </w:r>
      <w:r w:rsidRPr="000319C8">
        <w:rPr>
          <w:rFonts w:ascii="Arial" w:hAnsi="Arial" w:cs="Arial"/>
          <w:vertAlign w:val="superscript"/>
        </w:rPr>
        <w:t>3</w:t>
      </w:r>
      <w:r w:rsidRPr="000319C8">
        <w:rPr>
          <w:rFonts w:ascii="Arial" w:hAnsi="Arial" w:cs="Arial"/>
        </w:rPr>
        <w:t>,</w:t>
      </w:r>
    </w:p>
    <w:p w14:paraId="03A7E45F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</w:rPr>
      </w:pPr>
      <w:r w:rsidRPr="000319C8">
        <w:rPr>
          <w:rFonts w:ascii="Arial" w:hAnsi="Arial" w:cs="Arial"/>
        </w:rPr>
        <w:t>Derek C. Angus, MD, MPH.</w:t>
      </w:r>
      <w:r w:rsidRPr="000319C8">
        <w:rPr>
          <w:rFonts w:ascii="Arial" w:hAnsi="Arial" w:cs="Arial"/>
          <w:vertAlign w:val="superscript"/>
        </w:rPr>
        <w:t>3</w:t>
      </w:r>
      <w:r w:rsidRPr="000319C8">
        <w:rPr>
          <w:rFonts w:ascii="Arial" w:hAnsi="Arial" w:cs="Arial"/>
        </w:rPr>
        <w:t>, Keri Bicking, PharmD</w:t>
      </w:r>
      <w:r w:rsidRPr="000319C8">
        <w:rPr>
          <w:rFonts w:ascii="Arial" w:hAnsi="Arial" w:cs="Arial"/>
          <w:vertAlign w:val="superscript"/>
        </w:rPr>
        <w:t>2</w:t>
      </w:r>
      <w:r w:rsidRPr="000319C8">
        <w:rPr>
          <w:rFonts w:ascii="Arial" w:hAnsi="Arial" w:cs="Arial"/>
        </w:rPr>
        <w:t>, Vincent G. Esguerra, MD</w:t>
      </w:r>
      <w:r w:rsidRPr="000319C8">
        <w:rPr>
          <w:rFonts w:ascii="Arial" w:hAnsi="Arial" w:cs="Arial"/>
          <w:vertAlign w:val="superscript"/>
        </w:rPr>
        <w:t>1</w:t>
      </w:r>
      <w:r w:rsidRPr="000319C8">
        <w:rPr>
          <w:rFonts w:ascii="Arial" w:hAnsi="Arial" w:cs="Arial"/>
        </w:rPr>
        <w:t>,</w:t>
      </w:r>
    </w:p>
    <w:p w14:paraId="03A7E460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</w:rPr>
      </w:pPr>
      <w:r w:rsidRPr="000319C8">
        <w:rPr>
          <w:rFonts w:ascii="Arial" w:hAnsi="Arial" w:cs="Arial"/>
        </w:rPr>
        <w:t>Octavia M. Peck-Palmer, PhD</w:t>
      </w:r>
      <w:r w:rsidRPr="000319C8">
        <w:rPr>
          <w:rFonts w:ascii="Arial" w:hAnsi="Arial" w:cs="Arial"/>
          <w:vertAlign w:val="superscript"/>
        </w:rPr>
        <w:t>4</w:t>
      </w:r>
      <w:r w:rsidRPr="000319C8">
        <w:rPr>
          <w:rFonts w:ascii="Arial" w:hAnsi="Arial" w:cs="Arial"/>
        </w:rPr>
        <w:t>, Robert T. Magari, PhD</w:t>
      </w:r>
      <w:r w:rsidRPr="000319C8">
        <w:rPr>
          <w:rFonts w:ascii="Arial" w:hAnsi="Arial" w:cs="Arial"/>
          <w:vertAlign w:val="superscript"/>
        </w:rPr>
        <w:t>5</w:t>
      </w:r>
      <w:r w:rsidRPr="000319C8">
        <w:rPr>
          <w:rFonts w:ascii="Arial" w:hAnsi="Arial" w:cs="Arial"/>
        </w:rPr>
        <w:t>, Mark W. Julian, MS</w:t>
      </w:r>
      <w:r w:rsidRPr="000319C8">
        <w:rPr>
          <w:rFonts w:ascii="Arial" w:hAnsi="Arial" w:cs="Arial"/>
          <w:vertAlign w:val="superscript"/>
        </w:rPr>
        <w:t>1</w:t>
      </w:r>
      <w:r w:rsidRPr="000319C8">
        <w:rPr>
          <w:rFonts w:ascii="Arial" w:hAnsi="Arial" w:cs="Arial"/>
        </w:rPr>
        <w:t>,</w:t>
      </w:r>
    </w:p>
    <w:p w14:paraId="03A7E461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</w:rPr>
      </w:pPr>
      <w:r w:rsidRPr="000319C8">
        <w:rPr>
          <w:rFonts w:ascii="Arial" w:hAnsi="Arial" w:cs="Arial"/>
        </w:rPr>
        <w:t>Jennifer M. Kleven, MD</w:t>
      </w:r>
      <w:r w:rsidRPr="000319C8">
        <w:rPr>
          <w:rFonts w:ascii="Arial" w:hAnsi="Arial" w:cs="Arial"/>
          <w:vertAlign w:val="superscript"/>
        </w:rPr>
        <w:t>2</w:t>
      </w:r>
      <w:r w:rsidRPr="000319C8">
        <w:rPr>
          <w:rFonts w:ascii="Arial" w:hAnsi="Arial" w:cs="Arial"/>
        </w:rPr>
        <w:t>, Paarth J. Raj, DO</w:t>
      </w:r>
      <w:r w:rsidRPr="000319C8">
        <w:rPr>
          <w:rFonts w:ascii="Arial" w:hAnsi="Arial" w:cs="Arial"/>
          <w:vertAlign w:val="superscript"/>
        </w:rPr>
        <w:t>2</w:t>
      </w:r>
      <w:r w:rsidRPr="000319C8">
        <w:rPr>
          <w:rFonts w:ascii="Arial" w:hAnsi="Arial" w:cs="Arial"/>
        </w:rPr>
        <w:t>, Gabrielle Procopio, PharmD</w:t>
      </w:r>
      <w:r w:rsidRPr="000319C8">
        <w:rPr>
          <w:rFonts w:ascii="Arial" w:hAnsi="Arial" w:cs="Arial"/>
          <w:vertAlign w:val="superscript"/>
        </w:rPr>
        <w:t>2</w:t>
      </w:r>
      <w:r w:rsidRPr="000319C8">
        <w:rPr>
          <w:rFonts w:ascii="Arial" w:hAnsi="Arial" w:cs="Arial"/>
        </w:rPr>
        <w:t>,</w:t>
      </w:r>
    </w:p>
    <w:p w14:paraId="03A7E462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</w:rPr>
      </w:pPr>
      <w:r w:rsidRPr="000319C8">
        <w:rPr>
          <w:rFonts w:ascii="Arial" w:hAnsi="Arial" w:cs="Arial"/>
        </w:rPr>
        <w:t>Diana Careaga, BS</w:t>
      </w:r>
      <w:r w:rsidRPr="000319C8">
        <w:rPr>
          <w:rFonts w:ascii="Arial" w:hAnsi="Arial" w:cs="Arial"/>
          <w:vertAlign w:val="superscript"/>
        </w:rPr>
        <w:t>5</w:t>
      </w:r>
      <w:r w:rsidRPr="000319C8">
        <w:rPr>
          <w:rFonts w:ascii="Arial" w:hAnsi="Arial" w:cs="Arial"/>
        </w:rPr>
        <w:t>, Liliana Tejidor, PhD</w:t>
      </w:r>
      <w:r w:rsidRPr="000319C8">
        <w:rPr>
          <w:rFonts w:ascii="Arial" w:hAnsi="Arial" w:cs="Arial"/>
          <w:vertAlign w:val="superscript"/>
        </w:rPr>
        <w:t>5</w:t>
      </w:r>
    </w:p>
    <w:p w14:paraId="03A7E463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</w:p>
    <w:p w14:paraId="03A7E464" w14:textId="77777777" w:rsidR="00030CFE" w:rsidRPr="000319C8" w:rsidRDefault="00030CFE" w:rsidP="00030CFE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 w:rsidRPr="000319C8">
        <w:rPr>
          <w:rFonts w:ascii="Arial" w:hAnsi="Arial" w:cs="Arial"/>
          <w:sz w:val="22"/>
          <w:szCs w:val="22"/>
          <w:vertAlign w:val="superscript"/>
        </w:rPr>
        <w:t>1</w:t>
      </w:r>
      <w:r w:rsidRPr="000319C8">
        <w:rPr>
          <w:rFonts w:ascii="Arial" w:hAnsi="Arial" w:cs="Arial"/>
          <w:sz w:val="22"/>
          <w:szCs w:val="22"/>
        </w:rPr>
        <w:t>Division of Pulmonary, Critical Care and Sleep Medicine, Department of Internal Medicine, The Ohio State University Wexner Medical Center, Columbus, OH;</w:t>
      </w:r>
    </w:p>
    <w:p w14:paraId="03A7E465" w14:textId="77777777" w:rsidR="00030CFE" w:rsidRPr="000319C8" w:rsidRDefault="00030CFE" w:rsidP="00030CFE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 w:rsidRPr="000319C8">
        <w:rPr>
          <w:rFonts w:ascii="Arial" w:hAnsi="Arial" w:cs="Arial"/>
          <w:sz w:val="22"/>
          <w:szCs w:val="22"/>
          <w:vertAlign w:val="superscript"/>
        </w:rPr>
        <w:t>2</w:t>
      </w:r>
      <w:r w:rsidRPr="000319C8">
        <w:rPr>
          <w:rFonts w:ascii="Arial" w:hAnsi="Arial" w:cs="Arial"/>
          <w:sz w:val="22"/>
          <w:szCs w:val="22"/>
        </w:rPr>
        <w:t>Heart and Vascular Hospital, Hackensack University Medical Center, Hackensack, NJ;</w:t>
      </w:r>
    </w:p>
    <w:p w14:paraId="03A7E466" w14:textId="77777777" w:rsidR="00030CFE" w:rsidRPr="000319C8" w:rsidRDefault="00030CFE" w:rsidP="00030CFE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 w:rsidRPr="000319C8">
        <w:rPr>
          <w:rFonts w:ascii="Arial" w:hAnsi="Arial" w:cs="Arial"/>
          <w:sz w:val="22"/>
          <w:szCs w:val="22"/>
          <w:vertAlign w:val="superscript"/>
        </w:rPr>
        <w:t>3</w:t>
      </w:r>
      <w:r w:rsidRPr="000319C8">
        <w:rPr>
          <w:rFonts w:ascii="Arial" w:hAnsi="Arial" w:cs="Arial"/>
          <w:sz w:val="22"/>
          <w:szCs w:val="22"/>
        </w:rPr>
        <w:t>The CRISMA Center, Department of Critical Care Medicine, University of Pittsburgh School of Medicine Pittsburgh, PA;</w:t>
      </w:r>
    </w:p>
    <w:p w14:paraId="03A7E467" w14:textId="77777777" w:rsidR="00030CFE" w:rsidRPr="000319C8" w:rsidRDefault="00030CFE" w:rsidP="00030CFE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 w:rsidRPr="000319C8">
        <w:rPr>
          <w:rFonts w:ascii="Arial" w:hAnsi="Arial" w:cs="Arial"/>
          <w:sz w:val="22"/>
          <w:szCs w:val="22"/>
          <w:vertAlign w:val="superscript"/>
        </w:rPr>
        <w:t>4</w:t>
      </w:r>
      <w:r w:rsidRPr="000319C8">
        <w:rPr>
          <w:rFonts w:ascii="Arial" w:hAnsi="Arial" w:cs="Arial"/>
          <w:sz w:val="22"/>
          <w:szCs w:val="22"/>
        </w:rPr>
        <w:t>Department of Pathology, University of Pittsburgh School of Medicine, PA, and</w:t>
      </w:r>
    </w:p>
    <w:p w14:paraId="03A7E468" w14:textId="77777777" w:rsidR="00030CFE" w:rsidRPr="000319C8" w:rsidRDefault="00030CFE" w:rsidP="00030CFE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 w:rsidRPr="000319C8">
        <w:rPr>
          <w:rFonts w:ascii="Arial" w:hAnsi="Arial" w:cs="Arial"/>
          <w:sz w:val="22"/>
          <w:szCs w:val="22"/>
          <w:vertAlign w:val="superscript"/>
        </w:rPr>
        <w:t>5</w:t>
      </w:r>
      <w:r w:rsidRPr="000319C8">
        <w:rPr>
          <w:rFonts w:ascii="Arial" w:hAnsi="Arial" w:cs="Arial"/>
          <w:sz w:val="22"/>
          <w:szCs w:val="22"/>
        </w:rPr>
        <w:t>Beckman Coulter, Inc., Miami, FL</w:t>
      </w:r>
    </w:p>
    <w:p w14:paraId="03A7E469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</w:p>
    <w:p w14:paraId="03A7E46A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</w:p>
    <w:p w14:paraId="03A7E46B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</w:p>
    <w:p w14:paraId="03A7E46C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</w:p>
    <w:p w14:paraId="03A7E46D" w14:textId="77777777" w:rsidR="00030CFE" w:rsidRPr="000319C8" w:rsidRDefault="00030CFE" w:rsidP="00030CFE">
      <w:pPr>
        <w:spacing w:after="0" w:line="240" w:lineRule="auto"/>
        <w:jc w:val="center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t>Digital Supplement</w:t>
      </w:r>
    </w:p>
    <w:p w14:paraId="03A7E46E" w14:textId="77777777" w:rsidR="00030CFE" w:rsidRPr="000319C8" w:rsidRDefault="00030CFE" w:rsidP="00030CFE">
      <w:pPr>
        <w:spacing w:after="0" w:line="240" w:lineRule="auto"/>
        <w:jc w:val="both"/>
        <w:rPr>
          <w:rFonts w:ascii="Arial" w:hAnsi="Arial" w:cs="Arial"/>
        </w:rPr>
      </w:pPr>
      <w:r w:rsidRPr="000319C8">
        <w:rPr>
          <w:rFonts w:ascii="Arial" w:hAnsi="Arial" w:cs="Arial"/>
        </w:rPr>
        <w:br w:type="page"/>
      </w:r>
    </w:p>
    <w:p w14:paraId="03A7E46F" w14:textId="77777777" w:rsidR="00030CFE" w:rsidRPr="000319C8" w:rsidRDefault="00030CFE" w:rsidP="00030CFE">
      <w:pPr>
        <w:spacing w:after="0" w:line="480" w:lineRule="auto"/>
        <w:jc w:val="both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lastRenderedPageBreak/>
        <w:t>sMethods</w:t>
      </w:r>
    </w:p>
    <w:p w14:paraId="03A7E470" w14:textId="77777777" w:rsidR="00030CFE" w:rsidRPr="000319C8" w:rsidRDefault="00030CFE" w:rsidP="00030CFE">
      <w:pPr>
        <w:spacing w:after="0" w:line="480" w:lineRule="auto"/>
        <w:jc w:val="both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t>Monocyte Distribution Width Analysis:</w:t>
      </w:r>
    </w:p>
    <w:p w14:paraId="03A7E471" w14:textId="73EABD89" w:rsidR="00030CFE" w:rsidRPr="000319C8" w:rsidRDefault="00030CFE" w:rsidP="00030CFE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319C8">
        <w:rPr>
          <w:rFonts w:ascii="Arial" w:hAnsi="Arial" w:cs="Arial"/>
        </w:rPr>
        <w:t>All blood samples were analyzed on a UniCel DxH 800 analyzer (Beckman Coulter, Inc.) with version 2.0 software within 2 hours of collection.  This instrument measures specific cell volume parameters and the distribution of cell volumes within a group of cells (</w:t>
      </w:r>
      <w:proofErr w:type="spellStart"/>
      <w:r w:rsidRPr="00D038CE">
        <w:rPr>
          <w:rFonts w:ascii="Arial" w:hAnsi="Arial" w:cs="Arial"/>
        </w:rPr>
        <w:t>sFig</w:t>
      </w:r>
      <w:proofErr w:type="spellEnd"/>
      <w:r w:rsidR="001C0683" w:rsidRPr="00D038CE">
        <w:rPr>
          <w:rFonts w:ascii="Arial" w:hAnsi="Arial" w:cs="Arial"/>
        </w:rPr>
        <w:t>.</w:t>
      </w:r>
      <w:r w:rsidRPr="00D038CE">
        <w:rPr>
          <w:rFonts w:ascii="Arial" w:hAnsi="Arial" w:cs="Arial"/>
        </w:rPr>
        <w:t xml:space="preserve"> 1</w:t>
      </w:r>
      <w:r w:rsidR="001C0683">
        <w:rPr>
          <w:rFonts w:ascii="Arial" w:hAnsi="Arial" w:cs="Arial"/>
        </w:rPr>
        <w:t>, Supplemental Digital Content 2</w:t>
      </w:r>
      <w:proofErr w:type="gramStart"/>
      <w:r w:rsidR="001C0683">
        <w:rPr>
          <w:rFonts w:ascii="Arial" w:hAnsi="Arial" w:cs="Arial"/>
        </w:rPr>
        <w:t xml:space="preserve">, </w:t>
      </w:r>
      <w:r w:rsidRPr="000319C8">
        <w:rPr>
          <w:rFonts w:ascii="Arial" w:hAnsi="Arial" w:cs="Arial"/>
        </w:rPr>
        <w:t>)</w:t>
      </w:r>
      <w:proofErr w:type="gramEnd"/>
      <w:r w:rsidRPr="000319C8">
        <w:rPr>
          <w:rFonts w:ascii="Arial" w:hAnsi="Arial" w:cs="Arial"/>
        </w:rPr>
        <w:t>.</w:t>
      </w:r>
    </w:p>
    <w:p w14:paraId="03A7E472" w14:textId="77777777" w:rsidR="00030CFE" w:rsidRPr="000319C8" w:rsidRDefault="00030CFE" w:rsidP="00030CFE">
      <w:pPr>
        <w:spacing w:after="0" w:line="480" w:lineRule="auto"/>
        <w:jc w:val="both"/>
        <w:rPr>
          <w:rFonts w:ascii="Arial" w:hAnsi="Arial" w:cs="Arial"/>
        </w:rPr>
      </w:pPr>
    </w:p>
    <w:p w14:paraId="03A7E473" w14:textId="77777777" w:rsidR="00030CFE" w:rsidRPr="000319C8" w:rsidRDefault="00030CFE" w:rsidP="00030CFE">
      <w:pPr>
        <w:spacing w:after="0" w:line="480" w:lineRule="auto"/>
        <w:jc w:val="both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t>Pilot Study Data to Establish Optimal Monocyte Distribution Width (MDW) Cut-off for Sepsis:</w:t>
      </w:r>
    </w:p>
    <w:p w14:paraId="03A7E474" w14:textId="0DA74E40" w:rsidR="00030CFE" w:rsidRPr="000319C8" w:rsidRDefault="00030CFE" w:rsidP="00030CFE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319C8">
        <w:rPr>
          <w:rFonts w:ascii="Arial" w:hAnsi="Arial" w:cs="Arial"/>
        </w:rPr>
        <w:t xml:space="preserve">The optimal MDW cut-off value used to detect sepsis (i.e., &gt;20.0 units) in this study was previously established in an independent pilot study conducted at the same three sites enrolling 505 subjects of which 67 met Sepsis-2 and 54 met Sepsis-3 criteria.  Pilot study demographics are provided in </w:t>
      </w:r>
      <w:proofErr w:type="spellStart"/>
      <w:r w:rsidRPr="000319C8">
        <w:rPr>
          <w:rFonts w:ascii="Arial" w:hAnsi="Arial" w:cs="Arial"/>
        </w:rPr>
        <w:t>sTable</w:t>
      </w:r>
      <w:proofErr w:type="spellEnd"/>
      <w:r w:rsidRPr="000319C8">
        <w:rPr>
          <w:rFonts w:ascii="Arial" w:hAnsi="Arial" w:cs="Arial"/>
        </w:rPr>
        <w:t xml:space="preserve"> 1</w:t>
      </w:r>
      <w:r w:rsidR="00D038CE">
        <w:rPr>
          <w:rFonts w:ascii="Arial" w:hAnsi="Arial" w:cs="Arial"/>
        </w:rPr>
        <w:t xml:space="preserve"> (</w:t>
      </w:r>
      <w:r w:rsidR="00D038CE">
        <w:rPr>
          <w:rFonts w:ascii="Arial" w:hAnsi="Arial" w:cs="Arial"/>
        </w:rPr>
        <w:t xml:space="preserve">Supplemental Digital Content </w:t>
      </w:r>
      <w:r w:rsidR="00D038CE">
        <w:rPr>
          <w:rFonts w:ascii="Arial" w:hAnsi="Arial" w:cs="Arial"/>
        </w:rPr>
        <w:t>3</w:t>
      </w:r>
      <w:proofErr w:type="gramStart"/>
      <w:r w:rsidR="00D038CE">
        <w:rPr>
          <w:rFonts w:ascii="Arial" w:hAnsi="Arial" w:cs="Arial"/>
        </w:rPr>
        <w:t>, )</w:t>
      </w:r>
      <w:proofErr w:type="gramEnd"/>
      <w:r w:rsidRPr="000319C8">
        <w:rPr>
          <w:rFonts w:ascii="Arial" w:hAnsi="Arial" w:cs="Arial"/>
        </w:rPr>
        <w:t xml:space="preserve">, and a breakdown of the study subjects based on Sepsis-2 and Sepsis-3 criteria are provided in </w:t>
      </w:r>
      <w:proofErr w:type="spellStart"/>
      <w:r w:rsidRPr="000319C8">
        <w:rPr>
          <w:rFonts w:ascii="Arial" w:hAnsi="Arial" w:cs="Arial"/>
        </w:rPr>
        <w:t>sTable</w:t>
      </w:r>
      <w:proofErr w:type="spellEnd"/>
      <w:r w:rsidRPr="000319C8">
        <w:rPr>
          <w:rFonts w:ascii="Arial" w:hAnsi="Arial" w:cs="Arial"/>
        </w:rPr>
        <w:t xml:space="preserve"> 2 </w:t>
      </w:r>
      <w:r w:rsidR="00FB75F9">
        <w:rPr>
          <w:rFonts w:ascii="Arial" w:hAnsi="Arial" w:cs="Arial"/>
        </w:rPr>
        <w:t>(</w:t>
      </w:r>
      <w:r w:rsidR="00FB75F9">
        <w:rPr>
          <w:rFonts w:ascii="Arial" w:hAnsi="Arial" w:cs="Arial"/>
        </w:rPr>
        <w:t xml:space="preserve">Supplemental Digital Content </w:t>
      </w:r>
      <w:r w:rsidR="00FB75F9">
        <w:rPr>
          <w:rFonts w:ascii="Arial" w:hAnsi="Arial" w:cs="Arial"/>
        </w:rPr>
        <w:t xml:space="preserve">4, ) </w:t>
      </w:r>
      <w:r w:rsidRPr="000319C8">
        <w:rPr>
          <w:rFonts w:ascii="Arial" w:hAnsi="Arial" w:cs="Arial"/>
        </w:rPr>
        <w:t>and</w:t>
      </w:r>
      <w:r w:rsidR="00FB75F9">
        <w:rPr>
          <w:rFonts w:ascii="Arial" w:hAnsi="Arial" w:cs="Arial"/>
        </w:rPr>
        <w:t xml:space="preserve"> </w:t>
      </w:r>
      <w:proofErr w:type="spellStart"/>
      <w:r w:rsidR="00FB75F9">
        <w:rPr>
          <w:rFonts w:ascii="Arial" w:hAnsi="Arial" w:cs="Arial"/>
        </w:rPr>
        <w:t>sTable</w:t>
      </w:r>
      <w:proofErr w:type="spellEnd"/>
      <w:r w:rsidRPr="000319C8">
        <w:rPr>
          <w:rFonts w:ascii="Arial" w:hAnsi="Arial" w:cs="Arial"/>
        </w:rPr>
        <w:t xml:space="preserve"> 3</w:t>
      </w:r>
      <w:r w:rsidR="00FB75F9">
        <w:rPr>
          <w:rFonts w:ascii="Arial" w:hAnsi="Arial" w:cs="Arial"/>
        </w:rPr>
        <w:t xml:space="preserve"> (</w:t>
      </w:r>
      <w:r w:rsidR="00FB75F9">
        <w:rPr>
          <w:rFonts w:ascii="Arial" w:hAnsi="Arial" w:cs="Arial"/>
        </w:rPr>
        <w:t xml:space="preserve">Supplemental Digital Content </w:t>
      </w:r>
      <w:r w:rsidR="00FB75F9">
        <w:rPr>
          <w:rFonts w:ascii="Arial" w:hAnsi="Arial" w:cs="Arial"/>
        </w:rPr>
        <w:t>5, )</w:t>
      </w:r>
      <w:r w:rsidRPr="000319C8">
        <w:rPr>
          <w:rFonts w:ascii="Arial" w:hAnsi="Arial" w:cs="Arial"/>
        </w:rPr>
        <w:t>, respectively.  Optimal cut-off values for MDW were based upon sensitivity and specificity and by area under the curve (AUC) analyses for Sepsis-2 (sTable 4</w:t>
      </w:r>
      <w:r w:rsidR="00657011">
        <w:rPr>
          <w:rFonts w:ascii="Arial" w:hAnsi="Arial" w:cs="Arial"/>
        </w:rPr>
        <w:t>,</w:t>
      </w:r>
      <w:r w:rsidR="00657011" w:rsidRPr="00657011">
        <w:rPr>
          <w:rFonts w:ascii="Arial" w:hAnsi="Arial" w:cs="Arial"/>
        </w:rPr>
        <w:t xml:space="preserve"> </w:t>
      </w:r>
      <w:r w:rsidR="00657011">
        <w:rPr>
          <w:rFonts w:ascii="Arial" w:hAnsi="Arial" w:cs="Arial"/>
        </w:rPr>
        <w:t xml:space="preserve">Supplemental Digital Content </w:t>
      </w:r>
      <w:r w:rsidR="00FB75F9">
        <w:rPr>
          <w:rFonts w:ascii="Arial" w:hAnsi="Arial" w:cs="Arial"/>
        </w:rPr>
        <w:t>6</w:t>
      </w:r>
      <w:proofErr w:type="gramStart"/>
      <w:r w:rsidR="00657011">
        <w:rPr>
          <w:rFonts w:ascii="Arial" w:hAnsi="Arial" w:cs="Arial"/>
        </w:rPr>
        <w:t xml:space="preserve">, </w:t>
      </w:r>
      <w:r w:rsidR="00657011">
        <w:rPr>
          <w:rFonts w:ascii="Arial" w:hAnsi="Arial" w:cs="Arial"/>
        </w:rPr>
        <w:t>;</w:t>
      </w:r>
      <w:proofErr w:type="gramEnd"/>
      <w:r w:rsidR="00657011">
        <w:rPr>
          <w:rFonts w:ascii="Arial" w:hAnsi="Arial" w:cs="Arial"/>
        </w:rPr>
        <w:t xml:space="preserve"> and</w:t>
      </w:r>
      <w:r w:rsidRPr="000319C8">
        <w:rPr>
          <w:rFonts w:ascii="Arial" w:hAnsi="Arial" w:cs="Arial"/>
        </w:rPr>
        <w:t xml:space="preserve"> </w:t>
      </w:r>
      <w:proofErr w:type="spellStart"/>
      <w:r w:rsidRPr="000319C8">
        <w:rPr>
          <w:rFonts w:ascii="Arial" w:hAnsi="Arial" w:cs="Arial"/>
        </w:rPr>
        <w:t>sFig</w:t>
      </w:r>
      <w:proofErr w:type="spellEnd"/>
      <w:r w:rsidR="005B160A">
        <w:rPr>
          <w:rFonts w:ascii="Arial" w:hAnsi="Arial" w:cs="Arial"/>
        </w:rPr>
        <w:t>.</w:t>
      </w:r>
      <w:r w:rsidRPr="000319C8">
        <w:rPr>
          <w:rFonts w:ascii="Arial" w:hAnsi="Arial" w:cs="Arial"/>
        </w:rPr>
        <w:t xml:space="preserve"> 2B</w:t>
      </w:r>
      <w:r w:rsidR="005B160A">
        <w:rPr>
          <w:rFonts w:ascii="Arial" w:hAnsi="Arial" w:cs="Arial"/>
        </w:rPr>
        <w:t>, Supplemental Digital Content 8,</w:t>
      </w:r>
      <w:r w:rsidRPr="000319C8">
        <w:rPr>
          <w:rFonts w:ascii="Arial" w:hAnsi="Arial" w:cs="Arial"/>
        </w:rPr>
        <w:t>) and Sepsis-3 (</w:t>
      </w:r>
      <w:proofErr w:type="spellStart"/>
      <w:r w:rsidRPr="000319C8">
        <w:rPr>
          <w:rFonts w:ascii="Arial" w:hAnsi="Arial" w:cs="Arial"/>
        </w:rPr>
        <w:t>sTable</w:t>
      </w:r>
      <w:proofErr w:type="spellEnd"/>
      <w:r w:rsidRPr="000319C8">
        <w:rPr>
          <w:rFonts w:ascii="Arial" w:hAnsi="Arial" w:cs="Arial"/>
        </w:rPr>
        <w:t xml:space="preserve"> 5, </w:t>
      </w:r>
      <w:r w:rsidR="00C73F5A">
        <w:rPr>
          <w:rFonts w:ascii="Arial" w:hAnsi="Arial" w:cs="Arial"/>
        </w:rPr>
        <w:t>Supplemental Digital Content 7</w:t>
      </w:r>
      <w:proofErr w:type="gramStart"/>
      <w:r w:rsidR="00C73F5A">
        <w:rPr>
          <w:rFonts w:ascii="Arial" w:hAnsi="Arial" w:cs="Arial"/>
        </w:rPr>
        <w:t>,</w:t>
      </w:r>
      <w:r w:rsidR="00C73F5A">
        <w:rPr>
          <w:rFonts w:ascii="Arial" w:hAnsi="Arial" w:cs="Arial"/>
        </w:rPr>
        <w:t xml:space="preserve"> ;</w:t>
      </w:r>
      <w:proofErr w:type="gramEnd"/>
      <w:r w:rsidR="00C73F5A">
        <w:rPr>
          <w:rFonts w:ascii="Arial" w:hAnsi="Arial" w:cs="Arial"/>
        </w:rPr>
        <w:t xml:space="preserve"> and </w:t>
      </w:r>
      <w:proofErr w:type="spellStart"/>
      <w:r w:rsidRPr="000319C8">
        <w:rPr>
          <w:rFonts w:ascii="Arial" w:hAnsi="Arial" w:cs="Arial"/>
        </w:rPr>
        <w:t>sFig</w:t>
      </w:r>
      <w:proofErr w:type="spellEnd"/>
      <w:r w:rsidR="00C73F5A">
        <w:rPr>
          <w:rFonts w:ascii="Arial" w:hAnsi="Arial" w:cs="Arial"/>
        </w:rPr>
        <w:t>.</w:t>
      </w:r>
      <w:r w:rsidRPr="000319C8">
        <w:rPr>
          <w:rFonts w:ascii="Arial" w:hAnsi="Arial" w:cs="Arial"/>
        </w:rPr>
        <w:t xml:space="preserve"> 3B</w:t>
      </w:r>
      <w:r w:rsidR="005B160A">
        <w:rPr>
          <w:rFonts w:ascii="Arial" w:hAnsi="Arial" w:cs="Arial"/>
        </w:rPr>
        <w:t xml:space="preserve">, Supplemental Digital Content </w:t>
      </w:r>
      <w:r w:rsidR="00A36DEA">
        <w:rPr>
          <w:rFonts w:ascii="Arial" w:hAnsi="Arial" w:cs="Arial"/>
        </w:rPr>
        <w:t>9</w:t>
      </w:r>
      <w:r w:rsidR="005B160A">
        <w:rPr>
          <w:rFonts w:ascii="Arial" w:hAnsi="Arial" w:cs="Arial"/>
        </w:rPr>
        <w:t>,</w:t>
      </w:r>
      <w:r w:rsidRPr="000319C8">
        <w:rPr>
          <w:rFonts w:ascii="Arial" w:hAnsi="Arial" w:cs="Arial"/>
        </w:rPr>
        <w:t>).  The MDW cut-off of 20.0 was optimal for Sepsis-2 detection based upon AUC (0.76; 95% CI: 0.69 to 0.82) and for Sepsis-3 detection based upon AUC (0.78; 95% CI: 0.71-0.86).</w:t>
      </w:r>
    </w:p>
    <w:p w14:paraId="03A7E475" w14:textId="77777777" w:rsidR="00030CFE" w:rsidRPr="000319C8" w:rsidRDefault="00030CFE" w:rsidP="00030CFE">
      <w:pPr>
        <w:spacing w:after="0" w:line="480" w:lineRule="auto"/>
        <w:jc w:val="both"/>
        <w:rPr>
          <w:rFonts w:ascii="Arial" w:hAnsi="Arial" w:cs="Arial"/>
        </w:rPr>
      </w:pPr>
    </w:p>
    <w:p w14:paraId="03A7E476" w14:textId="77777777" w:rsidR="00030CFE" w:rsidRPr="000319C8" w:rsidRDefault="00030CFE" w:rsidP="00030CFE">
      <w:pPr>
        <w:spacing w:after="0" w:line="480" w:lineRule="auto"/>
        <w:jc w:val="both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t>Honest Broker Data De-identification Protocol:</w:t>
      </w:r>
    </w:p>
    <w:p w14:paraId="03A7E478" w14:textId="3A8C1EC6" w:rsidR="00030CFE" w:rsidRPr="000319C8" w:rsidRDefault="00030CFE" w:rsidP="0066164E">
      <w:pPr>
        <w:spacing w:after="0" w:line="480" w:lineRule="auto"/>
        <w:ind w:firstLine="720"/>
        <w:rPr>
          <w:rFonts w:ascii="Arial" w:hAnsi="Arial" w:cs="Arial"/>
          <w:b/>
        </w:rPr>
      </w:pPr>
      <w:r w:rsidRPr="000319C8">
        <w:rPr>
          <w:rFonts w:ascii="Arial" w:hAnsi="Arial" w:cs="Arial"/>
        </w:rPr>
        <w:t>A schematic of the honest broker system employed for these investigations to obviate the need for informed consent by eliminating all patient identifiers on samples or patient data is shown in</w:t>
      </w:r>
      <w:r w:rsidR="0066164E">
        <w:rPr>
          <w:rFonts w:ascii="Arial" w:hAnsi="Arial" w:cs="Arial"/>
        </w:rPr>
        <w:t xml:space="preserve"> </w:t>
      </w:r>
      <w:proofErr w:type="spellStart"/>
      <w:r w:rsidRPr="000319C8">
        <w:rPr>
          <w:rFonts w:ascii="Arial" w:hAnsi="Arial" w:cs="Arial"/>
        </w:rPr>
        <w:t>sFigure</w:t>
      </w:r>
      <w:proofErr w:type="spellEnd"/>
      <w:r w:rsidRPr="000319C8">
        <w:rPr>
          <w:rFonts w:ascii="Arial" w:hAnsi="Arial" w:cs="Arial"/>
        </w:rPr>
        <w:t xml:space="preserve"> 4</w:t>
      </w:r>
      <w:r w:rsidR="002A1CE0">
        <w:rPr>
          <w:rFonts w:ascii="Arial" w:hAnsi="Arial" w:cs="Arial"/>
        </w:rPr>
        <w:t xml:space="preserve"> (</w:t>
      </w:r>
      <w:r w:rsidR="002A1CE0">
        <w:rPr>
          <w:rFonts w:ascii="Arial" w:hAnsi="Arial" w:cs="Arial"/>
        </w:rPr>
        <w:t>Supplemental Digital Content 10,</w:t>
      </w:r>
      <w:r w:rsidR="002A1CE0">
        <w:rPr>
          <w:rFonts w:ascii="Arial" w:hAnsi="Arial" w:cs="Arial"/>
        </w:rPr>
        <w:t>)</w:t>
      </w:r>
      <w:r w:rsidRPr="000319C8">
        <w:rPr>
          <w:rFonts w:ascii="Arial" w:hAnsi="Arial" w:cs="Arial"/>
        </w:rPr>
        <w:t>.</w:t>
      </w:r>
    </w:p>
    <w:p w14:paraId="03A7E479" w14:textId="77777777" w:rsidR="00030CFE" w:rsidRPr="000319C8" w:rsidRDefault="00030CFE" w:rsidP="00030CFE">
      <w:pPr>
        <w:spacing w:after="0" w:line="480" w:lineRule="auto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br w:type="page"/>
      </w:r>
    </w:p>
    <w:p w14:paraId="03A7E47A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  <w:b/>
        </w:rPr>
      </w:pPr>
      <w:r w:rsidRPr="000319C8">
        <w:rPr>
          <w:rFonts w:ascii="Arial" w:hAnsi="Arial" w:cs="Arial"/>
          <w:b/>
        </w:rPr>
        <w:lastRenderedPageBreak/>
        <w:t>sReferences</w:t>
      </w:r>
    </w:p>
    <w:p w14:paraId="03A7E47B" w14:textId="77777777" w:rsidR="008C02AE" w:rsidRPr="000319C8" w:rsidRDefault="008C02AE" w:rsidP="00030C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319C8">
        <w:rPr>
          <w:rFonts w:ascii="Arial" w:hAnsi="Arial" w:cs="Arial"/>
          <w:sz w:val="22"/>
          <w:szCs w:val="22"/>
        </w:rPr>
        <w:t xml:space="preserve">Singer M, Deutschman CS, Seymour CW, et al: The Third International Consensus Definitions for Sepsis and Septic Shock (Sepsis-3). </w:t>
      </w:r>
      <w:r w:rsidRPr="000319C8">
        <w:rPr>
          <w:rFonts w:ascii="Arial" w:hAnsi="Arial" w:cs="Arial"/>
          <w:i/>
          <w:sz w:val="22"/>
          <w:szCs w:val="22"/>
        </w:rPr>
        <w:t>JAMA</w:t>
      </w:r>
      <w:r w:rsidRPr="000319C8">
        <w:rPr>
          <w:rFonts w:ascii="Arial" w:hAnsi="Arial" w:cs="Arial"/>
          <w:sz w:val="22"/>
          <w:szCs w:val="22"/>
        </w:rPr>
        <w:t xml:space="preserve"> 2016; 315(8):801-810.</w:t>
      </w:r>
    </w:p>
    <w:p w14:paraId="03A7E47C" w14:textId="77777777" w:rsidR="008C02AE" w:rsidRPr="000319C8" w:rsidRDefault="008C02AE" w:rsidP="00030CF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319C8">
        <w:rPr>
          <w:rFonts w:ascii="Arial" w:eastAsia="GuardianSansGR-Regular" w:hAnsi="Arial" w:cs="Arial"/>
          <w:sz w:val="22"/>
          <w:szCs w:val="22"/>
        </w:rPr>
        <w:t xml:space="preserve">Vincent JL, Moreno R, Takala J, et al: Working Group on Sepsis-Related Problems of the European Society of Intensive Care Medicine. The SOFA (Sepsis-related Organ Failure Assessment) score to describe organ dysfunction/failure. </w:t>
      </w:r>
      <w:r w:rsidRPr="000319C8">
        <w:rPr>
          <w:rFonts w:ascii="Arial" w:hAnsi="Arial" w:cs="Arial"/>
          <w:i/>
          <w:iCs/>
          <w:sz w:val="22"/>
          <w:szCs w:val="22"/>
        </w:rPr>
        <w:t>Intensive Care</w:t>
      </w:r>
      <w:r w:rsidRPr="000319C8">
        <w:rPr>
          <w:rFonts w:ascii="Arial" w:eastAsia="GuardianSansGR-Regular" w:hAnsi="Arial" w:cs="Arial"/>
          <w:sz w:val="22"/>
          <w:szCs w:val="22"/>
        </w:rPr>
        <w:t xml:space="preserve"> </w:t>
      </w:r>
      <w:r w:rsidRPr="000319C8">
        <w:rPr>
          <w:rFonts w:ascii="Arial" w:hAnsi="Arial" w:cs="Arial"/>
          <w:i/>
          <w:iCs/>
          <w:sz w:val="22"/>
          <w:szCs w:val="22"/>
        </w:rPr>
        <w:t>Med</w:t>
      </w:r>
      <w:r w:rsidRPr="000319C8">
        <w:rPr>
          <w:rFonts w:ascii="Arial" w:eastAsia="GuardianSansGR-Regular" w:hAnsi="Arial" w:cs="Arial"/>
          <w:sz w:val="22"/>
          <w:szCs w:val="22"/>
        </w:rPr>
        <w:t xml:space="preserve"> 1996; 22(7):707-710.</w:t>
      </w:r>
    </w:p>
    <w:p w14:paraId="03A7E47D" w14:textId="77777777" w:rsidR="008C02AE" w:rsidRPr="000319C8" w:rsidRDefault="008C02AE" w:rsidP="00030CFE">
      <w:pPr>
        <w:spacing w:after="0" w:line="480" w:lineRule="auto"/>
      </w:pPr>
      <w:r w:rsidRPr="000319C8">
        <w:br w:type="page"/>
      </w:r>
    </w:p>
    <w:p w14:paraId="03A7E47E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0319C8">
        <w:rPr>
          <w:rFonts w:ascii="Arial" w:hAnsi="Arial" w:cs="Arial"/>
          <w:b/>
          <w:bCs/>
        </w:rPr>
        <w:lastRenderedPageBreak/>
        <w:t>sFigure Legends</w:t>
      </w:r>
    </w:p>
    <w:p w14:paraId="03A7E47F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</w:rPr>
      </w:pPr>
      <w:r w:rsidRPr="000319C8">
        <w:rPr>
          <w:rFonts w:ascii="Arial" w:hAnsi="Arial" w:cs="Arial"/>
          <w:b/>
          <w:bCs/>
        </w:rPr>
        <w:t xml:space="preserve">sFigure 1. </w:t>
      </w:r>
      <w:r w:rsidRPr="000319C8">
        <w:rPr>
          <w:rFonts w:ascii="Arial" w:hAnsi="Arial" w:cs="Arial"/>
        </w:rPr>
        <w:t xml:space="preserve"> </w:t>
      </w:r>
      <w:r w:rsidRPr="000319C8">
        <w:rPr>
          <w:rFonts w:ascii="Arial" w:hAnsi="Arial" w:cs="Arial"/>
          <w:b/>
          <w:bCs/>
        </w:rPr>
        <w:t xml:space="preserve">Cell population size distribution changes during sepsis.  </w:t>
      </w:r>
      <w:r w:rsidRPr="000319C8">
        <w:rPr>
          <w:rFonts w:ascii="Arial" w:hAnsi="Arial" w:cs="Arial"/>
        </w:rPr>
        <w:t>The left axis reflects the size of the cells; whereas, color coding conforms to the type of cell, as labeled.  Note the changes in monocyte and neutrophil average size (red dotted line) and distribution width (blue dotted line) during sepsis.</w:t>
      </w:r>
    </w:p>
    <w:p w14:paraId="03A7E480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</w:rPr>
      </w:pPr>
    </w:p>
    <w:p w14:paraId="03A7E481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  <w:bCs/>
        </w:rPr>
      </w:pPr>
      <w:r w:rsidRPr="000319C8">
        <w:rPr>
          <w:rFonts w:ascii="Arial" w:hAnsi="Arial" w:cs="Arial"/>
          <w:b/>
          <w:bCs/>
        </w:rPr>
        <w:t xml:space="preserve">sFigure 2.  Monocyte distribution width (MDW) is elevated during Sepsis-2. </w:t>
      </w:r>
      <w:r w:rsidRPr="000319C8">
        <w:rPr>
          <w:rFonts w:ascii="Arial" w:hAnsi="Arial" w:cs="Arial"/>
          <w:bCs/>
        </w:rPr>
        <w:t xml:space="preserve"> </w:t>
      </w:r>
      <w:r w:rsidRPr="000319C8">
        <w:rPr>
          <w:rFonts w:ascii="Arial" w:hAnsi="Arial" w:cs="Arial"/>
          <w:bCs/>
          <w:u w:val="single"/>
        </w:rPr>
        <w:t>Panel A:</w:t>
      </w:r>
      <w:r w:rsidRPr="000319C8">
        <w:rPr>
          <w:rFonts w:ascii="Arial" w:hAnsi="Arial" w:cs="Arial"/>
          <w:bCs/>
        </w:rPr>
        <w:t xml:space="preserve"> Box plot representation of MDW values based upon clinical category.  </w:t>
      </w:r>
      <w:r w:rsidRPr="000319C8">
        <w:rPr>
          <w:rFonts w:ascii="Arial" w:hAnsi="Arial" w:cs="Arial"/>
          <w:bCs/>
          <w:u w:val="single"/>
        </w:rPr>
        <w:t>Panel B:</w:t>
      </w:r>
      <w:r w:rsidRPr="000319C8">
        <w:rPr>
          <w:rFonts w:ascii="Arial" w:hAnsi="Arial" w:cs="Arial"/>
          <w:bCs/>
        </w:rPr>
        <w:t xml:space="preserve"> Receiver operator characteristic (ROC) curve of MDW &gt;20.0 for detection of Sepsis-2.</w:t>
      </w:r>
    </w:p>
    <w:p w14:paraId="03A7E482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  <w:b/>
          <w:bCs/>
        </w:rPr>
      </w:pPr>
    </w:p>
    <w:p w14:paraId="03A7E483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  <w:bCs/>
        </w:rPr>
      </w:pPr>
      <w:r w:rsidRPr="000319C8">
        <w:rPr>
          <w:rFonts w:ascii="Arial" w:hAnsi="Arial" w:cs="Arial"/>
          <w:b/>
          <w:bCs/>
        </w:rPr>
        <w:t>sFigure 3.  Monocyte distribution width (MDW) is elevated during Sepsis-3.</w:t>
      </w:r>
      <w:r w:rsidRPr="000319C8">
        <w:rPr>
          <w:rFonts w:ascii="Arial" w:hAnsi="Arial" w:cs="Arial"/>
          <w:bCs/>
        </w:rPr>
        <w:t xml:space="preserve">  </w:t>
      </w:r>
      <w:r w:rsidRPr="000319C8">
        <w:rPr>
          <w:rFonts w:ascii="Arial" w:hAnsi="Arial" w:cs="Arial"/>
          <w:bCs/>
          <w:u w:val="single"/>
        </w:rPr>
        <w:t>Panel A:</w:t>
      </w:r>
      <w:r w:rsidRPr="000319C8">
        <w:rPr>
          <w:rFonts w:ascii="Arial" w:hAnsi="Arial" w:cs="Arial"/>
          <w:bCs/>
        </w:rPr>
        <w:t xml:space="preserve"> Box plot representation of MDW values based upon clinical category (note: SIRS does not apply to Sepsis-3).  </w:t>
      </w:r>
      <w:r w:rsidRPr="000319C8">
        <w:rPr>
          <w:rFonts w:ascii="Arial" w:hAnsi="Arial" w:cs="Arial"/>
          <w:bCs/>
          <w:u w:val="single"/>
        </w:rPr>
        <w:t>Panel B:</w:t>
      </w:r>
      <w:r w:rsidRPr="000319C8">
        <w:rPr>
          <w:rFonts w:ascii="Arial" w:hAnsi="Arial" w:cs="Arial"/>
          <w:bCs/>
        </w:rPr>
        <w:t xml:space="preserve"> Receiver operator characteristic (ROC) curve of MDW &gt;20.0 for detection of Sepsis-3.</w:t>
      </w:r>
    </w:p>
    <w:p w14:paraId="03A7E484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  <w:bCs/>
        </w:rPr>
      </w:pPr>
    </w:p>
    <w:p w14:paraId="03A7E485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</w:rPr>
      </w:pPr>
      <w:r w:rsidRPr="000319C8">
        <w:rPr>
          <w:rFonts w:ascii="Arial" w:hAnsi="Arial" w:cs="Arial"/>
          <w:b/>
          <w:bCs/>
        </w:rPr>
        <w:t>sFigure 4.</w:t>
      </w:r>
      <w:r w:rsidRPr="000319C8">
        <w:rPr>
          <w:rFonts w:ascii="Arial" w:hAnsi="Arial" w:cs="Arial"/>
        </w:rPr>
        <w:t xml:space="preserve">  </w:t>
      </w:r>
      <w:r w:rsidRPr="000319C8">
        <w:rPr>
          <w:rFonts w:ascii="Arial" w:hAnsi="Arial" w:cs="Arial"/>
          <w:b/>
          <w:bCs/>
        </w:rPr>
        <w:t xml:space="preserve">Integration of honest brokers within overall study workflow.  </w:t>
      </w:r>
      <w:r w:rsidRPr="000319C8">
        <w:rPr>
          <w:rFonts w:ascii="Arial" w:hAnsi="Arial" w:cs="Arial"/>
        </w:rPr>
        <w:t>Clinical and research team members were blinded to patient identifiers through the integration of two honest brokers (HBs) at each site.  One HB codified patient blood samples, and a second HB extracted clinical data from the electronic medical record 7 days after emergency department admission.  (SOC = standard of care; BEC = Beckman Coulter; RBM = risk-based monitoring; TAT = turnaround times; PROService = secure remote service platform providing access for proactive diagnostic and troubleshooting analyses and data acquisition by BEC; CRF = case report form, and SF = screen failure).</w:t>
      </w:r>
    </w:p>
    <w:p w14:paraId="03A7E486" w14:textId="2C855870" w:rsidR="008C02AE" w:rsidRDefault="008C02AE" w:rsidP="00030CFE">
      <w:pPr>
        <w:spacing w:after="0" w:line="480" w:lineRule="auto"/>
        <w:jc w:val="both"/>
        <w:rPr>
          <w:rFonts w:ascii="Arial" w:hAnsi="Arial" w:cs="Arial"/>
        </w:rPr>
      </w:pPr>
    </w:p>
    <w:p w14:paraId="129E979B" w14:textId="77777777" w:rsidR="002A1CE0" w:rsidRPr="000319C8" w:rsidRDefault="002A1CE0" w:rsidP="00030CFE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3A7E487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</w:rPr>
      </w:pPr>
      <w:r w:rsidRPr="000319C8">
        <w:rPr>
          <w:rFonts w:ascii="Arial" w:hAnsi="Arial" w:cs="Arial"/>
          <w:b/>
        </w:rPr>
        <w:lastRenderedPageBreak/>
        <w:t xml:space="preserve">sFigure 5.  </w:t>
      </w:r>
      <w:r w:rsidRPr="000319C8">
        <w:rPr>
          <w:rFonts w:ascii="Arial" w:hAnsi="Arial" w:cs="Arial"/>
          <w:b/>
          <w:bCs/>
        </w:rPr>
        <w:t xml:space="preserve">Performance of monocyte distribution width (MDW) for detection of sepsis based upon gender. </w:t>
      </w:r>
      <w:r w:rsidRPr="000319C8">
        <w:rPr>
          <w:rFonts w:ascii="Arial" w:hAnsi="Arial" w:cs="Arial"/>
          <w:b/>
        </w:rPr>
        <w:t xml:space="preserve"> </w:t>
      </w:r>
      <w:r w:rsidRPr="000319C8">
        <w:rPr>
          <w:rFonts w:ascii="Arial" w:hAnsi="Arial" w:cs="Arial"/>
        </w:rPr>
        <w:t>No difference in MDW was observed when comparing the receiver operating characteristic (ROC) curves for sepsis detection (Sepsis-2 criteria) in the emergency department by gender.</w:t>
      </w:r>
    </w:p>
    <w:p w14:paraId="03A7E488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  <w:b/>
        </w:rPr>
      </w:pPr>
    </w:p>
    <w:p w14:paraId="03A7E489" w14:textId="77777777" w:rsidR="008C02AE" w:rsidRPr="000319C8" w:rsidRDefault="008C02AE" w:rsidP="00030CFE">
      <w:pPr>
        <w:spacing w:after="0" w:line="480" w:lineRule="auto"/>
        <w:jc w:val="both"/>
        <w:rPr>
          <w:rFonts w:ascii="Arial" w:hAnsi="Arial" w:cs="Arial"/>
        </w:rPr>
      </w:pPr>
      <w:r w:rsidRPr="000319C8">
        <w:rPr>
          <w:rFonts w:ascii="Arial" w:hAnsi="Arial" w:cs="Arial"/>
          <w:b/>
          <w:bCs/>
        </w:rPr>
        <w:t>sFigure 6.  Added value analysis of monocyte distribution width (MDW) for Sepsis-3 relative to white cell count (WBC) alone based upon receiver operator characteristic (ROC) curves.</w:t>
      </w:r>
    </w:p>
    <w:p w14:paraId="03A7E48A" w14:textId="77777777" w:rsidR="00F017A9" w:rsidRDefault="00F017A9" w:rsidP="008C02AE">
      <w:pPr>
        <w:spacing w:after="0"/>
      </w:pPr>
    </w:p>
    <w:sectPr w:rsidR="00F0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5D0"/>
    <w:multiLevelType w:val="hybridMultilevel"/>
    <w:tmpl w:val="1676EA7E"/>
    <w:lvl w:ilvl="0" w:tplc="CCC08E56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AE"/>
    <w:rsid w:val="00030CFE"/>
    <w:rsid w:val="000319C8"/>
    <w:rsid w:val="001C0683"/>
    <w:rsid w:val="002A1CE0"/>
    <w:rsid w:val="003A7710"/>
    <w:rsid w:val="005B160A"/>
    <w:rsid w:val="00657011"/>
    <w:rsid w:val="0066164E"/>
    <w:rsid w:val="00690C86"/>
    <w:rsid w:val="008C02AE"/>
    <w:rsid w:val="00A36DEA"/>
    <w:rsid w:val="00C73F5A"/>
    <w:rsid w:val="00D038CE"/>
    <w:rsid w:val="00F017A9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E45A"/>
  <w15:chartTrackingRefBased/>
  <w15:docId w15:val="{32A75F55-BEC3-429A-82E8-9B97D0E6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C02A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link w:val="ListParagraph"/>
    <w:rsid w:val="008C02A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Baeuerlein, Christopher</cp:lastModifiedBy>
  <cp:revision>11</cp:revision>
  <dcterms:created xsi:type="dcterms:W3CDTF">2019-01-14T18:59:00Z</dcterms:created>
  <dcterms:modified xsi:type="dcterms:W3CDTF">2019-04-17T18:36:00Z</dcterms:modified>
</cp:coreProperties>
</file>