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6EBD" w14:textId="77777777" w:rsidR="00CA38FC" w:rsidRPr="005026BF" w:rsidRDefault="00D845CD" w:rsidP="0033034F">
      <w:pPr>
        <w:spacing w:line="480" w:lineRule="auto"/>
        <w:jc w:val="center"/>
        <w:rPr>
          <w:rFonts w:ascii="Arial Narrow" w:hAnsi="Arial Narrow"/>
          <w:b/>
          <w:bCs/>
          <w:color w:val="3B1E75"/>
          <w:sz w:val="28"/>
          <w:szCs w:val="28"/>
          <w:u w:color="3B1E75"/>
        </w:rPr>
      </w:pPr>
      <w:r w:rsidRPr="005026BF">
        <w:rPr>
          <w:rFonts w:ascii="Arial Narrow" w:hAnsi="Arial Narrow"/>
          <w:b/>
          <w:bCs/>
          <w:color w:val="3B1E75"/>
          <w:sz w:val="28"/>
          <w:szCs w:val="28"/>
          <w:u w:color="3B1E75"/>
        </w:rPr>
        <w:t>Adjusting for disease severity across Intensive Care Units in multicenter studies</w:t>
      </w:r>
    </w:p>
    <w:p w14:paraId="79413E85" w14:textId="77777777" w:rsidR="00CA38FC" w:rsidRPr="005026BF" w:rsidRDefault="00D845CD" w:rsidP="005026BF">
      <w:pPr>
        <w:spacing w:line="480" w:lineRule="auto"/>
        <w:jc w:val="center"/>
        <w:rPr>
          <w:rFonts w:ascii="Arial Narrow" w:hAnsi="Arial Narrow"/>
          <w:b/>
          <w:bCs/>
          <w:color w:val="3B1E75"/>
          <w:sz w:val="28"/>
          <w:szCs w:val="28"/>
          <w:u w:color="3B1E75"/>
        </w:rPr>
        <w:sectPr w:rsidR="00CA38FC" w:rsidRPr="005026BF" w:rsidSect="004501D5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299"/>
        </w:sectPr>
      </w:pPr>
      <w:r w:rsidRPr="005026BF">
        <w:rPr>
          <w:rFonts w:ascii="Arial Narrow" w:hAnsi="Arial Narrow"/>
          <w:b/>
          <w:bCs/>
          <w:color w:val="3B1E75"/>
          <w:sz w:val="28"/>
          <w:szCs w:val="28"/>
          <w:u w:color="3B1E75"/>
        </w:rPr>
        <w:t xml:space="preserve">Supplementary </w:t>
      </w:r>
      <w:r w:rsidR="0033034F" w:rsidRPr="005026BF">
        <w:rPr>
          <w:rFonts w:ascii="Arial Narrow" w:hAnsi="Arial Narrow"/>
          <w:b/>
          <w:bCs/>
          <w:color w:val="3B1E75"/>
          <w:sz w:val="28"/>
          <w:szCs w:val="28"/>
          <w:u w:color="3B1E75"/>
        </w:rPr>
        <w:t>Information</w:t>
      </w:r>
    </w:p>
    <w:p w14:paraId="570869E1" w14:textId="473A4372" w:rsidR="00CA38FC" w:rsidRPr="004A641C" w:rsidRDefault="00D845CD" w:rsidP="00A134E2">
      <w:pPr>
        <w:spacing w:line="480" w:lineRule="auto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able 1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. Center level characteristics for the selected study centers</w:t>
      </w:r>
    </w:p>
    <w:tbl>
      <w:tblPr>
        <w:tblStyle w:val="TableNormal1"/>
        <w:tblW w:w="9639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"/>
        <w:gridCol w:w="2155"/>
        <w:gridCol w:w="2156"/>
        <w:gridCol w:w="2155"/>
        <w:gridCol w:w="2155"/>
      </w:tblGrid>
      <w:tr w:rsidR="00CA38FC" w:rsidRPr="004A641C" w14:paraId="01799C65" w14:textId="77777777" w:rsidTr="00A134E2">
        <w:trPr>
          <w:trHeight w:val="87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2B66D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> Center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D5DB2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>Teaching/non-teaching hospital (yes/no)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0574D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High volume </w:t>
            </w:r>
          </w:p>
          <w:p w14:paraId="3651CC16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>(&gt;1500 admissions in 2011-2015, yes/no)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F3AC9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>High APACHE IV predicted mortality (mean &gt;25%, yes/no)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F2636" w14:textId="77777777" w:rsidR="00CA38FC" w:rsidRPr="004A641C" w:rsidRDefault="00D845CD" w:rsidP="004A641C">
            <w:pPr>
              <w:spacing w:after="0" w:line="36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</w:rPr>
              <w:t>High proportion of medical admissions (&gt;70%, yes/no)</w:t>
            </w:r>
          </w:p>
        </w:tc>
      </w:tr>
      <w:tr w:rsidR="00CA38FC" w:rsidRPr="004A641C" w14:paraId="713E6490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179B4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6ABE8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DCD7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133A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6DE6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7977FD60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4D80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07E27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4707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A6EF7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FB5A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14C50BCC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0353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6B488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8A3A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B9DE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67FE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68FE9E7C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24CE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D11C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10E8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6890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4091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07675508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2EC0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6122C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41A5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28AD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525C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  <w:tr w:rsidR="00CA38FC" w:rsidRPr="004A641C" w14:paraId="11B273CB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5D28C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B190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B1487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F5EB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1DDA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  <w:tr w:rsidR="00CA38FC" w:rsidRPr="004A641C" w14:paraId="4DB05ECA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0F7D5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06BF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B98E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6E25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6E5F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5A162694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1381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640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398C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8613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6FFF4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77FCBCFF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2EE0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282D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18AE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BA1B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8518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7D02688C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86BC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CBD2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064D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A763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6B09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  <w:tr w:rsidR="00CA38FC" w:rsidRPr="004A641C" w14:paraId="4201CDAB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1CA2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6225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08FC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921F5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88B3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0AF7B3B1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BE94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1C9B9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49220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6C040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A1D0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413FCBB7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5386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0F27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2005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4E0C8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008D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66802DDB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7116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2B7A4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BDCA7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CD6D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B170E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7F1AF247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C061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3ABC0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0D27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6364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C497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73F8B663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D99C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08D0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E3DE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A696A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AE9D1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1F4C23C2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9EE6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B9168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5E7CC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A4C9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9CBC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no</w:t>
            </w:r>
          </w:p>
        </w:tc>
      </w:tr>
      <w:tr w:rsidR="00CA38FC" w:rsidRPr="004A641C" w14:paraId="699FB239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48A5D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CF72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2D6E3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A60A8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B14F5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  <w:tr w:rsidR="00CA38FC" w:rsidRPr="004A641C" w14:paraId="6E2389FA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52FE4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B08FB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46624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F4E90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5E23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  <w:tr w:rsidR="00CA38FC" w:rsidRPr="004A641C" w14:paraId="27A0DA82" w14:textId="77777777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138A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729D2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C3E3F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CD260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F7E66" w14:textId="77777777" w:rsidR="00CA38FC" w:rsidRPr="004A641C" w:rsidRDefault="00D845CD" w:rsidP="00A134E2">
            <w:pPr>
              <w:spacing w:after="0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lang w:val="nl-NL"/>
              </w:rPr>
              <w:t>yes</w:t>
            </w:r>
          </w:p>
        </w:tc>
      </w:tr>
    </w:tbl>
    <w:p w14:paraId="60EB83B1" w14:textId="77777777" w:rsidR="00B468AC" w:rsidRPr="004A641C" w:rsidRDefault="00B468AC">
      <w:pPr>
        <w:widowControl w:val="0"/>
        <w:spacing w:line="240" w:lineRule="auto"/>
        <w:ind w:left="163" w:hanging="163"/>
        <w:rPr>
          <w:rFonts w:ascii="Segoe UI Symbol" w:hAnsi="Segoe UI Symbol"/>
          <w:sz w:val="20"/>
          <w:szCs w:val="20"/>
        </w:rPr>
        <w:sectPr w:rsidR="00B468AC" w:rsidRPr="004A641C" w:rsidSect="004501D5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299"/>
        </w:sectPr>
      </w:pPr>
    </w:p>
    <w:p w14:paraId="46280EAB" w14:textId="528F29D4" w:rsidR="00B468AC" w:rsidRPr="004A641C" w:rsidRDefault="00B468AC" w:rsidP="000F7705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able 2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. Relative bias, for the different methods (columns)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per scenario (rows), in comparison with scenario 0 (correction for APACHE IV score in all centers) </w:t>
      </w:r>
    </w:p>
    <w:tbl>
      <w:tblPr>
        <w:tblStyle w:val="TableNormal1"/>
        <w:tblW w:w="11906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"/>
        <w:gridCol w:w="2207"/>
        <w:gridCol w:w="2206"/>
        <w:gridCol w:w="861"/>
        <w:gridCol w:w="861"/>
        <w:gridCol w:w="860"/>
        <w:gridCol w:w="860"/>
        <w:gridCol w:w="861"/>
        <w:gridCol w:w="860"/>
        <w:gridCol w:w="860"/>
        <w:gridCol w:w="861"/>
      </w:tblGrid>
      <w:tr w:rsidR="00B468AC" w:rsidRPr="004A641C" w14:paraId="5A4BDC08" w14:textId="77777777" w:rsidTr="00A5663F">
        <w:trPr>
          <w:cantSplit/>
          <w:trHeight w:val="2773"/>
        </w:trPr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78925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50DCF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F8EF8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32CB8F3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>1. Naive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5C041F5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>2. Restriction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BAF1B44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>3. Two-stage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7B5A936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Standardization (groups) </w:t>
            </w:r>
            <w:r w:rsidRPr="004A64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F296E95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Standardization (centers) </w:t>
            </w:r>
            <w:r w:rsidRPr="004A64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3842E89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>6. Multiple imputation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0FA0088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</w:rPr>
              <w:t>7. R</w:t>
            </w:r>
            <w:r w:rsidRPr="004A641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egression calibration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31F3352D" w14:textId="77777777" w:rsidR="00B468AC" w:rsidRPr="004A641C" w:rsidRDefault="00B468AC" w:rsidP="0036715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8. Propensity score modelling</w:t>
            </w:r>
          </w:p>
        </w:tc>
      </w:tr>
      <w:tr w:rsidR="00B468AC" w:rsidRPr="004A641C" w14:paraId="38F213B1" w14:textId="77777777" w:rsidTr="00816D74">
        <w:trPr>
          <w:trHeight w:val="284"/>
        </w:trPr>
        <w:tc>
          <w:tcPr>
            <w:tcW w:w="60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5133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3B6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IV score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E13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II score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2E6E9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134E3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6C3CD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2796D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8F815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1FAED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3F98A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8F9C0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</w:tr>
      <w:tr w:rsidR="00B468AC" w:rsidRPr="004A641C" w14:paraId="4D4D1BB5" w14:textId="77777777" w:rsidTr="00816D74">
        <w:trPr>
          <w:trHeight w:val="284"/>
        </w:trPr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381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63BB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ED81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C68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60.6%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C5F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6.2%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990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C59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AA0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4C1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289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-17.0%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828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27.9%</w:t>
            </w:r>
          </w:p>
        </w:tc>
      </w:tr>
      <w:tr w:rsidR="00B468AC" w:rsidRPr="004A641C" w14:paraId="36D220E7" w14:textId="77777777" w:rsidTr="00816D74">
        <w:trPr>
          <w:trHeight w:val="284"/>
        </w:trPr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CBE1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D2F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5B8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00A2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168.1%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732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-15.6%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B2D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70.1%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0977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67.4%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F8A5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68.8%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805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11.6%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B45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-3.4%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2C52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70.1%</w:t>
            </w:r>
          </w:p>
        </w:tc>
      </w:tr>
      <w:tr w:rsidR="00B468AC" w:rsidRPr="004A641C" w14:paraId="403E3416" w14:textId="77777777" w:rsidTr="00816D74">
        <w:trPr>
          <w:trHeight w:val="284"/>
        </w:trPr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512F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476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1F53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 (6)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356A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26.6%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5EA78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B199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F04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C33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2F260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FFFA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-14.3%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EF0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21.1%</w:t>
            </w:r>
          </w:p>
        </w:tc>
      </w:tr>
      <w:tr w:rsidR="00B468AC" w:rsidRPr="004A641C" w14:paraId="3F8D2590" w14:textId="77777777" w:rsidTr="00816D74">
        <w:trPr>
          <w:trHeight w:val="284"/>
        </w:trPr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FC5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995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 (6)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11C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705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138.2%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7A0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-3.4%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FD9E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79.6%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4272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76.9%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F83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78.3%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1A6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17.0%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680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-11.5%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3A6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78.3%</w:t>
            </w:r>
          </w:p>
        </w:tc>
      </w:tr>
      <w:tr w:rsidR="00B468AC" w:rsidRPr="004A641C" w14:paraId="5D841C85" w14:textId="77777777" w:rsidTr="00816D74">
        <w:trPr>
          <w:trHeight w:val="284"/>
        </w:trPr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E78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9E5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 &gt;25% (6)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E140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 &lt;25% (14)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E2613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161.3%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67D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25.2%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75A1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55.1%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945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53.8%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2BF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55.1%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8D4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E7F8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-14.3%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5C78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57.9%</w:t>
            </w:r>
          </w:p>
        </w:tc>
      </w:tr>
      <w:tr w:rsidR="00B468AC" w:rsidRPr="004A641C" w14:paraId="7D5026E5" w14:textId="77777777" w:rsidTr="00816D74">
        <w:trPr>
          <w:trHeight w:val="284"/>
        </w:trPr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070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D39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 &lt;25% (14)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04B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 &gt;25% (6)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337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115.0%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BC57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-14.3%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3A7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36.1%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68739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33.4%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850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33.4%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1A6A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346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-11.5%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B388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41.5%</w:t>
            </w:r>
          </w:p>
        </w:tc>
      </w:tr>
      <w:tr w:rsidR="00B468AC" w:rsidRPr="004A641C" w14:paraId="025D2BD6" w14:textId="77777777" w:rsidTr="00816D74">
        <w:trPr>
          <w:trHeight w:val="284"/>
        </w:trPr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0BC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195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 (6)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44B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 (14)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1558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173.6%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78A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-21.1%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28F6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63.3%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C38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62.0%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B1FE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63.3%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38D6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-6.1%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423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-15.6%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BF20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64.7%</w:t>
            </w:r>
          </w:p>
        </w:tc>
      </w:tr>
      <w:tr w:rsidR="00B468AC" w:rsidRPr="004A641C" w14:paraId="17F0ABFC" w14:textId="77777777" w:rsidTr="00816D74">
        <w:trPr>
          <w:trHeight w:val="284"/>
        </w:trPr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51E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299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 (14)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BE8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 (6)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F78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71.5%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5ED1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8.9%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945E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25.2%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724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23.8%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190A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25.2%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F7465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FF6A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-12.9%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4C3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33.4%</w:t>
            </w:r>
          </w:p>
        </w:tc>
      </w:tr>
      <w:tr w:rsidR="00B468AC" w:rsidRPr="004A641C" w14:paraId="75041598" w14:textId="77777777" w:rsidTr="00816D74">
        <w:trPr>
          <w:trHeight w:val="284"/>
        </w:trPr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A4A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BCA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(12)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6E4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1F141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110.9%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408D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11.6%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3777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33.4%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ACB0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30.7%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E1A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32.0%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D940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874E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-11.5%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4132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42.9%</w:t>
            </w:r>
          </w:p>
        </w:tc>
      </w:tr>
      <w:tr w:rsidR="00B468AC" w:rsidRPr="004A641C" w14:paraId="0107DEB8" w14:textId="77777777" w:rsidTr="00816D74">
        <w:trPr>
          <w:trHeight w:val="284"/>
        </w:trPr>
        <w:tc>
          <w:tcPr>
            <w:tcW w:w="502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60C7" w14:textId="77777777" w:rsidR="00B468AC" w:rsidRPr="004A641C" w:rsidRDefault="00B468AC" w:rsidP="003671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relative bias over APACHE II scenarios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962C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114.0%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F4B1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0.0%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71AEB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43.4%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0836F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41.5%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F1FE7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42.6%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ADF2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5.1%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EC4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-12.4%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CADE4" w14:textId="77777777" w:rsidR="00B468AC" w:rsidRPr="004A641C" w:rsidRDefault="00B468AC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48.6%</w:t>
            </w:r>
          </w:p>
        </w:tc>
      </w:tr>
    </w:tbl>
    <w:p w14:paraId="25F7F8FC" w14:textId="77777777" w:rsidR="00B468AC" w:rsidRPr="004A641C" w:rsidRDefault="00B468AC" w:rsidP="00B468AC">
      <w:pPr>
        <w:widowControl w:val="0"/>
        <w:spacing w:line="240" w:lineRule="auto"/>
        <w:ind w:left="163" w:hanging="163"/>
        <w:rPr>
          <w:rFonts w:ascii="Arial" w:eastAsia="Segoe UI Symbol" w:hAnsi="Arial" w:cs="Arial"/>
          <w:sz w:val="20"/>
          <w:szCs w:val="20"/>
        </w:rPr>
      </w:pPr>
    </w:p>
    <w:tbl>
      <w:tblPr>
        <w:tblStyle w:val="TableNormal1"/>
        <w:tblW w:w="11906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"/>
        <w:gridCol w:w="2207"/>
        <w:gridCol w:w="2206"/>
        <w:gridCol w:w="861"/>
        <w:gridCol w:w="861"/>
        <w:gridCol w:w="860"/>
        <w:gridCol w:w="860"/>
        <w:gridCol w:w="861"/>
        <w:gridCol w:w="860"/>
        <w:gridCol w:w="860"/>
        <w:gridCol w:w="861"/>
      </w:tblGrid>
      <w:tr w:rsidR="00B468AC" w:rsidRPr="004A641C" w14:paraId="41B7B3B0" w14:textId="77777777" w:rsidTr="00816D74">
        <w:trPr>
          <w:trHeight w:val="284"/>
        </w:trPr>
        <w:tc>
          <w:tcPr>
            <w:tcW w:w="6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7A19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964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IV score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179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SAPS II score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7E742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A72C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CEE71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4C60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EB38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6B65C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BA5D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84E9" w14:textId="77777777" w:rsidR="00B468AC" w:rsidRPr="004A641C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AC" w:rsidRPr="004A641C" w14:paraId="718D22C0" w14:textId="77777777" w:rsidTr="00816D74">
        <w:trPr>
          <w:trHeight w:val="284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46F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1B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793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A90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F850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19.8%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415C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6.2%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C29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183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CB2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8B3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-0.7%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7180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-63.3%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22C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21.1%</w:t>
            </w:r>
          </w:p>
        </w:tc>
      </w:tr>
      <w:tr w:rsidR="00B468AC" w:rsidRPr="004A641C" w14:paraId="0155D2DB" w14:textId="77777777" w:rsidTr="00816D74">
        <w:trPr>
          <w:trHeight w:val="284"/>
        </w:trPr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269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579C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97B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F5D6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48.3%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F70B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-15.6%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FC9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30.7%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34D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29.3%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369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29.3%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A0E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E52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-40.1%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F375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42.9%</w:t>
            </w:r>
          </w:p>
        </w:tc>
      </w:tr>
      <w:tr w:rsidR="00B468AC" w:rsidRPr="004A641C" w14:paraId="653A8949" w14:textId="77777777" w:rsidTr="00816D74">
        <w:trPr>
          <w:trHeight w:val="284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DF1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3B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824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500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266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9464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195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4.8%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E8A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7A5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817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0B0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-59.2%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7EE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</w:tr>
      <w:tr w:rsidR="00B468AC" w:rsidRPr="004A641C" w14:paraId="2A3871F2" w14:textId="77777777" w:rsidTr="00816D74">
        <w:trPr>
          <w:trHeight w:val="284"/>
        </w:trPr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1C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AE4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2C93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DFA4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45.6%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5195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-3.4%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882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36.1%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6E3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33.4%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7F0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34.7%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768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17.0%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E9D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-46.9%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3EF8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48.3%</w:t>
            </w:r>
          </w:p>
        </w:tc>
      </w:tr>
      <w:tr w:rsidR="00B468AC" w:rsidRPr="004A641C" w14:paraId="01325DC7" w14:textId="77777777" w:rsidTr="00816D74">
        <w:trPr>
          <w:trHeight w:val="284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266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5B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474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99DB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AD9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53.8%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120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25.2%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DCD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27.9%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4FE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26.6%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B11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27.9%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F1E4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13.0%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FF2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-60.5%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687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42.9%</w:t>
            </w:r>
          </w:p>
        </w:tc>
      </w:tr>
      <w:tr w:rsidR="00B468AC" w:rsidRPr="004A641C" w14:paraId="7382C9B7" w14:textId="77777777" w:rsidTr="00816D74">
        <w:trPr>
          <w:trHeight w:val="284"/>
        </w:trPr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45105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4E95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4AC5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621B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32.0%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1B2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-14.3%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B7C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11.6%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53CD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AF9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4B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-7.5%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D3F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-55.1%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38A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23.8%</w:t>
            </w:r>
          </w:p>
        </w:tc>
      </w:tr>
      <w:tr w:rsidR="00B468AC" w:rsidRPr="004A641C" w14:paraId="45DEEDFB" w14:textId="77777777" w:rsidTr="00816D74">
        <w:trPr>
          <w:trHeight w:val="284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16A4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7B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850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B0F2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07D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51.1%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A81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-21.1%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6E83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27.9%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B9A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26.6%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520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26.6%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856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-0.7%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A19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-52.4%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5AF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41.5%</w:t>
            </w:r>
          </w:p>
        </w:tc>
      </w:tr>
      <w:tr w:rsidR="00B468AC" w:rsidRPr="004A641C" w14:paraId="35626FCC" w14:textId="77777777" w:rsidTr="00816D74">
        <w:trPr>
          <w:trHeight w:val="284"/>
        </w:trPr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82C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3EB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D8EF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47D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23.8%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655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8.9%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44FF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11.6%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D878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5587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F312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2.1%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BAC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-59.2%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F41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23.8%</w:t>
            </w:r>
          </w:p>
        </w:tc>
      </w:tr>
      <w:tr w:rsidR="00B468AC" w:rsidRPr="004A641C" w14:paraId="66557724" w14:textId="77777777" w:rsidTr="00816D74">
        <w:trPr>
          <w:trHeight w:val="284"/>
        </w:trPr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C399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9B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779EE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(12)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85E4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63AE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41.5%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20F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11.6%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642B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19.8%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A78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BB592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8AB8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10.2%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5EC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-56.4%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8D3E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36.1%</w:t>
            </w:r>
          </w:p>
        </w:tc>
      </w:tr>
      <w:tr w:rsidR="00B468AC" w:rsidRPr="004A641C" w14:paraId="7AA74BAA" w14:textId="77777777" w:rsidTr="00816D74">
        <w:trPr>
          <w:trHeight w:val="284"/>
        </w:trPr>
        <w:tc>
          <w:tcPr>
            <w:tcW w:w="502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8B73" w14:textId="77777777" w:rsidR="00B468AC" w:rsidRPr="004A641C" w:rsidRDefault="00B468AC" w:rsidP="003671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relative bias over SAPS II scenarios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9FC7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36.2%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8FCD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0.0%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984A3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19.9%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40E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18.4%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8FAC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18.7%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8456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4.6%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5C2B1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-54.8%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C5EA" w14:textId="77777777" w:rsidR="00B468AC" w:rsidRPr="004A641C" w:rsidRDefault="00B468AC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1C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33.2%</w:t>
            </w:r>
          </w:p>
        </w:tc>
      </w:tr>
    </w:tbl>
    <w:p w14:paraId="7F0EB8A8" w14:textId="77777777" w:rsidR="00B468AC" w:rsidRPr="004A641C" w:rsidRDefault="00B468AC" w:rsidP="00B468AC">
      <w:pPr>
        <w:pStyle w:val="NoSpacing"/>
        <w:widowControl w:val="0"/>
        <w:ind w:left="163" w:hanging="163"/>
        <w:rPr>
          <w:rFonts w:ascii="Segoe UI Symbol" w:eastAsia="Segoe UI Symbol" w:hAnsi="Segoe UI Symbol" w:cs="Segoe UI Symbol"/>
          <w:sz w:val="20"/>
          <w:szCs w:val="20"/>
        </w:rPr>
      </w:pPr>
    </w:p>
    <w:p w14:paraId="72CF07A1" w14:textId="77777777" w:rsidR="00B468AC" w:rsidRPr="004A641C" w:rsidRDefault="00B468AC" w:rsidP="000F7705">
      <w:pPr>
        <w:pStyle w:val="NoSpacing"/>
        <w:spacing w:line="276" w:lineRule="auto"/>
        <w:ind w:left="284" w:right="1053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hAnsi="Segoe UI Symbol"/>
          <w:sz w:val="20"/>
          <w:szCs w:val="20"/>
          <w:u w:val="single"/>
        </w:rPr>
        <w:t>Legend</w:t>
      </w:r>
      <w:r w:rsidRPr="004A641C">
        <w:rPr>
          <w:rFonts w:ascii="Segoe UI Symbol" w:hAnsi="Segoe UI Symbol"/>
          <w:sz w:val="20"/>
          <w:szCs w:val="20"/>
        </w:rPr>
        <w:t xml:space="preserve">: </w:t>
      </w:r>
      <w:proofErr w:type="spellStart"/>
      <w:r w:rsidRPr="004A641C">
        <w:rPr>
          <w:rFonts w:ascii="Segoe UI Symbol" w:hAnsi="Segoe UI Symbol"/>
          <w:sz w:val="20"/>
          <w:szCs w:val="20"/>
        </w:rPr>
        <w:t>adm.</w:t>
      </w:r>
      <w:proofErr w:type="spellEnd"/>
      <w:r w:rsidRPr="004A641C">
        <w:rPr>
          <w:rFonts w:ascii="Segoe UI Symbol" w:hAnsi="Segoe UI Symbol"/>
          <w:sz w:val="20"/>
          <w:szCs w:val="20"/>
        </w:rPr>
        <w:t>, admissions; APACHE, acute physiology and chronic health evaluation; med., medical; pred. mort., predicted in-hospital mortality; SAPS, simplified acute physiology score.</w:t>
      </w:r>
    </w:p>
    <w:p w14:paraId="0B649C69" w14:textId="77777777" w:rsidR="00B468AC" w:rsidRPr="004A641C" w:rsidRDefault="00B468AC" w:rsidP="000F7705">
      <w:pPr>
        <w:pStyle w:val="NoSpacing"/>
        <w:spacing w:line="276" w:lineRule="auto"/>
        <w:ind w:left="284" w:right="1053"/>
        <w:rPr>
          <w:rFonts w:ascii="Segoe UI Symbol" w:hAnsi="Segoe UI Symbol"/>
          <w:sz w:val="20"/>
          <w:szCs w:val="20"/>
        </w:rPr>
      </w:pPr>
      <w:proofErr w:type="spellStart"/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a</w:t>
      </w:r>
      <w:proofErr w:type="spellEnd"/>
      <w:r w:rsidRPr="004A641C">
        <w:rPr>
          <w:rFonts w:ascii="Segoe UI Symbol" w:hAnsi="Segoe UI Symbol"/>
          <w:sz w:val="20"/>
          <w:szCs w:val="20"/>
        </w:rPr>
        <w:t xml:space="preserve"> </w:t>
      </w:r>
      <w:proofErr w:type="gramStart"/>
      <w:r w:rsidRPr="004A641C">
        <w:rPr>
          <w:rFonts w:ascii="Segoe UI Symbol" w:hAnsi="Segoe UI Symbol"/>
          <w:sz w:val="20"/>
          <w:szCs w:val="20"/>
        </w:rPr>
        <w:t>For</w:t>
      </w:r>
      <w:proofErr w:type="gramEnd"/>
      <w:r w:rsidRPr="004A641C">
        <w:rPr>
          <w:rFonts w:ascii="Segoe UI Symbol" w:hAnsi="Segoe UI Symbol"/>
          <w:sz w:val="20"/>
          <w:szCs w:val="20"/>
        </w:rPr>
        <w:t xml:space="preserve"> a description of methods, see main text (“Methods to adjust for confounding by disease severity”).</w:t>
      </w:r>
    </w:p>
    <w:p w14:paraId="2DD1116E" w14:textId="77777777" w:rsidR="00B468AC" w:rsidRPr="004A641C" w:rsidRDefault="00B468AC" w:rsidP="000F7705">
      <w:pPr>
        <w:pStyle w:val="NoSpacing"/>
        <w:spacing w:line="276" w:lineRule="auto"/>
        <w:ind w:left="284" w:right="1053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b</w:t>
      </w:r>
      <w:r w:rsidRPr="004A641C">
        <w:rPr>
          <w:rFonts w:ascii="Segoe UI Symbol" w:hAnsi="Segoe UI Symbol"/>
          <w:sz w:val="20"/>
          <w:szCs w:val="20"/>
        </w:rPr>
        <w:t xml:space="preserve"> APACHE II / SAPS II scores were standardized across all centers that had the respective score available.</w:t>
      </w:r>
    </w:p>
    <w:p w14:paraId="48968606" w14:textId="77777777" w:rsidR="00B468AC" w:rsidRPr="004A641C" w:rsidRDefault="00B468AC" w:rsidP="000F7705">
      <w:pPr>
        <w:pStyle w:val="NoSpacing"/>
        <w:spacing w:line="276" w:lineRule="auto"/>
        <w:ind w:left="284" w:right="1053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c</w:t>
      </w:r>
      <w:r w:rsidRPr="004A641C">
        <w:rPr>
          <w:rFonts w:ascii="Segoe UI Symbol" w:hAnsi="Segoe UI Symbol"/>
          <w:sz w:val="20"/>
          <w:szCs w:val="20"/>
        </w:rPr>
        <w:t xml:space="preserve"> APACHE II / SAPS II scores were standardized within each center that had the respective score available.</w:t>
      </w:r>
    </w:p>
    <w:p w14:paraId="51A05E95" w14:textId="77777777" w:rsidR="00B468AC" w:rsidRPr="004A641C" w:rsidRDefault="00B468AC" w:rsidP="00B468AC">
      <w:pPr>
        <w:pStyle w:val="NoSpacing"/>
        <w:spacing w:line="480" w:lineRule="auto"/>
        <w:ind w:left="142" w:right="1053"/>
        <w:rPr>
          <w:rFonts w:ascii="Segoe UI Symbol" w:hAnsi="Segoe UI Symbol"/>
          <w:sz w:val="20"/>
          <w:szCs w:val="20"/>
        </w:rPr>
      </w:pPr>
    </w:p>
    <w:tbl>
      <w:tblPr>
        <w:tblStyle w:val="TableNormal1"/>
        <w:tblW w:w="4980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B468AC" w:rsidRPr="005026BF" w14:paraId="3644D5C5" w14:textId="77777777" w:rsidTr="0036715B">
        <w:trPr>
          <w:trHeight w:val="26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6222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Segoe UI Symbol" w:hAnsi="Segoe UI Symbol" w:cs="Arial"/>
                <w:sz w:val="20"/>
                <w:szCs w:val="20"/>
              </w:rPr>
            </w:pPr>
            <w:r w:rsidRPr="005026BF">
              <w:rPr>
                <w:rFonts w:ascii="Segoe UI Symbol" w:eastAsia="Segoe UI Symbol" w:hAnsi="Segoe UI Symbol" w:cs="Arial"/>
                <w:sz w:val="20"/>
                <w:szCs w:val="20"/>
                <w:u w:val="single"/>
                <w:lang w:val="nl-NL"/>
              </w:rPr>
              <w:t>Colour code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6A53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|0%| - |25%|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9BFEF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|25%| - |50%|</w:t>
            </w:r>
          </w:p>
        </w:tc>
      </w:tr>
      <w:tr w:rsidR="00B468AC" w:rsidRPr="005026BF" w14:paraId="60C04337" w14:textId="77777777" w:rsidTr="0036715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9A4E9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|50%| - |75%|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36EB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|75%| - |100%|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98A7" w14:textId="77777777" w:rsidR="00B468AC" w:rsidRPr="005026BF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color w:val="FFFFFF"/>
                <w:sz w:val="20"/>
                <w:szCs w:val="20"/>
                <w:u w:color="FFFFFF"/>
                <w:lang w:val="nl-NL"/>
              </w:rPr>
              <w:t>&gt;|100%|</w:t>
            </w:r>
          </w:p>
        </w:tc>
      </w:tr>
    </w:tbl>
    <w:p w14:paraId="4ADF7B42" w14:textId="77777777" w:rsidR="00B468AC" w:rsidRPr="004A641C" w:rsidRDefault="00B468AC" w:rsidP="00B468AC">
      <w:pPr>
        <w:pStyle w:val="NoSpacing"/>
        <w:widowControl w:val="0"/>
        <w:ind w:left="163" w:hanging="163"/>
        <w:rPr>
          <w:rFonts w:ascii="Segoe UI Symbol" w:hAnsi="Segoe UI Symbol"/>
          <w:sz w:val="20"/>
          <w:szCs w:val="20"/>
        </w:rPr>
      </w:pPr>
    </w:p>
    <w:p w14:paraId="7A886A7D" w14:textId="77777777" w:rsidR="00B468AC" w:rsidRPr="004A641C" w:rsidRDefault="00B468AC" w:rsidP="00B468AC">
      <w:pPr>
        <w:pStyle w:val="NoSpacing"/>
        <w:widowControl w:val="0"/>
        <w:spacing w:line="480" w:lineRule="auto"/>
        <w:ind w:left="55" w:hanging="55"/>
        <w:rPr>
          <w:rFonts w:ascii="Segoe UI Symbol" w:hAnsi="Segoe UI Symbol"/>
          <w:sz w:val="20"/>
          <w:szCs w:val="20"/>
        </w:rPr>
      </w:pPr>
    </w:p>
    <w:p w14:paraId="3BE50D39" w14:textId="36DBFF34" w:rsidR="00A85787" w:rsidRPr="004A641C" w:rsidRDefault="00A85787" w:rsidP="005026BF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able 3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. Absolute bias, expressed as odds ratios, for the different methods (columns)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per scenario (rows), in comparison with scenario 0 (correction for APACHE IV score in all centers</w:t>
      </w:r>
      <w:proofErr w:type="gramStart"/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) 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,</w:t>
      </w:r>
      <w:proofErr w:type="gramEnd"/>
    </w:p>
    <w:tbl>
      <w:tblPr>
        <w:tblStyle w:val="TableNormal1"/>
        <w:tblW w:w="11858" w:type="dxa"/>
        <w:tblInd w:w="2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2226"/>
        <w:gridCol w:w="2226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A85787" w:rsidRPr="000F7705" w14:paraId="70082B0C" w14:textId="77777777" w:rsidTr="000F7705">
        <w:trPr>
          <w:cantSplit/>
          <w:trHeight w:val="2635"/>
        </w:trPr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3913F4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1BF6615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6BC29CA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B9C1575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1. Naive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DEFF2A1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2. Restriction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93C157A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3. Two-stage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110E76E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 xml:space="preserve">4. Standardization (groups) </w:t>
            </w:r>
            <w:r w:rsidRPr="000F7705">
              <w:rPr>
                <w:rFonts w:ascii="Arial" w:eastAsia="Segoe UI Symbol" w:hAnsi="Arial" w:cs="Arial"/>
                <w:b/>
                <w:bCs/>
                <w:i/>
                <w:iCs/>
                <w:sz w:val="20"/>
                <w:szCs w:val="20"/>
                <w:vertAlign w:val="superscript"/>
                <w:lang w:val="nl-NL"/>
              </w:rPr>
              <w:t>b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08B0F0C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5. Standardization (centers)</w:t>
            </w: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 xml:space="preserve"> </w:t>
            </w:r>
            <w:r w:rsidRPr="000F7705">
              <w:rPr>
                <w:rFonts w:ascii="Arial" w:eastAsia="Segoe UI Symbol" w:hAnsi="Arial" w:cs="Arial"/>
                <w:b/>
                <w:bCs/>
                <w:i/>
                <w:iCs/>
                <w:sz w:val="20"/>
                <w:szCs w:val="20"/>
                <w:vertAlign w:val="superscript"/>
                <w:lang w:val="nl-NL"/>
              </w:rPr>
              <w:t>c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1CD2005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6. Multiple imputation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35521F6E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7. Regression calibration</w:t>
            </w:r>
          </w:p>
        </w:tc>
        <w:tc>
          <w:tcPr>
            <w:tcW w:w="870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A8CA0F9" w14:textId="77777777" w:rsidR="00A85787" w:rsidRPr="000F7705" w:rsidRDefault="00A85787" w:rsidP="000F77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8. Propensity score modelling</w:t>
            </w:r>
          </w:p>
        </w:tc>
      </w:tr>
      <w:tr w:rsidR="00A85787" w:rsidRPr="000F7705" w14:paraId="73429212" w14:textId="77777777" w:rsidTr="00816D74">
        <w:trPr>
          <w:trHeight w:val="284"/>
        </w:trPr>
        <w:tc>
          <w:tcPr>
            <w:tcW w:w="4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6D3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823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APACHE IV score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4A66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APACHE II score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523C4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9E1A9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2C081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FB980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C5CE2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42DD6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F1527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B4BAB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87" w:rsidRPr="000F7705" w14:paraId="432B568E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AAA2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1A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B6D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teaching (10)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4F0B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non-teaching (10)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A12E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8482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567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E6BB2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682A7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053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63A1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2DDFF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A85787" w:rsidRPr="000F7705" w14:paraId="2A49997E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5409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2A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BDED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non-teaching (10)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1312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teaching (10)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A1FC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118C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E8E5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A8C83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D1F9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68F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3FC6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598F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A85787" w:rsidRPr="000F7705" w14:paraId="7A886386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48BE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3A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D9649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52A0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 1500 </w:t>
            </w:r>
            <w:proofErr w:type="spellStart"/>
            <w:proofErr w:type="gram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(</w:t>
            </w:r>
            <w:proofErr w:type="gram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6)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9161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EF420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712D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A76F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303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184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15BB2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97D4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A85787" w:rsidRPr="000F7705" w14:paraId="6F08DA7E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FEC5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4A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A56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65874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338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1B6A2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309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764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AF67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D6F0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8AD4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D875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</w:tr>
      <w:tr w:rsidR="00A85787" w:rsidRPr="000F7705" w14:paraId="019B6446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F362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5A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C7C1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&gt;25% (6)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DFBA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&lt;25% (14)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9A74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3E4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5B26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A988D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013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347D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633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43F2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</w:tr>
      <w:tr w:rsidR="00A85787" w:rsidRPr="000F7705" w14:paraId="3149562F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27E3D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6A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1B576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&lt;25% (14)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6A3A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&gt;25% (6)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FE5F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716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07607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BCD1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46255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D50DC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3FD0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1870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A85787" w:rsidRPr="000F7705" w14:paraId="320C34A9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063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7A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4E36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4C7A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BC83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BF6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067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15F0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8B0E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5D06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66DB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F9176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A85787" w:rsidRPr="000F7705" w14:paraId="48ED6E0E" w14:textId="77777777" w:rsidTr="00816D74">
        <w:trPr>
          <w:trHeight w:val="284"/>
        </w:trPr>
        <w:tc>
          <w:tcPr>
            <w:tcW w:w="44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CF43D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8A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8E85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24D4B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334E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F0F5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0B4A1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E653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E0249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AEC4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F85F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631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A85787" w:rsidRPr="000F7705" w14:paraId="1157E087" w14:textId="77777777" w:rsidTr="00816D74">
        <w:trPr>
          <w:trHeight w:val="284"/>
        </w:trPr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DCDC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9A</w:t>
            </w: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D29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random (12)</w:t>
            </w: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CF8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70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7F96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60C7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E907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7E85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AB3A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B407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2FDC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D10D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0F7705" w:rsidRPr="000F7705" w14:paraId="357991AE" w14:textId="77777777" w:rsidTr="00816D74">
        <w:trPr>
          <w:trHeight w:val="284"/>
        </w:trPr>
        <w:tc>
          <w:tcPr>
            <w:tcW w:w="4898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9B91" w14:textId="386E53F9" w:rsidR="000F7705" w:rsidRPr="000F7705" w:rsidRDefault="000F7705" w:rsidP="00816D74">
            <w:pPr>
              <w:spacing w:after="0" w:line="240" w:lineRule="auto"/>
              <w:jc w:val="right"/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absolute bias over APACHE II scenarios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B8CD" w14:textId="71D541EC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1.09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9A57" w14:textId="763D8620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DDD6" w14:textId="51496874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E399B" w14:textId="101811D0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A123" w14:textId="157BF6EF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8D8A" w14:textId="1E957AE0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A819" w14:textId="41D5A914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8D11" w14:textId="4D701BEC" w:rsidR="000F7705" w:rsidRPr="000F7705" w:rsidRDefault="000F7705" w:rsidP="00816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sz w:val="20"/>
                <w:szCs w:val="20"/>
              </w:rPr>
              <w:t>1.04</w:t>
            </w:r>
          </w:p>
        </w:tc>
      </w:tr>
    </w:tbl>
    <w:p w14:paraId="27BEBA7A" w14:textId="77777777" w:rsidR="000F7705" w:rsidRPr="000F7705" w:rsidRDefault="000F7705" w:rsidP="000F7705">
      <w:pPr>
        <w:spacing w:after="0" w:line="240" w:lineRule="auto"/>
        <w:jc w:val="center"/>
        <w:rPr>
          <w:rFonts w:ascii="Arial" w:eastAsia="Segoe UI Symbol" w:hAnsi="Arial" w:cs="Arial"/>
          <w:b/>
          <w:bCs/>
          <w:sz w:val="20"/>
          <w:szCs w:val="20"/>
        </w:rPr>
        <w:sectPr w:rsidR="000F7705" w:rsidRPr="000F7705" w:rsidSect="004501D5">
          <w:headerReference w:type="default" r:id="rId10"/>
          <w:pgSz w:w="15840" w:h="12240" w:orient="landscape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1"/>
        <w:tblW w:w="11858" w:type="dxa"/>
        <w:tblInd w:w="2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2226"/>
        <w:gridCol w:w="2226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A85787" w:rsidRPr="000F7705" w14:paraId="3BBC04B7" w14:textId="77777777" w:rsidTr="00816D74">
        <w:trPr>
          <w:trHeight w:val="284"/>
        </w:trPr>
        <w:tc>
          <w:tcPr>
            <w:tcW w:w="4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57CF" w14:textId="13D68526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85F3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APACHE IV score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AEB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SAPS II score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D856B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41DE9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C246D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E2697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B4327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BEFE8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F6EBA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78813" w14:textId="77777777" w:rsidR="00A85787" w:rsidRPr="000F7705" w:rsidRDefault="00A85787" w:rsidP="000F7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87" w:rsidRPr="000F7705" w14:paraId="149BA527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A2B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1B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84D34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teaching (10)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8DF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non-teaching (10)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23BC4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B96AA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F9DAC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0A5E1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6CC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1BF12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BF8E5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83D7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A85787" w:rsidRPr="000F7705" w14:paraId="558D8B11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7A3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2B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D9BC0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non-teaching (10)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FEEC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teaching (10)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C8C55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0889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528C2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93F6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2B467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FB22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1663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C329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A85787" w:rsidRPr="000F7705" w14:paraId="791F1B6E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CFEA4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3B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AFE6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C79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7FA0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F9B2A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04BB5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55A7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C366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2AC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B238" w14:textId="77777777" w:rsidR="00A85787" w:rsidRPr="000F7705" w:rsidRDefault="00A85787" w:rsidP="00816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ED95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A85787" w:rsidRPr="000F7705" w14:paraId="5FEE52AC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54E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4B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0B32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3882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8A7AC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54028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B341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A565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EDE02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7D87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8B3C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5FC5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A85787" w:rsidRPr="000F7705" w14:paraId="5C2EF360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66BBF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5B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0615E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&gt;25% (6)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42AF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&lt;25% (14)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11B1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87D78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24F11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01D4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058C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9B8C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2B43C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94AF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A85787" w:rsidRPr="000F7705" w14:paraId="5F275B68" w14:textId="77777777" w:rsidTr="00816D74">
        <w:trPr>
          <w:trHeight w:val="284"/>
        </w:trPr>
        <w:tc>
          <w:tcPr>
            <w:tcW w:w="44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B8272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6B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F75A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&lt;25% (14)</w:t>
            </w:r>
          </w:p>
        </w:tc>
        <w:tc>
          <w:tcPr>
            <w:tcW w:w="22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0A6B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pred. mort. &gt;25% (6)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172B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B2AD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6D80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9D27E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CF8BA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EBFF4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B8F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21CCA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A85787" w:rsidRPr="000F7705" w14:paraId="0ECBCD24" w14:textId="77777777" w:rsidTr="00816D74">
        <w:trPr>
          <w:trHeight w:val="284"/>
        </w:trPr>
        <w:tc>
          <w:tcPr>
            <w:tcW w:w="44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7F86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7B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E9E1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2226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5167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EAF24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1BFF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D151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E97A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BBC8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C53F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F2604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2532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A85787" w:rsidRPr="000F7705" w14:paraId="5AC02367" w14:textId="77777777" w:rsidTr="00816D74">
        <w:trPr>
          <w:trHeight w:val="284"/>
        </w:trPr>
        <w:tc>
          <w:tcPr>
            <w:tcW w:w="44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A1BD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8B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AA53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03C1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1AF2B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9FD54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87142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DC079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DD77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F030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53DB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CE167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A85787" w:rsidRPr="000F7705" w14:paraId="023CE69A" w14:textId="77777777" w:rsidTr="00816D74">
        <w:trPr>
          <w:trHeight w:val="284"/>
        </w:trPr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1158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9B</w:t>
            </w: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1829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random (12)</w:t>
            </w:r>
          </w:p>
        </w:tc>
        <w:tc>
          <w:tcPr>
            <w:tcW w:w="2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C9C3" w14:textId="77777777" w:rsidR="00A85787" w:rsidRPr="000F7705" w:rsidRDefault="00A85787" w:rsidP="00816D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53B1F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9E2B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B40C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0D1E8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1935D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F27B6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32B30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7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CA183" w14:textId="77777777" w:rsidR="00A85787" w:rsidRPr="000F7705" w:rsidRDefault="00A85787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0F7705" w:rsidRPr="000F7705" w14:paraId="1E9B83F9" w14:textId="77777777" w:rsidTr="009B7838">
        <w:trPr>
          <w:trHeight w:val="284"/>
        </w:trPr>
        <w:tc>
          <w:tcPr>
            <w:tcW w:w="4898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D4091" w14:textId="33D4F124" w:rsidR="000F7705" w:rsidRPr="000F7705" w:rsidRDefault="000F7705" w:rsidP="000F7705">
            <w:pPr>
              <w:spacing w:after="0" w:line="240" w:lineRule="auto"/>
              <w:jc w:val="right"/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absolute bias over SAPS II scenarios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2CE38" w14:textId="23F9BD5F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E3F7F" w14:textId="17616495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69613" w14:textId="0B3B3811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80D73" w14:textId="04C9B461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8D79C" w14:textId="7657283D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1.01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4458D" w14:textId="52D0E76F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D0FCE" w14:textId="6E9C299C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0.96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44D04" w14:textId="13FCFCCA" w:rsidR="000F7705" w:rsidRPr="00816D74" w:rsidRDefault="000F7705" w:rsidP="000F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D74"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</w:tr>
    </w:tbl>
    <w:p w14:paraId="75674469" w14:textId="77777777" w:rsidR="00A85787" w:rsidRPr="004A641C" w:rsidRDefault="00A85787" w:rsidP="005026BF">
      <w:pPr>
        <w:pStyle w:val="NoSpacing"/>
        <w:spacing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Legend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: </w:t>
      </w:r>
      <w:proofErr w:type="spellStart"/>
      <w:r w:rsidRPr="004A641C">
        <w:rPr>
          <w:rFonts w:ascii="Segoe UI Symbol" w:eastAsia="Segoe UI Symbol" w:hAnsi="Segoe UI Symbol" w:cs="Segoe UI Symbol"/>
          <w:sz w:val="20"/>
          <w:szCs w:val="20"/>
        </w:rPr>
        <w:t>adm.</w:t>
      </w:r>
      <w:proofErr w:type="spellEnd"/>
      <w:r w:rsidRPr="004A641C">
        <w:rPr>
          <w:rFonts w:ascii="Segoe UI Symbol" w:eastAsia="Segoe UI Symbol" w:hAnsi="Segoe UI Symbol" w:cs="Segoe UI Symbol"/>
          <w:sz w:val="20"/>
          <w:szCs w:val="20"/>
        </w:rPr>
        <w:t>, admissions; APACHE, acute physiology and chronic health evaluation; med., medical; pred. mort., predicted in-hospital mortality; SAPS, simplified acute physiology score.</w:t>
      </w:r>
    </w:p>
    <w:p w14:paraId="15B85F45" w14:textId="77777777" w:rsidR="00A85787" w:rsidRPr="004A641C" w:rsidRDefault="00A85787" w:rsidP="005026BF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proofErr w:type="spellStart"/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proofErr w:type="spellEnd"/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 xml:space="preserve"> </w:t>
      </w:r>
      <w:proofErr w:type="gramStart"/>
      <w:r w:rsidRPr="004A641C">
        <w:rPr>
          <w:rFonts w:ascii="Segoe UI Symbol" w:eastAsia="Segoe UI Symbol" w:hAnsi="Segoe UI Symbol" w:cs="Segoe UI Symbol"/>
          <w:sz w:val="20"/>
          <w:szCs w:val="20"/>
        </w:rPr>
        <w:t>For</w:t>
      </w:r>
      <w:proofErr w:type="gramEnd"/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a description of methods, see main text (“Methods to adjust for confounding by disease severity”).</w:t>
      </w:r>
    </w:p>
    <w:p w14:paraId="5D2B8C7E" w14:textId="77777777" w:rsidR="00A85787" w:rsidRPr="004A641C" w:rsidRDefault="00A85787" w:rsidP="005026BF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b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</w:rPr>
        <w:t xml:space="preserve"> 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APACHE II / SAPS II scores were standardized across all centers that had the respective score available.</w:t>
      </w:r>
    </w:p>
    <w:p w14:paraId="6AB9A0FA" w14:textId="77777777" w:rsidR="00A85787" w:rsidRPr="004A641C" w:rsidRDefault="00A85787" w:rsidP="005026BF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vertAlign w:val="superscript"/>
        </w:rPr>
        <w:t>c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APACHE II / SAPS II scores were standardized within each center that had the respective score available</w:t>
      </w:r>
    </w:p>
    <w:tbl>
      <w:tblPr>
        <w:tblStyle w:val="TableNormal1"/>
        <w:tblW w:w="4980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A85787" w:rsidRPr="004A641C" w14:paraId="24826A00" w14:textId="77777777" w:rsidTr="005026BF">
        <w:trPr>
          <w:trHeight w:val="262"/>
        </w:trPr>
        <w:tc>
          <w:tcPr>
            <w:tcW w:w="1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838A" w14:textId="6591BC60" w:rsidR="00A85787" w:rsidRPr="004A641C" w:rsidRDefault="00A85787" w:rsidP="000F7705">
            <w:pPr>
              <w:spacing w:after="0" w:line="24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u w:val="single"/>
                <w:lang w:val="nl-NL"/>
              </w:rPr>
              <w:t>C</w:t>
            </w:r>
            <w:r w:rsidR="000F7705">
              <w:rPr>
                <w:rFonts w:ascii="Segoe UI Symbol" w:eastAsia="Segoe UI Symbol" w:hAnsi="Segoe UI Symbol" w:cs="Segoe UI Symbol"/>
                <w:sz w:val="20"/>
                <w:szCs w:val="20"/>
                <w:u w:val="single"/>
                <w:lang w:val="nl-NL"/>
              </w:rPr>
              <w:t>olour code</w:t>
            </w:r>
          </w:p>
        </w:tc>
        <w:tc>
          <w:tcPr>
            <w:tcW w:w="1660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347A" w14:textId="4BE6DCED" w:rsidR="00A85787" w:rsidRPr="005026BF" w:rsidRDefault="00816D74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</w:t>
            </w:r>
            <w:r w:rsidR="004E7B61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=</w:t>
            </w:r>
            <w:r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 δ0.05</w:t>
            </w:r>
            <w:r w:rsidR="00A85787"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  </w:t>
            </w:r>
          </w:p>
        </w:tc>
        <w:tc>
          <w:tcPr>
            <w:tcW w:w="1660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0303" w14:textId="3924989F" w:rsidR="00A85787" w:rsidRPr="005026BF" w:rsidRDefault="00A85787" w:rsidP="000F7705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&gt; </w:t>
            </w:r>
            <w:r w:rsidR="00816D74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δ0.05</w:t>
            </w:r>
            <w:r w:rsidRPr="005026BF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  </w:t>
            </w:r>
          </w:p>
        </w:tc>
      </w:tr>
    </w:tbl>
    <w:p w14:paraId="3A2948A8" w14:textId="77777777" w:rsidR="00A85787" w:rsidRPr="004A641C" w:rsidRDefault="00A85787" w:rsidP="00A85787">
      <w:pPr>
        <w:spacing w:after="0" w:line="480" w:lineRule="auto"/>
        <w:rPr>
          <w:rFonts w:ascii="Segoe UI Symbol" w:eastAsia="Segoe UI Symbol" w:hAnsi="Segoe UI Symbol" w:cs="Segoe UI Symbol"/>
          <w:strike/>
          <w:sz w:val="20"/>
          <w:szCs w:val="20"/>
        </w:rPr>
        <w:sectPr w:rsidR="00A85787" w:rsidRPr="004A641C" w:rsidSect="004501D5">
          <w:pgSz w:w="15840" w:h="12240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5E6A439B" w14:textId="3E556142" w:rsidR="00B468AC" w:rsidRPr="004A641C" w:rsidRDefault="00B468AC" w:rsidP="000F7705">
      <w:pPr>
        <w:spacing w:after="0" w:line="360" w:lineRule="auto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able</w:t>
      </w:r>
      <w:r w:rsidR="000E5313">
        <w:rPr>
          <w:rFonts w:ascii="Segoe UI Symbol" w:eastAsia="Segoe UI Symbol" w:hAnsi="Segoe UI Symbol" w:cs="Segoe UI Symbol"/>
          <w:sz w:val="20"/>
          <w:szCs w:val="20"/>
          <w:u w:val="single"/>
        </w:rPr>
        <w:t xml:space="preserve"> </w:t>
      </w:r>
      <w:r w:rsidR="00A85787"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4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. Coverage of 95% confidence interval of estimated treatment effect when using the different methods (columns)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per scenario (rows), relative to scenario 0 (correction for APACHE IV score in all centers)</w:t>
      </w:r>
    </w:p>
    <w:tbl>
      <w:tblPr>
        <w:tblStyle w:val="TableNormal1"/>
        <w:tblW w:w="11906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"/>
        <w:gridCol w:w="2153"/>
        <w:gridCol w:w="2151"/>
        <w:gridCol w:w="876"/>
        <w:gridCol w:w="876"/>
        <w:gridCol w:w="875"/>
        <w:gridCol w:w="875"/>
        <w:gridCol w:w="876"/>
        <w:gridCol w:w="876"/>
        <w:gridCol w:w="875"/>
        <w:gridCol w:w="876"/>
      </w:tblGrid>
      <w:tr w:rsidR="00B468AC" w:rsidRPr="000F7705" w14:paraId="4D9E999E" w14:textId="77777777" w:rsidTr="00A5663F">
        <w:trPr>
          <w:cantSplit/>
          <w:trHeight w:val="2791"/>
        </w:trPr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bottom"/>
          </w:tcPr>
          <w:p w14:paraId="2DB07770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5E2CD44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bottom"/>
          </w:tcPr>
          <w:p w14:paraId="48E991C7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38A6499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>1. Naive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F420B3D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>2. Restriction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3B5EBD8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>3. Two-stage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525784A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Standardization (groups) </w:t>
            </w:r>
            <w:r w:rsidRPr="000F77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98478E9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Standardization (centers) </w:t>
            </w:r>
            <w:r w:rsidRPr="000F77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A1F6E2A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>6. Multiple imputation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2D23433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0F770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Regression calibration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5295494" w14:textId="77777777" w:rsidR="00B468AC" w:rsidRPr="000F7705" w:rsidRDefault="00B468A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8. Propensity score modelling</w:t>
            </w:r>
          </w:p>
        </w:tc>
      </w:tr>
      <w:tr w:rsidR="00B468AC" w:rsidRPr="000F7705" w14:paraId="2157FBFC" w14:textId="77777777" w:rsidTr="000F7705">
        <w:trPr>
          <w:trHeight w:val="284"/>
        </w:trPr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12F2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BB1DF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IV score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7753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II score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597A5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795BE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87D28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626ED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FF8D6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A000F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122E1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3ED00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468AC" w:rsidRPr="000F7705" w14:paraId="329AF137" w14:textId="77777777" w:rsidTr="00A5663F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A40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1A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26957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2A8B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B43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62.9%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B8CA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93.6%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107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92.0%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7C1E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92.8%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B3D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92.6%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927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94.2%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3BD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B789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89.7%</w:t>
            </w:r>
          </w:p>
        </w:tc>
      </w:tr>
      <w:tr w:rsidR="00B468AC" w:rsidRPr="000F7705" w14:paraId="018C186B" w14:textId="77777777" w:rsidTr="00A5663F">
        <w:trPr>
          <w:trHeight w:val="284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49AE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6F09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6656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E8A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319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CB5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50.6%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C61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53.4%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2038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52.3%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267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95.2%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581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95.1%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B133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42.1%</w:t>
            </w:r>
          </w:p>
        </w:tc>
      </w:tr>
      <w:tr w:rsidR="00B468AC" w:rsidRPr="000F7705" w14:paraId="3B5FD3EC" w14:textId="77777777" w:rsidTr="00A5663F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17DA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3A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BBF8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F1BC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8E9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88.4%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1F4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4AF1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E36C9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9BA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83F5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E49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1AE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92.9%</w:t>
            </w:r>
          </w:p>
        </w:tc>
      </w:tr>
      <w:tr w:rsidR="00B468AC" w:rsidRPr="000F7705" w14:paraId="5B0073B4" w14:textId="77777777" w:rsidTr="00A5663F">
        <w:trPr>
          <w:trHeight w:val="284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E8B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8D9D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AC88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B7D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2.5%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BC8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96.3%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23F7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40.8%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898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43.4%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DDD0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42.8%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3F5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BD8B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358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31.4%</w:t>
            </w:r>
          </w:p>
        </w:tc>
      </w:tr>
      <w:tr w:rsidR="00B468AC" w:rsidRPr="000F7705" w14:paraId="536B8C00" w14:textId="77777777" w:rsidTr="00A5663F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9D6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5A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55AC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939B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37F5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0.4%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92B3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93.2%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759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69.0%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DEB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69.3%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3F6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68.2%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81F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94.5%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F79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93.5%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D53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57.2%</w:t>
            </w:r>
          </w:p>
        </w:tc>
      </w:tr>
      <w:tr w:rsidR="00B468AC" w:rsidRPr="000F7705" w14:paraId="7FF96243" w14:textId="77777777" w:rsidTr="00A5663F">
        <w:trPr>
          <w:trHeight w:val="284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C0D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57C4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DB9D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CE9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10.6%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3EF7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9C4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83.6%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D0F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ABCB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7CF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106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7AD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77.6%</w:t>
            </w:r>
          </w:p>
        </w:tc>
      </w:tr>
      <w:tr w:rsidR="00B468AC" w:rsidRPr="000F7705" w14:paraId="7F136C45" w14:textId="77777777" w:rsidTr="00A5663F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A95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7A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31F8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5B5E2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812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0.1%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B90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94.5%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EF1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58.2%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569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59.7%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B8D3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58.9%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4679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93.6%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0CB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92.6%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25D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48.6%</w:t>
            </w:r>
          </w:p>
        </w:tc>
      </w:tr>
      <w:tr w:rsidR="00B468AC" w:rsidRPr="000F7705" w14:paraId="7F9A0690" w14:textId="77777777" w:rsidTr="00A5663F">
        <w:trPr>
          <w:trHeight w:val="284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7CF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F65B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BB81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F1169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48.0%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E94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0ED2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89.8%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0ED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90.6%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5022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90.1%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C7F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15A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218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84.9%</w:t>
            </w:r>
          </w:p>
        </w:tc>
      </w:tr>
      <w:tr w:rsidR="00B468AC" w:rsidRPr="000F7705" w14:paraId="2BFD2DD6" w14:textId="77777777" w:rsidTr="00A5663F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AD04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9A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FBE7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(12)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B645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378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13.5%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144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94.9%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BB2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84.2%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46F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87.1%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76E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86.2%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20B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94.7%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C6C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93.1%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0A60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75.1%</w:t>
            </w:r>
          </w:p>
        </w:tc>
      </w:tr>
      <w:tr w:rsidR="00B468AC" w:rsidRPr="000F7705" w14:paraId="1563CA6C" w14:textId="77777777" w:rsidTr="000F7705">
        <w:trPr>
          <w:trHeight w:val="284"/>
        </w:trPr>
        <w:tc>
          <w:tcPr>
            <w:tcW w:w="48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2A6F" w14:textId="77777777" w:rsidR="00B468AC" w:rsidRPr="000F7705" w:rsidRDefault="00B468AC" w:rsidP="003671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coverage over APACHE II scenarios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CA6F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25.2%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0B0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A3C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73.6%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A3A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75.1%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8879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74.5%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3EC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5AA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93.2%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2E0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66.6%</w:t>
            </w:r>
          </w:p>
        </w:tc>
      </w:tr>
    </w:tbl>
    <w:p w14:paraId="305943F6" w14:textId="77777777" w:rsidR="00B468AC" w:rsidRPr="000F7705" w:rsidRDefault="00B468AC" w:rsidP="00B468AC">
      <w:pPr>
        <w:widowControl w:val="0"/>
        <w:spacing w:after="0" w:line="240" w:lineRule="auto"/>
        <w:ind w:left="163" w:hanging="163"/>
        <w:rPr>
          <w:rFonts w:ascii="Arial" w:eastAsia="Segoe UI Symbol" w:hAnsi="Arial" w:cs="Arial"/>
          <w:sz w:val="20"/>
          <w:szCs w:val="20"/>
        </w:rPr>
      </w:pPr>
    </w:p>
    <w:p w14:paraId="6B910D14" w14:textId="77777777" w:rsidR="00B468AC" w:rsidRPr="000F7705" w:rsidRDefault="00B468AC" w:rsidP="00B468AC">
      <w:pPr>
        <w:widowControl w:val="0"/>
        <w:spacing w:after="0" w:line="240" w:lineRule="auto"/>
        <w:ind w:left="55" w:hanging="55"/>
        <w:rPr>
          <w:rFonts w:ascii="Arial" w:hAnsi="Arial" w:cs="Arial"/>
          <w:sz w:val="20"/>
          <w:szCs w:val="20"/>
        </w:rPr>
        <w:sectPr w:rsidR="00B468AC" w:rsidRPr="000F7705" w:rsidSect="004501D5">
          <w:pgSz w:w="15840" w:h="12240" w:orient="landscape"/>
          <w:pgMar w:top="1440" w:right="1440" w:bottom="1440" w:left="1440" w:header="708" w:footer="708" w:gutter="0"/>
          <w:cols w:space="708"/>
          <w:docGrid w:linePitch="299"/>
        </w:sectPr>
      </w:pPr>
    </w:p>
    <w:tbl>
      <w:tblPr>
        <w:tblStyle w:val="TableNormal1"/>
        <w:tblW w:w="11906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"/>
        <w:gridCol w:w="2153"/>
        <w:gridCol w:w="2151"/>
        <w:gridCol w:w="876"/>
        <w:gridCol w:w="876"/>
        <w:gridCol w:w="875"/>
        <w:gridCol w:w="875"/>
        <w:gridCol w:w="876"/>
        <w:gridCol w:w="876"/>
        <w:gridCol w:w="875"/>
        <w:gridCol w:w="876"/>
      </w:tblGrid>
      <w:tr w:rsidR="00B468AC" w:rsidRPr="000F7705" w14:paraId="59A11697" w14:textId="77777777" w:rsidTr="000F7705">
        <w:trPr>
          <w:trHeight w:hRule="exact" w:val="417"/>
        </w:trPr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BADE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lastRenderedPageBreak/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A135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APACHE IV score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1777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SAPS II score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20653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6CAD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1078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3D3D0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B517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2E17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DF010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6921" w14:textId="77777777" w:rsidR="00B468AC" w:rsidRPr="000F7705" w:rsidRDefault="00B468AC" w:rsidP="003671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AC" w:rsidRPr="000F7705" w14:paraId="0C241C29" w14:textId="77777777" w:rsidTr="00A5663F">
        <w:trPr>
          <w:trHeight w:hRule="exact" w:val="407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859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1B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8017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7DFD4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8A0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92.1%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095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93.6%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1C79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94.5%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F36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807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94.8%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80F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94.1%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5AC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58.9%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FA6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93.4%</w:t>
            </w:r>
          </w:p>
        </w:tc>
      </w:tr>
      <w:tr w:rsidR="00B468AC" w:rsidRPr="000F7705" w14:paraId="751D0DF9" w14:textId="77777777" w:rsidTr="00A5663F">
        <w:trPr>
          <w:trHeight w:hRule="exact" w:val="397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032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2B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8441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non-teaching (10)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8036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teaching (10)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863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73.6%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A35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8967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86.7%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0A30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87.3%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C0B6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87.2%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5DC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DFEB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80.4%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0FD9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75.4%</w:t>
            </w:r>
          </w:p>
        </w:tc>
      </w:tr>
      <w:tr w:rsidR="00B468AC" w:rsidRPr="000F7705" w14:paraId="4E764591" w14:textId="77777777" w:rsidTr="00A5663F">
        <w:trPr>
          <w:trHeight w:hRule="exact" w:val="407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094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3B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0ADE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95ED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C968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94.4%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061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B2D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94.4%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E62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94.8%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81D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A0CB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93.9%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DE6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63.0%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4DB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93.9%</w:t>
            </w:r>
          </w:p>
        </w:tc>
      </w:tr>
      <w:tr w:rsidR="00B468AC" w:rsidRPr="000F7705" w14:paraId="25377FCE" w14:textId="77777777" w:rsidTr="00A5663F">
        <w:trPr>
          <w:trHeight w:hRule="exact" w:val="397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7B9D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4B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8795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 1500 adm. (6)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0DE3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&gt;1500 adm. (14)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77E2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76.5%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9F7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96.3%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6C2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83.9%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D86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B9A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84.8%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C5E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373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79.9%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221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70.2%</w:t>
            </w:r>
          </w:p>
        </w:tc>
      </w:tr>
      <w:tr w:rsidR="00B468AC" w:rsidRPr="000F7705" w14:paraId="793CC9FC" w14:textId="77777777" w:rsidTr="00A5663F">
        <w:trPr>
          <w:trHeight w:hRule="exact" w:val="407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EB9F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5B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C7B7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A9DE9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B2B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68.7%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ADE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93.2%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C44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88.6%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46A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90.1%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9E3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89.5%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F35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95.4%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A1F5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64.6%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FAD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76.7%</w:t>
            </w:r>
          </w:p>
        </w:tc>
      </w:tr>
      <w:tr w:rsidR="00B468AC" w:rsidRPr="000F7705" w14:paraId="3F04C865" w14:textId="77777777" w:rsidTr="00A5663F">
        <w:trPr>
          <w:trHeight w:hRule="exact" w:val="397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D33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6B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AD65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&lt;25% (14)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B430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pred. mort. &gt;25% (6)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A6DA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86.0%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8B5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93D0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FB8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C368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5DC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12C9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67.3%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5AF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90.9%</w:t>
            </w:r>
          </w:p>
        </w:tc>
      </w:tr>
      <w:tr w:rsidR="00B468AC" w:rsidRPr="000F7705" w14:paraId="498180D4" w14:textId="77777777" w:rsidTr="00A5663F">
        <w:trPr>
          <w:trHeight w:hRule="exact" w:val="407"/>
        </w:trPr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A9C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7B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5FE06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1800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A07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70.7%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3D8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94.5%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725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88.7%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245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89.3%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ED4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88.9%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B3C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95.1%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9E3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73.2%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CF0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76.9%</w:t>
            </w:r>
          </w:p>
        </w:tc>
      </w:tr>
      <w:tr w:rsidR="00B468AC" w:rsidRPr="000F7705" w14:paraId="66CF83CF" w14:textId="77777777" w:rsidTr="00A5663F">
        <w:trPr>
          <w:trHeight w:hRule="exact" w:val="397"/>
        </w:trPr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1D9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8B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AB6D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&lt;70% med. adm. (14)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46DAF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&gt;70% med. adm. (6)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09A6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90.4%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4F38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8E85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6390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CEA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6B1A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93.8%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B966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62.0%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547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91.5%</w:t>
            </w:r>
          </w:p>
        </w:tc>
      </w:tr>
      <w:tr w:rsidR="00B468AC" w:rsidRPr="000F7705" w14:paraId="45DC33D1" w14:textId="77777777" w:rsidTr="00A5663F">
        <w:trPr>
          <w:trHeight w:hRule="exact" w:val="407"/>
        </w:trPr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99B4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9B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571BF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(12)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80AE" w14:textId="77777777" w:rsidR="00B468AC" w:rsidRPr="000F7705" w:rsidRDefault="00B468AC" w:rsidP="0036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random (8)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7A5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79.9%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2681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94.9%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FBB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92.5%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F8BF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92.7%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C79A0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92.6%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B87A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C19D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66.8%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8B1DC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83.5%</w:t>
            </w:r>
          </w:p>
        </w:tc>
      </w:tr>
      <w:tr w:rsidR="00B468AC" w:rsidRPr="000F7705" w14:paraId="667A10D4" w14:textId="77777777" w:rsidTr="000F7705">
        <w:trPr>
          <w:trHeight w:hRule="exact" w:val="407"/>
        </w:trPr>
        <w:tc>
          <w:tcPr>
            <w:tcW w:w="489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CAC2C" w14:textId="77777777" w:rsidR="00B468AC" w:rsidRPr="000F7705" w:rsidRDefault="00B468AC" w:rsidP="003671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Mean coverage over SAPS II scenarios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E64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81.4%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F366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94.3%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4797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90.7%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522A2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91.3%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4BDD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91.2%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1CE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94.0%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817B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68.5%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16C3" w14:textId="77777777" w:rsidR="00B468AC" w:rsidRPr="000F7705" w:rsidRDefault="00B468AC" w:rsidP="0036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lang w:val="nl-NL"/>
              </w:rPr>
              <w:t>83.6%</w:t>
            </w:r>
          </w:p>
        </w:tc>
      </w:tr>
    </w:tbl>
    <w:p w14:paraId="73E4749F" w14:textId="77777777" w:rsidR="00B468AC" w:rsidRPr="004A641C" w:rsidRDefault="00B468AC" w:rsidP="00B468AC">
      <w:pPr>
        <w:spacing w:after="0" w:line="240" w:lineRule="auto"/>
        <w:rPr>
          <w:rFonts w:ascii="Segoe UI Symbol" w:hAnsi="Segoe UI Symbol"/>
          <w:sz w:val="20"/>
          <w:szCs w:val="20"/>
        </w:rPr>
      </w:pPr>
    </w:p>
    <w:p w14:paraId="1E5AEF46" w14:textId="77777777" w:rsidR="00B468AC" w:rsidRPr="004A641C" w:rsidRDefault="00B468AC" w:rsidP="000F7705">
      <w:pPr>
        <w:pStyle w:val="NoSpacing"/>
        <w:spacing w:line="360" w:lineRule="auto"/>
        <w:ind w:left="284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hAnsi="Segoe UI Symbol"/>
          <w:sz w:val="20"/>
          <w:szCs w:val="20"/>
          <w:u w:val="single"/>
        </w:rPr>
        <w:t>Legend</w:t>
      </w:r>
      <w:r w:rsidRPr="004A641C">
        <w:rPr>
          <w:rFonts w:ascii="Segoe UI Symbol" w:hAnsi="Segoe UI Symbol"/>
          <w:sz w:val="20"/>
          <w:szCs w:val="20"/>
        </w:rPr>
        <w:t xml:space="preserve">: </w:t>
      </w:r>
      <w:proofErr w:type="spellStart"/>
      <w:r w:rsidRPr="004A641C">
        <w:rPr>
          <w:rFonts w:ascii="Segoe UI Symbol" w:hAnsi="Segoe UI Symbol"/>
          <w:sz w:val="20"/>
          <w:szCs w:val="20"/>
        </w:rPr>
        <w:t>adm.</w:t>
      </w:r>
      <w:proofErr w:type="spellEnd"/>
      <w:r w:rsidRPr="004A641C">
        <w:rPr>
          <w:rFonts w:ascii="Segoe UI Symbol" w:hAnsi="Segoe UI Symbol"/>
          <w:sz w:val="20"/>
          <w:szCs w:val="20"/>
        </w:rPr>
        <w:t>, admissions; APACHE, acute physiology and chronic health evaluation; med., medical; pred. mort., predicted in-hospital mortality; SAPS, simplified acute physiology score.</w:t>
      </w:r>
    </w:p>
    <w:p w14:paraId="219A1F7B" w14:textId="77777777" w:rsidR="00B468AC" w:rsidRPr="004A641C" w:rsidRDefault="00B468AC" w:rsidP="000F7705">
      <w:pPr>
        <w:pStyle w:val="NoSpacing"/>
        <w:spacing w:line="360" w:lineRule="auto"/>
        <w:ind w:left="284"/>
        <w:rPr>
          <w:rFonts w:ascii="Segoe UI Symbol" w:hAnsi="Segoe UI Symbol"/>
          <w:sz w:val="20"/>
          <w:szCs w:val="20"/>
        </w:rPr>
      </w:pPr>
      <w:proofErr w:type="spellStart"/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a</w:t>
      </w:r>
      <w:proofErr w:type="spellEnd"/>
      <w:r w:rsidRPr="004A641C">
        <w:rPr>
          <w:rFonts w:ascii="Segoe UI Symbol" w:hAnsi="Segoe UI Symbol"/>
          <w:sz w:val="20"/>
          <w:szCs w:val="20"/>
        </w:rPr>
        <w:t xml:space="preserve"> </w:t>
      </w:r>
      <w:proofErr w:type="gramStart"/>
      <w:r w:rsidRPr="004A641C">
        <w:rPr>
          <w:rFonts w:ascii="Segoe UI Symbol" w:hAnsi="Segoe UI Symbol"/>
          <w:sz w:val="20"/>
          <w:szCs w:val="20"/>
        </w:rPr>
        <w:t>For</w:t>
      </w:r>
      <w:proofErr w:type="gramEnd"/>
      <w:r w:rsidRPr="004A641C">
        <w:rPr>
          <w:rFonts w:ascii="Segoe UI Symbol" w:hAnsi="Segoe UI Symbol"/>
          <w:sz w:val="20"/>
          <w:szCs w:val="20"/>
        </w:rPr>
        <w:t xml:space="preserve"> a description of methods, see main text (“Methods to adjust for confounding by disease severity”).</w:t>
      </w:r>
    </w:p>
    <w:p w14:paraId="30B67D5D" w14:textId="77777777" w:rsidR="00B468AC" w:rsidRPr="004A641C" w:rsidRDefault="00B468AC" w:rsidP="000F7705">
      <w:pPr>
        <w:pStyle w:val="NoSpacing"/>
        <w:spacing w:line="360" w:lineRule="auto"/>
        <w:ind w:left="284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b</w:t>
      </w:r>
      <w:r w:rsidRPr="004A641C">
        <w:rPr>
          <w:rFonts w:ascii="Segoe UI Symbol" w:hAnsi="Segoe UI Symbol"/>
          <w:sz w:val="20"/>
          <w:szCs w:val="20"/>
        </w:rPr>
        <w:t xml:space="preserve"> APACHE II / SAPS II scores were standardized across all centers that had the respective score available.</w:t>
      </w:r>
    </w:p>
    <w:p w14:paraId="63F41DCB" w14:textId="77777777" w:rsidR="00B468AC" w:rsidRPr="004A641C" w:rsidRDefault="00B468AC" w:rsidP="000F7705">
      <w:pPr>
        <w:pStyle w:val="NoSpacing"/>
        <w:spacing w:line="360" w:lineRule="auto"/>
        <w:ind w:left="284"/>
        <w:rPr>
          <w:rFonts w:ascii="Segoe UI Symbol" w:hAnsi="Segoe UI Symbol"/>
          <w:sz w:val="20"/>
          <w:szCs w:val="20"/>
          <w:u w:val="single"/>
        </w:rPr>
      </w:pPr>
      <w:r w:rsidRPr="004A641C">
        <w:rPr>
          <w:rFonts w:ascii="Segoe UI Symbol" w:hAnsi="Segoe UI Symbol"/>
          <w:i/>
          <w:iCs/>
          <w:sz w:val="20"/>
          <w:szCs w:val="20"/>
          <w:vertAlign w:val="superscript"/>
        </w:rPr>
        <w:t>c</w:t>
      </w:r>
      <w:r w:rsidRPr="004A641C">
        <w:rPr>
          <w:rFonts w:ascii="Segoe UI Symbol" w:hAnsi="Segoe UI Symbol"/>
          <w:sz w:val="20"/>
          <w:szCs w:val="20"/>
        </w:rPr>
        <w:t xml:space="preserve"> APACHE II / SAPS II scores were standardized within each center that had the respective score available.</w:t>
      </w:r>
    </w:p>
    <w:tbl>
      <w:tblPr>
        <w:tblStyle w:val="TableNormal1"/>
        <w:tblW w:w="4980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B468AC" w:rsidRPr="004A641C" w14:paraId="6C6622BD" w14:textId="77777777" w:rsidTr="0036715B">
        <w:trPr>
          <w:trHeight w:val="262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7D9C0" w14:textId="77777777" w:rsidR="00B468AC" w:rsidRPr="004A641C" w:rsidRDefault="00B468AC" w:rsidP="000F7705">
            <w:pPr>
              <w:spacing w:after="0" w:line="240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A641C">
              <w:rPr>
                <w:rFonts w:ascii="Segoe UI Symbol" w:eastAsia="Segoe UI Symbol" w:hAnsi="Segoe UI Symbol" w:cs="Segoe UI Symbol"/>
                <w:sz w:val="20"/>
                <w:szCs w:val="20"/>
                <w:u w:val="single"/>
                <w:lang w:val="nl-NL"/>
              </w:rPr>
              <w:t>Colour code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6EE5" w14:textId="77777777" w:rsidR="00B468AC" w:rsidRPr="000F7705" w:rsidRDefault="00B468AC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0% - 25%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0205B" w14:textId="77777777" w:rsidR="00B468AC" w:rsidRPr="000F7705" w:rsidRDefault="00B468AC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25% - 50%</w:t>
            </w:r>
          </w:p>
        </w:tc>
      </w:tr>
      <w:tr w:rsidR="00B468AC" w:rsidRPr="004A641C" w14:paraId="5A140F67" w14:textId="77777777" w:rsidTr="0036715B">
        <w:trPr>
          <w:trHeight w:val="252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4FAB24" w14:textId="77777777" w:rsidR="00B468AC" w:rsidRPr="004A641C" w:rsidRDefault="00B468AC" w:rsidP="000F7705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D7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4EEE" w14:textId="77777777" w:rsidR="00B468AC" w:rsidRPr="000F7705" w:rsidRDefault="00B468AC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50% - 75%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EBE8" w14:textId="77777777" w:rsidR="00B468AC" w:rsidRPr="000F7705" w:rsidRDefault="00B468AC" w:rsidP="000F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75% - 100%</w:t>
            </w:r>
          </w:p>
        </w:tc>
      </w:tr>
    </w:tbl>
    <w:p w14:paraId="4E9FC061" w14:textId="77777777" w:rsidR="00CA38FC" w:rsidRPr="004A641C" w:rsidRDefault="00CA38FC" w:rsidP="00A134E2">
      <w:pPr>
        <w:spacing w:after="0" w:line="480" w:lineRule="auto"/>
        <w:rPr>
          <w:rFonts w:ascii="Segoe UI Symbol" w:hAnsi="Segoe UI Symbol"/>
          <w:sz w:val="20"/>
          <w:szCs w:val="20"/>
        </w:rPr>
      </w:pPr>
    </w:p>
    <w:p w14:paraId="5FD05CA3" w14:textId="27F57A33" w:rsidR="004501D5" w:rsidRPr="004A641C" w:rsidRDefault="004501D5" w:rsidP="000F7705">
      <w:pPr>
        <w:spacing w:after="0" w:line="360" w:lineRule="auto"/>
        <w:ind w:left="284" w:right="6627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able 5.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Treatment effects (odds ratio [OR]), when all data were analyzed using confounding adjustment based on the different disease severity scores and predicted in-hospital mortality </w:t>
      </w:r>
    </w:p>
    <w:tbl>
      <w:tblPr>
        <w:tblStyle w:val="TableNormal1"/>
        <w:tblW w:w="6188" w:type="dxa"/>
        <w:tblInd w:w="2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0"/>
        <w:gridCol w:w="885"/>
        <w:gridCol w:w="1203"/>
      </w:tblGrid>
      <w:tr w:rsidR="004501D5" w:rsidRPr="004A641C" w14:paraId="3CAF99E6" w14:textId="77777777" w:rsidTr="000F7705">
        <w:trPr>
          <w:trHeight w:val="737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EBE84" w14:textId="77777777" w:rsidR="004501D5" w:rsidRPr="000F7705" w:rsidRDefault="004501D5" w:rsidP="005026BF">
            <w:pPr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 xml:space="preserve">Disease severity measure 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FBDF9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β</w:t>
            </w: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vertAlign w:val="subscript"/>
              </w:rPr>
              <w:t>treatment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C223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</w:rPr>
              <w:t>OR</w:t>
            </w:r>
            <w:r w:rsidRPr="000F7705">
              <w:rPr>
                <w:rFonts w:ascii="Arial" w:eastAsia="Segoe UI Symbol" w:hAnsi="Arial" w:cs="Arial"/>
                <w:b/>
                <w:bCs/>
                <w:sz w:val="20"/>
                <w:szCs w:val="20"/>
                <w:vertAlign w:val="subscript"/>
              </w:rPr>
              <w:t>treatment</w:t>
            </w:r>
            <w:proofErr w:type="spellEnd"/>
          </w:p>
        </w:tc>
      </w:tr>
      <w:tr w:rsidR="004501D5" w:rsidRPr="004A641C" w14:paraId="41F488CA" w14:textId="77777777" w:rsidTr="000F7705">
        <w:trPr>
          <w:trHeight w:val="312"/>
        </w:trPr>
        <w:tc>
          <w:tcPr>
            <w:tcW w:w="41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FD696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no confounding adjustment </w:t>
            </w:r>
            <w:r w:rsidRPr="000F7705">
              <w:rPr>
                <w:rFonts w:ascii="Arial" w:eastAsia="Segoe UI Symbol" w:hAnsi="Arial" w:cs="Arial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7FDA6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0.396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ABC3E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1.49</w:t>
            </w:r>
          </w:p>
        </w:tc>
      </w:tr>
      <w:tr w:rsidR="004501D5" w:rsidRPr="004A641C" w14:paraId="350BB7EB" w14:textId="77777777" w:rsidTr="000F7705">
        <w:trPr>
          <w:trHeight w:val="312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0874C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 xml:space="preserve">APACHE IV score (scenario 0) </w:t>
            </w:r>
            <w:r w:rsidRPr="000F7705">
              <w:rPr>
                <w:rFonts w:ascii="Arial" w:eastAsia="Segoe UI Symbol" w:hAnsi="Arial" w:cs="Arial"/>
                <w:i/>
                <w:iCs/>
                <w:sz w:val="20"/>
                <w:szCs w:val="20"/>
                <w:vertAlign w:val="superscript"/>
                <w:lang w:val="nl-NL"/>
              </w:rPr>
              <w:t>b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34740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0.073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13785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1.08</w:t>
            </w:r>
          </w:p>
        </w:tc>
      </w:tr>
      <w:tr w:rsidR="004501D5" w:rsidRPr="004A641C" w14:paraId="01358902" w14:textId="77777777" w:rsidTr="000F7705">
        <w:trPr>
          <w:trHeight w:val="312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B7A9B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APACHE II score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B43AE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0.135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04CF7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1.14</w:t>
            </w:r>
          </w:p>
        </w:tc>
      </w:tr>
      <w:tr w:rsidR="004501D5" w:rsidRPr="004A641C" w14:paraId="234B671F" w14:textId="77777777" w:rsidTr="000F7705">
        <w:trPr>
          <w:trHeight w:val="312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5CD11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SAPS II score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8FFFD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0.100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40AF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1.11</w:t>
            </w:r>
          </w:p>
        </w:tc>
      </w:tr>
      <w:tr w:rsidR="004501D5" w:rsidRPr="004A641C" w14:paraId="20E05049" w14:textId="77777777" w:rsidTr="000F7705">
        <w:trPr>
          <w:trHeight w:val="312"/>
        </w:trPr>
        <w:tc>
          <w:tcPr>
            <w:tcW w:w="41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FD92B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 xml:space="preserve">APACHE IV predicted in-hospital mortality </w:t>
            </w:r>
            <w:r w:rsidRPr="000F7705">
              <w:rPr>
                <w:rFonts w:ascii="Arial" w:eastAsia="Segoe UI Symbol" w:hAnsi="Arial" w:cs="Arial"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B1658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0.001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511FF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1.00</w:t>
            </w:r>
          </w:p>
        </w:tc>
      </w:tr>
      <w:tr w:rsidR="004501D5" w:rsidRPr="004A641C" w14:paraId="0C15BEEC" w14:textId="77777777" w:rsidTr="000F7705">
        <w:trPr>
          <w:trHeight w:val="312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C288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APACHE II predicted in-hospital mortality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7B639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0.122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661E1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1.13</w:t>
            </w:r>
          </w:p>
        </w:tc>
      </w:tr>
      <w:tr w:rsidR="004501D5" w:rsidRPr="004A641C" w14:paraId="576FAD68" w14:textId="77777777" w:rsidTr="000F7705">
        <w:trPr>
          <w:trHeight w:val="312"/>
        </w:trPr>
        <w:tc>
          <w:tcPr>
            <w:tcW w:w="4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A1078" w14:textId="77777777" w:rsidR="004501D5" w:rsidRPr="000F7705" w:rsidRDefault="004501D5" w:rsidP="005026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SAPS II predicted in-hospital mortality</w:t>
            </w:r>
          </w:p>
        </w:tc>
        <w:tc>
          <w:tcPr>
            <w:tcW w:w="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68FED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</w:rPr>
              <w:t>0.103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C6A1D" w14:textId="77777777" w:rsidR="004501D5" w:rsidRPr="000F7705" w:rsidRDefault="004501D5" w:rsidP="005026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05">
              <w:rPr>
                <w:rFonts w:ascii="Arial" w:eastAsia="Segoe UI Symbol" w:hAnsi="Arial" w:cs="Arial"/>
                <w:sz w:val="20"/>
                <w:szCs w:val="20"/>
                <w:lang w:val="nl-NL"/>
              </w:rPr>
              <w:t>1.11</w:t>
            </w:r>
          </w:p>
        </w:tc>
      </w:tr>
    </w:tbl>
    <w:p w14:paraId="400CDE18" w14:textId="77777777" w:rsidR="000F7705" w:rsidRDefault="000F7705" w:rsidP="000F7705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  <w:u w:val="single"/>
        </w:rPr>
      </w:pPr>
    </w:p>
    <w:p w14:paraId="58BF946A" w14:textId="77777777" w:rsidR="004501D5" w:rsidRPr="004A641C" w:rsidRDefault="004501D5" w:rsidP="000F7705">
      <w:pPr>
        <w:spacing w:after="0" w:line="360" w:lineRule="auto"/>
        <w:ind w:left="284" w:right="6627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Legend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APACHE, Acute Physiology and Chronic Health Evaluation; OR, odds ratio; SAPS, Simplified Acute Physiology Scores</w:t>
      </w:r>
    </w:p>
    <w:p w14:paraId="48AD9E9E" w14:textId="77777777" w:rsidR="004501D5" w:rsidRPr="004A641C" w:rsidRDefault="004501D5" w:rsidP="000F7705">
      <w:pPr>
        <w:spacing w:after="0" w:line="360" w:lineRule="auto"/>
        <w:ind w:left="284" w:right="6627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Conform expected; treatment was simulated such that the unadjusted treatment effect was OR 1.5</w:t>
      </w:r>
    </w:p>
    <w:p w14:paraId="47AAF3C2" w14:textId="77777777" w:rsidR="004501D5" w:rsidRPr="004A641C" w:rsidRDefault="004501D5" w:rsidP="000F7705">
      <w:pPr>
        <w:spacing w:after="0" w:line="360" w:lineRule="auto"/>
        <w:ind w:left="284" w:right="6627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b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Relative bias in the main article was measured with this scenario as a reference</w:t>
      </w:r>
    </w:p>
    <w:p w14:paraId="271CB9AE" w14:textId="336844BE" w:rsidR="004501D5" w:rsidRPr="004A641C" w:rsidRDefault="004501D5" w:rsidP="00816D74">
      <w:pPr>
        <w:pStyle w:val="NoSpacing"/>
        <w:spacing w:line="360" w:lineRule="auto"/>
        <w:ind w:left="284" w:right="6627"/>
        <w:rPr>
          <w:rFonts w:ascii="Segoe UI Symbol" w:eastAsia="Segoe UI Symbol" w:hAnsi="Segoe UI Symbol" w:cs="Segoe UI Symbol"/>
          <w:sz w:val="20"/>
          <w:szCs w:val="20"/>
          <w:u w:val="single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c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</w:rPr>
        <w:t xml:space="preserve"> 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Conform expected; treatment was simulated such that – corrected for APACHE IV predicted in-hospital mortality – the adjusted treatment effect was OR 1.0</w:t>
      </w: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br w:type="page"/>
      </w:r>
    </w:p>
    <w:p w14:paraId="00BB9058" w14:textId="198EA02C" w:rsidR="00CA38FC" w:rsidRPr="004A641C" w:rsidRDefault="00B77064" w:rsidP="000F7705">
      <w:pPr>
        <w:spacing w:after="0" w:line="24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9039A3">
        <w:rPr>
          <w:rFonts w:ascii="Segoe UI Symbol" w:eastAsia="Segoe UI Symbol" w:hAnsi="Segoe UI Symbol" w:cs="Segoe UI Symbol"/>
          <w:sz w:val="20"/>
          <w:szCs w:val="20"/>
          <w:u w:val="single"/>
        </w:rPr>
        <w:lastRenderedPageBreak/>
        <w:t xml:space="preserve">Supplementary </w:t>
      </w:r>
      <w:r w:rsidR="00816F51">
        <w:rPr>
          <w:rFonts w:ascii="Segoe UI Symbol" w:eastAsia="Segoe UI Symbol" w:hAnsi="Segoe UI Symbol" w:cs="Segoe UI Symbol"/>
          <w:sz w:val="20"/>
          <w:szCs w:val="20"/>
          <w:u w:val="single"/>
        </w:rPr>
        <w:t>T</w:t>
      </w:r>
      <w:bookmarkStart w:id="0" w:name="_GoBack"/>
      <w:bookmarkEnd w:id="0"/>
      <w:r w:rsidRPr="009039A3">
        <w:rPr>
          <w:rFonts w:ascii="Segoe UI Symbol" w:eastAsia="Segoe UI Symbol" w:hAnsi="Segoe UI Symbol" w:cs="Segoe UI Symbol"/>
          <w:sz w:val="20"/>
          <w:szCs w:val="20"/>
          <w:u w:val="single"/>
        </w:rPr>
        <w:t xml:space="preserve">able </w:t>
      </w:r>
      <w:r w:rsidR="004501D5" w:rsidRPr="009039A3">
        <w:rPr>
          <w:rFonts w:ascii="Segoe UI Symbol" w:eastAsia="Segoe UI Symbol" w:hAnsi="Segoe UI Symbol" w:cs="Segoe UI Symbol"/>
          <w:sz w:val="20"/>
          <w:szCs w:val="20"/>
          <w:u w:val="single"/>
        </w:rPr>
        <w:t>6</w:t>
      </w:r>
      <w:r w:rsidR="00D845CD" w:rsidRPr="004A641C">
        <w:rPr>
          <w:rFonts w:ascii="Segoe UI Symbol" w:eastAsia="Segoe UI Symbol" w:hAnsi="Segoe UI Symbol" w:cs="Segoe UI Symbol"/>
          <w:sz w:val="20"/>
          <w:szCs w:val="20"/>
        </w:rPr>
        <w:t xml:space="preserve">. Treatment effects for in-hospital mortality expressed as odds ratio’s with 95% percentile confidence </w:t>
      </w:r>
      <w:proofErr w:type="spellStart"/>
      <w:proofErr w:type="gramStart"/>
      <w:r w:rsidR="00D845CD" w:rsidRPr="004A641C">
        <w:rPr>
          <w:rFonts w:ascii="Segoe UI Symbol" w:eastAsia="Segoe UI Symbol" w:hAnsi="Segoe UI Symbol" w:cs="Segoe UI Symbol"/>
          <w:sz w:val="20"/>
          <w:szCs w:val="20"/>
        </w:rPr>
        <w:t>intervals</w:t>
      </w:r>
      <w:r w:rsidR="00D845CD"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a,b</w:t>
      </w:r>
      <w:proofErr w:type="spellEnd"/>
      <w:proofErr w:type="gramEnd"/>
      <w:r w:rsidR="00D845CD" w:rsidRPr="004A641C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</w:p>
    <w:tbl>
      <w:tblPr>
        <w:tblStyle w:val="TableNormal1"/>
        <w:tblW w:w="11858" w:type="dxa"/>
        <w:tblInd w:w="2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254"/>
        <w:gridCol w:w="1253"/>
        <w:gridCol w:w="1113"/>
        <w:gridCol w:w="1114"/>
        <w:gridCol w:w="1113"/>
        <w:gridCol w:w="1114"/>
        <w:gridCol w:w="1113"/>
        <w:gridCol w:w="1114"/>
        <w:gridCol w:w="1113"/>
        <w:gridCol w:w="1114"/>
      </w:tblGrid>
      <w:tr w:rsidR="00CA38FC" w:rsidRPr="00816D74" w14:paraId="7B992B96" w14:textId="77777777" w:rsidTr="00A5663F">
        <w:trPr>
          <w:cantSplit/>
          <w:trHeight w:val="2635"/>
        </w:trPr>
        <w:tc>
          <w:tcPr>
            <w:tcW w:w="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69D3159" w14:textId="77777777" w:rsidR="00CA38FC" w:rsidRPr="00816D74" w:rsidRDefault="00CA38F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77AF1B5" w14:textId="77777777" w:rsidR="00CA38FC" w:rsidRPr="00816D74" w:rsidRDefault="00CA38F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29791E8" w14:textId="77777777" w:rsidR="00CA38FC" w:rsidRPr="00816D74" w:rsidRDefault="00CA38FC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3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BC5535D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1. Naive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C1BE7B4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2. Restriction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594EB30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3. Two-stage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D0F6196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 xml:space="preserve">4. Standardization (groups) </w:t>
            </w:r>
            <w:r w:rsidRPr="00816D74">
              <w:rPr>
                <w:rFonts w:ascii="Arial" w:eastAsia="Segoe UI Symbol" w:hAnsi="Arial" w:cs="Arial"/>
                <w:b/>
                <w:bCs/>
                <w:i/>
                <w:iCs/>
                <w:sz w:val="20"/>
                <w:szCs w:val="16"/>
                <w:vertAlign w:val="superscript"/>
                <w:lang w:val="nl-NL"/>
              </w:rPr>
              <w:t>c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21F8677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5. Standardization (centers)</w:t>
            </w: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vertAlign w:val="superscript"/>
                <w:lang w:val="nl-NL"/>
              </w:rPr>
              <w:t xml:space="preserve"> </w:t>
            </w:r>
            <w:r w:rsidRPr="00816D74">
              <w:rPr>
                <w:rFonts w:ascii="Arial" w:eastAsia="Segoe UI Symbol" w:hAnsi="Arial" w:cs="Arial"/>
                <w:b/>
                <w:bCs/>
                <w:i/>
                <w:iCs/>
                <w:sz w:val="20"/>
                <w:szCs w:val="16"/>
                <w:vertAlign w:val="superscript"/>
                <w:lang w:val="nl-NL"/>
              </w:rPr>
              <w:t>d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E766E4D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6. Multiple imputation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0726F77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7. Regression calibration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12B0CDC" w14:textId="77777777" w:rsidR="00CA38FC" w:rsidRPr="00816D74" w:rsidRDefault="00D845CD" w:rsidP="00816D7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16D74">
              <w:rPr>
                <w:rFonts w:ascii="Arial" w:eastAsia="Segoe UI Symbol" w:hAnsi="Arial" w:cs="Arial"/>
                <w:b/>
                <w:bCs/>
                <w:sz w:val="20"/>
                <w:szCs w:val="16"/>
                <w:lang w:val="nl-NL"/>
              </w:rPr>
              <w:t>8. Propensity score modelling</w:t>
            </w:r>
          </w:p>
        </w:tc>
      </w:tr>
      <w:tr w:rsidR="00CA38FC" w:rsidRPr="000F7705" w14:paraId="2DEE34E8" w14:textId="77777777" w:rsidTr="00A5663F">
        <w:trPr>
          <w:trHeight w:val="397"/>
        </w:trPr>
        <w:tc>
          <w:tcPr>
            <w:tcW w:w="44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074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7339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</w:rPr>
              <w:t>APACHE IV score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4266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</w:rPr>
              <w:t>APACHE II score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A2416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74273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D032D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FC78A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6CC15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FF806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AF970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00FE2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CA38FC" w:rsidRPr="000F7705" w14:paraId="47D117E7" w14:textId="77777777" w:rsidTr="00A5663F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800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1A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C348E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teaching (10)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0547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non-teaching (10)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388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1.12 </w:t>
            </w:r>
          </w:p>
          <w:p w14:paraId="485174A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5DE5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2E5EE8F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(1.02 - 1.15)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B812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5C377F7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(1.03 - 1.15)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1526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1.09</w:t>
            </w:r>
          </w:p>
          <w:p w14:paraId="1162AA9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(1.03 - 1.15)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6F15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03D48C7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(1.04 - 1.15)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C80A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3C7F4F1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A24C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1.06 </w:t>
            </w:r>
          </w:p>
          <w:p w14:paraId="4F32F1E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77A3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32998D5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(1.05 - 1.15)</w:t>
            </w:r>
          </w:p>
        </w:tc>
      </w:tr>
      <w:tr w:rsidR="00CA38FC" w:rsidRPr="000F7705" w14:paraId="1A2E4C62" w14:textId="77777777" w:rsidTr="00A5663F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E11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2A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3572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non-teaching (10)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8424F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teaching (10)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C01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1.22 </w:t>
            </w:r>
          </w:p>
          <w:p w14:paraId="11FB1C9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(1.16 - 1.28)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375B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1.06 </w:t>
            </w:r>
          </w:p>
          <w:p w14:paraId="73489AB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(0.95 -1.19)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359A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557273E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4DC1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5B0BB47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74B3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77AC6A5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8A03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2AA632C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(1.02 -1.14)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6878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40BA4FB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(1.01 - 1.13)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FE04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189B559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(1.08 - 1.18)</w:t>
            </w:r>
          </w:p>
        </w:tc>
      </w:tr>
      <w:tr w:rsidR="00CA38FC" w:rsidRPr="000F7705" w14:paraId="1C891F4D" w14:textId="77777777" w:rsidTr="00A5663F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019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3A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C2F8A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8A7DD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 1500 </w:t>
            </w:r>
            <w:proofErr w:type="spellStart"/>
            <w:proofErr w:type="gram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</w:t>
            </w:r>
            <w:proofErr w:type="gram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6)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C7DF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5919147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(1.04 -1.16)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2173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46B206A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614C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0248D80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4A9C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4541652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336D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59EB47C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E1C6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2E0547B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DAB6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0AC43E9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11F7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3140C31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(1.05 -1.14)</w:t>
            </w:r>
          </w:p>
        </w:tc>
      </w:tr>
      <w:tr w:rsidR="00CA38FC" w:rsidRPr="000F7705" w14:paraId="234EF954" w14:textId="77777777" w:rsidTr="00A5663F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8D8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4A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D96D1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B109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7695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1.19 </w:t>
            </w:r>
          </w:p>
          <w:p w14:paraId="6760AB2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(1.13 - 1.25)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3104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5EE31E3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(0.91 - 1.27)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C3D2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1.14 </w:t>
            </w:r>
          </w:p>
          <w:p w14:paraId="529362C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(1.08 - 1.20)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1430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1.14 </w:t>
            </w:r>
          </w:p>
          <w:p w14:paraId="11B67D5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(1.08 - 1.20)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2C22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1.14 </w:t>
            </w:r>
          </w:p>
          <w:p w14:paraId="1C0E31D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(1.08 - 1.20)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A2A3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2052738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6929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60D2FD4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(1.00 - 1.13)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A824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1.14 </w:t>
            </w:r>
          </w:p>
          <w:p w14:paraId="5A73B0B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(1.09 - 1.19)</w:t>
            </w:r>
          </w:p>
        </w:tc>
      </w:tr>
      <w:tr w:rsidR="00CA38FC" w:rsidRPr="000F7705" w14:paraId="2B694445" w14:textId="77777777" w:rsidTr="00A5663F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FE2B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5A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0A43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&gt;25% (6)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5627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&lt;25% (14)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DD74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1.21 </w:t>
            </w:r>
          </w:p>
          <w:p w14:paraId="4228B91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(1.15 - 1.27)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0F88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505B18B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(1.01 - 1.19)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06E9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1.12 </w:t>
            </w:r>
          </w:p>
          <w:p w14:paraId="442E5FB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(1.06 - 1.18)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B657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1.12 </w:t>
            </w:r>
          </w:p>
          <w:p w14:paraId="301092F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(1.06 - 1.18)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22C6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1.12 </w:t>
            </w:r>
          </w:p>
          <w:p w14:paraId="2DCE20C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(1.06 - 1.18)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BE5A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443536F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9932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60DEB2E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(1.01 -1.12)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143A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1.12 </w:t>
            </w:r>
          </w:p>
          <w:p w14:paraId="2C0DE07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(1.07 - 1.17)</w:t>
            </w:r>
          </w:p>
        </w:tc>
      </w:tr>
      <w:tr w:rsidR="00CA38FC" w:rsidRPr="000F7705" w14:paraId="1F012969" w14:textId="77777777" w:rsidTr="00A5663F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DB6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6A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95A60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&lt;25% (14)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06EB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&gt;25% (6)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F35E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1.17 </w:t>
            </w:r>
          </w:p>
          <w:p w14:paraId="52445C5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(1.11 - 1.23)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6C1D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6996CE8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(1.00 - 1.14)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D520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37C0B99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(1.05 - 1.16)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D015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5D4A445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DC67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4823371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55D3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0AD634D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4F8F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77C0CB3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FE30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1.11 </w:t>
            </w:r>
          </w:p>
          <w:p w14:paraId="3FF46CD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(1.06 - 1.16)</w:t>
            </w:r>
          </w:p>
        </w:tc>
      </w:tr>
      <w:tr w:rsidR="00CA38FC" w:rsidRPr="000F7705" w14:paraId="7CC9B796" w14:textId="77777777" w:rsidTr="00A5663F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E73C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7A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CF3A1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733C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06F2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1.22 </w:t>
            </w:r>
          </w:p>
          <w:p w14:paraId="106436E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(1.16 - 1.28)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A3EA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1.06 </w:t>
            </w:r>
          </w:p>
          <w:p w14:paraId="0B61D87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(0.94 - 1.17)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9502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3745A21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9359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3039896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9A41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4BF9C8F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(1.07 - 1.19)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0BE0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59A6A86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(1.01 - 1.13)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8129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1.06 </w:t>
            </w:r>
          </w:p>
          <w:p w14:paraId="0A0D54F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419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6C1BAD0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(1.08 - 1.18)</w:t>
            </w:r>
          </w:p>
        </w:tc>
      </w:tr>
      <w:tr w:rsidR="00CA38FC" w:rsidRPr="000F7705" w14:paraId="0C345AD8" w14:textId="77777777" w:rsidTr="00A5663F">
        <w:trPr>
          <w:trHeight w:val="397"/>
        </w:trPr>
        <w:tc>
          <w:tcPr>
            <w:tcW w:w="44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F1C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8A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D0623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3D30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5376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1.13 </w:t>
            </w:r>
          </w:p>
          <w:p w14:paraId="23AC140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(1.08 - 1.19)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9630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00A8E18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(1.02 - 1.15)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FE32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4D1A78C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(1.04 - 1.15)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9652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16C98B3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(1.04 - 1.15)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E89D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762B7E5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(1.04 - 1.15)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A72A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292E0AA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(1.02 - 1.14)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A636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34A3767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4F1E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1EC1CF2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(1.05 - 1.15)</w:t>
            </w:r>
          </w:p>
        </w:tc>
      </w:tr>
      <w:tr w:rsidR="00CA38FC" w:rsidRPr="000F7705" w14:paraId="6C9E1E3C" w14:textId="77777777" w:rsidTr="00A5663F">
        <w:trPr>
          <w:trHeight w:val="397"/>
        </w:trPr>
        <w:tc>
          <w:tcPr>
            <w:tcW w:w="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DBDE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9A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1711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random (12)</w:t>
            </w:r>
          </w:p>
        </w:tc>
        <w:tc>
          <w:tcPr>
            <w:tcW w:w="1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8EBC" w14:textId="77777777" w:rsidR="00CA38FC" w:rsidRPr="000F7705" w:rsidRDefault="00D845CD" w:rsidP="00A13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random (8)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7BEE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1.17 </w:t>
            </w:r>
          </w:p>
          <w:p w14:paraId="2B43807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(1.11 - 1.23)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3C89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1.09 </w:t>
            </w:r>
          </w:p>
          <w:p w14:paraId="4152482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(1.02 - 1.16)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5F19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5531A19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(1.05 - 1.16)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0199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40B338A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(1.04 - 1.16)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16DD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1.10 </w:t>
            </w:r>
          </w:p>
          <w:p w14:paraId="043048D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(1.04 - 1.16)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6671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1.08 </w:t>
            </w:r>
          </w:p>
          <w:p w14:paraId="328DF68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(1.03 - 1.14)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6BD8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1.07 </w:t>
            </w:r>
          </w:p>
          <w:p w14:paraId="4E12D2B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(1.01 - 1.12)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B9AE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1.11 </w:t>
            </w:r>
          </w:p>
          <w:p w14:paraId="7AE2DF5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(1.06 - 1.16)</w:t>
            </w:r>
          </w:p>
        </w:tc>
      </w:tr>
    </w:tbl>
    <w:p w14:paraId="1C45BD47" w14:textId="77777777" w:rsidR="000F7705" w:rsidRDefault="000F7705" w:rsidP="00A134E2">
      <w:pPr>
        <w:spacing w:after="0" w:line="240" w:lineRule="auto"/>
        <w:jc w:val="center"/>
        <w:rPr>
          <w:rFonts w:ascii="Arial" w:eastAsia="Segoe UI Symbol" w:hAnsi="Arial" w:cs="Arial"/>
          <w:b/>
          <w:bCs/>
          <w:sz w:val="20"/>
          <w:szCs w:val="20"/>
          <w:lang w:val="nl-NL"/>
        </w:rPr>
        <w:sectPr w:rsidR="000F7705" w:rsidSect="004501D5">
          <w:headerReference w:type="default" r:id="rId11"/>
          <w:pgSz w:w="15840" w:h="12240" w:orient="landscape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1"/>
        <w:tblW w:w="11858" w:type="dxa"/>
        <w:tblInd w:w="2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254"/>
        <w:gridCol w:w="1253"/>
        <w:gridCol w:w="1113"/>
        <w:gridCol w:w="1114"/>
        <w:gridCol w:w="1113"/>
        <w:gridCol w:w="1114"/>
        <w:gridCol w:w="1113"/>
        <w:gridCol w:w="1114"/>
        <w:gridCol w:w="1113"/>
        <w:gridCol w:w="1114"/>
      </w:tblGrid>
      <w:tr w:rsidR="00CA38FC" w:rsidRPr="000F7705" w14:paraId="65CFEA40" w14:textId="77777777" w:rsidTr="00816D74">
        <w:trPr>
          <w:trHeight w:val="397"/>
        </w:trPr>
        <w:tc>
          <w:tcPr>
            <w:tcW w:w="44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CEB9" w14:textId="36FCD35F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  <w:lang w:val="nl-NL"/>
              </w:rPr>
              <w:lastRenderedPageBreak/>
              <w:t> 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A7A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</w:rPr>
              <w:t>APACHE IV score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F7CB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b/>
                <w:bCs/>
                <w:sz w:val="16"/>
                <w:szCs w:val="16"/>
              </w:rPr>
              <w:t>SAPS II score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11FE8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1D61C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FA6F2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4634A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1CB66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4E6C3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5B776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BDD92" w14:textId="77777777" w:rsidR="00CA38FC" w:rsidRPr="000F7705" w:rsidRDefault="00CA38FC" w:rsidP="00A134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8FC" w:rsidRPr="000F7705" w14:paraId="6A1D980F" w14:textId="77777777" w:rsidTr="00816D74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8CA3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1B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3EE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teaching (10)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F1BA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non-teaching (10)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A281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5B5FD03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(1.03 - 1.15)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2D49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1E62C18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(1.02 - 1.15)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750F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26DA671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239F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0765C92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3185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3129916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C076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2275560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259A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5FE6595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(0.97 - 1.08)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D901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748D41A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(1.05 - 1.14)</w:t>
            </w:r>
          </w:p>
        </w:tc>
      </w:tr>
      <w:tr w:rsidR="00CA38FC" w:rsidRPr="000F7705" w14:paraId="5E95F0E3" w14:textId="77777777" w:rsidTr="00816D74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F6E5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2B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A360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non-teaching (10)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7F8E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teaching (10)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330B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1.12 </w:t>
            </w:r>
          </w:p>
          <w:p w14:paraId="5DE0DD4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(1.06 - 1.17)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5F63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1.06 </w:t>
            </w:r>
          </w:p>
          <w:p w14:paraId="12136B6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(0.95 - 1.19)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C3CF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068A99F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10C8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708A0CD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BEC6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7949D45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4A14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4F8B916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(1.02 - 1.15)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7201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1.04 (0.99 - 1.11)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7319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54B5D41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(1.06 - 1.16)</w:t>
            </w:r>
          </w:p>
        </w:tc>
      </w:tr>
      <w:tr w:rsidR="00CA38FC" w:rsidRPr="000F7705" w14:paraId="0F71248E" w14:textId="77777777" w:rsidTr="00816D74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0FCE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3B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156B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A3EF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DB74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3F6C11A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D1F3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36D4212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8C5A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0292CA5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95A6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68BEEAD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5590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22766B7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4A38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3102EF0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(1.02 - 1.13)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7B53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4F10774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(0.97 - 1.08)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D507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0AC3AA8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(1.04 - 1.14)</w:t>
            </w:r>
          </w:p>
        </w:tc>
      </w:tr>
      <w:tr w:rsidR="00CA38FC" w:rsidRPr="000F7705" w14:paraId="5F251A48" w14:textId="77777777" w:rsidTr="00816D74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42193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4B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AA8B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 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5B6F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&gt;1500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77FF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1FE5F33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(1.05 - 1.17)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0BFD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1.07 </w:t>
            </w:r>
          </w:p>
          <w:p w14:paraId="3EBCE87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(0.91 - 1.27)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FB22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70D2DC4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(1.05 - 1.17)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9AD1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5F51493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23C8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55893C2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5324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69F5C72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5C6F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1.04 </w:t>
            </w:r>
          </w:p>
          <w:p w14:paraId="4E0F84A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(0.97 - 1.11)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0724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1.12 </w:t>
            </w:r>
          </w:p>
          <w:p w14:paraId="430CDA7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(1.07 - 1.16)</w:t>
            </w:r>
          </w:p>
        </w:tc>
      </w:tr>
      <w:tr w:rsidR="00CA38FC" w:rsidRPr="000F7705" w14:paraId="24358647" w14:textId="77777777" w:rsidTr="00816D74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3850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5B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2E13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&gt;25% (6)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8702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&lt;25% (14)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75E8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1.12 </w:t>
            </w:r>
          </w:p>
          <w:p w14:paraId="05320BD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C92F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539FDEF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(1.01 - 1.19)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A32C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4EB9DB5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0B8E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4161578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7639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6F65066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46AA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516B4CA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9467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0DC01C5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(0.97 - 1.09)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D084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75038C9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(1.06 - 1.16)</w:t>
            </w:r>
          </w:p>
        </w:tc>
      </w:tr>
      <w:tr w:rsidR="00CA38FC" w:rsidRPr="000F7705" w14:paraId="3166A574" w14:textId="77777777" w:rsidTr="00816D74">
        <w:trPr>
          <w:trHeight w:val="397"/>
        </w:trPr>
        <w:tc>
          <w:tcPr>
            <w:tcW w:w="44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D0A5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6B</w:t>
            </w:r>
          </w:p>
        </w:tc>
        <w:tc>
          <w:tcPr>
            <w:tcW w:w="12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370F1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&lt;25% (14)</w:t>
            </w:r>
          </w:p>
        </w:tc>
        <w:tc>
          <w:tcPr>
            <w:tcW w:w="125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C19E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pred. mort. &gt;25% (6)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08BB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504D941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84799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1.07 </w:t>
            </w:r>
          </w:p>
          <w:p w14:paraId="491F865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(1.00 - 1.14)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23FB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0F03A74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5071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7F5CDA7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5BF0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30EF3C0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DA38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1.07 </w:t>
            </w:r>
          </w:p>
          <w:p w14:paraId="25D6DEC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(1.01 - 1.13)</w:t>
            </w:r>
          </w:p>
        </w:tc>
        <w:tc>
          <w:tcPr>
            <w:tcW w:w="111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DAB1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5608BA8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(0.98 - 1.09)</w:t>
            </w:r>
          </w:p>
        </w:tc>
        <w:tc>
          <w:tcPr>
            <w:tcW w:w="111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1FC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0F1846F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(1.05 - 1.14)</w:t>
            </w:r>
          </w:p>
        </w:tc>
      </w:tr>
      <w:tr w:rsidR="00CA38FC" w:rsidRPr="000F7705" w14:paraId="0E05ADEB" w14:textId="77777777" w:rsidTr="00816D74">
        <w:trPr>
          <w:trHeight w:val="397"/>
        </w:trPr>
        <w:tc>
          <w:tcPr>
            <w:tcW w:w="4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6306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7B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A4E9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33EC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79DD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1.12 </w:t>
            </w:r>
          </w:p>
          <w:p w14:paraId="671EB79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(1.06 - 1.18)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5F31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1.06 </w:t>
            </w:r>
          </w:p>
          <w:p w14:paraId="67FAE3D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(0.94 - 1.17)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4657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06B520F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F111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55FFFD1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C614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024D7E9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(1.04 - 1.16)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D785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23FE582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8CA1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1.04 </w:t>
            </w:r>
          </w:p>
          <w:p w14:paraId="6DBD290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(0.98 - 1.09)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C8BC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03EBF43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(1.06 - 1.16)</w:t>
            </w:r>
          </w:p>
        </w:tc>
      </w:tr>
      <w:tr w:rsidR="00CA38FC" w:rsidRPr="000F7705" w14:paraId="6702EF68" w14:textId="77777777" w:rsidTr="00816D74">
        <w:trPr>
          <w:trHeight w:val="397"/>
        </w:trPr>
        <w:tc>
          <w:tcPr>
            <w:tcW w:w="44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B71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8B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6837D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&lt;70%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(14)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35D8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&gt;70% med. </w:t>
            </w:r>
            <w:proofErr w:type="spellStart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>adm.</w:t>
            </w:r>
            <w:proofErr w:type="spellEnd"/>
            <w:r w:rsidRPr="000F7705">
              <w:rPr>
                <w:rFonts w:ascii="Arial" w:eastAsia="Segoe UI Symbo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1545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0F0E7D2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(1.04 - 1.15)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332C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5C20DE2E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(1.02 - 1.15)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8604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1A926E4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D04E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68D15EA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996AB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2D860214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A789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71C0B24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(1.02 - 1.14)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38EC8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3A094B6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(0.97 - 1.09)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F53F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1.10 </w:t>
            </w:r>
          </w:p>
          <w:p w14:paraId="2865DE03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(1.05 - 1.14)</w:t>
            </w:r>
          </w:p>
        </w:tc>
      </w:tr>
      <w:tr w:rsidR="00CA38FC" w:rsidRPr="000F7705" w14:paraId="3D0DEE9D" w14:textId="77777777" w:rsidTr="00816D74">
        <w:trPr>
          <w:trHeight w:val="397"/>
        </w:trPr>
        <w:tc>
          <w:tcPr>
            <w:tcW w:w="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74C35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9B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8EE2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</w:rPr>
              <w:t>random (12)</w:t>
            </w:r>
          </w:p>
        </w:tc>
        <w:tc>
          <w:tcPr>
            <w:tcW w:w="1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30DE" w14:textId="77777777" w:rsidR="00CA38FC" w:rsidRPr="000F7705" w:rsidRDefault="00D845CD" w:rsidP="00816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05">
              <w:rPr>
                <w:rFonts w:ascii="Arial" w:eastAsia="Segoe UI Symbol" w:hAnsi="Arial" w:cs="Arial"/>
                <w:sz w:val="16"/>
                <w:szCs w:val="16"/>
                <w:lang w:val="nl-NL"/>
              </w:rPr>
              <w:t>random (8)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89A6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03082EAC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(1.05 - 1.17)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33A5F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6D13501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(1.02 - 1.16)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368D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4D095FF6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(1.04 - 1.15)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33D20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263CEFE2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(1.03 - 1.15)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B834D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1.09 </w:t>
            </w:r>
          </w:p>
          <w:p w14:paraId="3C78DE6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(1.03 - 1.15)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9604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1.08 </w:t>
            </w:r>
          </w:p>
          <w:p w14:paraId="10EE45A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(1.03 - 1.14)</w:t>
            </w:r>
          </w:p>
        </w:tc>
        <w:tc>
          <w:tcPr>
            <w:tcW w:w="11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1E4D1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1.03 </w:t>
            </w:r>
          </w:p>
          <w:p w14:paraId="1DE3E9AA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(0.98 - 1.09)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7DA07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eastAsia="Segoe UI Symbo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 xml:space="preserve">1.11 </w:t>
            </w:r>
          </w:p>
          <w:p w14:paraId="35C40C05" w14:textId="77777777" w:rsidR="00CA38FC" w:rsidRPr="000F7705" w:rsidRDefault="00D845CD" w:rsidP="00A13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7705">
              <w:rPr>
                <w:rFonts w:ascii="Arial" w:eastAsia="Segoe UI Symbol" w:hAnsi="Arial" w:cs="Arial"/>
                <w:sz w:val="16"/>
                <w:szCs w:val="18"/>
              </w:rPr>
              <w:t>(1.06 - 1.15)</w:t>
            </w:r>
          </w:p>
        </w:tc>
      </w:tr>
    </w:tbl>
    <w:p w14:paraId="5A87CBDC" w14:textId="77777777" w:rsidR="00CA38FC" w:rsidRPr="004A641C" w:rsidRDefault="00D845CD" w:rsidP="000F7705">
      <w:pPr>
        <w:pStyle w:val="NoSpacing"/>
        <w:spacing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sz w:val="20"/>
          <w:szCs w:val="20"/>
          <w:u w:val="single"/>
        </w:rPr>
        <w:t>Legend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: </w:t>
      </w:r>
      <w:proofErr w:type="spellStart"/>
      <w:r w:rsidRPr="004A641C">
        <w:rPr>
          <w:rFonts w:ascii="Segoe UI Symbol" w:eastAsia="Segoe UI Symbol" w:hAnsi="Segoe UI Symbol" w:cs="Segoe UI Symbol"/>
          <w:sz w:val="20"/>
          <w:szCs w:val="20"/>
        </w:rPr>
        <w:t>adm.</w:t>
      </w:r>
      <w:proofErr w:type="spellEnd"/>
      <w:r w:rsidRPr="004A641C">
        <w:rPr>
          <w:rFonts w:ascii="Segoe UI Symbol" w:eastAsia="Segoe UI Symbol" w:hAnsi="Segoe UI Symbol" w:cs="Segoe UI Symbol"/>
          <w:sz w:val="20"/>
          <w:szCs w:val="20"/>
        </w:rPr>
        <w:t>, admissions; APACHE, acute physiology and chronic health evaluation; med., medical; pred. mort., predicted in-hospital mortality; SAPS, simplified acute physiology score.</w:t>
      </w:r>
    </w:p>
    <w:p w14:paraId="26A4940F" w14:textId="77777777" w:rsidR="00CA38FC" w:rsidRPr="004A641C" w:rsidRDefault="00D845CD" w:rsidP="000F7705">
      <w:pPr>
        <w:spacing w:after="0"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a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</w:rPr>
        <w:t xml:space="preserve"> 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Reference is data-generating model, where the treatment effect was OR 1.00, corrected for APACHE IV predicted in-hospital mortality</w:t>
      </w:r>
    </w:p>
    <w:p w14:paraId="12D0D4D3" w14:textId="77777777" w:rsidR="00CA38FC" w:rsidRPr="004A641C" w:rsidRDefault="00D845CD" w:rsidP="000F7705">
      <w:pPr>
        <w:pStyle w:val="NoSpacing"/>
        <w:spacing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b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</w:rPr>
        <w:t xml:space="preserve"> </w:t>
      </w:r>
      <w:proofErr w:type="gramStart"/>
      <w:r w:rsidRPr="004A641C">
        <w:rPr>
          <w:rFonts w:ascii="Segoe UI Symbol" w:eastAsia="Segoe UI Symbol" w:hAnsi="Segoe UI Symbol" w:cs="Segoe UI Symbol"/>
          <w:sz w:val="20"/>
          <w:szCs w:val="20"/>
        </w:rPr>
        <w:t>For</w:t>
      </w:r>
      <w:proofErr w:type="gramEnd"/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a description of methods, see main text (“Methods to adjust for confounding by disease severity”).</w:t>
      </w:r>
    </w:p>
    <w:p w14:paraId="7081602A" w14:textId="77777777" w:rsidR="00CA38FC" w:rsidRPr="004A641C" w:rsidRDefault="00D845CD" w:rsidP="000F7705">
      <w:pPr>
        <w:pStyle w:val="NoSpacing"/>
        <w:spacing w:line="360" w:lineRule="auto"/>
        <w:ind w:left="284"/>
        <w:rPr>
          <w:rFonts w:ascii="Segoe UI Symbol" w:eastAsia="Segoe UI Symbol" w:hAnsi="Segoe UI Symbol" w:cs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c</w:t>
      </w: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</w:rPr>
        <w:t xml:space="preserve"> 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>APACHE II / SAPS II scores were standardized across all centers that had the respective score available.</w:t>
      </w:r>
    </w:p>
    <w:p w14:paraId="0B286198" w14:textId="3BC8606B" w:rsidR="00CA38FC" w:rsidRPr="004A641C" w:rsidRDefault="00D845CD" w:rsidP="00816D74">
      <w:pPr>
        <w:pStyle w:val="NoSpacing"/>
        <w:spacing w:line="360" w:lineRule="auto"/>
        <w:ind w:left="284"/>
        <w:rPr>
          <w:rFonts w:ascii="Segoe UI Symbol" w:hAnsi="Segoe UI Symbol"/>
          <w:sz w:val="20"/>
          <w:szCs w:val="20"/>
        </w:rPr>
      </w:pPr>
      <w:r w:rsidRPr="004A641C">
        <w:rPr>
          <w:rFonts w:ascii="Segoe UI Symbol" w:eastAsia="Segoe UI Symbol" w:hAnsi="Segoe UI Symbol" w:cs="Segoe UI Symbol"/>
          <w:i/>
          <w:iCs/>
          <w:sz w:val="20"/>
          <w:szCs w:val="20"/>
          <w:vertAlign w:val="superscript"/>
        </w:rPr>
        <w:t>d</w:t>
      </w:r>
      <w:r w:rsidRPr="004A641C">
        <w:rPr>
          <w:rFonts w:ascii="Segoe UI Symbol" w:eastAsia="Segoe UI Symbol" w:hAnsi="Segoe UI Symbol" w:cs="Segoe UI Symbol"/>
          <w:sz w:val="20"/>
          <w:szCs w:val="20"/>
        </w:rPr>
        <w:t xml:space="preserve"> APACHE II / SAPS II scores were standardized within each center that had</w:t>
      </w:r>
      <w:r w:rsidR="00816D74">
        <w:rPr>
          <w:rFonts w:ascii="Segoe UI Symbol" w:eastAsia="Segoe UI Symbol" w:hAnsi="Segoe UI Symbol" w:cs="Segoe UI Symbol"/>
          <w:sz w:val="20"/>
          <w:szCs w:val="20"/>
        </w:rPr>
        <w:t xml:space="preserve"> the respective score available</w:t>
      </w:r>
    </w:p>
    <w:sectPr w:rsidR="00CA38FC" w:rsidRPr="004A641C" w:rsidSect="00816D74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DF71" w14:textId="77777777" w:rsidR="005026BF" w:rsidRDefault="005026BF">
      <w:pPr>
        <w:spacing w:after="0" w:line="240" w:lineRule="auto"/>
      </w:pPr>
      <w:r>
        <w:separator/>
      </w:r>
    </w:p>
  </w:endnote>
  <w:endnote w:type="continuationSeparator" w:id="0">
    <w:p w14:paraId="10FCD58A" w14:textId="77777777" w:rsidR="005026BF" w:rsidRDefault="0050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854250"/>
      <w:docPartObj>
        <w:docPartGallery w:val="Page Numbers (Bottom of Page)"/>
        <w:docPartUnique/>
      </w:docPartObj>
    </w:sdtPr>
    <w:sdtEndPr/>
    <w:sdtContent>
      <w:p w14:paraId="72EEE82A" w14:textId="77777777" w:rsidR="005026BF" w:rsidRDefault="005026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13" w:rsidRPr="000E5313">
          <w:rPr>
            <w:noProof/>
            <w:lang w:val="nl-NL"/>
          </w:rPr>
          <w:t>5</w:t>
        </w:r>
        <w:r>
          <w:fldChar w:fldCharType="end"/>
        </w:r>
      </w:p>
    </w:sdtContent>
  </w:sdt>
  <w:p w14:paraId="524D7D6E" w14:textId="77777777" w:rsidR="005026BF" w:rsidRDefault="0050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867F" w14:textId="77777777" w:rsidR="005026BF" w:rsidRDefault="005026BF">
      <w:pPr>
        <w:spacing w:after="0" w:line="240" w:lineRule="auto"/>
      </w:pPr>
      <w:r>
        <w:separator/>
      </w:r>
    </w:p>
  </w:footnote>
  <w:footnote w:type="continuationSeparator" w:id="0">
    <w:p w14:paraId="29AA4BFE" w14:textId="77777777" w:rsidR="005026BF" w:rsidRDefault="0050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B689" w14:textId="77777777" w:rsidR="005026BF" w:rsidRDefault="005026BF">
    <w:pPr>
      <w:pStyle w:val="Kop-envoetteks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6BC4" w14:textId="77777777" w:rsidR="005026BF" w:rsidRDefault="005026BF">
    <w:pPr>
      <w:pStyle w:val="Kop-envoetteks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E0B4" w14:textId="77777777" w:rsidR="005026BF" w:rsidRDefault="005026BF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1FC0"/>
    <w:multiLevelType w:val="hybridMultilevel"/>
    <w:tmpl w:val="908AA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ADB"/>
    <w:multiLevelType w:val="hybridMultilevel"/>
    <w:tmpl w:val="66D45536"/>
    <w:numStyleLink w:val="Gemporteerdestijl2"/>
  </w:abstractNum>
  <w:abstractNum w:abstractNumId="2" w15:restartNumberingAfterBreak="0">
    <w:nsid w:val="26E01603"/>
    <w:multiLevelType w:val="hybridMultilevel"/>
    <w:tmpl w:val="66D45536"/>
    <w:styleLink w:val="Gemporteerdestijl2"/>
    <w:lvl w:ilvl="0" w:tplc="7AFC77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662D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F4FC0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DC91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86F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D007B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C01E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D6DA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965B8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E64858"/>
    <w:multiLevelType w:val="hybridMultilevel"/>
    <w:tmpl w:val="A7D0865E"/>
    <w:numStyleLink w:val="Gemporteerdestijl1"/>
  </w:abstractNum>
  <w:abstractNum w:abstractNumId="4" w15:restartNumberingAfterBreak="0">
    <w:nsid w:val="75D42A8E"/>
    <w:multiLevelType w:val="hybridMultilevel"/>
    <w:tmpl w:val="A7D0865E"/>
    <w:styleLink w:val="Gemporteerdestijl1"/>
    <w:lvl w:ilvl="0" w:tplc="6240BB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4A0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29ED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8A1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432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A379C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15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E20F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E47D0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8FC"/>
    <w:rsid w:val="000C58C2"/>
    <w:rsid w:val="000E5313"/>
    <w:rsid w:val="000F7705"/>
    <w:rsid w:val="001528C9"/>
    <w:rsid w:val="001B3A2A"/>
    <w:rsid w:val="001D2C3D"/>
    <w:rsid w:val="00233C2C"/>
    <w:rsid w:val="002679B6"/>
    <w:rsid w:val="002773E2"/>
    <w:rsid w:val="0033034F"/>
    <w:rsid w:val="00364B43"/>
    <w:rsid w:val="0036715B"/>
    <w:rsid w:val="003922F7"/>
    <w:rsid w:val="003B4E7F"/>
    <w:rsid w:val="00411B30"/>
    <w:rsid w:val="004501D5"/>
    <w:rsid w:val="00456610"/>
    <w:rsid w:val="004A641C"/>
    <w:rsid w:val="004E7B61"/>
    <w:rsid w:val="005026BF"/>
    <w:rsid w:val="00511E2E"/>
    <w:rsid w:val="006B0280"/>
    <w:rsid w:val="006D12EE"/>
    <w:rsid w:val="006D4120"/>
    <w:rsid w:val="00722C75"/>
    <w:rsid w:val="00733E16"/>
    <w:rsid w:val="007A6618"/>
    <w:rsid w:val="008063C5"/>
    <w:rsid w:val="0080795B"/>
    <w:rsid w:val="00816D74"/>
    <w:rsid w:val="00816F51"/>
    <w:rsid w:val="008300EC"/>
    <w:rsid w:val="009039A3"/>
    <w:rsid w:val="009158B3"/>
    <w:rsid w:val="009B42A0"/>
    <w:rsid w:val="009C4521"/>
    <w:rsid w:val="009C7C47"/>
    <w:rsid w:val="00A03660"/>
    <w:rsid w:val="00A06B81"/>
    <w:rsid w:val="00A134E2"/>
    <w:rsid w:val="00A5663F"/>
    <w:rsid w:val="00A768C1"/>
    <w:rsid w:val="00A85787"/>
    <w:rsid w:val="00AB1F42"/>
    <w:rsid w:val="00AC6003"/>
    <w:rsid w:val="00AE0D32"/>
    <w:rsid w:val="00B468AC"/>
    <w:rsid w:val="00B472CF"/>
    <w:rsid w:val="00B6284F"/>
    <w:rsid w:val="00B77064"/>
    <w:rsid w:val="00BB53FF"/>
    <w:rsid w:val="00BC4D7B"/>
    <w:rsid w:val="00BF3025"/>
    <w:rsid w:val="00C11D28"/>
    <w:rsid w:val="00C37085"/>
    <w:rsid w:val="00C55FBD"/>
    <w:rsid w:val="00CA38FC"/>
    <w:rsid w:val="00CB04EE"/>
    <w:rsid w:val="00CE6331"/>
    <w:rsid w:val="00D5469B"/>
    <w:rsid w:val="00D84598"/>
    <w:rsid w:val="00D845CD"/>
    <w:rsid w:val="00DD2ACE"/>
    <w:rsid w:val="00E63127"/>
    <w:rsid w:val="00ED1DA0"/>
    <w:rsid w:val="00F0100C"/>
    <w:rsid w:val="00F13400"/>
    <w:rsid w:val="00F17000"/>
    <w:rsid w:val="00F75306"/>
    <w:rsid w:val="00F93F89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CC52"/>
  <w15:docId w15:val="{ADE46999-7A2E-4A7F-9E77-F702937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pPr>
      <w:keepNext/>
      <w:keepLines/>
      <w:spacing w:before="480" w:line="360" w:lineRule="auto"/>
      <w:outlineLvl w:val="0"/>
    </w:pPr>
    <w:rPr>
      <w:rFonts w:ascii="Arial Narrow" w:hAnsi="Arial Narrow" w:cs="Arial Unicode MS"/>
      <w:b/>
      <w:bCs/>
      <w:color w:val="3B1E75"/>
      <w:sz w:val="28"/>
      <w:szCs w:val="28"/>
      <w:u w:color="3B1E75"/>
      <w:lang w:val="en-US"/>
    </w:rPr>
  </w:style>
  <w:style w:type="paragraph" w:styleId="Heading2">
    <w:name w:val="heading 2"/>
    <w:next w:val="Normal"/>
    <w:pPr>
      <w:keepNext/>
      <w:keepLines/>
      <w:spacing w:before="200" w:line="360" w:lineRule="auto"/>
      <w:ind w:left="567"/>
      <w:outlineLvl w:val="1"/>
    </w:pPr>
    <w:rPr>
      <w:rFonts w:ascii="Arial Narrow" w:hAnsi="Arial Narrow" w:cs="Arial Unicode MS"/>
      <w:b/>
      <w:bCs/>
      <w:color w:val="3B1E75"/>
      <w:sz w:val="24"/>
      <w:szCs w:val="24"/>
      <w:u w:color="3B1E7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NoSpacing">
    <w:name w:val="No Spacing"/>
    <w:rPr>
      <w:rFonts w:ascii="Segoe UI" w:eastAsia="Segoe UI" w:hAnsi="Segoe UI" w:cs="Segoe UI"/>
      <w:color w:val="000000"/>
      <w:sz w:val="22"/>
      <w:szCs w:val="22"/>
      <w:u w:color="000000"/>
      <w:lang w:val="en-US"/>
    </w:rPr>
  </w:style>
  <w:style w:type="paragraph" w:customStyle="1" w:styleId="EndNoteBibliography">
    <w:name w:val="EndNote Bibliography"/>
    <w:pPr>
      <w:spacing w:after="200"/>
      <w:jc w:val="righ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ppeling">
    <w:name w:val="Koppeling"/>
    <w:rPr>
      <w:color w:val="0000FF"/>
      <w:u w:val="single" w:color="0000FF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C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CD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B0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6D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034F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5945-952F-477B-B791-E047069B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Antonius Ziekenhuis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Plantinga, Nienke (MMI)</dc:creator>
  <cp:lastModifiedBy>Baeuerlein, Christopher</cp:lastModifiedBy>
  <cp:revision>6</cp:revision>
  <cp:lastPrinted>2019-01-17T14:51:00Z</cp:lastPrinted>
  <dcterms:created xsi:type="dcterms:W3CDTF">2019-01-17T16:33:00Z</dcterms:created>
  <dcterms:modified xsi:type="dcterms:W3CDTF">2019-04-19T18:28:00Z</dcterms:modified>
</cp:coreProperties>
</file>