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E948" w14:textId="523ED160" w:rsidR="00D819BB" w:rsidRDefault="00D819BB" w:rsidP="00D819BB">
      <w:pPr>
        <w:spacing w:line="480" w:lineRule="auto"/>
        <w:rPr>
          <w:rFonts w:ascii="Arial" w:hAnsi="Arial" w:cs="Arial"/>
          <w:b/>
        </w:rPr>
      </w:pPr>
      <w:r>
        <w:rPr>
          <w:rFonts w:ascii="Arial" w:hAnsi="Arial" w:cs="Arial"/>
          <w:b/>
        </w:rPr>
        <w:t>Supplemental methods</w:t>
      </w:r>
    </w:p>
    <w:p w14:paraId="63575EAC" w14:textId="56AC46A4" w:rsidR="00D819BB" w:rsidRPr="00880EA6" w:rsidRDefault="00D819BB" w:rsidP="00D819BB">
      <w:pPr>
        <w:spacing w:line="480" w:lineRule="auto"/>
        <w:rPr>
          <w:rFonts w:ascii="Arial" w:hAnsi="Arial" w:cs="Arial"/>
          <w:b/>
        </w:rPr>
      </w:pPr>
      <w:r w:rsidRPr="00880EA6">
        <w:rPr>
          <w:rFonts w:ascii="Arial" w:hAnsi="Arial" w:cs="Arial"/>
          <w:b/>
        </w:rPr>
        <w:t>Chemometric analysis of spectroscopic data</w:t>
      </w:r>
    </w:p>
    <w:p w14:paraId="48ECA3F6" w14:textId="14F1C729" w:rsidR="000C7FDF" w:rsidRDefault="00D819BB" w:rsidP="00D819BB">
      <w:pPr>
        <w:spacing w:line="480" w:lineRule="auto"/>
        <w:rPr>
          <w:rFonts w:ascii="Arial" w:hAnsi="Arial" w:cs="Arial"/>
          <w:lang w:val="en-US"/>
        </w:rPr>
      </w:pPr>
      <w:r w:rsidRPr="00880EA6">
        <w:rPr>
          <w:rFonts w:ascii="Arial" w:hAnsi="Arial" w:cs="Arial"/>
        </w:rPr>
        <w:t xml:space="preserve">The resultant O-PLS-DA loadings line plot denotes the covariance of each data point with class (indicating direction and intensity), whilst the </w:t>
      </w:r>
      <w:proofErr w:type="spellStart"/>
      <w:r w:rsidRPr="00880EA6">
        <w:rPr>
          <w:rFonts w:ascii="Arial" w:hAnsi="Arial" w:cs="Arial"/>
        </w:rPr>
        <w:t>colorbar</w:t>
      </w:r>
      <w:proofErr w:type="spellEnd"/>
      <w:r w:rsidRPr="00880EA6">
        <w:rPr>
          <w:rFonts w:ascii="Arial" w:hAnsi="Arial" w:cs="Arial"/>
        </w:rPr>
        <w:t xml:space="preserve"> indicates the correlation coefficient (R</w:t>
      </w:r>
      <w:r w:rsidRPr="00880EA6">
        <w:rPr>
          <w:rFonts w:ascii="Arial" w:hAnsi="Arial" w:cs="Arial"/>
          <w:vertAlign w:val="superscript"/>
        </w:rPr>
        <w:t>2</w:t>
      </w:r>
      <w:r w:rsidRPr="00880EA6">
        <w:rPr>
          <w:rFonts w:ascii="Arial" w:hAnsi="Arial" w:cs="Arial"/>
        </w:rPr>
        <w:t>). Metabolites with a correlation of &gt; 0.5 were tabulated to assess the differences in metabolic profiles between the models.</w:t>
      </w:r>
      <w:r w:rsidRPr="00880EA6">
        <w:rPr>
          <w:rFonts w:ascii="Arial" w:hAnsi="Arial" w:cs="Arial"/>
          <w:color w:val="000000"/>
          <w:lang w:eastAsia="en-GB"/>
        </w:rPr>
        <w:t xml:space="preserve"> </w:t>
      </w:r>
      <w:r w:rsidRPr="00880EA6">
        <w:rPr>
          <w:rFonts w:ascii="Arial" w:hAnsi="Arial" w:cs="Arial"/>
        </w:rPr>
        <w:t xml:space="preserve">Metabolites were assigned with reference to published literature assignments, online spectral compound databases (e.g. Human Metabolome </w:t>
      </w:r>
      <w:proofErr w:type="spellStart"/>
      <w:r w:rsidRPr="00880EA6">
        <w:rPr>
          <w:rFonts w:ascii="Arial" w:hAnsi="Arial" w:cs="Arial"/>
        </w:rPr>
        <w:t>DataBase</w:t>
      </w:r>
      <w:proofErr w:type="spellEnd"/>
      <w:r w:rsidRPr="00880EA6">
        <w:rPr>
          <w:rFonts w:ascii="Arial" w:hAnsi="Arial" w:cs="Arial"/>
        </w:rPr>
        <w:t xml:space="preserve"> (HMDB), KEGG, Biological Magnetic Resonance Data Bank) as well as in-house spectral reference libraries. S</w:t>
      </w:r>
      <w:proofErr w:type="spellStart"/>
      <w:r w:rsidRPr="00880EA6">
        <w:rPr>
          <w:rFonts w:ascii="Arial" w:hAnsi="Arial" w:cs="Arial"/>
          <w:lang w:val="en-US"/>
        </w:rPr>
        <w:t>tatistical</w:t>
      </w:r>
      <w:proofErr w:type="spellEnd"/>
      <w:r w:rsidRPr="00880EA6">
        <w:rPr>
          <w:rFonts w:ascii="Arial" w:hAnsi="Arial" w:cs="Arial"/>
          <w:lang w:val="en-US"/>
        </w:rPr>
        <w:t xml:space="preserve"> correlation spectroscopic approaches (Statistical Total </w:t>
      </w:r>
      <w:proofErr w:type="spellStart"/>
      <w:r w:rsidRPr="00880EA6">
        <w:rPr>
          <w:rFonts w:ascii="Arial" w:hAnsi="Arial" w:cs="Arial"/>
          <w:lang w:val="en-US"/>
        </w:rPr>
        <w:t>COrrelation</w:t>
      </w:r>
      <w:proofErr w:type="spellEnd"/>
      <w:r w:rsidRPr="00880EA6">
        <w:rPr>
          <w:rFonts w:ascii="Arial" w:hAnsi="Arial" w:cs="Arial"/>
          <w:lang w:val="en-US"/>
        </w:rPr>
        <w:t xml:space="preserve"> </w:t>
      </w:r>
      <w:proofErr w:type="spellStart"/>
      <w:r w:rsidRPr="00880EA6">
        <w:rPr>
          <w:rFonts w:ascii="Arial" w:hAnsi="Arial" w:cs="Arial"/>
          <w:lang w:val="en-US"/>
        </w:rPr>
        <w:t>SpectroscopY</w:t>
      </w:r>
      <w:proofErr w:type="spellEnd"/>
      <w:r w:rsidRPr="00880EA6">
        <w:rPr>
          <w:rFonts w:ascii="Arial" w:hAnsi="Arial" w:cs="Arial"/>
          <w:lang w:val="en-US"/>
        </w:rPr>
        <w:fldChar w:fldCharType="begin" w:fldLock="1"/>
      </w:r>
      <w:r>
        <w:rPr>
          <w:rFonts w:ascii="Arial" w:hAnsi="Arial" w:cs="Arial"/>
          <w:lang w:val="en-US"/>
        </w:rPr>
        <w:instrText>ADDIN CSL_CITATION {"citationItems":[{"id":"ITEM-1","itemData":{"DOI":"10.1021/ac048630x","ISBN":"0003-2700","ISSN":"00032700","PMID":"15732908","abstract":"We describe here the implementation of the statistical total correlation spectroscopy (STOCSY) analysis method for aiding the identification of potential biomarker molecules in metabonomic studies based on NMR spectroscopic data. STOCSY takes advantage of the multicollinearity of the intensity variables in a set of spectra (in this case 1H NMR spectra) to generate a pseudo-two-dimensional NMR spectrum that displays the correlation among the intensities of the various peaks across the whole sample. This method is not limited to the usual connectivities that are deducible from more standard two-dimensional NMR spectroscopic methods, such as TOCSY. Moreover, two or more molecules involved in the same pathway can also present high intermolecular correlations because of biological covariance or can even be anticorrelated. This combination of STOCSY with supervised pattern recognition and particularly orthogonal projection on latent structure-discriminant analysis (O-PLS-DA) offers a new powerful framework for analysis of metabonomic data. In a first step O-PLS-DA extracts the part of NMR spectra related to discrimination. This information is then cross-combined with the STOCSY results to help identify the molecules responsible for the metabolic variation. To illustrate the applicability of the method, it has been applied to 1H NMR spectra of urine from a metabonomic study of a model of insulin resistance based on the administration of a carbohydrate diet to three different mice strains (C57BL/6Oxjr, BALB/cOxjr, and 129S6/SvEvOxjr) in which a series of metabolites of biological importance can be conclusively assigned and identified by use of the STOCSY approach.","author":[{"dropping-particle":"","family":"Cloarec","given":"Olivier","non-dropping-particle":"","parse-names":false,"suffix":""},{"dropping-particle":"","family":"Dumas","given":"Marc Emmanuel","non-dropping-particle":"","parse-names":false,"suffix":""},{"dropping-particle":"","family":"Craig","given":"Andrew","non-dropping-particle":"","parse-names":false,"suffix":""},{"dropping-particle":"","family":"Barton","given":"Richard H.","non-dropping-particle":"","parse-names":false,"suffix":""},{"dropping-particle":"","family":"Trygg","given":"Johan","non-dropping-particle":"","parse-names":false,"suffix":""},{"dropping-particle":"","family":"Hudson","given":"Jane","non-dropping-particle":"","parse-names":false,"suffix":""},{"dropping-particle":"","family":"Blancher","given":"Christine","non-dropping-particle":"","parse-names":false,"suffix":""},{"dropping-particle":"","family":"Gauguier","given":"Dominique","non-dropping-particle":"","parse-names":false,"suffix":""},{"dropping-particle":"","family":"Lindon","given":"John C.","non-dropping-particle":"","parse-names":false,"suffix":""},{"dropping-particle":"","family":"Holmes","given":"Elaine","non-dropping-particle":"","parse-names":false,"suffix":""},{"dropping-particle":"","family":"Nicholson","given":"Jeremy","non-dropping-particle":"","parse-names":false,"suffix":""}],"container-title":"Analytical Chemistry","id":"ITEM-1","issue":"5","issued":{"date-parts":[["2005"]]},"page":"1282-1289","title":"Statistical total correlation spectroscopy: An exploratory approach for latent biomarker identification from metabolic 1H NMR data sets","type":"article-journal","volume":"77"},"uris":["http://www.mendeley.com/documents/?uuid=50ee128f-6d9b-4c88-b057-16e69067445f"]}],"mendeley":{"formattedCitation":"(1)","plainTextFormattedCitation":"(1)","previouslyFormattedCitation":"(17)"},"properties":{"noteIndex":0},"schema":"https://github.com/citation-style-language/schema/raw/master/csl-citation.json"}</w:instrText>
      </w:r>
      <w:r w:rsidRPr="00880EA6">
        <w:rPr>
          <w:rFonts w:ascii="Arial" w:hAnsi="Arial" w:cs="Arial"/>
          <w:lang w:val="en-US"/>
        </w:rPr>
        <w:fldChar w:fldCharType="separate"/>
      </w:r>
      <w:r w:rsidRPr="00D819BB">
        <w:rPr>
          <w:rFonts w:ascii="Arial" w:hAnsi="Arial" w:cs="Arial"/>
          <w:noProof/>
          <w:lang w:val="en-US"/>
        </w:rPr>
        <w:t>(1)</w:t>
      </w:r>
      <w:r w:rsidRPr="00880EA6">
        <w:rPr>
          <w:rFonts w:ascii="Arial" w:hAnsi="Arial" w:cs="Arial"/>
          <w:lang w:val="en-US"/>
        </w:rPr>
        <w:fldChar w:fldCharType="end"/>
      </w:r>
      <w:r w:rsidRPr="00880EA6">
        <w:rPr>
          <w:rFonts w:ascii="Arial" w:hAnsi="Arial" w:cs="Arial"/>
          <w:lang w:val="en-US"/>
        </w:rPr>
        <w:t xml:space="preserve">, and Subset </w:t>
      </w:r>
      <w:proofErr w:type="spellStart"/>
      <w:r w:rsidRPr="00880EA6">
        <w:rPr>
          <w:rFonts w:ascii="Arial" w:hAnsi="Arial" w:cs="Arial"/>
          <w:lang w:val="en-US"/>
        </w:rPr>
        <w:t>Optim</w:t>
      </w:r>
      <w:r>
        <w:rPr>
          <w:rFonts w:ascii="Arial" w:hAnsi="Arial" w:cs="Arial"/>
          <w:lang w:val="en-US"/>
        </w:rPr>
        <w:t>is</w:t>
      </w:r>
      <w:r w:rsidRPr="00880EA6">
        <w:rPr>
          <w:rFonts w:ascii="Arial" w:hAnsi="Arial" w:cs="Arial"/>
          <w:lang w:val="en-US"/>
        </w:rPr>
        <w:t>ation</w:t>
      </w:r>
      <w:proofErr w:type="spellEnd"/>
      <w:r w:rsidRPr="00880EA6">
        <w:rPr>
          <w:rFonts w:ascii="Arial" w:hAnsi="Arial" w:cs="Arial"/>
          <w:lang w:val="en-US"/>
        </w:rPr>
        <w:t xml:space="preserve"> by Reference Matching</w:t>
      </w:r>
      <w:r w:rsidRPr="00880EA6">
        <w:rPr>
          <w:rFonts w:ascii="Arial" w:hAnsi="Arial" w:cs="Arial"/>
          <w:lang w:val="en-US"/>
        </w:rPr>
        <w:fldChar w:fldCharType="begin" w:fldLock="1"/>
      </w:r>
      <w:r>
        <w:rPr>
          <w:rFonts w:ascii="Arial" w:hAnsi="Arial" w:cs="Arial"/>
          <w:lang w:val="en-US"/>
        </w:rPr>
        <w:instrText xml:space="preserve">ADDIN CSL_CITATION {"citationItems":[{"id":"ITEM-1","itemData":{"DOI":"10.1021/ac302360v","ISBN":"1520-6882 (Electronic)\\r0003-2700 (Linking)","ISSN":"00032700","PMID":"23151027","abstract":"We describe a new multivariate statistical approach to recover metabolite structure information from multiple (1)H NMR spectra in population sample sets. Subset optimization by reference matching (STORM) was developed to select subsets of (1)H NMR spectra that contain specific spectroscopic signatures of biomarkers differentiating between different human populations. STORM aims to improve the visualization of structural correlations in spectroscopic data by using these reduced spectral subsets containing smaller numbers of samples than the number of variables (n </w:instrText>
      </w:r>
      <w:r>
        <w:rPr>
          <w:rFonts w:ascii="Cambria Math" w:hAnsi="Cambria Math" w:cs="Cambria Math"/>
          <w:lang w:val="en-US"/>
        </w:rPr>
        <w:instrText>≪</w:instrText>
      </w:r>
      <w:r>
        <w:rPr>
          <w:rFonts w:ascii="Arial" w:hAnsi="Arial" w:cs="Arial"/>
          <w:lang w:val="en-US"/>
        </w:rPr>
        <w:instrText xml:space="preserve"> p). We have used statistical shrinkage to limit the number of false positive associations and to simplify the overall interpretation of the autocorrelation matrix. The STORM approach has been applied to findings from an ongoing human metabolome-wide association study on body mass index to identify a biomarker metabolite present in a subset of the population. Moreover, we have shown how STORM improves the visualization of more abundant NMR peaks compared to a previously published method (statistical total correlation spectroscopy, STOCSY). STORM is a useful new tool for biomarker discovery in the \"omic\" sciences that has widespread applicability. It can be applied to any type of data, provided that there is interpretable correlation among variables, and can also be applied to data with more than one dimension (e.g., 2D NMR spectra).","author":[{"dropping-particle":"","family":"Posma","given":"Joram M.","non-dropping-particle":"","parse-names":false,"suffix":""},{"dropping-particle":"","family":"Garcia-Perez","given":"Isabel","non-dropping-particle":"","parse-names":false,"suffix":""},{"dropping-particle":"","family":"Iorio","given":"Maria","non-dropping-particle":"De","parse-names":false,"suffix":""},{"dropping-particle":"","family":"Lindon","given":"John C.","non-dropping-particle":"","parse-names":false,"suffix":""},{"dropping-particle":"","family":"Elliott","given":"Paul","non-dropping-particle":"","parse-names":false,"suffix":""},{"dropping-particle":"","family":"Holmes","given":"Elaine","non-dropping-particle":"","parse-names":false,"suffix":""},{"dropping-particle":"","family":"Ebbels","given":"Timothy M.D.","non-dropping-particle":"","parse-names":false,"suffix":""},{"dropping-particle":"","family":"Nicholson","given":"Jeremy K.","non-dropping-particle":"","parse-names":false,"suffix":""}],"container-title":"Analytical Chemistry","id":"ITEM-1","issue":"24","issued":{"date-parts":[["2012"]]},"page":"10694-10701","title":"Subset optimization by reference matching (STORM): An optimized statistical approach for recovery of metabolic biomarker structural information from 1H NMR spectra of biofluids","type":"article-journal","volume":"84"},"uris":["http://www.mendeley.com/documents/?uuid=b7306bd6-5465-4811-b7f2-f2fe9753f55d"]}],"mendeley":{"formattedCitation":"(2)","plainTextFormattedCitation":"(2)","previouslyFormattedCitation":"(18)"},"properties":{"noteIndex":0},"schema":"https://github.com/citation-style-language/schema/raw/master/csl-citation.json"}</w:instrText>
      </w:r>
      <w:r w:rsidRPr="00880EA6">
        <w:rPr>
          <w:rFonts w:ascii="Arial" w:hAnsi="Arial" w:cs="Arial"/>
          <w:lang w:val="en-US"/>
        </w:rPr>
        <w:fldChar w:fldCharType="separate"/>
      </w:r>
      <w:r w:rsidRPr="00D819BB">
        <w:rPr>
          <w:rFonts w:ascii="Arial" w:hAnsi="Arial" w:cs="Arial"/>
          <w:noProof/>
          <w:lang w:val="en-US"/>
        </w:rPr>
        <w:t>(2)</w:t>
      </w:r>
      <w:r w:rsidRPr="00880EA6">
        <w:rPr>
          <w:rFonts w:ascii="Arial" w:hAnsi="Arial" w:cs="Arial"/>
          <w:lang w:val="en-US"/>
        </w:rPr>
        <w:fldChar w:fldCharType="end"/>
      </w:r>
      <w:r>
        <w:rPr>
          <w:rFonts w:ascii="Arial" w:hAnsi="Arial" w:cs="Arial"/>
          <w:lang w:val="en-US"/>
        </w:rPr>
        <w:t>)</w:t>
      </w:r>
      <w:r w:rsidRPr="00880EA6">
        <w:rPr>
          <w:rFonts w:ascii="Arial" w:hAnsi="Arial" w:cs="Arial"/>
          <w:lang w:val="en-US"/>
        </w:rPr>
        <w:t xml:space="preserve"> were also employed to confirm metabolite identification.</w:t>
      </w:r>
    </w:p>
    <w:p w14:paraId="1A7228FE" w14:textId="289B5B7C" w:rsidR="00D819BB" w:rsidRDefault="00D819BB" w:rsidP="00D819BB">
      <w:pPr>
        <w:spacing w:line="480" w:lineRule="auto"/>
      </w:pPr>
    </w:p>
    <w:p w14:paraId="6B117B43" w14:textId="1E98FDDB" w:rsidR="00D819BB" w:rsidRPr="00D819BB" w:rsidRDefault="00D819BB" w:rsidP="00D819BB">
      <w:pPr>
        <w:spacing w:line="360" w:lineRule="auto"/>
        <w:outlineLvl w:val="0"/>
        <w:rPr>
          <w:rFonts w:ascii="Arial" w:hAnsi="Arial" w:cs="Arial"/>
          <w:b/>
        </w:rPr>
      </w:pPr>
      <w:r>
        <w:rPr>
          <w:rFonts w:ascii="Arial" w:hAnsi="Arial" w:cs="Arial"/>
          <w:b/>
        </w:rPr>
        <w:t>Fecal</w:t>
      </w:r>
      <w:r w:rsidRPr="00880EA6">
        <w:rPr>
          <w:rFonts w:ascii="Arial" w:hAnsi="Arial" w:cs="Arial"/>
          <w:b/>
        </w:rPr>
        <w:t xml:space="preserve"> DNA extraction and bacteria</w:t>
      </w:r>
      <w:r>
        <w:rPr>
          <w:rFonts w:ascii="Arial" w:hAnsi="Arial" w:cs="Arial"/>
          <w:b/>
        </w:rPr>
        <w:t xml:space="preserve">l </w:t>
      </w:r>
      <w:r w:rsidRPr="00880EA6">
        <w:rPr>
          <w:rFonts w:ascii="Arial" w:hAnsi="Arial" w:cs="Arial"/>
          <w:b/>
        </w:rPr>
        <w:t xml:space="preserve">16S rRNA </w:t>
      </w:r>
      <w:r>
        <w:rPr>
          <w:rFonts w:ascii="Arial" w:hAnsi="Arial" w:cs="Arial"/>
          <w:b/>
        </w:rPr>
        <w:t xml:space="preserve">gene </w:t>
      </w:r>
      <w:r w:rsidRPr="00880EA6">
        <w:rPr>
          <w:rFonts w:ascii="Arial" w:hAnsi="Arial" w:cs="Arial"/>
          <w:b/>
        </w:rPr>
        <w:t>sequencing.</w:t>
      </w:r>
    </w:p>
    <w:p w14:paraId="0A8AF1D0" w14:textId="5FFE19F5" w:rsidR="00D819BB" w:rsidRDefault="00D819BB" w:rsidP="00D819BB">
      <w:pPr>
        <w:spacing w:line="360" w:lineRule="auto"/>
        <w:outlineLvl w:val="0"/>
        <w:rPr>
          <w:rFonts w:ascii="Arial" w:hAnsi="Arial" w:cs="Arial"/>
          <w:color w:val="000000"/>
          <w:shd w:val="clear" w:color="auto" w:fill="FFFFFF"/>
          <w:lang w:val="en-US" w:eastAsia="en-GB"/>
        </w:rPr>
      </w:pPr>
      <w:r w:rsidRPr="000B4102">
        <w:rPr>
          <w:rFonts w:ascii="Arial" w:hAnsi="Arial" w:cs="Arial"/>
          <w:color w:val="000000"/>
          <w:shd w:val="clear" w:color="auto" w:fill="FFFFFF"/>
          <w:lang w:val="en-US" w:eastAsia="en-GB"/>
        </w:rPr>
        <w:t xml:space="preserve">DNA concentration were quantified using the Qubit 2.0 fluorometer and high sensitivity DNA reagents (Invitrogen). Samples were pooled in equimolar concentration and gel purified using The Wizard® SV Gel and PCR Clean-Up System (Promega). The library size was confirmed on a Tape station (Agilent Technologies) and then </w:t>
      </w:r>
      <w:proofErr w:type="spellStart"/>
      <w:r w:rsidRPr="000B4102">
        <w:rPr>
          <w:rFonts w:ascii="Arial" w:hAnsi="Arial" w:cs="Arial"/>
          <w:color w:val="000000"/>
          <w:shd w:val="clear" w:color="auto" w:fill="FFFFFF"/>
          <w:lang w:val="en-US" w:eastAsia="en-GB"/>
        </w:rPr>
        <w:t>MiSeq</w:t>
      </w:r>
      <w:proofErr w:type="spellEnd"/>
      <w:r w:rsidRPr="000B4102">
        <w:rPr>
          <w:rFonts w:ascii="Arial" w:hAnsi="Arial" w:cs="Arial"/>
          <w:color w:val="000000"/>
          <w:shd w:val="clear" w:color="auto" w:fill="FFFFFF"/>
          <w:lang w:val="en-US" w:eastAsia="en-GB"/>
        </w:rPr>
        <w:t xml:space="preserve"> sequenced using the 600 cycle </w:t>
      </w:r>
      <w:proofErr w:type="spellStart"/>
      <w:r w:rsidRPr="000B4102">
        <w:rPr>
          <w:rFonts w:ascii="Arial" w:hAnsi="Arial" w:cs="Arial"/>
          <w:color w:val="000000"/>
          <w:shd w:val="clear" w:color="auto" w:fill="FFFFFF"/>
          <w:lang w:val="en-US" w:eastAsia="en-GB"/>
        </w:rPr>
        <w:t>MiSeq</w:t>
      </w:r>
      <w:proofErr w:type="spellEnd"/>
      <w:r w:rsidRPr="000B4102">
        <w:rPr>
          <w:rFonts w:ascii="Arial" w:hAnsi="Arial" w:cs="Arial"/>
          <w:color w:val="000000"/>
          <w:shd w:val="clear" w:color="auto" w:fill="FFFFFF"/>
          <w:lang w:val="en-US" w:eastAsia="en-GB"/>
        </w:rPr>
        <w:t xml:space="preserve"> reagent kit V3, which enables 300 base pair end sequencing. The library was sequenced at the Wellcome Sanger Institute (Cambridge, United Kingdom).</w:t>
      </w:r>
    </w:p>
    <w:p w14:paraId="3236A385" w14:textId="4AECFBCA" w:rsidR="00203497" w:rsidRDefault="00203497" w:rsidP="00D819BB">
      <w:pPr>
        <w:spacing w:line="360" w:lineRule="auto"/>
        <w:outlineLvl w:val="0"/>
        <w:rPr>
          <w:rFonts w:ascii="Arial" w:hAnsi="Arial" w:cs="Arial"/>
          <w:color w:val="000000"/>
          <w:shd w:val="clear" w:color="auto" w:fill="FFFFFF"/>
          <w:lang w:val="en-US" w:eastAsia="en-GB"/>
        </w:rPr>
      </w:pPr>
      <w:r w:rsidRPr="000B4102">
        <w:rPr>
          <w:rFonts w:ascii="Arial" w:hAnsi="Arial" w:cs="Arial"/>
          <w:color w:val="000000"/>
          <w:shd w:val="clear" w:color="auto" w:fill="FFFFFF"/>
          <w:lang w:val="en-US" w:eastAsia="en-GB"/>
        </w:rPr>
        <w:t>All primers were purchased from Eurofins (</w:t>
      </w:r>
      <w:proofErr w:type="spellStart"/>
      <w:r w:rsidRPr="000B4102">
        <w:rPr>
          <w:rFonts w:ascii="Arial" w:hAnsi="Arial" w:cs="Arial"/>
          <w:color w:val="000000"/>
          <w:shd w:val="clear" w:color="auto" w:fill="FFFFFF"/>
          <w:lang w:val="en-US" w:eastAsia="en-GB"/>
        </w:rPr>
        <w:t>Ebersberg</w:t>
      </w:r>
      <w:proofErr w:type="spellEnd"/>
      <w:r w:rsidRPr="000B4102">
        <w:rPr>
          <w:rFonts w:ascii="Arial" w:hAnsi="Arial" w:cs="Arial"/>
          <w:color w:val="000000"/>
          <w:shd w:val="clear" w:color="auto" w:fill="FFFFFF"/>
          <w:lang w:val="en-US" w:eastAsia="en-GB"/>
        </w:rPr>
        <w:t>, Germany). PCR reactions were pooled and purified with 75</w:t>
      </w:r>
      <w:r w:rsidRPr="000B4102">
        <w:rPr>
          <w:rFonts w:ascii="Arial" w:hAnsi="Arial" w:cs="Arial"/>
          <w:color w:val="000000"/>
          <w:shd w:val="clear" w:color="auto" w:fill="FFFFFF"/>
          <w:lang w:val="en-US" w:eastAsia="en-GB"/>
        </w:rPr>
        <w:sym w:font="Symbol" w:char="F06D"/>
      </w:r>
      <w:r w:rsidRPr="000B4102">
        <w:rPr>
          <w:rFonts w:ascii="Arial" w:hAnsi="Arial" w:cs="Arial"/>
          <w:color w:val="000000"/>
          <w:shd w:val="clear" w:color="auto" w:fill="FFFFFF"/>
          <w:lang w:val="en-US" w:eastAsia="en-GB"/>
        </w:rPr>
        <w:t xml:space="preserve">l </w:t>
      </w:r>
      <w:proofErr w:type="spellStart"/>
      <w:r w:rsidRPr="000B4102">
        <w:rPr>
          <w:rFonts w:ascii="Arial" w:hAnsi="Arial" w:cs="Arial"/>
          <w:color w:val="000000"/>
          <w:shd w:val="clear" w:color="auto" w:fill="FFFFFF"/>
          <w:lang w:val="en-US" w:eastAsia="en-GB"/>
        </w:rPr>
        <w:t>AMPure</w:t>
      </w:r>
      <w:proofErr w:type="spellEnd"/>
      <w:r w:rsidRPr="000B4102">
        <w:rPr>
          <w:rFonts w:ascii="Arial" w:hAnsi="Arial" w:cs="Arial"/>
          <w:color w:val="000000"/>
          <w:shd w:val="clear" w:color="auto" w:fill="FFFFFF"/>
          <w:lang w:val="en-US" w:eastAsia="en-GB"/>
        </w:rPr>
        <w:t xml:space="preserve"> XP beads (</w:t>
      </w:r>
      <w:proofErr w:type="spellStart"/>
      <w:r w:rsidRPr="000B4102">
        <w:rPr>
          <w:rFonts w:ascii="Arial" w:hAnsi="Arial" w:cs="Arial"/>
          <w:color w:val="000000"/>
          <w:shd w:val="clear" w:color="auto" w:fill="FFFFFF"/>
          <w:lang w:val="en-US" w:eastAsia="en-GB"/>
        </w:rPr>
        <w:t>Agencourt</w:t>
      </w:r>
      <w:proofErr w:type="spellEnd"/>
      <w:r w:rsidRPr="000B4102">
        <w:rPr>
          <w:rFonts w:ascii="Arial" w:hAnsi="Arial" w:cs="Arial"/>
          <w:color w:val="000000"/>
          <w:shd w:val="clear" w:color="auto" w:fill="FFFFFF"/>
          <w:lang w:val="en-US" w:eastAsia="en-GB"/>
        </w:rPr>
        <w:t xml:space="preserve"> Bioscience) according to Illumina's 16S metagenomic sequencing library preparation protocol</w:t>
      </w:r>
      <w:r>
        <w:rPr>
          <w:rFonts w:ascii="Arial" w:hAnsi="Arial" w:cs="Arial"/>
          <w:color w:val="000000"/>
          <w:shd w:val="clear" w:color="auto" w:fill="FFFFFF"/>
          <w:lang w:val="en-US" w:eastAsia="en-GB"/>
        </w:rPr>
        <w:fldChar w:fldCharType="begin" w:fldLock="1"/>
      </w:r>
      <w:r>
        <w:rPr>
          <w:rFonts w:ascii="Arial" w:hAnsi="Arial" w:cs="Arial"/>
          <w:color w:val="000000"/>
          <w:shd w:val="clear" w:color="auto" w:fill="FFFFFF"/>
          <w:lang w:val="en-US" w:eastAsia="en-GB"/>
        </w:rPr>
        <w:instrText>ADDIN CSL_CITATION {"citationItems":[{"id":"ITEM-1","itemData":{"URL":"https://support.illumina.com/downloads/16s_metagenomic_sequencing_library_preparation.html","accessed":{"date-parts":[["2017","8","7"]]},"id":"ITEM-1","issued":{"date-parts":[["0"]]},"title":"16S Metagenomic Sequencing Library Preparation","type":"webpage"},"uris":["http://www.mendeley.com/documents/?uuid=f6a35cd2-0bdc-3b51-b353-23e8911f83eb"]}],"mendeley":{"formattedCitation":"(21)","plainTextFormattedCitation":"(21)","previouslyFormattedCitation":"(22)"},"properties":{"noteIndex":0},"schema":"https://github.com/citation-style-language/schema/raw/master/csl-citation.json"}</w:instrText>
      </w:r>
      <w:r>
        <w:rPr>
          <w:rFonts w:ascii="Arial" w:hAnsi="Arial" w:cs="Arial"/>
          <w:color w:val="000000"/>
          <w:shd w:val="clear" w:color="auto" w:fill="FFFFFF"/>
          <w:lang w:val="en-US" w:eastAsia="en-GB"/>
        </w:rPr>
        <w:fldChar w:fldCharType="separate"/>
      </w:r>
      <w:r w:rsidRPr="00C77DAD">
        <w:rPr>
          <w:rFonts w:ascii="Arial" w:hAnsi="Arial" w:cs="Arial"/>
          <w:noProof/>
          <w:color w:val="000000"/>
          <w:shd w:val="clear" w:color="auto" w:fill="FFFFFF"/>
          <w:lang w:val="en-US" w:eastAsia="en-GB"/>
        </w:rPr>
        <w:t>(21)</w:t>
      </w:r>
      <w:r>
        <w:rPr>
          <w:rFonts w:ascii="Arial" w:hAnsi="Arial" w:cs="Arial"/>
          <w:color w:val="000000"/>
          <w:shd w:val="clear" w:color="auto" w:fill="FFFFFF"/>
          <w:lang w:val="en-US" w:eastAsia="en-GB"/>
        </w:rPr>
        <w:fldChar w:fldCharType="end"/>
      </w:r>
      <w:r w:rsidRPr="000B4102">
        <w:rPr>
          <w:rFonts w:ascii="Arial" w:hAnsi="Arial" w:cs="Arial"/>
          <w:color w:val="000000"/>
          <w:shd w:val="clear" w:color="auto" w:fill="FFFFFF"/>
          <w:lang w:val="en-US" w:eastAsia="en-GB"/>
        </w:rPr>
        <w:t xml:space="preserve">. </w:t>
      </w:r>
    </w:p>
    <w:p w14:paraId="7E093CC5" w14:textId="7D59824A" w:rsidR="00203497" w:rsidRDefault="00203497" w:rsidP="00D819BB">
      <w:pPr>
        <w:spacing w:line="360" w:lineRule="auto"/>
        <w:outlineLvl w:val="0"/>
        <w:rPr>
          <w:rFonts w:ascii="Arial" w:hAnsi="Arial" w:cs="Arial"/>
          <w:color w:val="000000"/>
          <w:shd w:val="clear" w:color="auto" w:fill="FFFFFF"/>
          <w:lang w:eastAsia="en-GB"/>
        </w:rPr>
      </w:pPr>
    </w:p>
    <w:p w14:paraId="6DE842B2" w14:textId="0253A393" w:rsidR="00965BCB" w:rsidRDefault="00965BCB" w:rsidP="00D819BB">
      <w:pPr>
        <w:spacing w:line="360" w:lineRule="auto"/>
        <w:outlineLvl w:val="0"/>
        <w:rPr>
          <w:rFonts w:ascii="Arial" w:hAnsi="Arial" w:cs="Arial"/>
          <w:color w:val="000000"/>
          <w:shd w:val="clear" w:color="auto" w:fill="FFFFFF"/>
          <w:lang w:eastAsia="en-GB"/>
        </w:rPr>
      </w:pPr>
    </w:p>
    <w:p w14:paraId="5DB6EA16" w14:textId="4D3F23DD" w:rsidR="00965BCB" w:rsidRDefault="00965BCB" w:rsidP="00D819BB">
      <w:pPr>
        <w:spacing w:line="360" w:lineRule="auto"/>
        <w:outlineLvl w:val="0"/>
        <w:rPr>
          <w:rFonts w:ascii="Arial" w:hAnsi="Arial" w:cs="Arial"/>
          <w:color w:val="000000"/>
          <w:shd w:val="clear" w:color="auto" w:fill="FFFFFF"/>
          <w:lang w:eastAsia="en-GB"/>
        </w:rPr>
      </w:pPr>
    </w:p>
    <w:p w14:paraId="0A4FA5E9" w14:textId="77777777" w:rsidR="00965BCB" w:rsidRDefault="00965BCB" w:rsidP="00D819BB">
      <w:pPr>
        <w:spacing w:line="360" w:lineRule="auto"/>
        <w:outlineLvl w:val="0"/>
        <w:rPr>
          <w:rFonts w:ascii="Arial" w:hAnsi="Arial" w:cs="Arial"/>
          <w:color w:val="000000"/>
          <w:shd w:val="clear" w:color="auto" w:fill="FFFFFF"/>
          <w:lang w:eastAsia="en-GB"/>
        </w:rPr>
      </w:pPr>
      <w:bookmarkStart w:id="0" w:name="_GoBack"/>
      <w:bookmarkEnd w:id="0"/>
    </w:p>
    <w:p w14:paraId="319F5B58" w14:textId="49800494" w:rsidR="00203497" w:rsidRDefault="00203497" w:rsidP="00D819BB">
      <w:pPr>
        <w:spacing w:line="360" w:lineRule="auto"/>
        <w:outlineLvl w:val="0"/>
        <w:rPr>
          <w:rFonts w:ascii="Arial" w:hAnsi="Arial" w:cs="Arial"/>
          <w:color w:val="000000"/>
          <w:shd w:val="clear" w:color="auto" w:fill="FFFFFF"/>
          <w:lang w:eastAsia="en-GB"/>
        </w:rPr>
      </w:pPr>
      <w:r w:rsidRPr="00880EA6">
        <w:rPr>
          <w:rFonts w:ascii="Arial" w:hAnsi="Arial" w:cs="Arial"/>
          <w:b/>
        </w:rPr>
        <w:lastRenderedPageBreak/>
        <w:t>Bioinformatic and Statistical analysis for bacterial 16S sequence data</w:t>
      </w:r>
    </w:p>
    <w:p w14:paraId="00AA5E43" w14:textId="77777777" w:rsidR="00203497" w:rsidRPr="00880EA6" w:rsidRDefault="00203497" w:rsidP="00203497">
      <w:pPr>
        <w:spacing w:line="360" w:lineRule="auto"/>
        <w:outlineLvl w:val="0"/>
        <w:rPr>
          <w:rFonts w:ascii="Arial" w:hAnsi="Arial" w:cs="Arial"/>
          <w:lang w:val="en-US"/>
        </w:rPr>
      </w:pPr>
      <w:r w:rsidRPr="00880EA6">
        <w:rPr>
          <w:rFonts w:ascii="Arial" w:hAnsi="Arial" w:cs="Arial"/>
          <w:lang w:val="en-US"/>
        </w:rPr>
        <w:t>The heat map was generated using the R package “</w:t>
      </w:r>
      <w:proofErr w:type="spellStart"/>
      <w:r w:rsidRPr="00880EA6">
        <w:rPr>
          <w:rFonts w:ascii="Arial" w:hAnsi="Arial" w:cs="Arial"/>
          <w:lang w:val="en-US"/>
        </w:rPr>
        <w:t>Heatplus</w:t>
      </w:r>
      <w:proofErr w:type="spellEnd"/>
      <w:r w:rsidRPr="00880EA6">
        <w:rPr>
          <w:rFonts w:ascii="Arial" w:hAnsi="Arial" w:cs="Arial"/>
          <w:lang w:val="en-US"/>
        </w:rPr>
        <w:t xml:space="preserve">” (Author Alexander </w:t>
      </w:r>
      <w:proofErr w:type="spellStart"/>
      <w:r w:rsidRPr="00880EA6">
        <w:rPr>
          <w:rFonts w:ascii="Arial" w:hAnsi="Arial" w:cs="Arial"/>
          <w:lang w:val="en-US"/>
        </w:rPr>
        <w:t>Ploner</w:t>
      </w:r>
      <w:proofErr w:type="spellEnd"/>
      <w:r w:rsidRPr="00880EA6">
        <w:rPr>
          <w:rFonts w:ascii="Arial" w:hAnsi="Arial" w:cs="Arial"/>
          <w:lang w:val="en-US"/>
        </w:rPr>
        <w:t xml:space="preserve">, available from  </w:t>
      </w:r>
      <w:hyperlink r:id="rId5" w:history="1">
        <w:r w:rsidRPr="00880EA6">
          <w:rPr>
            <w:rStyle w:val="Hyperlink"/>
            <w:rFonts w:ascii="Arial" w:hAnsi="Arial" w:cs="Arial"/>
            <w:lang w:val="en-US"/>
          </w:rPr>
          <w:t>https://github.com/alexploner/Heatplus)</w:t>
        </w:r>
      </w:hyperlink>
      <w:r w:rsidRPr="00880EA6">
        <w:rPr>
          <w:rFonts w:ascii="Arial" w:hAnsi="Arial" w:cs="Arial"/>
          <w:lang w:val="en-US"/>
        </w:rPr>
        <w:t xml:space="preserve">. For the heatmap we used the Bray Curtis clustering and </w:t>
      </w:r>
      <w:proofErr w:type="spellStart"/>
      <w:r w:rsidRPr="00880EA6">
        <w:rPr>
          <w:rFonts w:ascii="Arial" w:hAnsi="Arial" w:cs="Arial"/>
          <w:lang w:val="en-US"/>
        </w:rPr>
        <w:t>Ward.D</w:t>
      </w:r>
      <w:proofErr w:type="spellEnd"/>
      <w:r w:rsidRPr="00880EA6">
        <w:rPr>
          <w:rFonts w:ascii="Arial" w:hAnsi="Arial" w:cs="Arial"/>
          <w:lang w:val="en-US"/>
        </w:rPr>
        <w:t xml:space="preserve"> method. </w:t>
      </w:r>
    </w:p>
    <w:p w14:paraId="22EEE71D" w14:textId="77777777" w:rsidR="00203497" w:rsidRPr="00880EA6" w:rsidRDefault="00203497" w:rsidP="00203497">
      <w:pPr>
        <w:spacing w:line="360" w:lineRule="auto"/>
        <w:outlineLvl w:val="0"/>
        <w:rPr>
          <w:rFonts w:ascii="Arial" w:hAnsi="Arial" w:cs="Arial"/>
        </w:rPr>
      </w:pPr>
      <w:r w:rsidRPr="00880EA6">
        <w:rPr>
          <w:rFonts w:ascii="Arial" w:hAnsi="Arial" w:cs="Arial"/>
          <w:lang w:val="en-US"/>
        </w:rPr>
        <w:t>The hierarchi</w:t>
      </w:r>
      <w:r>
        <w:rPr>
          <w:rFonts w:ascii="Arial" w:hAnsi="Arial" w:cs="Arial"/>
          <w:lang w:val="en-US"/>
        </w:rPr>
        <w:t>c</w:t>
      </w:r>
      <w:r w:rsidRPr="00880EA6">
        <w:rPr>
          <w:rFonts w:ascii="Arial" w:hAnsi="Arial" w:cs="Arial"/>
          <w:lang w:val="en-US"/>
        </w:rPr>
        <w:t xml:space="preserve">al dendrogram used in the combined dendrogram/stack bar chart figure was taken from the heat map using the </w:t>
      </w:r>
      <w:proofErr w:type="spellStart"/>
      <w:r w:rsidRPr="00880EA6">
        <w:rPr>
          <w:rFonts w:ascii="Arial" w:hAnsi="Arial" w:cs="Arial"/>
          <w:lang w:val="en-US"/>
        </w:rPr>
        <w:t>Heatplus</w:t>
      </w:r>
      <w:proofErr w:type="spellEnd"/>
      <w:r w:rsidRPr="00880EA6">
        <w:rPr>
          <w:rFonts w:ascii="Arial" w:hAnsi="Arial" w:cs="Arial"/>
          <w:lang w:val="en-US"/>
        </w:rPr>
        <w:t xml:space="preserve"> package. </w:t>
      </w:r>
    </w:p>
    <w:p w14:paraId="522C183B" w14:textId="77777777" w:rsidR="00203497" w:rsidRPr="00880EA6" w:rsidRDefault="00203497" w:rsidP="00D819BB">
      <w:pPr>
        <w:spacing w:line="360" w:lineRule="auto"/>
        <w:outlineLvl w:val="0"/>
        <w:rPr>
          <w:rFonts w:ascii="Arial" w:hAnsi="Arial" w:cs="Arial"/>
          <w:color w:val="000000"/>
          <w:shd w:val="clear" w:color="auto" w:fill="FFFFFF"/>
          <w:lang w:eastAsia="en-GB"/>
        </w:rPr>
      </w:pPr>
    </w:p>
    <w:p w14:paraId="183D8102" w14:textId="77777777" w:rsidR="00D819BB" w:rsidRDefault="00D819BB" w:rsidP="00D819BB">
      <w:pPr>
        <w:spacing w:line="480" w:lineRule="auto"/>
      </w:pPr>
    </w:p>
    <w:sectPr w:rsidR="00D819BB" w:rsidSect="00912F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BB"/>
    <w:rsid w:val="00203497"/>
    <w:rsid w:val="00214242"/>
    <w:rsid w:val="00350EC3"/>
    <w:rsid w:val="00424535"/>
    <w:rsid w:val="00912FF7"/>
    <w:rsid w:val="00965BCB"/>
    <w:rsid w:val="009A47B9"/>
    <w:rsid w:val="009D4442"/>
    <w:rsid w:val="00D0688F"/>
    <w:rsid w:val="00D670C9"/>
    <w:rsid w:val="00D819BB"/>
    <w:rsid w:val="00E2497B"/>
    <w:rsid w:val="00EF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EE43"/>
  <w15:chartTrackingRefBased/>
  <w15:docId w15:val="{2A3CD43A-9BC6-8D49-919A-D2D33DC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9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ithub.com/alexploner/Heat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E409-AF8E-4656-8DEF-857782A9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Nazima Pathan</dc:creator>
  <cp:keywords/>
  <dc:description/>
  <cp:lastModifiedBy>Baeuerlein, Christopher</cp:lastModifiedBy>
  <cp:revision>3</cp:revision>
  <dcterms:created xsi:type="dcterms:W3CDTF">2019-02-27T15:02:00Z</dcterms:created>
  <dcterms:modified xsi:type="dcterms:W3CDTF">2019-04-24T21:05:00Z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http://www.zotero.org/styles/critical-care-medicine</vt:lpwstr>
  </property>
  <property fmtid="{D5CDD505-2E9C-101B-9397-08002B2CF9AE}" pid="9" name="Mendeley Recent Style Name 3_1">
    <vt:lpwstr>Critical Care Medicine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http://www.zotero.org/styles/intensive-care-medicine</vt:lpwstr>
  </property>
  <property fmtid="{D5CDD505-2E9C-101B-9397-08002B2CF9AE}" pid="15" name="Mendeley Recent Style Name 6_1">
    <vt:lpwstr>Intensive Care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a01806b5-9dcb-310a-8199-9e842671f6a5</vt:lpwstr>
  </property>
  <property fmtid="{D5CDD505-2E9C-101B-9397-08002B2CF9AE}" pid="24" name="Mendeley Citation Style_1">
    <vt:lpwstr>http://www.zotero.org/styles/critical-care-medicine</vt:lpwstr>
  </property>
</Properties>
</file>