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1EC3" w14:textId="77777777" w:rsidR="008B1317" w:rsidRPr="008B1317" w:rsidRDefault="008B1317" w:rsidP="008B1317">
      <w:pPr>
        <w:spacing w:line="480" w:lineRule="auto"/>
        <w:rPr>
          <w:rFonts w:ascii="Arial" w:hAnsi="Arial" w:cs="Arial"/>
          <w:b/>
        </w:rPr>
      </w:pPr>
      <w:r w:rsidRPr="008B1317">
        <w:rPr>
          <w:rFonts w:ascii="Arial" w:hAnsi="Arial" w:cs="Arial"/>
          <w:b/>
        </w:rPr>
        <w:t>Supplementary Figure Legends</w:t>
      </w:r>
    </w:p>
    <w:p w14:paraId="3008CC79" w14:textId="77777777" w:rsidR="008B1317" w:rsidRDefault="008B1317" w:rsidP="008B1317">
      <w:pPr>
        <w:spacing w:line="480" w:lineRule="auto"/>
        <w:rPr>
          <w:rFonts w:ascii="Arial" w:hAnsi="Arial" w:cs="Arial"/>
          <w:i/>
        </w:rPr>
      </w:pPr>
      <w:bookmarkStart w:id="0" w:name="_GoBack"/>
      <w:bookmarkEnd w:id="0"/>
    </w:p>
    <w:p w14:paraId="5C99092F" w14:textId="77777777" w:rsidR="008B1317" w:rsidRDefault="008B1317" w:rsidP="008B1317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Supplementary Figure 1: </w:t>
      </w:r>
      <w:proofErr w:type="spellStart"/>
      <w:r>
        <w:rPr>
          <w:rFonts w:ascii="Arial" w:hAnsi="Arial" w:cs="Arial"/>
          <w:i/>
        </w:rPr>
        <w:t>Timecourse</w:t>
      </w:r>
      <w:proofErr w:type="spellEnd"/>
      <w:r>
        <w:rPr>
          <w:rFonts w:ascii="Arial" w:hAnsi="Arial" w:cs="Arial"/>
          <w:i/>
        </w:rPr>
        <w:t xml:space="preserve"> analysis of urine 1H-NMR profiles from critically ill and healthy children</w:t>
      </w:r>
    </w:p>
    <w:p w14:paraId="760237FF" w14:textId="77777777" w:rsidR="008B1317" w:rsidRPr="00B64348" w:rsidRDefault="008B1317" w:rsidP="008B13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Urine samples were available in the first 48 hours and then at 3-5 days after admission for 60</w:t>
      </w:r>
      <w:r w:rsidRPr="00E47009">
        <w:rPr>
          <w:rFonts w:ascii="Arial" w:hAnsi="Arial" w:cs="Arial"/>
        </w:rPr>
        <w:t xml:space="preserve"> critically ill (42% male) and 5</w:t>
      </w:r>
      <w:r>
        <w:rPr>
          <w:rFonts w:ascii="Arial" w:hAnsi="Arial" w:cs="Arial"/>
        </w:rPr>
        <w:t>5</w:t>
      </w:r>
      <w:r w:rsidRPr="00E47009">
        <w:rPr>
          <w:rFonts w:ascii="Arial" w:hAnsi="Arial" w:cs="Arial"/>
        </w:rPr>
        <w:t xml:space="preserve"> healthy (50% male)</w:t>
      </w:r>
      <w:r>
        <w:rPr>
          <w:rFonts w:ascii="Arial" w:hAnsi="Arial" w:cs="Arial"/>
        </w:rPr>
        <w:t xml:space="preserve"> </w:t>
      </w:r>
      <w:r w:rsidRPr="00880EA6">
        <w:rPr>
          <w:rFonts w:ascii="Arial" w:hAnsi="Arial" w:cs="Arial"/>
        </w:rPr>
        <w:t>children</w:t>
      </w:r>
      <w:r>
        <w:rPr>
          <w:rFonts w:ascii="Arial" w:hAnsi="Arial" w:cs="Arial"/>
        </w:rPr>
        <w:t>. A late urine sample was available in 13 children who remained inpatients at day 6-8.</w:t>
      </w:r>
    </w:p>
    <w:p w14:paraId="4E2B2F5E" w14:textId="77777777" w:rsidR="008B1317" w:rsidRPr="0035602E" w:rsidRDefault="008B1317" w:rsidP="008B1317">
      <w:pPr>
        <w:spacing w:line="480" w:lineRule="auto"/>
        <w:rPr>
          <w:rFonts w:ascii="Arial" w:hAnsi="Arial" w:cs="Arial"/>
          <w:b/>
          <w:lang w:val="en-US"/>
        </w:rPr>
      </w:pPr>
      <w:r w:rsidRPr="009558DA">
        <w:rPr>
          <w:rFonts w:ascii="Arial" w:hAnsi="Arial" w:cs="Arial"/>
          <w:i/>
          <w:lang w:val="en-US"/>
        </w:rPr>
        <w:t>1a.</w:t>
      </w:r>
      <w:r w:rsidRPr="00880EA6">
        <w:rPr>
          <w:rFonts w:ascii="Arial" w:hAnsi="Arial" w:cs="Arial"/>
          <w:b/>
          <w:lang w:val="en-US"/>
        </w:rPr>
        <w:t xml:space="preserve"> </w:t>
      </w:r>
      <w:r w:rsidRPr="0035602E">
        <w:rPr>
          <w:rFonts w:ascii="Arial" w:hAnsi="Arial" w:cs="Arial"/>
          <w:lang w:val="en-US"/>
        </w:rPr>
        <w:t>Unsupervised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PCA scores plot of urine samples taken at Timepoint (TP)1, TP2 and TP3. </w:t>
      </w:r>
      <w:r w:rsidRPr="00880EA6">
        <w:rPr>
          <w:rFonts w:ascii="Arial" w:hAnsi="Arial" w:cs="Arial"/>
          <w:lang w:val="en-US"/>
        </w:rPr>
        <w:t>R</w:t>
      </w:r>
      <w:r w:rsidRPr="00880EA6">
        <w:rPr>
          <w:rFonts w:ascii="Arial" w:hAnsi="Arial" w:cs="Arial"/>
          <w:vertAlign w:val="superscript"/>
          <w:lang w:val="en-US"/>
        </w:rPr>
        <w:t>2</w:t>
      </w:r>
      <w:r w:rsidRPr="00880EA6">
        <w:rPr>
          <w:rFonts w:ascii="Arial" w:hAnsi="Arial" w:cs="Arial"/>
          <w:lang w:val="en-US"/>
        </w:rPr>
        <w:t>=</w:t>
      </w:r>
      <w:r>
        <w:rPr>
          <w:rFonts w:ascii="Arial" w:hAnsi="Arial" w:cs="Arial"/>
          <w:lang w:val="en-US"/>
        </w:rPr>
        <w:t>0.12</w:t>
      </w:r>
      <w:r w:rsidRPr="00880EA6">
        <w:rPr>
          <w:rFonts w:ascii="Arial" w:hAnsi="Arial" w:cs="Arial"/>
          <w:lang w:val="en-US"/>
        </w:rPr>
        <w:t>, Q</w:t>
      </w:r>
      <w:r w:rsidRPr="00880EA6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=0.06</w:t>
      </w:r>
      <w:r w:rsidRPr="00880EA6">
        <w:rPr>
          <w:rFonts w:ascii="Arial" w:hAnsi="Arial" w:cs="Arial"/>
          <w:lang w:val="en-US"/>
        </w:rPr>
        <w:t>.</w:t>
      </w:r>
    </w:p>
    <w:p w14:paraId="69C4FB31" w14:textId="77777777" w:rsidR="008B1317" w:rsidRDefault="008B1317" w:rsidP="008B1317">
      <w:pPr>
        <w:spacing w:line="480" w:lineRule="auto"/>
        <w:rPr>
          <w:rFonts w:ascii="Arial" w:hAnsi="Arial" w:cs="Arial"/>
        </w:rPr>
      </w:pPr>
      <w:r w:rsidRPr="009558DA">
        <w:rPr>
          <w:rFonts w:ascii="Arial" w:hAnsi="Arial" w:cs="Arial"/>
          <w:i/>
          <w:lang w:val="en-US"/>
        </w:rPr>
        <w:t>1b.</w:t>
      </w:r>
      <w:r w:rsidRPr="00880EA6">
        <w:rPr>
          <w:rFonts w:ascii="Arial" w:hAnsi="Arial" w:cs="Arial"/>
          <w:lang w:val="en-US"/>
        </w:rPr>
        <w:t xml:space="preserve"> </w:t>
      </w:r>
      <w:r w:rsidRPr="0035602E">
        <w:rPr>
          <w:rFonts w:ascii="Arial" w:hAnsi="Arial" w:cs="Arial"/>
          <w:bCs/>
          <w:lang w:val="en-US"/>
        </w:rPr>
        <w:t>Supervised O-PLS-DA</w:t>
      </w:r>
      <w:r w:rsidRPr="00880EA6">
        <w:rPr>
          <w:rFonts w:ascii="Arial" w:hAnsi="Arial" w:cs="Arial"/>
          <w:lang w:val="en-US"/>
        </w:rPr>
        <w:t xml:space="preserve"> loading</w:t>
      </w:r>
      <w:r>
        <w:rPr>
          <w:rFonts w:ascii="Arial" w:hAnsi="Arial" w:cs="Arial"/>
          <w:lang w:val="en-US"/>
        </w:rPr>
        <w:t>s</w:t>
      </w:r>
      <w:r w:rsidRPr="00880EA6">
        <w:rPr>
          <w:rFonts w:ascii="Arial" w:hAnsi="Arial" w:cs="Arial"/>
          <w:lang w:val="en-US"/>
        </w:rPr>
        <w:t xml:space="preserve"> line plot</w:t>
      </w:r>
      <w:r>
        <w:rPr>
          <w:rFonts w:ascii="Arial" w:hAnsi="Arial" w:cs="Arial"/>
          <w:lang w:val="en-US"/>
        </w:rPr>
        <w:t>.</w:t>
      </w:r>
      <w:r w:rsidRPr="00880E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Urinary </w:t>
      </w:r>
      <w:r w:rsidRPr="00880EA6">
        <w:rPr>
          <w:rFonts w:ascii="Arial" w:hAnsi="Arial" w:cs="Arial"/>
          <w:lang w:val="en-US"/>
        </w:rPr>
        <w:t>metabolites higher in</w:t>
      </w:r>
      <w:r>
        <w:rPr>
          <w:rFonts w:ascii="Arial" w:hAnsi="Arial" w:cs="Arial"/>
          <w:lang w:val="en-US"/>
        </w:rPr>
        <w:t xml:space="preserve"> admission samples (TP1)</w:t>
      </w:r>
      <w:r w:rsidRPr="00880E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(down</w:t>
      </w:r>
      <w:r w:rsidRPr="00880EA6">
        <w:rPr>
          <w:rFonts w:ascii="Arial" w:hAnsi="Arial" w:cs="Arial"/>
          <w:lang w:val="en-US"/>
        </w:rPr>
        <w:t xml:space="preserve">) compared to </w:t>
      </w:r>
      <w:r>
        <w:rPr>
          <w:rFonts w:ascii="Arial" w:hAnsi="Arial" w:cs="Arial"/>
          <w:lang w:val="en-US"/>
        </w:rPr>
        <w:t>later (TP3) samples</w:t>
      </w:r>
      <w:r w:rsidRPr="00880EA6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up</w:t>
      </w:r>
      <w:r w:rsidRPr="00880EA6">
        <w:rPr>
          <w:rFonts w:ascii="Arial" w:hAnsi="Arial" w:cs="Arial"/>
          <w:lang w:val="en-US"/>
        </w:rPr>
        <w:t>).</w:t>
      </w:r>
      <w:r>
        <w:rPr>
          <w:rFonts w:ascii="Arial" w:hAnsi="Arial" w:cs="Arial"/>
        </w:rPr>
        <w:t xml:space="preserve"> </w:t>
      </w:r>
      <w:r w:rsidRPr="00880EA6">
        <w:rPr>
          <w:rFonts w:ascii="Arial" w:hAnsi="Arial" w:cs="Arial"/>
          <w:lang w:val="en-US"/>
        </w:rPr>
        <w:t>R</w:t>
      </w:r>
      <w:r w:rsidRPr="00880EA6">
        <w:rPr>
          <w:rFonts w:ascii="Arial" w:hAnsi="Arial" w:cs="Arial"/>
          <w:vertAlign w:val="superscript"/>
          <w:lang w:val="en-US"/>
        </w:rPr>
        <w:t>2</w:t>
      </w:r>
      <w:r w:rsidRPr="00880EA6">
        <w:rPr>
          <w:rFonts w:ascii="Arial" w:hAnsi="Arial" w:cs="Arial"/>
          <w:lang w:val="en-US"/>
        </w:rPr>
        <w:t>Y=</w:t>
      </w:r>
      <w:r>
        <w:rPr>
          <w:rFonts w:ascii="Arial" w:hAnsi="Arial" w:cs="Arial"/>
          <w:lang w:val="en-US"/>
        </w:rPr>
        <w:t>0.70</w:t>
      </w:r>
      <w:r w:rsidRPr="00880EA6">
        <w:rPr>
          <w:rFonts w:ascii="Arial" w:hAnsi="Arial" w:cs="Arial"/>
          <w:lang w:val="en-US"/>
        </w:rPr>
        <w:t>, Q</w:t>
      </w:r>
      <w:r w:rsidRPr="00880EA6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Y=0.17</w:t>
      </w:r>
    </w:p>
    <w:p w14:paraId="44E58308" w14:textId="77777777" w:rsidR="008B1317" w:rsidRDefault="008B1317" w:rsidP="008B1317">
      <w:pPr>
        <w:spacing w:line="480" w:lineRule="auto"/>
        <w:rPr>
          <w:rFonts w:ascii="Arial" w:hAnsi="Arial" w:cs="Arial"/>
          <w:b/>
        </w:rPr>
      </w:pPr>
    </w:p>
    <w:p w14:paraId="33E0A9E4" w14:textId="77777777" w:rsidR="008B1317" w:rsidRDefault="008B1317" w:rsidP="008B13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Supplementary Figure 2: Analysis of </w:t>
      </w:r>
      <w:proofErr w:type="spellStart"/>
      <w:r>
        <w:rPr>
          <w:rFonts w:ascii="Arial" w:hAnsi="Arial" w:cs="Arial"/>
          <w:i/>
        </w:rPr>
        <w:t>fecal</w:t>
      </w:r>
      <w:proofErr w:type="spellEnd"/>
      <w:r>
        <w:rPr>
          <w:rFonts w:ascii="Arial" w:hAnsi="Arial" w:cs="Arial"/>
          <w:i/>
        </w:rPr>
        <w:t xml:space="preserve"> bile acid concentrations in healthy and critically ill children. </w:t>
      </w:r>
      <w:r w:rsidRPr="0035602E">
        <w:rPr>
          <w:rFonts w:ascii="Arial" w:hAnsi="Arial" w:cs="Arial"/>
          <w:bCs/>
          <w:lang w:val="en-US"/>
        </w:rPr>
        <w:t>Supervised O-PLS-DA</w:t>
      </w:r>
      <w:r w:rsidRPr="00880EA6">
        <w:rPr>
          <w:rFonts w:ascii="Arial" w:hAnsi="Arial" w:cs="Arial"/>
          <w:lang w:val="en-US"/>
        </w:rPr>
        <w:t xml:space="preserve"> loading</w:t>
      </w:r>
      <w:r>
        <w:rPr>
          <w:rFonts w:ascii="Arial" w:hAnsi="Arial" w:cs="Arial"/>
          <w:lang w:val="en-US"/>
        </w:rPr>
        <w:t>s</w:t>
      </w:r>
      <w:r w:rsidRPr="00880E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plot</w:t>
      </w:r>
      <w:r w:rsidRPr="00880EA6">
        <w:rPr>
          <w:rFonts w:ascii="Arial" w:hAnsi="Arial" w:cs="Arial"/>
          <w:lang w:val="en-US"/>
        </w:rPr>
        <w:t xml:space="preserve"> showing </w:t>
      </w:r>
      <w:r>
        <w:rPr>
          <w:rFonts w:ascii="Arial" w:hAnsi="Arial" w:cs="Arial"/>
          <w:lang w:val="en-US"/>
        </w:rPr>
        <w:t>bile acids</w:t>
      </w:r>
      <w:r w:rsidRPr="00880EA6">
        <w:rPr>
          <w:rFonts w:ascii="Arial" w:hAnsi="Arial" w:cs="Arial"/>
          <w:lang w:val="en-US"/>
        </w:rPr>
        <w:t xml:space="preserve"> that are higher in </w:t>
      </w:r>
      <w:r>
        <w:rPr>
          <w:rFonts w:ascii="Arial" w:hAnsi="Arial" w:cs="Arial"/>
          <w:lang w:val="en-US"/>
        </w:rPr>
        <w:t>healthy</w:t>
      </w:r>
      <w:r w:rsidRPr="00880EA6">
        <w:rPr>
          <w:rFonts w:ascii="Arial" w:hAnsi="Arial" w:cs="Arial"/>
          <w:lang w:val="en-US"/>
        </w:rPr>
        <w:t xml:space="preserve"> children (up) compared to </w:t>
      </w:r>
      <w:r>
        <w:rPr>
          <w:rFonts w:ascii="Arial" w:hAnsi="Arial" w:cs="Arial"/>
          <w:lang w:val="en-US"/>
        </w:rPr>
        <w:t xml:space="preserve">critically ill </w:t>
      </w:r>
      <w:r w:rsidRPr="00880EA6">
        <w:rPr>
          <w:rFonts w:ascii="Arial" w:hAnsi="Arial" w:cs="Arial"/>
          <w:lang w:val="en-US"/>
        </w:rPr>
        <w:t>children (down). R</w:t>
      </w:r>
      <w:r w:rsidRPr="00880EA6">
        <w:rPr>
          <w:rFonts w:ascii="Arial" w:hAnsi="Arial" w:cs="Arial"/>
          <w:vertAlign w:val="superscript"/>
          <w:lang w:val="en-US"/>
        </w:rPr>
        <w:t>2</w:t>
      </w:r>
      <w:r w:rsidRPr="00880EA6">
        <w:rPr>
          <w:rFonts w:ascii="Arial" w:hAnsi="Arial" w:cs="Arial"/>
          <w:lang w:val="en-US"/>
        </w:rPr>
        <w:t>Y=</w:t>
      </w:r>
      <w:r>
        <w:rPr>
          <w:rFonts w:ascii="Arial" w:hAnsi="Arial" w:cs="Arial"/>
          <w:lang w:val="en-US"/>
        </w:rPr>
        <w:t>0.47</w:t>
      </w:r>
      <w:r w:rsidRPr="00880EA6">
        <w:rPr>
          <w:rFonts w:ascii="Arial" w:hAnsi="Arial" w:cs="Arial"/>
          <w:lang w:val="en-US"/>
        </w:rPr>
        <w:t>, Q</w:t>
      </w:r>
      <w:r w:rsidRPr="00880EA6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Y=0.27</w:t>
      </w:r>
      <w:r w:rsidRPr="00880EA6">
        <w:rPr>
          <w:rFonts w:ascii="Arial" w:hAnsi="Arial" w:cs="Arial"/>
          <w:lang w:val="en-US"/>
        </w:rPr>
        <w:t>.</w:t>
      </w:r>
    </w:p>
    <w:p w14:paraId="4CE25D74" w14:textId="77777777" w:rsidR="008B1317" w:rsidRDefault="008B1317" w:rsidP="008B1317">
      <w:pPr>
        <w:spacing w:line="480" w:lineRule="auto"/>
        <w:rPr>
          <w:rFonts w:ascii="Arial" w:hAnsi="Arial" w:cs="Arial"/>
          <w:i/>
        </w:rPr>
      </w:pPr>
    </w:p>
    <w:p w14:paraId="23280BE0" w14:textId="77777777" w:rsidR="008B1317" w:rsidRDefault="008B1317" w:rsidP="008B1317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Supplementary Figure 3: Proportional abundance of bacterial genera in age-matched critically ill and healthy children.</w:t>
      </w:r>
    </w:p>
    <w:p w14:paraId="525C56F5" w14:textId="77777777" w:rsidR="008B1317" w:rsidRPr="00D250E9" w:rsidRDefault="008B1317" w:rsidP="008B1317">
      <w:pPr>
        <w:spacing w:line="480" w:lineRule="auto"/>
        <w:rPr>
          <w:rFonts w:ascii="Arial" w:hAnsi="Arial" w:cs="Arial"/>
          <w:i/>
        </w:rPr>
      </w:pPr>
      <w:r w:rsidRPr="00B35666">
        <w:rPr>
          <w:rFonts w:ascii="Arial" w:hAnsi="Arial" w:cs="Arial"/>
          <w:lang w:val="en-US"/>
        </w:rPr>
        <w:t>Samples were analy</w:t>
      </w:r>
      <w:r>
        <w:rPr>
          <w:rFonts w:ascii="Arial" w:hAnsi="Arial" w:cs="Arial"/>
          <w:lang w:val="en-US"/>
        </w:rPr>
        <w:t>z</w:t>
      </w:r>
      <w:r w:rsidRPr="00B35666">
        <w:rPr>
          <w:rFonts w:ascii="Arial" w:hAnsi="Arial" w:cs="Arial"/>
          <w:lang w:val="en-US"/>
        </w:rPr>
        <w:t>ed by hierarchical clustering using Bray Curtis matrix and Ward D method.</w:t>
      </w:r>
      <w:r>
        <w:rPr>
          <w:rFonts w:ascii="Arial" w:hAnsi="Arial" w:cs="Arial"/>
          <w:lang w:val="en-US"/>
        </w:rPr>
        <w:t xml:space="preserve"> </w:t>
      </w:r>
      <w:r w:rsidRPr="00B35666">
        <w:rPr>
          <w:rFonts w:ascii="Arial" w:hAnsi="Arial" w:cs="Arial"/>
          <w:lang w:val="en-US"/>
        </w:rPr>
        <w:t>Each bar</w:t>
      </w:r>
      <w:r>
        <w:rPr>
          <w:rFonts w:ascii="Arial" w:hAnsi="Arial" w:cs="Arial"/>
          <w:lang w:val="en-US"/>
        </w:rPr>
        <w:t xml:space="preserve"> in the associated stacked bar chart</w:t>
      </w:r>
      <w:r w:rsidRPr="00B35666">
        <w:rPr>
          <w:rFonts w:ascii="Arial" w:hAnsi="Arial" w:cs="Arial"/>
          <w:lang w:val="en-US"/>
        </w:rPr>
        <w:t xml:space="preserve"> represents the proportional abundance of bacterial taxa </w:t>
      </w:r>
      <w:r>
        <w:rPr>
          <w:rFonts w:ascii="Arial" w:hAnsi="Arial" w:cs="Arial"/>
          <w:lang w:val="en-US"/>
        </w:rPr>
        <w:t>at genus level</w:t>
      </w:r>
      <w:r w:rsidRPr="00B3566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Fecal</w:t>
      </w:r>
      <w:proofErr w:type="spellEnd"/>
      <w:r>
        <w:rPr>
          <w:rFonts w:ascii="Arial" w:hAnsi="Arial" w:cs="Arial"/>
        </w:rPr>
        <w:t xml:space="preserve"> samples were obtained in 42 critically </w:t>
      </w:r>
      <w:r>
        <w:rPr>
          <w:rFonts w:ascii="Arial" w:hAnsi="Arial" w:cs="Arial"/>
        </w:rPr>
        <w:lastRenderedPageBreak/>
        <w:t>ill children (mean of 4.2 (2.5) days after admission), and in 41 healthy children from the main cohort.</w:t>
      </w:r>
    </w:p>
    <w:p w14:paraId="3B80D2E4" w14:textId="77777777" w:rsidR="008B1317" w:rsidRPr="00B35666" w:rsidRDefault="008B1317" w:rsidP="008B13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a</w:t>
      </w:r>
      <w:r w:rsidRPr="008416F9">
        <w:rPr>
          <w:rFonts w:ascii="Arial" w:hAnsi="Arial" w:cs="Arial"/>
          <w:b/>
          <w:lang w:val="en-US"/>
        </w:rPr>
        <w:t>.</w:t>
      </w:r>
      <w:r w:rsidRPr="00B35666">
        <w:rPr>
          <w:rFonts w:ascii="Arial" w:hAnsi="Arial" w:cs="Arial"/>
          <w:lang w:val="en-US"/>
        </w:rPr>
        <w:t xml:space="preserve"> Top 19 genera with a minimum abundance of 1%, covering 81% of all reads</w:t>
      </w:r>
      <w:r>
        <w:rPr>
          <w:rFonts w:ascii="Arial" w:hAnsi="Arial" w:cs="Arial"/>
          <w:lang w:val="en-US"/>
        </w:rPr>
        <w:t>.</w:t>
      </w:r>
    </w:p>
    <w:p w14:paraId="58273F28" w14:textId="77777777" w:rsidR="008B1317" w:rsidRPr="00B35666" w:rsidRDefault="008B1317" w:rsidP="008B13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b</w:t>
      </w:r>
      <w:r w:rsidRPr="008416F9">
        <w:rPr>
          <w:rFonts w:ascii="Arial" w:hAnsi="Arial" w:cs="Arial"/>
          <w:b/>
          <w:lang w:val="en-US"/>
        </w:rPr>
        <w:t>.</w:t>
      </w:r>
      <w:r w:rsidRPr="00B35666">
        <w:rPr>
          <w:rFonts w:ascii="Arial" w:hAnsi="Arial" w:cs="Arial"/>
          <w:lang w:val="en-US"/>
        </w:rPr>
        <w:t xml:space="preserve"> The next 16 top genera with a minimum abundance of 0.5%-1%, covering 10.8% of all reads</w:t>
      </w:r>
      <w:r>
        <w:rPr>
          <w:rFonts w:ascii="Arial" w:hAnsi="Arial" w:cs="Arial"/>
          <w:lang w:val="en-US"/>
        </w:rPr>
        <w:t>.</w:t>
      </w:r>
    </w:p>
    <w:p w14:paraId="74AEC28F" w14:textId="77777777" w:rsidR="008B1317" w:rsidRPr="00B35666" w:rsidRDefault="008B1317" w:rsidP="008B1317">
      <w:pPr>
        <w:spacing w:line="480" w:lineRule="auto"/>
        <w:rPr>
          <w:rFonts w:ascii="Arial" w:hAnsi="Arial" w:cs="Arial"/>
        </w:rPr>
      </w:pPr>
    </w:p>
    <w:p w14:paraId="6F6AF0C4" w14:textId="77777777" w:rsidR="008B1317" w:rsidRPr="008416F9" w:rsidRDefault="008B1317" w:rsidP="008B1317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Supplementary Figure 4: Integrated analysis of microbial and metabolic data indicates collapse of the trophic fermentation network in critical illness.</w:t>
      </w:r>
    </w:p>
    <w:p w14:paraId="74A3831D" w14:textId="77777777" w:rsidR="008B1317" w:rsidRDefault="008B1317" w:rsidP="008B131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4a </w:t>
      </w:r>
      <w:r w:rsidRPr="008416F9">
        <w:rPr>
          <w:rFonts w:ascii="Arial" w:hAnsi="Arial" w:cs="Arial"/>
          <w:i/>
          <w:lang w:val="en-US"/>
        </w:rPr>
        <w:t>Correlation of microbial genera with metabolic profiles.</w:t>
      </w:r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PCA</w:t>
      </w:r>
      <w:r w:rsidRPr="008416F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scores plot</w:t>
      </w:r>
      <w:r w:rsidRPr="008416F9">
        <w:rPr>
          <w:rFonts w:ascii="Arial" w:hAnsi="Arial" w:cs="Arial"/>
          <w:b/>
          <w:lang w:val="en-US"/>
        </w:rPr>
        <w:t xml:space="preserve"> </w:t>
      </w:r>
      <w:r w:rsidRPr="008416F9">
        <w:rPr>
          <w:rFonts w:ascii="Arial" w:hAnsi="Arial" w:cs="Arial"/>
          <w:lang w:val="en-US"/>
        </w:rPr>
        <w:t>of normal</w:t>
      </w:r>
      <w:r>
        <w:rPr>
          <w:rFonts w:ascii="Arial" w:hAnsi="Arial" w:cs="Arial"/>
          <w:lang w:val="en-US"/>
        </w:rPr>
        <w:t>ized</w:t>
      </w:r>
      <w:r w:rsidRPr="008416F9">
        <w:rPr>
          <w:rFonts w:ascii="Arial" w:hAnsi="Arial" w:cs="Arial"/>
          <w:lang w:val="en-US"/>
        </w:rPr>
        <w:t xml:space="preserve"> metaboli</w:t>
      </w:r>
      <w:r>
        <w:rPr>
          <w:rFonts w:ascii="Arial" w:hAnsi="Arial" w:cs="Arial"/>
          <w:lang w:val="en-US"/>
        </w:rPr>
        <w:t>te concentrations and proportional abundance of bacterial genera</w:t>
      </w:r>
      <w:r w:rsidRPr="008416F9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Variables labelled were found to be statistically different between age-matched patients and controls. Clustering of variables associated with health and disease is observed, with separation indicated by arrows showing association with patient (red) and healthy control (blue) samples.</w:t>
      </w:r>
    </w:p>
    <w:p w14:paraId="3FE9EFBD" w14:textId="77777777" w:rsidR="008B1317" w:rsidRPr="00880EA6" w:rsidRDefault="008B1317" w:rsidP="008B1317">
      <w:pPr>
        <w:spacing w:line="480" w:lineRule="auto"/>
        <w:rPr>
          <w:rFonts w:ascii="Arial" w:hAnsi="Arial" w:cs="Arial"/>
          <w:lang w:val="nl-NL"/>
        </w:rPr>
      </w:pPr>
    </w:p>
    <w:p w14:paraId="0C9EF769" w14:textId="77777777" w:rsidR="008B1317" w:rsidRPr="00880EA6" w:rsidRDefault="008B1317" w:rsidP="008B1317">
      <w:pPr>
        <w:spacing w:line="480" w:lineRule="auto"/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>4b</w:t>
      </w:r>
      <w:r w:rsidRPr="00151315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Dysfunctional</w:t>
      </w:r>
      <w:r w:rsidRPr="00151315">
        <w:rPr>
          <w:rFonts w:ascii="Arial" w:hAnsi="Arial" w:cs="Arial"/>
          <w:i/>
          <w:lang w:val="en-US"/>
        </w:rPr>
        <w:t xml:space="preserve"> carbohydrate fermentation</w:t>
      </w:r>
      <w:r>
        <w:rPr>
          <w:rFonts w:ascii="Arial" w:hAnsi="Arial" w:cs="Arial"/>
          <w:i/>
          <w:lang w:val="en-US"/>
        </w:rPr>
        <w:t>.</w:t>
      </w:r>
    </w:p>
    <w:p w14:paraId="49863124" w14:textId="77777777" w:rsidR="008B1317" w:rsidRPr="00880EA6" w:rsidRDefault="008B1317" w:rsidP="008B1317">
      <w:pPr>
        <w:spacing w:line="480" w:lineRule="auto"/>
        <w:rPr>
          <w:rFonts w:ascii="Arial" w:hAnsi="Arial" w:cs="Arial"/>
          <w:lang w:val="nl-NL"/>
        </w:rPr>
      </w:pPr>
      <w:r w:rsidRPr="00880EA6">
        <w:rPr>
          <w:rFonts w:ascii="Arial" w:hAnsi="Arial" w:cs="Arial"/>
          <w:lang w:val="en-US"/>
        </w:rPr>
        <w:t>In health, commensal species ferment carbohydrate</w:t>
      </w:r>
      <w:r>
        <w:rPr>
          <w:rFonts w:ascii="Arial" w:hAnsi="Arial" w:cs="Arial"/>
          <w:lang w:val="en-US"/>
        </w:rPr>
        <w:t xml:space="preserve">s into short chain fatty acids (highlighted in blue), </w:t>
      </w:r>
      <w:r w:rsidRPr="00880EA6">
        <w:rPr>
          <w:rFonts w:ascii="Arial" w:hAnsi="Arial" w:cs="Arial"/>
          <w:lang w:val="en-US"/>
        </w:rPr>
        <w:t xml:space="preserve">such as acetate, butyrate and propionate. </w:t>
      </w:r>
      <w:r>
        <w:rPr>
          <w:rFonts w:ascii="Arial" w:hAnsi="Arial" w:cs="Arial"/>
          <w:lang w:val="en-US"/>
        </w:rPr>
        <w:t xml:space="preserve">These were more abundant in healthy children. </w:t>
      </w:r>
      <w:r w:rsidRPr="00880EA6">
        <w:rPr>
          <w:rFonts w:ascii="Arial" w:hAnsi="Arial" w:cs="Arial"/>
          <w:lang w:val="en-US"/>
        </w:rPr>
        <w:t xml:space="preserve">Depletion of these </w:t>
      </w:r>
      <w:r>
        <w:rPr>
          <w:rFonts w:ascii="Arial" w:hAnsi="Arial" w:cs="Arial"/>
          <w:lang w:val="en-US"/>
        </w:rPr>
        <w:t xml:space="preserve">commensal </w:t>
      </w:r>
      <w:r w:rsidRPr="00880EA6">
        <w:rPr>
          <w:rFonts w:ascii="Arial" w:hAnsi="Arial" w:cs="Arial"/>
          <w:lang w:val="en-US"/>
        </w:rPr>
        <w:t xml:space="preserve">bacteria in critical illness </w:t>
      </w:r>
      <w:r>
        <w:rPr>
          <w:rFonts w:ascii="Arial" w:hAnsi="Arial" w:cs="Arial"/>
          <w:lang w:val="en-US"/>
        </w:rPr>
        <w:t>was associated with</w:t>
      </w:r>
      <w:r w:rsidRPr="00880EA6">
        <w:rPr>
          <w:rFonts w:ascii="Arial" w:hAnsi="Arial" w:cs="Arial"/>
          <w:lang w:val="en-US"/>
        </w:rPr>
        <w:t xml:space="preserve"> accumulation of </w:t>
      </w:r>
      <w:r>
        <w:rPr>
          <w:rFonts w:ascii="Arial" w:hAnsi="Arial" w:cs="Arial"/>
          <w:lang w:val="en-US"/>
        </w:rPr>
        <w:t xml:space="preserve">intermediate </w:t>
      </w:r>
      <w:r w:rsidRPr="00880EA6">
        <w:rPr>
          <w:rFonts w:ascii="Arial" w:hAnsi="Arial" w:cs="Arial"/>
          <w:lang w:val="en-US"/>
        </w:rPr>
        <w:t xml:space="preserve">metabolites such as succinate, pyruvate, </w:t>
      </w:r>
      <w:proofErr w:type="spellStart"/>
      <w:r w:rsidRPr="00880EA6">
        <w:rPr>
          <w:rFonts w:ascii="Arial" w:hAnsi="Arial" w:cs="Arial"/>
          <w:lang w:val="en-US"/>
        </w:rPr>
        <w:t>formate</w:t>
      </w:r>
      <w:proofErr w:type="spellEnd"/>
      <w:r w:rsidRPr="00880EA6">
        <w:rPr>
          <w:rFonts w:ascii="Arial" w:hAnsi="Arial" w:cs="Arial"/>
          <w:lang w:val="en-US"/>
        </w:rPr>
        <w:t xml:space="preserve"> and keto-acids</w:t>
      </w:r>
      <w:r>
        <w:rPr>
          <w:rFonts w:ascii="Arial" w:hAnsi="Arial" w:cs="Arial"/>
          <w:lang w:val="en-US"/>
        </w:rPr>
        <w:t xml:space="preserve"> (highlighted in red)</w:t>
      </w:r>
      <w:r w:rsidRPr="00880EA6">
        <w:rPr>
          <w:rFonts w:ascii="Arial" w:hAnsi="Arial" w:cs="Arial"/>
          <w:lang w:val="en-US"/>
        </w:rPr>
        <w:t>.</w:t>
      </w:r>
    </w:p>
    <w:p w14:paraId="3C17FC2F" w14:textId="77777777" w:rsidR="00E42B61" w:rsidRDefault="00E42B61"/>
    <w:sectPr w:rsidR="00E4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17"/>
    <w:rsid w:val="008B1317"/>
    <w:rsid w:val="00905C03"/>
    <w:rsid w:val="00A711E5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E638"/>
  <w15:chartTrackingRefBased/>
  <w15:docId w15:val="{0026D96D-7518-4893-9B58-7B756C4B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2019-04-24T21:12:00Z</dcterms:created>
  <dcterms:modified xsi:type="dcterms:W3CDTF">2019-04-24T21:12:00Z</dcterms:modified>
</cp:coreProperties>
</file>