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D97B" w14:textId="77777777" w:rsidR="00E7020F" w:rsidRPr="00D644F3" w:rsidRDefault="00E7020F" w:rsidP="00E7020F">
      <w:pPr>
        <w:widowControl w:val="0"/>
        <w:spacing w:line="480" w:lineRule="auto"/>
        <w:jc w:val="center"/>
        <w:rPr>
          <w:b/>
          <w:lang w:val="fr-FR"/>
        </w:rPr>
      </w:pPr>
      <w:r>
        <w:rPr>
          <w:b/>
          <w:lang w:val="fr-FR"/>
        </w:rPr>
        <w:t>Appendix Figure Legends</w:t>
      </w:r>
    </w:p>
    <w:p w14:paraId="3E9C2BD6" w14:textId="77777777" w:rsidR="00E7020F" w:rsidRPr="00D644F3" w:rsidRDefault="00E7020F" w:rsidP="00E7020F">
      <w:pPr>
        <w:widowControl w:val="0"/>
        <w:spacing w:line="480" w:lineRule="auto"/>
        <w:jc w:val="center"/>
        <w:rPr>
          <w:b/>
          <w:lang w:val="fr-FR"/>
        </w:rPr>
      </w:pPr>
    </w:p>
    <w:p w14:paraId="084A76CE" w14:textId="77777777" w:rsidR="00E7020F" w:rsidRDefault="00E7020F" w:rsidP="00E7020F">
      <w:pPr>
        <w:widowControl w:val="0"/>
        <w:spacing w:line="480" w:lineRule="auto"/>
      </w:pPr>
      <w:r w:rsidRPr="00D644F3">
        <w:rPr>
          <w:b/>
          <w:lang w:val="fr-FR"/>
        </w:rPr>
        <w:t>Appendix</w:t>
      </w:r>
      <w:r>
        <w:rPr>
          <w:b/>
          <w:lang w:val="fr-FR"/>
        </w:rPr>
        <w:t xml:space="preserve"> </w:t>
      </w:r>
      <w:r w:rsidRPr="00D644F3">
        <w:rPr>
          <w:b/>
          <w:lang w:val="fr-FR"/>
        </w:rPr>
        <w:t>Figure 1.</w:t>
      </w:r>
      <w:r w:rsidRPr="00D644F3">
        <w:rPr>
          <w:lang w:val="fr-FR"/>
        </w:rPr>
        <w:t xml:space="preserve"> </w:t>
      </w:r>
      <w:r>
        <w:t>Sum</w:t>
      </w:r>
      <w:r>
        <w:t>m</w:t>
      </w:r>
      <w:r>
        <w:t>ary of literature and study selection</w:t>
      </w:r>
      <w:r w:rsidRPr="00C862ED">
        <w:t xml:space="preserve">. SEP-1 = Severe Sepsis and Septic Shock Early Management Bundle. * </w:t>
      </w:r>
      <w:r>
        <w:t>One</w:t>
      </w:r>
      <w:r w:rsidRPr="00C862ED">
        <w:t xml:space="preserve"> of these </w:t>
      </w:r>
      <w:r>
        <w:t xml:space="preserve">studies </w:t>
      </w:r>
      <w:r w:rsidRPr="00C862ED">
        <w:t xml:space="preserve">investigated 3 individual </w:t>
      </w:r>
      <w:r>
        <w:t xml:space="preserve">and separate </w:t>
      </w:r>
      <w:r w:rsidRPr="00C862ED">
        <w:t xml:space="preserve">cohorts of patients, and each cohort is treated as a separate study in this analysis. </w:t>
      </w:r>
      <w:r>
        <w:t>Sixteen</w:t>
      </w:r>
      <w:r w:rsidRPr="00C862ED">
        <w:t xml:space="preserve"> total studies were analyzed.</w:t>
      </w:r>
    </w:p>
    <w:p w14:paraId="2BBC69F2" w14:textId="77777777" w:rsidR="00E7020F" w:rsidRDefault="00E7020F" w:rsidP="00E7020F">
      <w:pPr>
        <w:widowControl w:val="0"/>
        <w:spacing w:line="480" w:lineRule="auto"/>
      </w:pPr>
    </w:p>
    <w:p w14:paraId="763929B9" w14:textId="77777777" w:rsidR="00E7020F" w:rsidRDefault="00E7020F" w:rsidP="00E7020F">
      <w:pPr>
        <w:widowControl w:val="0"/>
        <w:spacing w:line="480" w:lineRule="auto"/>
      </w:pPr>
      <w:r w:rsidRPr="004D275B">
        <w:rPr>
          <w:b/>
        </w:rPr>
        <w:t>Appendix</w:t>
      </w:r>
      <w:r>
        <w:rPr>
          <w:b/>
        </w:rPr>
        <w:t xml:space="preserve"> </w:t>
      </w:r>
      <w:r w:rsidRPr="004D275B">
        <w:rPr>
          <w:b/>
        </w:rPr>
        <w:t>Figure 2.</w:t>
      </w:r>
      <w:r>
        <w:t xml:space="preserve"> </w:t>
      </w:r>
      <w:r>
        <w:rPr>
          <w:rFonts w:eastAsia="Times New Roman"/>
          <w:color w:val="000000"/>
        </w:rPr>
        <w:t xml:space="preserve"> A funnel plot and Egger’s statistic (p=0.10) </w:t>
      </w:r>
      <w:bookmarkStart w:id="0" w:name="_GoBack"/>
      <w:bookmarkEnd w:id="0"/>
      <w:r>
        <w:rPr>
          <w:rFonts w:eastAsia="Times New Roman"/>
          <w:color w:val="000000"/>
        </w:rPr>
        <w:t xml:space="preserve">for the 17 studies analyzed. </w:t>
      </w:r>
    </w:p>
    <w:p w14:paraId="0A02A2FC" w14:textId="77777777" w:rsidR="00E7020F" w:rsidRDefault="00E7020F" w:rsidP="00E7020F">
      <w:pPr>
        <w:widowControl w:val="0"/>
        <w:spacing w:line="480" w:lineRule="auto"/>
      </w:pPr>
    </w:p>
    <w:p w14:paraId="22334BEE" w14:textId="77777777" w:rsidR="00E7020F" w:rsidRDefault="00E7020F" w:rsidP="00E7020F">
      <w:pPr>
        <w:widowControl w:val="0"/>
        <w:spacing w:line="480" w:lineRule="auto"/>
      </w:pPr>
      <w:r w:rsidRPr="004D275B">
        <w:rPr>
          <w:b/>
        </w:rPr>
        <w:t>Appendix</w:t>
      </w:r>
      <w:r>
        <w:rPr>
          <w:b/>
        </w:rPr>
        <w:t xml:space="preserve"> </w:t>
      </w:r>
      <w:r w:rsidRPr="004D275B">
        <w:rPr>
          <w:b/>
        </w:rPr>
        <w:t>Figure 3.</w:t>
      </w:r>
      <w:r>
        <w:t xml:space="preserve"> </w:t>
      </w:r>
      <w:r>
        <w:rPr>
          <w:rFonts w:eastAsia="Times New Roman"/>
          <w:color w:val="000000"/>
        </w:rPr>
        <w:t xml:space="preserve"> Panels A and B show the effect of treatment with a sepsis bundle on the odds ratio [95% confidence interval (CI)] of patients having lactate levels measured and blood cultures obtained respectively.</w:t>
      </w:r>
    </w:p>
    <w:p w14:paraId="24F4ADA6" w14:textId="77777777" w:rsidR="00B42549" w:rsidRDefault="00E7020F"/>
    <w:sectPr w:rsidR="00B42549" w:rsidSect="009F3A0F">
      <w:headerReference w:type="default" r:id="rId4"/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72C21" w14:textId="77777777" w:rsidR="00084D92" w:rsidRDefault="00E7020F" w:rsidP="008F4059">
    <w:pPr>
      <w:pStyle w:val="Footer"/>
      <w:framePr w:wrap="none" w:vAnchor="text" w:hAnchor="margin" w:xAlign="right" w:y="1"/>
      <w:rPr>
        <w:rStyle w:val="PageNumber"/>
        <w:rFonts w:ascii="Times New Roman" w:eastAsia="Cambria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4DA30" w14:textId="77777777" w:rsidR="00084D92" w:rsidRDefault="00E7020F" w:rsidP="008F40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4D8A" w14:textId="77777777" w:rsidR="00084D92" w:rsidRPr="005F7019" w:rsidRDefault="00E7020F" w:rsidP="008F4059">
    <w:pPr>
      <w:pStyle w:val="Footer"/>
      <w:framePr w:wrap="none" w:vAnchor="text" w:hAnchor="margin" w:xAlign="right" w:y="1"/>
      <w:rPr>
        <w:rStyle w:val="PageNumber"/>
        <w:rFonts w:ascii="Times New Roman" w:eastAsia="Cambria" w:hAnsi="Times New Roman"/>
      </w:rPr>
    </w:pPr>
    <w:r w:rsidRPr="005F7019">
      <w:rPr>
        <w:rStyle w:val="PageNumber"/>
        <w:rFonts w:ascii="Times New Roman" w:hAnsi="Times New Roman"/>
      </w:rPr>
      <w:fldChar w:fldCharType="begin"/>
    </w:r>
    <w:r w:rsidRPr="005F7019">
      <w:rPr>
        <w:rStyle w:val="PageNumber"/>
        <w:rFonts w:ascii="Times New Roman" w:hAnsi="Times New Roman"/>
      </w:rPr>
      <w:instrText xml:space="preserve">PAGE  </w:instrText>
    </w:r>
    <w:r w:rsidRPr="005F7019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30</w:t>
    </w:r>
    <w:r w:rsidRPr="005F7019">
      <w:rPr>
        <w:rStyle w:val="PageNumber"/>
        <w:rFonts w:ascii="Times New Roman" w:hAnsi="Times New Roman"/>
      </w:rPr>
      <w:fldChar w:fldCharType="end"/>
    </w:r>
  </w:p>
  <w:p w14:paraId="0B27846C" w14:textId="77777777" w:rsidR="00084D92" w:rsidRDefault="00E7020F" w:rsidP="008F405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77" w14:textId="77777777" w:rsidR="00084D92" w:rsidRDefault="00E70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0F"/>
    <w:rsid w:val="00657CF7"/>
    <w:rsid w:val="00742FE5"/>
    <w:rsid w:val="00E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7BF5"/>
  <w15:chartTrackingRefBased/>
  <w15:docId w15:val="{017F34FB-9B26-4AA4-89B8-7801172A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20F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20F"/>
    <w:pPr>
      <w:tabs>
        <w:tab w:val="center" w:pos="4680"/>
        <w:tab w:val="right" w:pos="9360"/>
      </w:tabs>
    </w:pPr>
    <w:rPr>
      <w:rFonts w:ascii="Cambria" w:eastAsia="Times New Roman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E7020F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E7020F"/>
  </w:style>
  <w:style w:type="paragraph" w:styleId="Header">
    <w:name w:val="header"/>
    <w:basedOn w:val="Normal"/>
    <w:link w:val="HeaderChar"/>
    <w:uiPriority w:val="99"/>
    <w:unhideWhenUsed/>
    <w:rsid w:val="00E7020F"/>
    <w:pPr>
      <w:tabs>
        <w:tab w:val="center" w:pos="4680"/>
        <w:tab w:val="right" w:pos="9360"/>
      </w:tabs>
    </w:pPr>
    <w:rPr>
      <w:rFonts w:ascii="Cambria" w:eastAsia="Times New Roman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E7020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2019-06-11T17:35:00Z</dcterms:created>
  <dcterms:modified xsi:type="dcterms:W3CDTF">2019-06-11T17:36:00Z</dcterms:modified>
</cp:coreProperties>
</file>