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91" w:rsidRPr="0095564F" w:rsidRDefault="002050E8">
      <w:pPr>
        <w:rPr>
          <w:rFonts w:ascii="Arial" w:hAnsi="Arial" w:cs="Arial"/>
          <w:b/>
        </w:rPr>
      </w:pPr>
      <w:r w:rsidRPr="0095564F">
        <w:rPr>
          <w:rFonts w:ascii="Arial" w:hAnsi="Arial" w:cs="Arial"/>
          <w:b/>
        </w:rPr>
        <w:t>Online Supplement</w:t>
      </w:r>
    </w:p>
    <w:p w:rsidR="002050E8" w:rsidRPr="0095564F" w:rsidRDefault="002050E8" w:rsidP="00C05C55">
      <w:pPr>
        <w:outlineLvl w:val="0"/>
        <w:rPr>
          <w:rFonts w:ascii="Arial" w:hAnsi="Arial" w:cs="Arial"/>
        </w:rPr>
      </w:pPr>
      <w:r w:rsidRPr="0095564F">
        <w:rPr>
          <w:rFonts w:ascii="Arial" w:hAnsi="Arial" w:cs="Arial"/>
          <w:b/>
        </w:rPr>
        <w:t>Title</w:t>
      </w:r>
      <w:r w:rsidRPr="0095564F">
        <w:rPr>
          <w:rFonts w:ascii="Arial" w:hAnsi="Arial" w:cs="Arial"/>
        </w:rPr>
        <w:t xml:space="preserve">: </w:t>
      </w:r>
      <w:r w:rsidR="00C05C55" w:rsidRPr="0095564F">
        <w:rPr>
          <w:rFonts w:ascii="Arial" w:hAnsi="Arial" w:cs="Arial"/>
        </w:rPr>
        <w:t>Epidemiology and Outcomes of Cancer-Rel</w:t>
      </w:r>
      <w:r w:rsidR="004C14F8">
        <w:rPr>
          <w:rFonts w:ascii="Arial" w:hAnsi="Arial" w:cs="Arial"/>
        </w:rPr>
        <w:t>ated and Non-Cancer-Related</w:t>
      </w:r>
      <w:r w:rsidR="00C05C55" w:rsidRPr="0095564F">
        <w:rPr>
          <w:rFonts w:ascii="Arial" w:hAnsi="Arial" w:cs="Arial"/>
        </w:rPr>
        <w:t xml:space="preserve"> Sepsis Hospitalizations</w:t>
      </w:r>
      <w:r w:rsidR="00C05C55" w:rsidRPr="0095564F" w:rsidDel="00757186">
        <w:rPr>
          <w:rFonts w:ascii="Arial" w:hAnsi="Arial" w:cs="Arial"/>
        </w:rPr>
        <w:t xml:space="preserve"> </w:t>
      </w:r>
    </w:p>
    <w:p w:rsidR="002050E8" w:rsidRPr="0095564F" w:rsidRDefault="002050E8" w:rsidP="002050E8">
      <w:pPr>
        <w:rPr>
          <w:rFonts w:ascii="Arial" w:hAnsi="Arial" w:cs="Arial"/>
        </w:rPr>
      </w:pPr>
      <w:r w:rsidRPr="0095564F">
        <w:rPr>
          <w:rFonts w:ascii="Arial" w:hAnsi="Arial" w:cs="Arial"/>
          <w:b/>
        </w:rPr>
        <w:t>Authors</w:t>
      </w:r>
      <w:r w:rsidRPr="0095564F">
        <w:rPr>
          <w:rFonts w:ascii="Arial" w:hAnsi="Arial" w:cs="Arial"/>
        </w:rPr>
        <w:t xml:space="preserve">: </w:t>
      </w:r>
      <w:r w:rsidR="00CE0D8A">
        <w:rPr>
          <w:rFonts w:ascii="Arial" w:hAnsi="Arial" w:cs="Arial"/>
        </w:rPr>
        <w:t>Matthew K. Hensley</w:t>
      </w:r>
      <w:r w:rsidR="0077516C">
        <w:rPr>
          <w:rFonts w:ascii="Arial" w:hAnsi="Arial" w:cs="Arial"/>
        </w:rPr>
        <w:t xml:space="preserve"> MD</w:t>
      </w:r>
      <w:r w:rsidRPr="0095564F">
        <w:rPr>
          <w:rFonts w:ascii="Arial" w:hAnsi="Arial" w:cs="Arial"/>
        </w:rPr>
        <w:t>;</w:t>
      </w:r>
      <w:r w:rsidR="00CE0D8A">
        <w:rPr>
          <w:rFonts w:ascii="Arial" w:hAnsi="Arial" w:cs="Arial"/>
        </w:rPr>
        <w:t xml:space="preserve"> John P. Donnelly</w:t>
      </w:r>
      <w:r w:rsidR="0077516C">
        <w:rPr>
          <w:rFonts w:ascii="Arial" w:hAnsi="Arial" w:cs="Arial"/>
        </w:rPr>
        <w:t xml:space="preserve"> PhD</w:t>
      </w:r>
      <w:r w:rsidR="00CE0D8A">
        <w:rPr>
          <w:rFonts w:ascii="Arial" w:hAnsi="Arial" w:cs="Arial"/>
        </w:rPr>
        <w:t>; Erin F. Carlton</w:t>
      </w:r>
      <w:r w:rsidR="0077516C">
        <w:rPr>
          <w:rFonts w:ascii="Arial" w:hAnsi="Arial" w:cs="Arial"/>
        </w:rPr>
        <w:t xml:space="preserve"> MD</w:t>
      </w:r>
      <w:r w:rsidR="00CE0D8A">
        <w:rPr>
          <w:rFonts w:ascii="Arial" w:hAnsi="Arial" w:cs="Arial"/>
        </w:rPr>
        <w:t>; Hallie C. Prescott</w:t>
      </w:r>
      <w:r w:rsidR="0077516C">
        <w:rPr>
          <w:rFonts w:ascii="Arial" w:hAnsi="Arial" w:cs="Arial"/>
        </w:rPr>
        <w:t xml:space="preserve"> MD</w:t>
      </w:r>
    </w:p>
    <w:p w:rsidR="002050E8" w:rsidRPr="0095564F" w:rsidRDefault="002050E8" w:rsidP="002050E8">
      <w:pPr>
        <w:rPr>
          <w:rFonts w:ascii="Arial" w:hAnsi="Arial" w:cs="Arial"/>
        </w:rPr>
      </w:pPr>
    </w:p>
    <w:p w:rsidR="002050E8" w:rsidRPr="0095564F" w:rsidRDefault="002050E8" w:rsidP="002050E8">
      <w:pPr>
        <w:rPr>
          <w:rFonts w:ascii="Arial" w:hAnsi="Arial" w:cs="Arial"/>
        </w:rPr>
      </w:pPr>
      <w:r w:rsidRPr="0095564F">
        <w:rPr>
          <w:rFonts w:ascii="Arial" w:hAnsi="Arial" w:cs="Arial"/>
          <w:b/>
        </w:rPr>
        <w:t>Supplemental Table 1</w:t>
      </w:r>
      <w:r w:rsidRPr="0095564F">
        <w:rPr>
          <w:rFonts w:ascii="Arial" w:hAnsi="Arial" w:cs="Arial"/>
        </w:rPr>
        <w:t>: Variable Definitions</w:t>
      </w:r>
      <w:r w:rsidR="006D1984" w:rsidRPr="0095564F">
        <w:rPr>
          <w:rFonts w:ascii="Arial" w:hAnsi="Arial" w:cs="Arial"/>
        </w:rPr>
        <w:tab/>
      </w:r>
      <w:r w:rsidR="006D1984" w:rsidRPr="0095564F">
        <w:rPr>
          <w:rFonts w:ascii="Arial" w:hAnsi="Arial" w:cs="Arial"/>
        </w:rPr>
        <w:tab/>
      </w:r>
      <w:r w:rsidR="006D1984" w:rsidRPr="0095564F">
        <w:rPr>
          <w:rFonts w:ascii="Arial" w:hAnsi="Arial" w:cs="Arial"/>
        </w:rPr>
        <w:tab/>
      </w:r>
      <w:r w:rsidR="006D1984" w:rsidRPr="0095564F">
        <w:rPr>
          <w:rFonts w:ascii="Arial" w:hAnsi="Arial" w:cs="Arial"/>
        </w:rPr>
        <w:tab/>
      </w:r>
      <w:r w:rsidR="006D1984" w:rsidRPr="0095564F">
        <w:rPr>
          <w:rFonts w:ascii="Arial" w:hAnsi="Arial" w:cs="Arial"/>
        </w:rPr>
        <w:tab/>
      </w:r>
      <w:r w:rsidR="006D1984" w:rsidRPr="0095564F">
        <w:rPr>
          <w:rFonts w:ascii="Arial" w:hAnsi="Arial" w:cs="Arial"/>
        </w:rPr>
        <w:tab/>
      </w:r>
      <w:r w:rsidR="0095564F">
        <w:rPr>
          <w:rFonts w:ascii="Arial" w:hAnsi="Arial" w:cs="Arial"/>
        </w:rPr>
        <w:tab/>
      </w:r>
      <w:r w:rsidR="006D1984" w:rsidRPr="0095564F">
        <w:rPr>
          <w:rFonts w:ascii="Arial" w:hAnsi="Arial" w:cs="Arial"/>
        </w:rPr>
        <w:t>p. 2-3</w:t>
      </w:r>
    </w:p>
    <w:p w:rsidR="003F65DB" w:rsidRDefault="003F65DB" w:rsidP="003F65DB">
      <w:pPr>
        <w:rPr>
          <w:rFonts w:ascii="Arial" w:hAnsi="Arial" w:cs="Arial"/>
        </w:rPr>
      </w:pPr>
      <w:r w:rsidRPr="0095564F">
        <w:rPr>
          <w:rFonts w:ascii="Arial" w:hAnsi="Arial" w:cs="Arial"/>
          <w:b/>
        </w:rPr>
        <w:t xml:space="preserve">Supplemental Table </w:t>
      </w:r>
      <w:r>
        <w:rPr>
          <w:rFonts w:ascii="Arial" w:hAnsi="Arial" w:cs="Arial"/>
          <w:b/>
        </w:rPr>
        <w:t>2</w:t>
      </w:r>
      <w:r w:rsidRPr="0095564F">
        <w:rPr>
          <w:rFonts w:ascii="Arial" w:hAnsi="Arial" w:cs="Arial"/>
        </w:rPr>
        <w:t>: Pediatric Complex Chronic Conditions C</w:t>
      </w:r>
      <w:r>
        <w:rPr>
          <w:rFonts w:ascii="Arial" w:hAnsi="Arial" w:cs="Arial"/>
        </w:rPr>
        <w:t>haracteristics</w:t>
      </w:r>
      <w:r>
        <w:rPr>
          <w:rFonts w:ascii="Arial" w:hAnsi="Arial" w:cs="Arial"/>
        </w:rPr>
        <w:tab/>
      </w:r>
      <w:r>
        <w:rPr>
          <w:rFonts w:ascii="Arial" w:hAnsi="Arial" w:cs="Arial"/>
        </w:rPr>
        <w:tab/>
        <w:t>p. 4</w:t>
      </w:r>
    </w:p>
    <w:p w:rsidR="00183346" w:rsidRDefault="00183346" w:rsidP="00183346">
      <w:pPr>
        <w:rPr>
          <w:rFonts w:ascii="Arial" w:hAnsi="Arial" w:cs="Arial"/>
        </w:rPr>
      </w:pPr>
      <w:r>
        <w:rPr>
          <w:rFonts w:ascii="Arial" w:hAnsi="Arial" w:cs="Arial"/>
          <w:b/>
        </w:rPr>
        <w:t xml:space="preserve">Supplemental Table 3: </w:t>
      </w:r>
      <w:r>
        <w:rPr>
          <w:rFonts w:ascii="Arial" w:hAnsi="Arial" w:cs="Arial"/>
        </w:rPr>
        <w:t>Comparison of Sepsis Outcomes from 1990-2014</w:t>
      </w:r>
      <w:r>
        <w:rPr>
          <w:rFonts w:ascii="Arial" w:hAnsi="Arial" w:cs="Arial"/>
        </w:rPr>
        <w:tab/>
      </w:r>
      <w:r>
        <w:rPr>
          <w:rFonts w:ascii="Arial" w:hAnsi="Arial" w:cs="Arial"/>
        </w:rPr>
        <w:tab/>
        <w:t>p. 5</w:t>
      </w:r>
    </w:p>
    <w:p w:rsidR="00A42687" w:rsidRPr="0095564F" w:rsidRDefault="00A42687" w:rsidP="00A42687">
      <w:pPr>
        <w:rPr>
          <w:rFonts w:ascii="Arial" w:hAnsi="Arial" w:cs="Arial"/>
        </w:rPr>
      </w:pPr>
      <w:r w:rsidRPr="0095564F">
        <w:rPr>
          <w:rFonts w:ascii="Arial" w:hAnsi="Arial" w:cs="Arial"/>
          <w:b/>
        </w:rPr>
        <w:t xml:space="preserve">Supplemental Table </w:t>
      </w:r>
      <w:r w:rsidR="00462438">
        <w:rPr>
          <w:rFonts w:ascii="Arial" w:hAnsi="Arial" w:cs="Arial"/>
          <w:b/>
        </w:rPr>
        <w:t>4</w:t>
      </w:r>
      <w:r w:rsidRPr="0095564F">
        <w:rPr>
          <w:rFonts w:ascii="Arial" w:hAnsi="Arial" w:cs="Arial"/>
          <w:b/>
        </w:rPr>
        <w:t>:</w:t>
      </w:r>
      <w:r w:rsidRPr="0095564F">
        <w:rPr>
          <w:rFonts w:ascii="Arial" w:hAnsi="Arial" w:cs="Arial"/>
        </w:rPr>
        <w:t xml:space="preserve"> Insurance Payer Type</w:t>
      </w:r>
      <w:r w:rsidRPr="0095564F">
        <w:rPr>
          <w:rFonts w:ascii="Arial" w:hAnsi="Arial" w:cs="Arial"/>
        </w:rPr>
        <w:tab/>
      </w:r>
      <w:r w:rsidRPr="0095564F">
        <w:rPr>
          <w:rFonts w:ascii="Arial" w:hAnsi="Arial" w:cs="Arial"/>
        </w:rPr>
        <w:tab/>
      </w:r>
      <w:r w:rsidRPr="0095564F">
        <w:rPr>
          <w:rFonts w:ascii="Arial" w:hAnsi="Arial" w:cs="Arial"/>
        </w:rPr>
        <w:tab/>
      </w:r>
      <w:r w:rsidRPr="0095564F">
        <w:rPr>
          <w:rFonts w:ascii="Arial" w:hAnsi="Arial" w:cs="Arial"/>
        </w:rPr>
        <w:tab/>
      </w:r>
      <w:r w:rsidRPr="0095564F">
        <w:rPr>
          <w:rFonts w:ascii="Arial" w:hAnsi="Arial" w:cs="Arial"/>
        </w:rPr>
        <w:tab/>
      </w:r>
      <w:r w:rsidR="00462438">
        <w:rPr>
          <w:rFonts w:ascii="Arial" w:hAnsi="Arial" w:cs="Arial"/>
        </w:rPr>
        <w:tab/>
        <w:t>p. 6</w:t>
      </w:r>
    </w:p>
    <w:p w:rsidR="00A42687" w:rsidRPr="0095564F" w:rsidRDefault="00A42687" w:rsidP="00A42687">
      <w:pPr>
        <w:rPr>
          <w:rFonts w:ascii="Arial" w:hAnsi="Arial" w:cs="Arial"/>
        </w:rPr>
      </w:pPr>
      <w:r w:rsidRPr="0095564F">
        <w:rPr>
          <w:rFonts w:ascii="Arial" w:hAnsi="Arial" w:cs="Arial"/>
          <w:b/>
        </w:rPr>
        <w:t xml:space="preserve">Supplemental Table </w:t>
      </w:r>
      <w:r w:rsidR="00462438">
        <w:rPr>
          <w:rFonts w:ascii="Arial" w:hAnsi="Arial" w:cs="Arial"/>
          <w:b/>
        </w:rPr>
        <w:t>5</w:t>
      </w:r>
      <w:r w:rsidRPr="0095564F">
        <w:rPr>
          <w:rFonts w:ascii="Arial" w:hAnsi="Arial" w:cs="Arial"/>
        </w:rPr>
        <w:t xml:space="preserve">: </w:t>
      </w:r>
      <w:proofErr w:type="spellStart"/>
      <w:r w:rsidRPr="0095564F">
        <w:rPr>
          <w:rFonts w:ascii="Arial" w:hAnsi="Arial" w:cs="Arial"/>
        </w:rPr>
        <w:t>Charlson</w:t>
      </w:r>
      <w:proofErr w:type="spellEnd"/>
      <w:r w:rsidRPr="0095564F">
        <w:rPr>
          <w:rFonts w:ascii="Arial" w:hAnsi="Arial" w:cs="Arial"/>
        </w:rPr>
        <w:t xml:space="preserve"> Comorbidity Index Characteristics</w:t>
      </w:r>
      <w:r w:rsidRPr="0095564F">
        <w:rPr>
          <w:rFonts w:ascii="Arial" w:hAnsi="Arial" w:cs="Arial"/>
        </w:rPr>
        <w:tab/>
      </w:r>
      <w:r w:rsidRPr="0095564F">
        <w:rPr>
          <w:rFonts w:ascii="Arial" w:hAnsi="Arial" w:cs="Arial"/>
        </w:rPr>
        <w:tab/>
      </w:r>
      <w:r w:rsidRPr="0095564F">
        <w:rPr>
          <w:rFonts w:ascii="Arial" w:hAnsi="Arial" w:cs="Arial"/>
        </w:rPr>
        <w:tab/>
        <w:t xml:space="preserve">p. </w:t>
      </w:r>
      <w:r w:rsidR="00462438">
        <w:rPr>
          <w:rFonts w:ascii="Arial" w:hAnsi="Arial" w:cs="Arial"/>
        </w:rPr>
        <w:t>7</w:t>
      </w:r>
    </w:p>
    <w:p w:rsidR="003F65DB" w:rsidRPr="00782D7B" w:rsidRDefault="003F65DB" w:rsidP="003F65DB">
      <w:pPr>
        <w:rPr>
          <w:rFonts w:ascii="Arial" w:hAnsi="Arial" w:cs="Arial"/>
        </w:rPr>
      </w:pPr>
      <w:r>
        <w:rPr>
          <w:rFonts w:ascii="Arial" w:hAnsi="Arial" w:cs="Arial"/>
          <w:b/>
        </w:rPr>
        <w:t>Supplemental Table 6</w:t>
      </w:r>
      <w:r>
        <w:rPr>
          <w:rFonts w:ascii="Arial" w:hAnsi="Arial" w:cs="Arial"/>
        </w:rPr>
        <w:t xml:space="preserve">: </w:t>
      </w:r>
      <w:r w:rsidRPr="00E340AB">
        <w:rPr>
          <w:rFonts w:ascii="Arial" w:hAnsi="Arial" w:cs="Arial"/>
          <w:color w:val="212121"/>
        </w:rPr>
        <w:t>Comparison of Sepsis Mort</w:t>
      </w:r>
      <w:r w:rsidR="00183346">
        <w:rPr>
          <w:rFonts w:ascii="Arial" w:hAnsi="Arial" w:cs="Arial"/>
          <w:color w:val="212121"/>
        </w:rPr>
        <w:t>ality by Site and Organ Dysfunctions</w:t>
      </w:r>
      <w:r>
        <w:rPr>
          <w:rFonts w:ascii="Arial" w:hAnsi="Arial" w:cs="Arial"/>
          <w:color w:val="212121"/>
        </w:rPr>
        <w:tab/>
        <w:t>p. 8</w:t>
      </w:r>
    </w:p>
    <w:p w:rsidR="00C413DE" w:rsidRPr="0095564F" w:rsidRDefault="00C413DE" w:rsidP="002050E8">
      <w:pPr>
        <w:rPr>
          <w:rFonts w:ascii="Arial" w:hAnsi="Arial" w:cs="Arial"/>
        </w:rPr>
      </w:pPr>
      <w:r w:rsidRPr="0095564F">
        <w:rPr>
          <w:rFonts w:ascii="Arial" w:hAnsi="Arial" w:cs="Arial"/>
          <w:b/>
        </w:rPr>
        <w:t xml:space="preserve">Supplemental Table </w:t>
      </w:r>
      <w:r w:rsidR="003F65DB">
        <w:rPr>
          <w:rFonts w:ascii="Arial" w:hAnsi="Arial" w:cs="Arial"/>
          <w:b/>
        </w:rPr>
        <w:t>7</w:t>
      </w:r>
      <w:r w:rsidRPr="0095564F">
        <w:rPr>
          <w:rFonts w:ascii="Arial" w:hAnsi="Arial" w:cs="Arial"/>
        </w:rPr>
        <w:t>: Sepsis Hospitaliz</w:t>
      </w:r>
      <w:r w:rsidR="00F97495" w:rsidRPr="0095564F">
        <w:rPr>
          <w:rFonts w:ascii="Arial" w:hAnsi="Arial" w:cs="Arial"/>
        </w:rPr>
        <w:t>a</w:t>
      </w:r>
      <w:r w:rsidR="00B57CD4" w:rsidRPr="0095564F">
        <w:rPr>
          <w:rFonts w:ascii="Arial" w:hAnsi="Arial" w:cs="Arial"/>
        </w:rPr>
        <w:t>tion Demographics by Tumor Type</w:t>
      </w:r>
      <w:r w:rsidR="00A42687">
        <w:rPr>
          <w:rFonts w:ascii="Arial" w:hAnsi="Arial" w:cs="Arial"/>
        </w:rPr>
        <w:tab/>
      </w:r>
      <w:r w:rsidR="00A42687">
        <w:rPr>
          <w:rFonts w:ascii="Arial" w:hAnsi="Arial" w:cs="Arial"/>
        </w:rPr>
        <w:tab/>
        <w:t xml:space="preserve">p. </w:t>
      </w:r>
      <w:r w:rsidR="003F65DB">
        <w:rPr>
          <w:rFonts w:ascii="Arial" w:hAnsi="Arial" w:cs="Arial"/>
        </w:rPr>
        <w:t>9</w:t>
      </w:r>
    </w:p>
    <w:p w:rsidR="00030091" w:rsidRPr="0095564F" w:rsidRDefault="00030091" w:rsidP="002050E8">
      <w:pPr>
        <w:rPr>
          <w:rFonts w:ascii="Arial" w:hAnsi="Arial" w:cs="Arial"/>
        </w:rPr>
      </w:pPr>
      <w:r w:rsidRPr="0095564F">
        <w:rPr>
          <w:rFonts w:ascii="Arial" w:hAnsi="Arial" w:cs="Arial"/>
          <w:b/>
        </w:rPr>
        <w:t xml:space="preserve">Supplemental Table </w:t>
      </w:r>
      <w:r w:rsidR="003F65DB">
        <w:rPr>
          <w:rFonts w:ascii="Arial" w:hAnsi="Arial" w:cs="Arial"/>
          <w:b/>
        </w:rPr>
        <w:t>8</w:t>
      </w:r>
      <w:r w:rsidRPr="0095564F">
        <w:rPr>
          <w:rFonts w:ascii="Arial" w:hAnsi="Arial" w:cs="Arial"/>
        </w:rPr>
        <w:t>: Unadjusted In-hospital Sepsi</w:t>
      </w:r>
      <w:r w:rsidR="003F65DB">
        <w:rPr>
          <w:rFonts w:ascii="Arial" w:hAnsi="Arial" w:cs="Arial"/>
        </w:rPr>
        <w:t>s Mortality by Cancer Type</w:t>
      </w:r>
      <w:r w:rsidR="003F65DB">
        <w:rPr>
          <w:rFonts w:ascii="Arial" w:hAnsi="Arial" w:cs="Arial"/>
        </w:rPr>
        <w:tab/>
      </w:r>
      <w:r w:rsidR="003F65DB">
        <w:rPr>
          <w:rFonts w:ascii="Arial" w:hAnsi="Arial" w:cs="Arial"/>
        </w:rPr>
        <w:tab/>
        <w:t>p. 10</w:t>
      </w:r>
    </w:p>
    <w:p w:rsidR="00531438" w:rsidRPr="0095564F" w:rsidRDefault="00A42687" w:rsidP="002050E8">
      <w:pPr>
        <w:rPr>
          <w:rFonts w:ascii="Arial" w:hAnsi="Arial" w:cs="Arial"/>
        </w:rPr>
      </w:pPr>
      <w:r>
        <w:rPr>
          <w:rFonts w:ascii="Arial" w:hAnsi="Arial" w:cs="Arial"/>
          <w:b/>
        </w:rPr>
        <w:t xml:space="preserve">Supplemental Table </w:t>
      </w:r>
      <w:r w:rsidR="003F65DB">
        <w:rPr>
          <w:rFonts w:ascii="Arial" w:hAnsi="Arial" w:cs="Arial"/>
          <w:b/>
        </w:rPr>
        <w:t>9</w:t>
      </w:r>
      <w:r w:rsidR="00531438" w:rsidRPr="0095564F">
        <w:rPr>
          <w:rFonts w:ascii="Arial" w:hAnsi="Arial" w:cs="Arial"/>
        </w:rPr>
        <w:t>: Adjusted In-hospital Sepsis Mortality by Cancer Type</w:t>
      </w:r>
      <w:r w:rsidR="00531438" w:rsidRPr="0095564F">
        <w:rPr>
          <w:rFonts w:ascii="Arial" w:hAnsi="Arial" w:cs="Arial"/>
        </w:rPr>
        <w:tab/>
      </w:r>
      <w:r w:rsidR="00531438" w:rsidRPr="0095564F">
        <w:rPr>
          <w:rFonts w:ascii="Arial" w:hAnsi="Arial" w:cs="Arial"/>
        </w:rPr>
        <w:tab/>
        <w:t xml:space="preserve">p. </w:t>
      </w:r>
      <w:r w:rsidR="003F65DB">
        <w:rPr>
          <w:rFonts w:ascii="Arial" w:hAnsi="Arial" w:cs="Arial"/>
        </w:rPr>
        <w:t>11</w:t>
      </w:r>
    </w:p>
    <w:p w:rsidR="00F97495" w:rsidRPr="0095564F" w:rsidRDefault="00F97495" w:rsidP="002050E8">
      <w:pPr>
        <w:rPr>
          <w:rFonts w:ascii="Arial" w:hAnsi="Arial" w:cs="Arial"/>
        </w:rPr>
      </w:pPr>
      <w:r w:rsidRPr="0095564F">
        <w:rPr>
          <w:rFonts w:ascii="Arial" w:hAnsi="Arial" w:cs="Arial"/>
          <w:b/>
        </w:rPr>
        <w:t xml:space="preserve">Supplemental Table </w:t>
      </w:r>
      <w:r w:rsidR="003F65DB">
        <w:rPr>
          <w:rFonts w:ascii="Arial" w:hAnsi="Arial" w:cs="Arial"/>
          <w:b/>
        </w:rPr>
        <w:t>10</w:t>
      </w:r>
      <w:r w:rsidRPr="0095564F">
        <w:rPr>
          <w:rFonts w:ascii="Arial" w:hAnsi="Arial" w:cs="Arial"/>
        </w:rPr>
        <w:t>: Unadjusted Sepsi</w:t>
      </w:r>
      <w:r w:rsidR="00FA6A6F" w:rsidRPr="0095564F">
        <w:rPr>
          <w:rFonts w:ascii="Arial" w:hAnsi="Arial" w:cs="Arial"/>
        </w:rPr>
        <w:t>s</w:t>
      </w:r>
      <w:r w:rsidR="005576EC" w:rsidRPr="0095564F">
        <w:rPr>
          <w:rFonts w:ascii="Arial" w:hAnsi="Arial" w:cs="Arial"/>
        </w:rPr>
        <w:t xml:space="preserve"> Mortality by Tumor Type</w:t>
      </w:r>
      <w:r w:rsidR="005576EC" w:rsidRPr="0095564F">
        <w:rPr>
          <w:rFonts w:ascii="Arial" w:hAnsi="Arial" w:cs="Arial"/>
        </w:rPr>
        <w:tab/>
      </w:r>
      <w:r w:rsidR="005576EC" w:rsidRPr="0095564F">
        <w:rPr>
          <w:rFonts w:ascii="Arial" w:hAnsi="Arial" w:cs="Arial"/>
        </w:rPr>
        <w:tab/>
      </w:r>
      <w:r w:rsidR="005576EC" w:rsidRPr="0095564F">
        <w:rPr>
          <w:rFonts w:ascii="Arial" w:hAnsi="Arial" w:cs="Arial"/>
        </w:rPr>
        <w:tab/>
        <w:t xml:space="preserve">p. </w:t>
      </w:r>
      <w:r w:rsidR="003F65DB">
        <w:rPr>
          <w:rFonts w:ascii="Arial" w:hAnsi="Arial" w:cs="Arial"/>
        </w:rPr>
        <w:t>12</w:t>
      </w:r>
    </w:p>
    <w:p w:rsidR="00A42687" w:rsidRDefault="00A42687" w:rsidP="00CC7AD9">
      <w:pPr>
        <w:spacing w:after="0" w:line="240" w:lineRule="auto"/>
        <w:rPr>
          <w:rFonts w:ascii="Arial" w:hAnsi="Arial" w:cs="Arial"/>
        </w:rPr>
      </w:pPr>
      <w:r>
        <w:rPr>
          <w:rFonts w:ascii="Arial" w:hAnsi="Arial" w:cs="Arial"/>
          <w:b/>
        </w:rPr>
        <w:t>Supplemental Figure 1</w:t>
      </w:r>
      <w:r w:rsidRPr="004A7D24">
        <w:rPr>
          <w:rFonts w:ascii="Arial" w:hAnsi="Arial" w:cs="Arial"/>
          <w:b/>
        </w:rPr>
        <w:t xml:space="preserve">: </w:t>
      </w:r>
      <w:r w:rsidRPr="004A7D24">
        <w:rPr>
          <w:rFonts w:ascii="Arial" w:hAnsi="Arial" w:cs="Arial"/>
        </w:rPr>
        <w:t>C</w:t>
      </w:r>
      <w:r>
        <w:rPr>
          <w:rFonts w:ascii="Arial" w:hAnsi="Arial" w:cs="Arial"/>
        </w:rPr>
        <w:t>ancer-R</w:t>
      </w:r>
      <w:r w:rsidRPr="004A7D24">
        <w:rPr>
          <w:rFonts w:ascii="Arial" w:hAnsi="Arial" w:cs="Arial"/>
        </w:rPr>
        <w:t xml:space="preserve">elated versus </w:t>
      </w:r>
      <w:r>
        <w:rPr>
          <w:rFonts w:ascii="Arial" w:hAnsi="Arial" w:cs="Arial"/>
        </w:rPr>
        <w:t>N</w:t>
      </w:r>
      <w:r w:rsidRPr="004A7D24">
        <w:rPr>
          <w:rFonts w:ascii="Arial" w:hAnsi="Arial" w:cs="Arial"/>
        </w:rPr>
        <w:t>on-</w:t>
      </w:r>
      <w:r>
        <w:rPr>
          <w:rFonts w:ascii="Arial" w:hAnsi="Arial" w:cs="Arial"/>
        </w:rPr>
        <w:t>C</w:t>
      </w:r>
      <w:r w:rsidRPr="004A7D24">
        <w:rPr>
          <w:rFonts w:ascii="Arial" w:hAnsi="Arial" w:cs="Arial"/>
        </w:rPr>
        <w:t>ancer-</w:t>
      </w:r>
      <w:r>
        <w:rPr>
          <w:rFonts w:ascii="Arial" w:hAnsi="Arial" w:cs="Arial"/>
        </w:rPr>
        <w:t>R</w:t>
      </w:r>
      <w:r w:rsidRPr="004A7D24">
        <w:rPr>
          <w:rFonts w:ascii="Arial" w:hAnsi="Arial" w:cs="Arial"/>
        </w:rPr>
        <w:t xml:space="preserve">elated </w:t>
      </w:r>
      <w:r>
        <w:rPr>
          <w:rFonts w:ascii="Arial" w:hAnsi="Arial" w:cs="Arial"/>
        </w:rPr>
        <w:t>S</w:t>
      </w:r>
      <w:r w:rsidRPr="004A7D24">
        <w:rPr>
          <w:rFonts w:ascii="Arial" w:hAnsi="Arial" w:cs="Arial"/>
        </w:rPr>
        <w:t xml:space="preserve">epsis </w:t>
      </w:r>
      <w:r>
        <w:rPr>
          <w:rFonts w:ascii="Arial" w:hAnsi="Arial" w:cs="Arial"/>
        </w:rPr>
        <w:t>Relative    p. 13</w:t>
      </w:r>
    </w:p>
    <w:p w:rsidR="00A42687" w:rsidRDefault="00A42687" w:rsidP="00CC7AD9">
      <w:pPr>
        <w:spacing w:after="0" w:line="240" w:lineRule="auto"/>
        <w:rPr>
          <w:rFonts w:ascii="Arial" w:hAnsi="Arial" w:cs="Arial"/>
        </w:rPr>
      </w:pPr>
      <w:r>
        <w:rPr>
          <w:rFonts w:ascii="Arial" w:hAnsi="Arial" w:cs="Arial"/>
        </w:rPr>
        <w:t>R</w:t>
      </w:r>
      <w:r w:rsidRPr="004A7D24">
        <w:rPr>
          <w:rFonts w:ascii="Arial" w:hAnsi="Arial" w:cs="Arial"/>
        </w:rPr>
        <w:t xml:space="preserve">isk of </w:t>
      </w:r>
      <w:r>
        <w:rPr>
          <w:rFonts w:ascii="Arial" w:hAnsi="Arial" w:cs="Arial"/>
        </w:rPr>
        <w:t>M</w:t>
      </w:r>
      <w:r w:rsidRPr="004A7D24">
        <w:rPr>
          <w:rFonts w:ascii="Arial" w:hAnsi="Arial" w:cs="Arial"/>
        </w:rPr>
        <w:t>ortality</w:t>
      </w:r>
      <w:r>
        <w:rPr>
          <w:rFonts w:ascii="Arial" w:hAnsi="Arial" w:cs="Arial"/>
        </w:rPr>
        <w:t xml:space="preserve"> in the Pediatric &amp; Adolescent Population</w:t>
      </w:r>
    </w:p>
    <w:p w:rsidR="00CC7AD9" w:rsidRPr="004A7D24" w:rsidRDefault="00CC7AD9" w:rsidP="00CC7AD9">
      <w:pPr>
        <w:spacing w:after="0" w:line="240" w:lineRule="auto"/>
        <w:rPr>
          <w:rFonts w:ascii="Arial" w:hAnsi="Arial" w:cs="Arial"/>
        </w:rPr>
      </w:pPr>
    </w:p>
    <w:p w:rsidR="004A7D24" w:rsidRDefault="003004B1" w:rsidP="00CC7AD9">
      <w:pPr>
        <w:spacing w:after="0" w:line="240" w:lineRule="auto"/>
        <w:rPr>
          <w:rFonts w:ascii="Arial" w:hAnsi="Arial" w:cs="Arial"/>
        </w:rPr>
      </w:pPr>
      <w:r w:rsidRPr="0095564F">
        <w:rPr>
          <w:rFonts w:ascii="Arial" w:hAnsi="Arial" w:cs="Arial"/>
          <w:b/>
        </w:rPr>
        <w:t xml:space="preserve">Supplemental Figure </w:t>
      </w:r>
      <w:r w:rsidR="00A42687">
        <w:rPr>
          <w:rFonts w:ascii="Arial" w:hAnsi="Arial" w:cs="Arial"/>
          <w:b/>
        </w:rPr>
        <w:t>2</w:t>
      </w:r>
      <w:r w:rsidRPr="0095564F">
        <w:rPr>
          <w:rFonts w:ascii="Arial" w:hAnsi="Arial" w:cs="Arial"/>
          <w:b/>
        </w:rPr>
        <w:t xml:space="preserve">: </w:t>
      </w:r>
      <w:r w:rsidR="004A7D24" w:rsidRPr="004A7D24">
        <w:rPr>
          <w:rFonts w:ascii="Arial" w:hAnsi="Arial" w:cs="Arial"/>
        </w:rPr>
        <w:t>C</w:t>
      </w:r>
      <w:r w:rsidR="004A7D24">
        <w:rPr>
          <w:rFonts w:ascii="Arial" w:hAnsi="Arial" w:cs="Arial"/>
        </w:rPr>
        <w:t>ancer-R</w:t>
      </w:r>
      <w:r w:rsidR="004A7D24" w:rsidRPr="004A7D24">
        <w:rPr>
          <w:rFonts w:ascii="Arial" w:hAnsi="Arial" w:cs="Arial"/>
        </w:rPr>
        <w:t xml:space="preserve">elated versus </w:t>
      </w:r>
      <w:r w:rsidR="004A7D24">
        <w:rPr>
          <w:rFonts w:ascii="Arial" w:hAnsi="Arial" w:cs="Arial"/>
        </w:rPr>
        <w:t>Non-Cancer-Related S</w:t>
      </w:r>
      <w:r w:rsidR="004A7D24" w:rsidRPr="004A7D24">
        <w:rPr>
          <w:rFonts w:ascii="Arial" w:hAnsi="Arial" w:cs="Arial"/>
        </w:rPr>
        <w:t>epsis</w:t>
      </w:r>
      <w:r w:rsidR="004A7D24">
        <w:rPr>
          <w:rFonts w:ascii="Arial" w:hAnsi="Arial" w:cs="Arial"/>
        </w:rPr>
        <w:t xml:space="preserve"> M</w:t>
      </w:r>
      <w:r w:rsidR="004A7D24" w:rsidRPr="004A7D24">
        <w:rPr>
          <w:rFonts w:ascii="Arial" w:hAnsi="Arial" w:cs="Arial"/>
        </w:rPr>
        <w:t>ortality</w:t>
      </w:r>
      <w:r w:rsidR="00E340AB">
        <w:rPr>
          <w:rFonts w:ascii="Arial" w:hAnsi="Arial" w:cs="Arial"/>
        </w:rPr>
        <w:t xml:space="preserve">   p. 1</w:t>
      </w:r>
      <w:r w:rsidR="00A42687">
        <w:rPr>
          <w:rFonts w:ascii="Arial" w:hAnsi="Arial" w:cs="Arial"/>
        </w:rPr>
        <w:t>4</w:t>
      </w:r>
    </w:p>
    <w:p w:rsidR="004A7D24" w:rsidRPr="004A7D24" w:rsidRDefault="004A7D24" w:rsidP="00CC7AD9">
      <w:pPr>
        <w:spacing w:after="0" w:line="240" w:lineRule="auto"/>
        <w:rPr>
          <w:rFonts w:ascii="Arial" w:hAnsi="Arial" w:cs="Arial"/>
        </w:rPr>
      </w:pPr>
      <w:r>
        <w:rPr>
          <w:rFonts w:ascii="Arial" w:hAnsi="Arial" w:cs="Arial"/>
        </w:rPr>
        <w:t>R</w:t>
      </w:r>
      <w:r w:rsidRPr="004A7D24">
        <w:rPr>
          <w:rFonts w:ascii="Arial" w:hAnsi="Arial" w:cs="Arial"/>
        </w:rPr>
        <w:t xml:space="preserve">isk </w:t>
      </w:r>
      <w:r>
        <w:rPr>
          <w:rFonts w:ascii="Arial" w:hAnsi="Arial" w:cs="Arial"/>
        </w:rPr>
        <w:t>D</w:t>
      </w:r>
      <w:r w:rsidRPr="004A7D24">
        <w:rPr>
          <w:rFonts w:ascii="Arial" w:hAnsi="Arial" w:cs="Arial"/>
        </w:rPr>
        <w:t>ifference</w:t>
      </w:r>
      <w:r w:rsidRPr="004A7D24">
        <w:rPr>
          <w:rFonts w:ascii="Arial" w:hAnsi="Arial" w:cs="Arial"/>
          <w:b/>
        </w:rPr>
        <w:t xml:space="preserve"> </w:t>
      </w:r>
      <w:r>
        <w:rPr>
          <w:rFonts w:ascii="Arial" w:hAnsi="Arial" w:cs="Arial"/>
        </w:rPr>
        <w:t>in the Pediatric and Adolescent Population</w:t>
      </w:r>
    </w:p>
    <w:p w:rsidR="009230F4" w:rsidRPr="004A7D24" w:rsidRDefault="009230F4" w:rsidP="004A7D24">
      <w:pPr>
        <w:spacing w:line="240" w:lineRule="auto"/>
        <w:rPr>
          <w:rFonts w:ascii="Arial" w:hAnsi="Arial" w:cs="Arial"/>
        </w:rPr>
      </w:pPr>
      <w:r w:rsidRPr="004A7D24">
        <w:rPr>
          <w:rFonts w:ascii="Arial" w:hAnsi="Arial" w:cs="Arial"/>
          <w:b/>
        </w:rPr>
        <w:br w:type="page"/>
      </w:r>
    </w:p>
    <w:p w:rsidR="009230F4" w:rsidRPr="002050E8" w:rsidRDefault="009230F4" w:rsidP="002050E8">
      <w:pPr>
        <w:rPr>
          <w:rFonts w:ascii="Arial" w:hAnsi="Arial" w:cs="Arial"/>
          <w:sz w:val="20"/>
          <w:szCs w:val="20"/>
        </w:rPr>
      </w:pPr>
    </w:p>
    <w:tbl>
      <w:tblPr>
        <w:tblStyle w:val="TableGrid"/>
        <w:tblW w:w="0" w:type="auto"/>
        <w:tblLook w:val="04A0" w:firstRow="1" w:lastRow="0" w:firstColumn="1" w:lastColumn="0" w:noHBand="0" w:noVBand="1"/>
      </w:tblPr>
      <w:tblGrid>
        <w:gridCol w:w="2173"/>
        <w:gridCol w:w="7187"/>
      </w:tblGrid>
      <w:tr w:rsidR="00184594" w:rsidTr="006404C0">
        <w:tc>
          <w:tcPr>
            <w:tcW w:w="9360" w:type="dxa"/>
            <w:gridSpan w:val="2"/>
            <w:tcBorders>
              <w:top w:val="nil"/>
              <w:left w:val="nil"/>
              <w:bottom w:val="single" w:sz="4" w:space="0" w:color="auto"/>
              <w:right w:val="nil"/>
            </w:tcBorders>
          </w:tcPr>
          <w:p w:rsidR="00184594" w:rsidRDefault="00184594" w:rsidP="00184594">
            <w:pPr>
              <w:rPr>
                <w:rFonts w:ascii="Arial" w:hAnsi="Arial" w:cs="Arial"/>
                <w:sz w:val="20"/>
                <w:szCs w:val="20"/>
              </w:rPr>
            </w:pPr>
            <w:r w:rsidRPr="002050E8">
              <w:rPr>
                <w:rFonts w:ascii="Arial" w:hAnsi="Arial" w:cs="Arial"/>
                <w:b/>
                <w:sz w:val="20"/>
                <w:szCs w:val="20"/>
              </w:rPr>
              <w:t>Supplemental Table 1</w:t>
            </w:r>
            <w:r>
              <w:rPr>
                <w:rFonts w:ascii="Arial" w:hAnsi="Arial" w:cs="Arial"/>
                <w:sz w:val="20"/>
                <w:szCs w:val="20"/>
              </w:rPr>
              <w:t>: Variable Definitions</w:t>
            </w:r>
          </w:p>
        </w:tc>
      </w:tr>
      <w:tr w:rsidR="00D96987" w:rsidTr="006404C0">
        <w:tc>
          <w:tcPr>
            <w:tcW w:w="2173" w:type="dxa"/>
            <w:tcBorders>
              <w:top w:val="single" w:sz="4" w:space="0" w:color="auto"/>
            </w:tcBorders>
            <w:shd w:val="clear" w:color="auto" w:fill="BFBFBF" w:themeFill="background1" w:themeFillShade="BF"/>
          </w:tcPr>
          <w:p w:rsidR="009230F4" w:rsidRDefault="009230F4" w:rsidP="009230F4">
            <w:pPr>
              <w:jc w:val="center"/>
              <w:rPr>
                <w:rFonts w:ascii="Arial" w:hAnsi="Arial" w:cs="Arial"/>
                <w:sz w:val="20"/>
                <w:szCs w:val="20"/>
              </w:rPr>
            </w:pPr>
            <w:r>
              <w:rPr>
                <w:rFonts w:ascii="Arial" w:hAnsi="Arial" w:cs="Arial"/>
                <w:sz w:val="20"/>
                <w:szCs w:val="20"/>
              </w:rPr>
              <w:t>Variable</w:t>
            </w:r>
          </w:p>
        </w:tc>
        <w:tc>
          <w:tcPr>
            <w:tcW w:w="7187" w:type="dxa"/>
            <w:tcBorders>
              <w:top w:val="single" w:sz="4" w:space="0" w:color="auto"/>
            </w:tcBorders>
            <w:shd w:val="clear" w:color="auto" w:fill="BFBFBF" w:themeFill="background1" w:themeFillShade="BF"/>
          </w:tcPr>
          <w:p w:rsidR="009230F4" w:rsidRDefault="009230F4" w:rsidP="009230F4">
            <w:pPr>
              <w:jc w:val="center"/>
              <w:rPr>
                <w:rFonts w:ascii="Arial" w:hAnsi="Arial" w:cs="Arial"/>
                <w:sz w:val="20"/>
                <w:szCs w:val="20"/>
              </w:rPr>
            </w:pPr>
            <w:r>
              <w:rPr>
                <w:rFonts w:ascii="Arial" w:hAnsi="Arial" w:cs="Arial"/>
                <w:sz w:val="20"/>
                <w:szCs w:val="20"/>
              </w:rPr>
              <w:t>Definition</w:t>
            </w:r>
          </w:p>
        </w:tc>
      </w:tr>
      <w:tr w:rsidR="00D96987" w:rsidTr="006404C0">
        <w:tc>
          <w:tcPr>
            <w:tcW w:w="2173" w:type="dxa"/>
          </w:tcPr>
          <w:p w:rsidR="009230F4" w:rsidRPr="00DB3F00" w:rsidRDefault="009230F4" w:rsidP="002050E8">
            <w:pPr>
              <w:rPr>
                <w:rFonts w:ascii="Arial" w:hAnsi="Arial" w:cs="Arial"/>
                <w:sz w:val="20"/>
                <w:szCs w:val="20"/>
              </w:rPr>
            </w:pPr>
            <w:r w:rsidRPr="00DB3F00">
              <w:rPr>
                <w:rFonts w:ascii="Arial" w:hAnsi="Arial" w:cs="Arial"/>
                <w:sz w:val="20"/>
                <w:szCs w:val="20"/>
              </w:rPr>
              <w:t xml:space="preserve">Sepsis </w:t>
            </w:r>
          </w:p>
        </w:tc>
        <w:tc>
          <w:tcPr>
            <w:tcW w:w="7187" w:type="dxa"/>
          </w:tcPr>
          <w:p w:rsidR="009230F4" w:rsidRDefault="009230F4" w:rsidP="002050E8">
            <w:pPr>
              <w:rPr>
                <w:rFonts w:ascii="Arial" w:hAnsi="Arial" w:cs="Arial"/>
                <w:sz w:val="20"/>
                <w:szCs w:val="20"/>
              </w:rPr>
            </w:pPr>
            <w:r>
              <w:rPr>
                <w:rFonts w:ascii="Arial" w:hAnsi="Arial" w:cs="Arial"/>
                <w:sz w:val="20"/>
                <w:szCs w:val="20"/>
              </w:rPr>
              <w:t xml:space="preserve">Defined by explicit sepsis ICD-9 codes </w:t>
            </w:r>
            <w:r w:rsidRPr="009230F4">
              <w:rPr>
                <w:rFonts w:ascii="Arial" w:hAnsi="Arial" w:cs="Arial"/>
                <w:sz w:val="20"/>
                <w:szCs w:val="20"/>
              </w:rPr>
              <w:t>995.92 785.52</w:t>
            </w:r>
            <w:r>
              <w:rPr>
                <w:rFonts w:ascii="Arial" w:hAnsi="Arial" w:cs="Arial"/>
                <w:sz w:val="20"/>
                <w:szCs w:val="20"/>
              </w:rPr>
              <w:t xml:space="preserve"> and </w:t>
            </w:r>
            <w:proofErr w:type="spellStart"/>
            <w:r>
              <w:rPr>
                <w:rFonts w:ascii="Arial" w:hAnsi="Arial" w:cs="Arial"/>
                <w:sz w:val="20"/>
                <w:szCs w:val="20"/>
              </w:rPr>
              <w:t>Dombrovskiy</w:t>
            </w:r>
            <w:proofErr w:type="spellEnd"/>
            <w:r>
              <w:rPr>
                <w:rFonts w:ascii="Arial" w:hAnsi="Arial" w:cs="Arial"/>
                <w:sz w:val="20"/>
                <w:szCs w:val="20"/>
              </w:rPr>
              <w:t xml:space="preserve"> criteria (infection plus organ dysfunction)</w:t>
            </w:r>
          </w:p>
          <w:p w:rsidR="009230F4" w:rsidRDefault="009230F4" w:rsidP="002050E8">
            <w:pPr>
              <w:rPr>
                <w:rFonts w:ascii="Arial" w:hAnsi="Arial" w:cs="Arial"/>
                <w:sz w:val="20"/>
                <w:szCs w:val="20"/>
              </w:rPr>
            </w:pPr>
          </w:p>
          <w:p w:rsidR="009230F4" w:rsidRDefault="009230F4" w:rsidP="009230F4">
            <w:pPr>
              <w:rPr>
                <w:rFonts w:ascii="Arial" w:hAnsi="Arial" w:cs="Arial"/>
                <w:sz w:val="20"/>
                <w:szCs w:val="20"/>
              </w:rPr>
            </w:pPr>
            <w:r>
              <w:rPr>
                <w:rFonts w:ascii="Arial" w:hAnsi="Arial" w:cs="Arial"/>
                <w:sz w:val="20"/>
                <w:szCs w:val="20"/>
              </w:rPr>
              <w:t xml:space="preserve">ICD-9 codes </w:t>
            </w:r>
            <w:r w:rsidR="00694665">
              <w:rPr>
                <w:rFonts w:ascii="Arial" w:hAnsi="Arial" w:cs="Arial"/>
                <w:sz w:val="20"/>
                <w:szCs w:val="20"/>
              </w:rPr>
              <w:t xml:space="preserve">used </w:t>
            </w:r>
            <w:r>
              <w:rPr>
                <w:rFonts w:ascii="Arial" w:hAnsi="Arial" w:cs="Arial"/>
                <w:sz w:val="20"/>
                <w:szCs w:val="20"/>
              </w:rPr>
              <w:t>for organ dysfunction:</w:t>
            </w:r>
            <w:r>
              <w:t xml:space="preserve"> </w:t>
            </w:r>
            <w:r w:rsidRPr="009230F4">
              <w:rPr>
                <w:rFonts w:ascii="Arial" w:hAnsi="Arial" w:cs="Arial"/>
                <w:sz w:val="20"/>
                <w:szCs w:val="20"/>
              </w:rPr>
              <w:t>518.8</w:t>
            </w:r>
            <w:r>
              <w:rPr>
                <w:rFonts w:ascii="Arial" w:hAnsi="Arial" w:cs="Arial"/>
                <w:sz w:val="20"/>
                <w:szCs w:val="20"/>
              </w:rPr>
              <w:t xml:space="preserve">1 518.82 786.09 799.1 785.50 </w:t>
            </w:r>
            <w:r w:rsidRPr="009230F4">
              <w:rPr>
                <w:rFonts w:ascii="Arial" w:hAnsi="Arial" w:cs="Arial"/>
                <w:sz w:val="20"/>
                <w:szCs w:val="20"/>
              </w:rPr>
              <w:t>785.51 785.52 785.59 427.5 458.0 458.8 458.9 7</w:t>
            </w:r>
            <w:r>
              <w:rPr>
                <w:rFonts w:ascii="Arial" w:hAnsi="Arial" w:cs="Arial"/>
                <w:sz w:val="20"/>
                <w:szCs w:val="20"/>
              </w:rPr>
              <w:t xml:space="preserve">96.3 287.4 287.5 286.6 286.9 </w:t>
            </w:r>
            <w:r w:rsidRPr="009230F4">
              <w:rPr>
                <w:rFonts w:ascii="Arial" w:hAnsi="Arial" w:cs="Arial"/>
                <w:sz w:val="20"/>
                <w:szCs w:val="20"/>
              </w:rPr>
              <w:t>584.5 584.6 584.7 584.8 584.9 570 572.2 573.4 293.0 348.1 348.3 780.01</w:t>
            </w:r>
          </w:p>
          <w:p w:rsidR="00694665" w:rsidRDefault="00694665" w:rsidP="009230F4">
            <w:pPr>
              <w:rPr>
                <w:rFonts w:ascii="Arial" w:hAnsi="Arial" w:cs="Arial"/>
                <w:sz w:val="20"/>
                <w:szCs w:val="20"/>
              </w:rPr>
            </w:pPr>
          </w:p>
          <w:p w:rsidR="00694665" w:rsidRDefault="00694665" w:rsidP="00694665">
            <w:pPr>
              <w:rPr>
                <w:rFonts w:ascii="Arial" w:hAnsi="Arial" w:cs="Arial"/>
                <w:sz w:val="20"/>
                <w:szCs w:val="20"/>
              </w:rPr>
            </w:pPr>
            <w:r>
              <w:rPr>
                <w:rFonts w:ascii="Arial" w:hAnsi="Arial" w:cs="Arial"/>
                <w:sz w:val="20"/>
                <w:szCs w:val="20"/>
              </w:rPr>
              <w:t>ICD-9 codes for infection:</w:t>
            </w:r>
            <w:r>
              <w:t xml:space="preserve"> </w:t>
            </w:r>
            <w:r w:rsidRPr="00694665">
              <w:rPr>
                <w:rFonts w:ascii="Arial" w:hAnsi="Arial" w:cs="Arial"/>
                <w:sz w:val="20"/>
                <w:szCs w:val="20"/>
              </w:rPr>
              <w:t>038.0 0</w:t>
            </w:r>
            <w:r>
              <w:rPr>
                <w:rFonts w:ascii="Arial" w:hAnsi="Arial" w:cs="Arial"/>
                <w:sz w:val="20"/>
                <w:szCs w:val="20"/>
              </w:rPr>
              <w:t xml:space="preserve">38.1 038.2 038.3 038.4 038.8 </w:t>
            </w:r>
            <w:r w:rsidRPr="00694665">
              <w:rPr>
                <w:rFonts w:ascii="Arial" w:hAnsi="Arial" w:cs="Arial"/>
                <w:sz w:val="20"/>
                <w:szCs w:val="20"/>
              </w:rPr>
              <w:t>038.9 003.1 020.2 036.6 054.5 112.5 995.91 995.92 785.52</w:t>
            </w:r>
          </w:p>
        </w:tc>
      </w:tr>
      <w:tr w:rsidR="00D96987" w:rsidTr="006404C0">
        <w:trPr>
          <w:trHeight w:val="636"/>
        </w:trPr>
        <w:tc>
          <w:tcPr>
            <w:tcW w:w="2173" w:type="dxa"/>
          </w:tcPr>
          <w:p w:rsidR="009E5913" w:rsidRPr="00DB3F00" w:rsidRDefault="009E5913" w:rsidP="009E5913">
            <w:pPr>
              <w:rPr>
                <w:rFonts w:ascii="Arial" w:hAnsi="Arial" w:cs="Arial"/>
                <w:sz w:val="20"/>
                <w:szCs w:val="20"/>
              </w:rPr>
            </w:pPr>
            <w:r w:rsidRPr="00DB3F00">
              <w:rPr>
                <w:rFonts w:ascii="Arial" w:hAnsi="Arial" w:cs="Arial"/>
                <w:sz w:val="20"/>
                <w:szCs w:val="20"/>
              </w:rPr>
              <w:t>Cancer</w:t>
            </w:r>
          </w:p>
          <w:p w:rsidR="00DB3F00" w:rsidRPr="009E5913" w:rsidRDefault="00DB3F00" w:rsidP="009E5913">
            <w:pPr>
              <w:rPr>
                <w:rFonts w:ascii="Arial" w:hAnsi="Arial" w:cs="Arial"/>
                <w:b/>
                <w:sz w:val="20"/>
                <w:szCs w:val="20"/>
              </w:rPr>
            </w:pPr>
          </w:p>
        </w:tc>
        <w:tc>
          <w:tcPr>
            <w:tcW w:w="7187" w:type="dxa"/>
          </w:tcPr>
          <w:p w:rsidR="009E5913" w:rsidRPr="00DB3F00" w:rsidRDefault="009E5913" w:rsidP="002050E8">
            <w:pPr>
              <w:rPr>
                <w:rFonts w:ascii="Arial" w:hAnsi="Arial" w:cs="Arial"/>
                <w:sz w:val="20"/>
                <w:szCs w:val="20"/>
              </w:rPr>
            </w:pPr>
            <w:r w:rsidRPr="00DB3F00">
              <w:rPr>
                <w:rFonts w:ascii="Arial" w:hAnsi="Arial" w:cs="Arial"/>
                <w:sz w:val="20"/>
                <w:szCs w:val="20"/>
              </w:rPr>
              <w:t>HCUP CCS codes used to identify malignancy</w:t>
            </w:r>
            <w:r w:rsidR="00DB3F00" w:rsidRPr="00DB3F00">
              <w:rPr>
                <w:rFonts w:ascii="Arial" w:hAnsi="Arial" w:cs="Arial"/>
                <w:sz w:val="20"/>
                <w:szCs w:val="20"/>
              </w:rPr>
              <w:t>:</w:t>
            </w:r>
          </w:p>
          <w:p w:rsidR="00DB3F00" w:rsidRPr="00DB3F00" w:rsidRDefault="00DB3F00" w:rsidP="009E5913">
            <w:pPr>
              <w:rPr>
                <w:rFonts w:ascii="Arial" w:hAnsi="Arial" w:cs="Arial"/>
                <w:sz w:val="20"/>
                <w:szCs w:val="20"/>
              </w:rPr>
            </w:pPr>
          </w:p>
          <w:p w:rsidR="00DB3F00" w:rsidRPr="00DB3F00" w:rsidRDefault="00DB3F00" w:rsidP="00DB3F00">
            <w:pPr>
              <w:rPr>
                <w:rFonts w:ascii="Arial" w:hAnsi="Arial" w:cs="Arial"/>
                <w:sz w:val="20"/>
                <w:szCs w:val="20"/>
              </w:rPr>
            </w:pPr>
            <w:r>
              <w:rPr>
                <w:rFonts w:ascii="Arial" w:hAnsi="Arial" w:cs="Arial"/>
                <w:sz w:val="20"/>
                <w:szCs w:val="20"/>
              </w:rPr>
              <w:t>11 (Cancer of head and neck);</w:t>
            </w:r>
            <w:r w:rsidRPr="00DB3F00">
              <w:rPr>
                <w:rFonts w:ascii="Arial" w:hAnsi="Arial" w:cs="Arial"/>
                <w:sz w:val="20"/>
                <w:szCs w:val="20"/>
              </w:rPr>
              <w:t xml:space="preserve">12 </w:t>
            </w:r>
            <w:r>
              <w:rPr>
                <w:rFonts w:ascii="Arial" w:hAnsi="Arial" w:cs="Arial"/>
                <w:sz w:val="20"/>
                <w:szCs w:val="20"/>
              </w:rPr>
              <w:t>(</w:t>
            </w:r>
            <w:r w:rsidRPr="00DB3F00">
              <w:rPr>
                <w:rFonts w:ascii="Arial" w:hAnsi="Arial" w:cs="Arial"/>
                <w:sz w:val="20"/>
                <w:szCs w:val="20"/>
              </w:rPr>
              <w:t>Cancer of esophagus</w:t>
            </w:r>
            <w:r>
              <w:rPr>
                <w:rFonts w:ascii="Arial" w:hAnsi="Arial" w:cs="Arial"/>
                <w:sz w:val="20"/>
                <w:szCs w:val="20"/>
              </w:rPr>
              <w:t>);</w:t>
            </w:r>
            <w:r w:rsidRPr="00DB3F00">
              <w:rPr>
                <w:rFonts w:ascii="Arial" w:hAnsi="Arial" w:cs="Arial"/>
                <w:sz w:val="20"/>
                <w:szCs w:val="20"/>
              </w:rPr>
              <w:t xml:space="preserve"> 13 </w:t>
            </w:r>
            <w:r>
              <w:rPr>
                <w:rFonts w:ascii="Arial" w:hAnsi="Arial" w:cs="Arial"/>
                <w:sz w:val="20"/>
                <w:szCs w:val="20"/>
              </w:rPr>
              <w:t>(</w:t>
            </w:r>
            <w:r w:rsidRPr="00DB3F00">
              <w:rPr>
                <w:rFonts w:ascii="Arial" w:hAnsi="Arial" w:cs="Arial"/>
                <w:sz w:val="20"/>
                <w:szCs w:val="20"/>
              </w:rPr>
              <w:t>Cancer of stomach</w:t>
            </w:r>
            <w:r>
              <w:rPr>
                <w:rFonts w:ascii="Arial" w:hAnsi="Arial" w:cs="Arial"/>
                <w:sz w:val="20"/>
                <w:szCs w:val="20"/>
              </w:rPr>
              <w:t>);</w:t>
            </w:r>
            <w:r w:rsidRPr="00DB3F00">
              <w:rPr>
                <w:rFonts w:ascii="Arial" w:hAnsi="Arial" w:cs="Arial"/>
                <w:sz w:val="20"/>
                <w:szCs w:val="20"/>
              </w:rPr>
              <w:t xml:space="preserve"> 14 </w:t>
            </w:r>
            <w:r>
              <w:rPr>
                <w:rFonts w:ascii="Arial" w:hAnsi="Arial" w:cs="Arial"/>
                <w:sz w:val="20"/>
                <w:szCs w:val="20"/>
              </w:rPr>
              <w:t>(</w:t>
            </w:r>
            <w:r w:rsidRPr="00DB3F00">
              <w:rPr>
                <w:rFonts w:ascii="Arial" w:hAnsi="Arial" w:cs="Arial"/>
                <w:sz w:val="20"/>
                <w:szCs w:val="20"/>
              </w:rPr>
              <w:t>Cancer of colon</w:t>
            </w:r>
            <w:r>
              <w:rPr>
                <w:rFonts w:ascii="Arial" w:hAnsi="Arial" w:cs="Arial"/>
                <w:sz w:val="20"/>
                <w:szCs w:val="20"/>
              </w:rPr>
              <w:t>);</w:t>
            </w:r>
            <w:r w:rsidRPr="00DB3F00">
              <w:rPr>
                <w:rFonts w:ascii="Arial" w:hAnsi="Arial" w:cs="Arial"/>
                <w:sz w:val="20"/>
                <w:szCs w:val="20"/>
              </w:rPr>
              <w:t xml:space="preserve"> 15 </w:t>
            </w:r>
            <w:r>
              <w:rPr>
                <w:rFonts w:ascii="Arial" w:hAnsi="Arial" w:cs="Arial"/>
                <w:sz w:val="20"/>
                <w:szCs w:val="20"/>
              </w:rPr>
              <w:t>(</w:t>
            </w:r>
            <w:r w:rsidRPr="00DB3F00">
              <w:rPr>
                <w:rFonts w:ascii="Arial" w:hAnsi="Arial" w:cs="Arial"/>
                <w:sz w:val="20"/>
                <w:szCs w:val="20"/>
              </w:rPr>
              <w:t>Cancer of rectum and anus</w:t>
            </w:r>
            <w:r>
              <w:rPr>
                <w:rFonts w:ascii="Arial" w:hAnsi="Arial" w:cs="Arial"/>
                <w:sz w:val="20"/>
                <w:szCs w:val="20"/>
              </w:rPr>
              <w:t>);</w:t>
            </w:r>
            <w:r w:rsidRPr="00DB3F00">
              <w:rPr>
                <w:rFonts w:ascii="Arial" w:hAnsi="Arial" w:cs="Arial"/>
                <w:sz w:val="20"/>
                <w:szCs w:val="20"/>
              </w:rPr>
              <w:t xml:space="preserve"> 16 </w:t>
            </w:r>
            <w:r>
              <w:rPr>
                <w:rFonts w:ascii="Arial" w:hAnsi="Arial" w:cs="Arial"/>
                <w:sz w:val="20"/>
                <w:szCs w:val="20"/>
              </w:rPr>
              <w:t>(</w:t>
            </w:r>
            <w:r w:rsidRPr="00DB3F00">
              <w:rPr>
                <w:rFonts w:ascii="Arial" w:hAnsi="Arial" w:cs="Arial"/>
                <w:sz w:val="20"/>
                <w:szCs w:val="20"/>
              </w:rPr>
              <w:t>Cancer of liver and intrahepatic bile duct</w:t>
            </w:r>
            <w:r>
              <w:rPr>
                <w:rFonts w:ascii="Arial" w:hAnsi="Arial" w:cs="Arial"/>
                <w:sz w:val="20"/>
                <w:szCs w:val="20"/>
              </w:rPr>
              <w:t>);</w:t>
            </w:r>
            <w:r w:rsidRPr="00DB3F00">
              <w:rPr>
                <w:rFonts w:ascii="Arial" w:hAnsi="Arial" w:cs="Arial"/>
                <w:sz w:val="20"/>
                <w:szCs w:val="20"/>
              </w:rPr>
              <w:t xml:space="preserve"> 17 </w:t>
            </w:r>
            <w:r>
              <w:rPr>
                <w:rFonts w:ascii="Arial" w:hAnsi="Arial" w:cs="Arial"/>
                <w:sz w:val="20"/>
                <w:szCs w:val="20"/>
              </w:rPr>
              <w:t>(</w:t>
            </w:r>
            <w:r w:rsidRPr="00DB3F00">
              <w:rPr>
                <w:rFonts w:ascii="Arial" w:hAnsi="Arial" w:cs="Arial"/>
                <w:sz w:val="20"/>
                <w:szCs w:val="20"/>
              </w:rPr>
              <w:t>Cancer of pancreas</w:t>
            </w:r>
            <w:r>
              <w:rPr>
                <w:rFonts w:ascii="Arial" w:hAnsi="Arial" w:cs="Arial"/>
                <w:sz w:val="20"/>
                <w:szCs w:val="20"/>
              </w:rPr>
              <w:t>);</w:t>
            </w:r>
            <w:r w:rsidRPr="00DB3F00">
              <w:rPr>
                <w:rFonts w:ascii="Arial" w:hAnsi="Arial" w:cs="Arial"/>
                <w:sz w:val="20"/>
                <w:szCs w:val="20"/>
              </w:rPr>
              <w:t xml:space="preserve"> 18 </w:t>
            </w:r>
            <w:r>
              <w:rPr>
                <w:rFonts w:ascii="Arial" w:hAnsi="Arial" w:cs="Arial"/>
                <w:sz w:val="20"/>
                <w:szCs w:val="20"/>
              </w:rPr>
              <w:t>(</w:t>
            </w:r>
            <w:r w:rsidRPr="00DB3F00">
              <w:rPr>
                <w:rFonts w:ascii="Arial" w:hAnsi="Arial" w:cs="Arial"/>
                <w:sz w:val="20"/>
                <w:szCs w:val="20"/>
              </w:rPr>
              <w:t>Cancer of other GI organs; peritoneum</w:t>
            </w:r>
            <w:r>
              <w:rPr>
                <w:rFonts w:ascii="Arial" w:hAnsi="Arial" w:cs="Arial"/>
                <w:sz w:val="20"/>
                <w:szCs w:val="20"/>
              </w:rPr>
              <w:t>);</w:t>
            </w:r>
            <w:r w:rsidRPr="00DB3F00">
              <w:rPr>
                <w:rFonts w:ascii="Arial" w:hAnsi="Arial" w:cs="Arial"/>
                <w:sz w:val="20"/>
                <w:szCs w:val="20"/>
              </w:rPr>
              <w:t xml:space="preserve"> 19 </w:t>
            </w:r>
            <w:r>
              <w:rPr>
                <w:rFonts w:ascii="Arial" w:hAnsi="Arial" w:cs="Arial"/>
                <w:sz w:val="20"/>
                <w:szCs w:val="20"/>
              </w:rPr>
              <w:t>(</w:t>
            </w:r>
            <w:r w:rsidRPr="00DB3F00">
              <w:rPr>
                <w:rFonts w:ascii="Arial" w:hAnsi="Arial" w:cs="Arial"/>
                <w:sz w:val="20"/>
                <w:szCs w:val="20"/>
              </w:rPr>
              <w:t>Cancer of bronchus; lung</w:t>
            </w:r>
            <w:r>
              <w:rPr>
                <w:rFonts w:ascii="Arial" w:hAnsi="Arial" w:cs="Arial"/>
                <w:sz w:val="20"/>
                <w:szCs w:val="20"/>
              </w:rPr>
              <w:t>);</w:t>
            </w:r>
            <w:r w:rsidRPr="00DB3F00">
              <w:rPr>
                <w:rFonts w:ascii="Arial" w:hAnsi="Arial" w:cs="Arial"/>
                <w:sz w:val="20"/>
                <w:szCs w:val="20"/>
              </w:rPr>
              <w:t xml:space="preserve"> 20 </w:t>
            </w:r>
            <w:r>
              <w:rPr>
                <w:rFonts w:ascii="Arial" w:hAnsi="Arial" w:cs="Arial"/>
                <w:sz w:val="20"/>
                <w:szCs w:val="20"/>
              </w:rPr>
              <w:t>(</w:t>
            </w:r>
            <w:r w:rsidRPr="00DB3F00">
              <w:rPr>
                <w:rFonts w:ascii="Arial" w:hAnsi="Arial" w:cs="Arial"/>
                <w:sz w:val="20"/>
                <w:szCs w:val="20"/>
              </w:rPr>
              <w:t>Cancer; other respiratory and intrathoracic</w:t>
            </w:r>
            <w:r>
              <w:rPr>
                <w:rFonts w:ascii="Arial" w:hAnsi="Arial" w:cs="Arial"/>
                <w:sz w:val="20"/>
                <w:szCs w:val="20"/>
              </w:rPr>
              <w:t>);</w:t>
            </w:r>
            <w:r w:rsidRPr="00DB3F00">
              <w:rPr>
                <w:rFonts w:ascii="Arial" w:hAnsi="Arial" w:cs="Arial"/>
                <w:sz w:val="20"/>
                <w:szCs w:val="20"/>
              </w:rPr>
              <w:t xml:space="preserve"> 21 </w:t>
            </w:r>
            <w:r>
              <w:rPr>
                <w:rFonts w:ascii="Arial" w:hAnsi="Arial" w:cs="Arial"/>
                <w:sz w:val="20"/>
                <w:szCs w:val="20"/>
              </w:rPr>
              <w:t>(</w:t>
            </w:r>
            <w:r w:rsidRPr="00DB3F00">
              <w:rPr>
                <w:rFonts w:ascii="Arial" w:hAnsi="Arial" w:cs="Arial"/>
                <w:sz w:val="20"/>
                <w:szCs w:val="20"/>
              </w:rPr>
              <w:t>Cancer of bone and connective tissue</w:t>
            </w:r>
            <w:r>
              <w:rPr>
                <w:rFonts w:ascii="Arial" w:hAnsi="Arial" w:cs="Arial"/>
                <w:sz w:val="20"/>
                <w:szCs w:val="20"/>
              </w:rPr>
              <w:t>);</w:t>
            </w:r>
            <w:r w:rsidRPr="00DB3F00">
              <w:rPr>
                <w:rFonts w:ascii="Arial" w:hAnsi="Arial" w:cs="Arial"/>
                <w:sz w:val="20"/>
                <w:szCs w:val="20"/>
              </w:rPr>
              <w:t xml:space="preserve"> 22 </w:t>
            </w:r>
            <w:r>
              <w:rPr>
                <w:rFonts w:ascii="Arial" w:hAnsi="Arial" w:cs="Arial"/>
                <w:sz w:val="20"/>
                <w:szCs w:val="20"/>
              </w:rPr>
              <w:t>(</w:t>
            </w:r>
            <w:r w:rsidRPr="00DB3F00">
              <w:rPr>
                <w:rFonts w:ascii="Arial" w:hAnsi="Arial" w:cs="Arial"/>
                <w:sz w:val="20"/>
                <w:szCs w:val="20"/>
              </w:rPr>
              <w:t>Melanomas of skin</w:t>
            </w:r>
            <w:r>
              <w:rPr>
                <w:rFonts w:ascii="Arial" w:hAnsi="Arial" w:cs="Arial"/>
                <w:sz w:val="20"/>
                <w:szCs w:val="20"/>
              </w:rPr>
              <w:t>);</w:t>
            </w:r>
            <w:r w:rsidRPr="00DB3F00">
              <w:rPr>
                <w:rFonts w:ascii="Arial" w:hAnsi="Arial" w:cs="Arial"/>
                <w:sz w:val="20"/>
                <w:szCs w:val="20"/>
              </w:rPr>
              <w:t xml:space="preserve"> 23 </w:t>
            </w:r>
            <w:r>
              <w:rPr>
                <w:rFonts w:ascii="Arial" w:hAnsi="Arial" w:cs="Arial"/>
                <w:sz w:val="20"/>
                <w:szCs w:val="20"/>
              </w:rPr>
              <w:t>(</w:t>
            </w:r>
            <w:r w:rsidRPr="00DB3F00">
              <w:rPr>
                <w:rFonts w:ascii="Arial" w:hAnsi="Arial" w:cs="Arial"/>
                <w:sz w:val="20"/>
                <w:szCs w:val="20"/>
              </w:rPr>
              <w:t>Other non-epithelial cancer of skin</w:t>
            </w:r>
            <w:r>
              <w:rPr>
                <w:rFonts w:ascii="Arial" w:hAnsi="Arial" w:cs="Arial"/>
                <w:sz w:val="20"/>
                <w:szCs w:val="20"/>
              </w:rPr>
              <w:t>);</w:t>
            </w:r>
            <w:r w:rsidRPr="00DB3F00">
              <w:rPr>
                <w:rFonts w:ascii="Arial" w:hAnsi="Arial" w:cs="Arial"/>
                <w:sz w:val="20"/>
                <w:szCs w:val="20"/>
              </w:rPr>
              <w:t xml:space="preserve"> 24 </w:t>
            </w:r>
            <w:r>
              <w:rPr>
                <w:rFonts w:ascii="Arial" w:hAnsi="Arial" w:cs="Arial"/>
                <w:sz w:val="20"/>
                <w:szCs w:val="20"/>
              </w:rPr>
              <w:t>(</w:t>
            </w:r>
            <w:r w:rsidRPr="00DB3F00">
              <w:rPr>
                <w:rFonts w:ascii="Arial" w:hAnsi="Arial" w:cs="Arial"/>
                <w:sz w:val="20"/>
                <w:szCs w:val="20"/>
              </w:rPr>
              <w:t>Cancer of breast</w:t>
            </w:r>
            <w:r>
              <w:rPr>
                <w:rFonts w:ascii="Arial" w:hAnsi="Arial" w:cs="Arial"/>
                <w:sz w:val="20"/>
                <w:szCs w:val="20"/>
              </w:rPr>
              <w:t>);</w:t>
            </w:r>
            <w:r w:rsidRPr="00DB3F00">
              <w:rPr>
                <w:rFonts w:ascii="Arial" w:hAnsi="Arial" w:cs="Arial"/>
                <w:sz w:val="20"/>
                <w:szCs w:val="20"/>
              </w:rPr>
              <w:t xml:space="preserve"> 25 </w:t>
            </w:r>
            <w:r>
              <w:rPr>
                <w:rFonts w:ascii="Arial" w:hAnsi="Arial" w:cs="Arial"/>
                <w:sz w:val="20"/>
                <w:szCs w:val="20"/>
              </w:rPr>
              <w:t>(</w:t>
            </w:r>
            <w:r w:rsidRPr="00DB3F00">
              <w:rPr>
                <w:rFonts w:ascii="Arial" w:hAnsi="Arial" w:cs="Arial"/>
                <w:sz w:val="20"/>
                <w:szCs w:val="20"/>
              </w:rPr>
              <w:t>Cancer of uterus</w:t>
            </w:r>
            <w:r>
              <w:rPr>
                <w:rFonts w:ascii="Arial" w:hAnsi="Arial" w:cs="Arial"/>
                <w:sz w:val="20"/>
                <w:szCs w:val="20"/>
              </w:rPr>
              <w:t>);</w:t>
            </w:r>
            <w:r w:rsidRPr="00DB3F00">
              <w:rPr>
                <w:rFonts w:ascii="Arial" w:hAnsi="Arial" w:cs="Arial"/>
                <w:sz w:val="20"/>
                <w:szCs w:val="20"/>
              </w:rPr>
              <w:t xml:space="preserve"> 26 </w:t>
            </w:r>
            <w:r>
              <w:rPr>
                <w:rFonts w:ascii="Arial" w:hAnsi="Arial" w:cs="Arial"/>
                <w:sz w:val="20"/>
                <w:szCs w:val="20"/>
              </w:rPr>
              <w:t>(</w:t>
            </w:r>
            <w:r w:rsidRPr="00DB3F00">
              <w:rPr>
                <w:rFonts w:ascii="Arial" w:hAnsi="Arial" w:cs="Arial"/>
                <w:sz w:val="20"/>
                <w:szCs w:val="20"/>
              </w:rPr>
              <w:t>Cancer of cervix</w:t>
            </w:r>
            <w:r>
              <w:rPr>
                <w:rFonts w:ascii="Arial" w:hAnsi="Arial" w:cs="Arial"/>
                <w:sz w:val="20"/>
                <w:szCs w:val="20"/>
              </w:rPr>
              <w:t>);</w:t>
            </w:r>
            <w:r w:rsidRPr="00DB3F00">
              <w:rPr>
                <w:rFonts w:ascii="Arial" w:hAnsi="Arial" w:cs="Arial"/>
                <w:sz w:val="20"/>
                <w:szCs w:val="20"/>
              </w:rPr>
              <w:t xml:space="preserve"> 27 </w:t>
            </w:r>
            <w:r>
              <w:rPr>
                <w:rFonts w:ascii="Arial" w:hAnsi="Arial" w:cs="Arial"/>
                <w:sz w:val="20"/>
                <w:szCs w:val="20"/>
              </w:rPr>
              <w:t>(</w:t>
            </w:r>
            <w:r w:rsidRPr="00DB3F00">
              <w:rPr>
                <w:rFonts w:ascii="Arial" w:hAnsi="Arial" w:cs="Arial"/>
                <w:sz w:val="20"/>
                <w:szCs w:val="20"/>
              </w:rPr>
              <w:t>Cancer of ovary</w:t>
            </w:r>
            <w:r>
              <w:rPr>
                <w:rFonts w:ascii="Arial" w:hAnsi="Arial" w:cs="Arial"/>
                <w:sz w:val="20"/>
                <w:szCs w:val="20"/>
              </w:rPr>
              <w:t>);</w:t>
            </w:r>
            <w:r w:rsidRPr="00DB3F00">
              <w:rPr>
                <w:rFonts w:ascii="Arial" w:hAnsi="Arial" w:cs="Arial"/>
                <w:sz w:val="20"/>
                <w:szCs w:val="20"/>
              </w:rPr>
              <w:t xml:space="preserve"> 28 </w:t>
            </w:r>
            <w:r>
              <w:rPr>
                <w:rFonts w:ascii="Arial" w:hAnsi="Arial" w:cs="Arial"/>
                <w:sz w:val="20"/>
                <w:szCs w:val="20"/>
              </w:rPr>
              <w:t>(</w:t>
            </w:r>
            <w:r w:rsidRPr="00DB3F00">
              <w:rPr>
                <w:rFonts w:ascii="Arial" w:hAnsi="Arial" w:cs="Arial"/>
                <w:sz w:val="20"/>
                <w:szCs w:val="20"/>
              </w:rPr>
              <w:t>Cancer of other female genital organs</w:t>
            </w:r>
            <w:r>
              <w:rPr>
                <w:rFonts w:ascii="Arial" w:hAnsi="Arial" w:cs="Arial"/>
                <w:sz w:val="20"/>
                <w:szCs w:val="20"/>
              </w:rPr>
              <w:t>);</w:t>
            </w:r>
            <w:r w:rsidRPr="00DB3F00">
              <w:rPr>
                <w:rFonts w:ascii="Arial" w:hAnsi="Arial" w:cs="Arial"/>
                <w:sz w:val="20"/>
                <w:szCs w:val="20"/>
              </w:rPr>
              <w:t xml:space="preserve"> 29 </w:t>
            </w:r>
            <w:r>
              <w:rPr>
                <w:rFonts w:ascii="Arial" w:hAnsi="Arial" w:cs="Arial"/>
                <w:sz w:val="20"/>
                <w:szCs w:val="20"/>
              </w:rPr>
              <w:t>(</w:t>
            </w:r>
            <w:r w:rsidRPr="00DB3F00">
              <w:rPr>
                <w:rFonts w:ascii="Arial" w:hAnsi="Arial" w:cs="Arial"/>
                <w:sz w:val="20"/>
                <w:szCs w:val="20"/>
              </w:rPr>
              <w:t>Cancer of prostate</w:t>
            </w:r>
            <w:r>
              <w:rPr>
                <w:rFonts w:ascii="Arial" w:hAnsi="Arial" w:cs="Arial"/>
                <w:sz w:val="20"/>
                <w:szCs w:val="20"/>
              </w:rPr>
              <w:t>);</w:t>
            </w:r>
            <w:r w:rsidRPr="00DB3F00">
              <w:rPr>
                <w:rFonts w:ascii="Arial" w:hAnsi="Arial" w:cs="Arial"/>
                <w:sz w:val="20"/>
                <w:szCs w:val="20"/>
              </w:rPr>
              <w:t xml:space="preserve"> 30 </w:t>
            </w:r>
            <w:r>
              <w:rPr>
                <w:rFonts w:ascii="Arial" w:hAnsi="Arial" w:cs="Arial"/>
                <w:sz w:val="20"/>
                <w:szCs w:val="20"/>
              </w:rPr>
              <w:t>(</w:t>
            </w:r>
            <w:r w:rsidRPr="00DB3F00">
              <w:rPr>
                <w:rFonts w:ascii="Arial" w:hAnsi="Arial" w:cs="Arial"/>
                <w:sz w:val="20"/>
                <w:szCs w:val="20"/>
              </w:rPr>
              <w:t>Cancer of testis</w:t>
            </w:r>
            <w:r>
              <w:rPr>
                <w:rFonts w:ascii="Arial" w:hAnsi="Arial" w:cs="Arial"/>
                <w:sz w:val="20"/>
                <w:szCs w:val="20"/>
              </w:rPr>
              <w:t>);</w:t>
            </w:r>
            <w:r w:rsidRPr="00DB3F00">
              <w:rPr>
                <w:rFonts w:ascii="Arial" w:hAnsi="Arial" w:cs="Arial"/>
                <w:sz w:val="20"/>
                <w:szCs w:val="20"/>
              </w:rPr>
              <w:t xml:space="preserve"> 31 </w:t>
            </w:r>
            <w:r>
              <w:rPr>
                <w:rFonts w:ascii="Arial" w:hAnsi="Arial" w:cs="Arial"/>
                <w:sz w:val="20"/>
                <w:szCs w:val="20"/>
              </w:rPr>
              <w:t>(</w:t>
            </w:r>
            <w:r w:rsidRPr="00DB3F00">
              <w:rPr>
                <w:rFonts w:ascii="Arial" w:hAnsi="Arial" w:cs="Arial"/>
                <w:sz w:val="20"/>
                <w:szCs w:val="20"/>
              </w:rPr>
              <w:t>Cancer of other male genital organs</w:t>
            </w:r>
            <w:r>
              <w:rPr>
                <w:rFonts w:ascii="Arial" w:hAnsi="Arial" w:cs="Arial"/>
                <w:sz w:val="20"/>
                <w:szCs w:val="20"/>
              </w:rPr>
              <w:t>);</w:t>
            </w:r>
            <w:r w:rsidRPr="00DB3F00">
              <w:rPr>
                <w:rFonts w:ascii="Arial" w:hAnsi="Arial" w:cs="Arial"/>
                <w:sz w:val="20"/>
                <w:szCs w:val="20"/>
              </w:rPr>
              <w:t xml:space="preserve"> 32 </w:t>
            </w:r>
            <w:r>
              <w:rPr>
                <w:rFonts w:ascii="Arial" w:hAnsi="Arial" w:cs="Arial"/>
                <w:sz w:val="20"/>
                <w:szCs w:val="20"/>
              </w:rPr>
              <w:t>(</w:t>
            </w:r>
            <w:r w:rsidRPr="00DB3F00">
              <w:rPr>
                <w:rFonts w:ascii="Arial" w:hAnsi="Arial" w:cs="Arial"/>
                <w:sz w:val="20"/>
                <w:szCs w:val="20"/>
              </w:rPr>
              <w:t>Cancer of bladder</w:t>
            </w:r>
            <w:r>
              <w:rPr>
                <w:rFonts w:ascii="Arial" w:hAnsi="Arial" w:cs="Arial"/>
                <w:sz w:val="20"/>
                <w:szCs w:val="20"/>
              </w:rPr>
              <w:t>);</w:t>
            </w:r>
            <w:r w:rsidRPr="00DB3F00">
              <w:rPr>
                <w:rFonts w:ascii="Arial" w:hAnsi="Arial" w:cs="Arial"/>
                <w:sz w:val="20"/>
                <w:szCs w:val="20"/>
              </w:rPr>
              <w:t xml:space="preserve"> 33 </w:t>
            </w:r>
            <w:r>
              <w:rPr>
                <w:rFonts w:ascii="Arial" w:hAnsi="Arial" w:cs="Arial"/>
                <w:sz w:val="20"/>
                <w:szCs w:val="20"/>
              </w:rPr>
              <w:t>(</w:t>
            </w:r>
            <w:r w:rsidRPr="00DB3F00">
              <w:rPr>
                <w:rFonts w:ascii="Arial" w:hAnsi="Arial" w:cs="Arial"/>
                <w:sz w:val="20"/>
                <w:szCs w:val="20"/>
              </w:rPr>
              <w:t>Cancer of kidney and renal pelvis</w:t>
            </w:r>
            <w:r>
              <w:rPr>
                <w:rFonts w:ascii="Arial" w:hAnsi="Arial" w:cs="Arial"/>
                <w:sz w:val="20"/>
                <w:szCs w:val="20"/>
              </w:rPr>
              <w:t>);</w:t>
            </w:r>
            <w:r w:rsidRPr="00DB3F00">
              <w:rPr>
                <w:rFonts w:ascii="Arial" w:hAnsi="Arial" w:cs="Arial"/>
                <w:sz w:val="20"/>
                <w:szCs w:val="20"/>
              </w:rPr>
              <w:t xml:space="preserve"> 34 </w:t>
            </w:r>
            <w:r>
              <w:rPr>
                <w:rFonts w:ascii="Arial" w:hAnsi="Arial" w:cs="Arial"/>
                <w:sz w:val="20"/>
                <w:szCs w:val="20"/>
              </w:rPr>
              <w:t>(</w:t>
            </w:r>
            <w:r w:rsidRPr="00DB3F00">
              <w:rPr>
                <w:rFonts w:ascii="Arial" w:hAnsi="Arial" w:cs="Arial"/>
                <w:sz w:val="20"/>
                <w:szCs w:val="20"/>
              </w:rPr>
              <w:t>Cancer of other urinary organs</w:t>
            </w:r>
            <w:r>
              <w:rPr>
                <w:rFonts w:ascii="Arial" w:hAnsi="Arial" w:cs="Arial"/>
                <w:sz w:val="20"/>
                <w:szCs w:val="20"/>
              </w:rPr>
              <w:t>);</w:t>
            </w:r>
            <w:r w:rsidRPr="00DB3F00">
              <w:rPr>
                <w:rFonts w:ascii="Arial" w:hAnsi="Arial" w:cs="Arial"/>
                <w:sz w:val="20"/>
                <w:szCs w:val="20"/>
              </w:rPr>
              <w:t xml:space="preserve"> 35 </w:t>
            </w:r>
            <w:r>
              <w:rPr>
                <w:rFonts w:ascii="Arial" w:hAnsi="Arial" w:cs="Arial"/>
                <w:sz w:val="20"/>
                <w:szCs w:val="20"/>
              </w:rPr>
              <w:t>(</w:t>
            </w:r>
            <w:r w:rsidRPr="00DB3F00">
              <w:rPr>
                <w:rFonts w:ascii="Arial" w:hAnsi="Arial" w:cs="Arial"/>
                <w:sz w:val="20"/>
                <w:szCs w:val="20"/>
              </w:rPr>
              <w:t>Cancer of brain and nervous system</w:t>
            </w:r>
            <w:r>
              <w:rPr>
                <w:rFonts w:ascii="Arial" w:hAnsi="Arial" w:cs="Arial"/>
                <w:sz w:val="20"/>
                <w:szCs w:val="20"/>
              </w:rPr>
              <w:t>);</w:t>
            </w:r>
            <w:r w:rsidRPr="00DB3F00">
              <w:rPr>
                <w:rFonts w:ascii="Arial" w:hAnsi="Arial" w:cs="Arial"/>
                <w:sz w:val="20"/>
                <w:szCs w:val="20"/>
              </w:rPr>
              <w:t xml:space="preserve"> 36 </w:t>
            </w:r>
            <w:r>
              <w:rPr>
                <w:rFonts w:ascii="Arial" w:hAnsi="Arial" w:cs="Arial"/>
                <w:sz w:val="20"/>
                <w:szCs w:val="20"/>
              </w:rPr>
              <w:t>(</w:t>
            </w:r>
            <w:r w:rsidRPr="00DB3F00">
              <w:rPr>
                <w:rFonts w:ascii="Arial" w:hAnsi="Arial" w:cs="Arial"/>
                <w:sz w:val="20"/>
                <w:szCs w:val="20"/>
              </w:rPr>
              <w:t>Cancer of thyroid</w:t>
            </w:r>
            <w:r>
              <w:rPr>
                <w:rFonts w:ascii="Arial" w:hAnsi="Arial" w:cs="Arial"/>
                <w:sz w:val="20"/>
                <w:szCs w:val="20"/>
              </w:rPr>
              <w:t>);</w:t>
            </w:r>
            <w:r w:rsidRPr="00DB3F00">
              <w:rPr>
                <w:rFonts w:ascii="Arial" w:hAnsi="Arial" w:cs="Arial"/>
                <w:sz w:val="20"/>
                <w:szCs w:val="20"/>
              </w:rPr>
              <w:t xml:space="preserve"> 37 </w:t>
            </w:r>
            <w:r>
              <w:rPr>
                <w:rFonts w:ascii="Arial" w:hAnsi="Arial" w:cs="Arial"/>
                <w:sz w:val="20"/>
                <w:szCs w:val="20"/>
              </w:rPr>
              <w:t>(</w:t>
            </w:r>
            <w:r w:rsidRPr="00DB3F00">
              <w:rPr>
                <w:rFonts w:ascii="Arial" w:hAnsi="Arial" w:cs="Arial"/>
                <w:sz w:val="20"/>
                <w:szCs w:val="20"/>
              </w:rPr>
              <w:t>Hodgkin`s disease</w:t>
            </w:r>
            <w:r>
              <w:rPr>
                <w:rFonts w:ascii="Arial" w:hAnsi="Arial" w:cs="Arial"/>
                <w:sz w:val="20"/>
                <w:szCs w:val="20"/>
              </w:rPr>
              <w:t>);</w:t>
            </w:r>
            <w:r w:rsidRPr="00DB3F00">
              <w:rPr>
                <w:rFonts w:ascii="Arial" w:hAnsi="Arial" w:cs="Arial"/>
                <w:sz w:val="20"/>
                <w:szCs w:val="20"/>
              </w:rPr>
              <w:t xml:space="preserve"> 38 </w:t>
            </w:r>
            <w:r>
              <w:rPr>
                <w:rFonts w:ascii="Arial" w:hAnsi="Arial" w:cs="Arial"/>
                <w:sz w:val="20"/>
                <w:szCs w:val="20"/>
              </w:rPr>
              <w:t>(</w:t>
            </w:r>
            <w:r w:rsidRPr="00DB3F00">
              <w:rPr>
                <w:rFonts w:ascii="Arial" w:hAnsi="Arial" w:cs="Arial"/>
                <w:sz w:val="20"/>
                <w:szCs w:val="20"/>
              </w:rPr>
              <w:t>Non-Hodgkin`s lymphoma</w:t>
            </w:r>
            <w:r>
              <w:rPr>
                <w:rFonts w:ascii="Arial" w:hAnsi="Arial" w:cs="Arial"/>
                <w:sz w:val="20"/>
                <w:szCs w:val="20"/>
              </w:rPr>
              <w:t>);</w:t>
            </w:r>
            <w:r w:rsidRPr="00DB3F00">
              <w:rPr>
                <w:rFonts w:ascii="Arial" w:hAnsi="Arial" w:cs="Arial"/>
                <w:sz w:val="20"/>
                <w:szCs w:val="20"/>
              </w:rPr>
              <w:t xml:space="preserve"> 39 </w:t>
            </w:r>
            <w:r>
              <w:rPr>
                <w:rFonts w:ascii="Arial" w:hAnsi="Arial" w:cs="Arial"/>
                <w:sz w:val="20"/>
                <w:szCs w:val="20"/>
              </w:rPr>
              <w:t>(</w:t>
            </w:r>
            <w:proofErr w:type="spellStart"/>
            <w:r w:rsidRPr="00DB3F00">
              <w:rPr>
                <w:rFonts w:ascii="Arial" w:hAnsi="Arial" w:cs="Arial"/>
                <w:sz w:val="20"/>
                <w:szCs w:val="20"/>
              </w:rPr>
              <w:t>Leukemias</w:t>
            </w:r>
            <w:proofErr w:type="spellEnd"/>
            <w:r>
              <w:rPr>
                <w:rFonts w:ascii="Arial" w:hAnsi="Arial" w:cs="Arial"/>
                <w:sz w:val="20"/>
                <w:szCs w:val="20"/>
              </w:rPr>
              <w:t>);</w:t>
            </w:r>
            <w:r w:rsidRPr="00DB3F00">
              <w:rPr>
                <w:rFonts w:ascii="Arial" w:hAnsi="Arial" w:cs="Arial"/>
                <w:sz w:val="20"/>
                <w:szCs w:val="20"/>
              </w:rPr>
              <w:t xml:space="preserve"> 40 </w:t>
            </w:r>
            <w:r>
              <w:rPr>
                <w:rFonts w:ascii="Arial" w:hAnsi="Arial" w:cs="Arial"/>
                <w:sz w:val="20"/>
                <w:szCs w:val="20"/>
              </w:rPr>
              <w:t>(</w:t>
            </w:r>
            <w:r w:rsidRPr="00DB3F00">
              <w:rPr>
                <w:rFonts w:ascii="Arial" w:hAnsi="Arial" w:cs="Arial"/>
                <w:sz w:val="20"/>
                <w:szCs w:val="20"/>
              </w:rPr>
              <w:t>Multiple myeloma</w:t>
            </w:r>
            <w:r>
              <w:rPr>
                <w:rFonts w:ascii="Arial" w:hAnsi="Arial" w:cs="Arial"/>
                <w:sz w:val="20"/>
                <w:szCs w:val="20"/>
              </w:rPr>
              <w:t>);</w:t>
            </w:r>
            <w:r w:rsidRPr="00DB3F00">
              <w:rPr>
                <w:rFonts w:ascii="Arial" w:hAnsi="Arial" w:cs="Arial"/>
                <w:sz w:val="20"/>
                <w:szCs w:val="20"/>
              </w:rPr>
              <w:t xml:space="preserve"> 41 </w:t>
            </w:r>
            <w:r>
              <w:rPr>
                <w:rFonts w:ascii="Arial" w:hAnsi="Arial" w:cs="Arial"/>
                <w:sz w:val="20"/>
                <w:szCs w:val="20"/>
              </w:rPr>
              <w:t>(</w:t>
            </w:r>
            <w:r w:rsidRPr="00DB3F00">
              <w:rPr>
                <w:rFonts w:ascii="Arial" w:hAnsi="Arial" w:cs="Arial"/>
                <w:sz w:val="20"/>
                <w:szCs w:val="20"/>
              </w:rPr>
              <w:t>Cancer; other and unspecified primary</w:t>
            </w:r>
            <w:r>
              <w:rPr>
                <w:rFonts w:ascii="Arial" w:hAnsi="Arial" w:cs="Arial"/>
                <w:sz w:val="20"/>
                <w:szCs w:val="20"/>
              </w:rPr>
              <w:t>);</w:t>
            </w:r>
            <w:r w:rsidRPr="00DB3F00">
              <w:rPr>
                <w:rFonts w:ascii="Arial" w:hAnsi="Arial" w:cs="Arial"/>
                <w:sz w:val="20"/>
                <w:szCs w:val="20"/>
              </w:rPr>
              <w:t xml:space="preserve"> 42 </w:t>
            </w:r>
            <w:r>
              <w:rPr>
                <w:rFonts w:ascii="Arial" w:hAnsi="Arial" w:cs="Arial"/>
                <w:sz w:val="20"/>
                <w:szCs w:val="20"/>
              </w:rPr>
              <w:t>(</w:t>
            </w:r>
            <w:r w:rsidRPr="00DB3F00">
              <w:rPr>
                <w:rFonts w:ascii="Arial" w:hAnsi="Arial" w:cs="Arial"/>
                <w:sz w:val="20"/>
                <w:szCs w:val="20"/>
              </w:rPr>
              <w:t>Secondary malignancies</w:t>
            </w:r>
            <w:r>
              <w:rPr>
                <w:rFonts w:ascii="Arial" w:hAnsi="Arial" w:cs="Arial"/>
                <w:sz w:val="20"/>
                <w:szCs w:val="20"/>
              </w:rPr>
              <w:t>);</w:t>
            </w:r>
            <w:r w:rsidRPr="00DB3F00">
              <w:rPr>
                <w:rFonts w:ascii="Arial" w:hAnsi="Arial" w:cs="Arial"/>
                <w:sz w:val="20"/>
                <w:szCs w:val="20"/>
              </w:rPr>
              <w:t xml:space="preserve"> 43 </w:t>
            </w:r>
            <w:r>
              <w:rPr>
                <w:rFonts w:ascii="Arial" w:hAnsi="Arial" w:cs="Arial"/>
                <w:sz w:val="20"/>
                <w:szCs w:val="20"/>
              </w:rPr>
              <w:t>(</w:t>
            </w:r>
            <w:r w:rsidRPr="00DB3F00">
              <w:rPr>
                <w:rFonts w:ascii="Arial" w:hAnsi="Arial" w:cs="Arial"/>
                <w:sz w:val="20"/>
                <w:szCs w:val="20"/>
              </w:rPr>
              <w:t>Malignant neoplasm without specification of site</w:t>
            </w:r>
            <w:r>
              <w:rPr>
                <w:rFonts w:ascii="Arial" w:hAnsi="Arial" w:cs="Arial"/>
                <w:sz w:val="20"/>
                <w:szCs w:val="20"/>
              </w:rPr>
              <w:t>)</w:t>
            </w:r>
          </w:p>
        </w:tc>
      </w:tr>
      <w:tr w:rsidR="00D96987" w:rsidTr="006404C0">
        <w:trPr>
          <w:trHeight w:val="633"/>
        </w:trPr>
        <w:tc>
          <w:tcPr>
            <w:tcW w:w="2173" w:type="dxa"/>
          </w:tcPr>
          <w:p w:rsidR="009E5913" w:rsidRDefault="009E5913" w:rsidP="009E5913">
            <w:pPr>
              <w:rPr>
                <w:rFonts w:ascii="Arial" w:hAnsi="Arial" w:cs="Arial"/>
                <w:sz w:val="20"/>
                <w:szCs w:val="20"/>
              </w:rPr>
            </w:pPr>
            <w:r>
              <w:rPr>
                <w:rFonts w:ascii="Arial" w:hAnsi="Arial" w:cs="Arial"/>
                <w:sz w:val="20"/>
                <w:szCs w:val="20"/>
              </w:rPr>
              <w:t>Solid tumor</w:t>
            </w:r>
          </w:p>
        </w:tc>
        <w:tc>
          <w:tcPr>
            <w:tcW w:w="7187" w:type="dxa"/>
          </w:tcPr>
          <w:p w:rsidR="009E5913" w:rsidRDefault="009E5913" w:rsidP="009E5913">
            <w:pPr>
              <w:rPr>
                <w:rFonts w:ascii="Arial" w:hAnsi="Arial" w:cs="Arial"/>
                <w:sz w:val="20"/>
                <w:szCs w:val="20"/>
              </w:rPr>
            </w:pPr>
            <w:r>
              <w:rPr>
                <w:rFonts w:ascii="Arial" w:hAnsi="Arial" w:cs="Arial"/>
                <w:sz w:val="20"/>
                <w:szCs w:val="20"/>
              </w:rPr>
              <w:t>CCS codes 11-36 correspond to solid tumor</w:t>
            </w:r>
          </w:p>
        </w:tc>
      </w:tr>
      <w:tr w:rsidR="00D96987" w:rsidTr="006404C0">
        <w:trPr>
          <w:trHeight w:val="633"/>
        </w:trPr>
        <w:tc>
          <w:tcPr>
            <w:tcW w:w="2173" w:type="dxa"/>
          </w:tcPr>
          <w:p w:rsidR="009E5913" w:rsidRDefault="009E5913" w:rsidP="009E5913">
            <w:pPr>
              <w:rPr>
                <w:rFonts w:ascii="Arial" w:hAnsi="Arial" w:cs="Arial"/>
                <w:sz w:val="20"/>
                <w:szCs w:val="20"/>
              </w:rPr>
            </w:pPr>
            <w:r>
              <w:rPr>
                <w:rFonts w:ascii="Arial" w:hAnsi="Arial" w:cs="Arial"/>
                <w:sz w:val="20"/>
                <w:szCs w:val="20"/>
              </w:rPr>
              <w:t>Hematologic tumor</w:t>
            </w:r>
          </w:p>
        </w:tc>
        <w:tc>
          <w:tcPr>
            <w:tcW w:w="7187" w:type="dxa"/>
          </w:tcPr>
          <w:p w:rsidR="009E5913" w:rsidRDefault="009E5913" w:rsidP="009E5913">
            <w:pPr>
              <w:rPr>
                <w:rFonts w:ascii="Arial" w:hAnsi="Arial" w:cs="Arial"/>
                <w:sz w:val="20"/>
                <w:szCs w:val="20"/>
              </w:rPr>
            </w:pPr>
            <w:r>
              <w:rPr>
                <w:rFonts w:ascii="Arial" w:hAnsi="Arial" w:cs="Arial"/>
                <w:sz w:val="20"/>
                <w:szCs w:val="20"/>
              </w:rPr>
              <w:t>CCS codes 37-40 correspond to hematologic malignancy</w:t>
            </w:r>
          </w:p>
        </w:tc>
      </w:tr>
      <w:tr w:rsidR="00D96987" w:rsidTr="006404C0">
        <w:trPr>
          <w:trHeight w:val="633"/>
        </w:trPr>
        <w:tc>
          <w:tcPr>
            <w:tcW w:w="2173" w:type="dxa"/>
          </w:tcPr>
          <w:p w:rsidR="009E5913" w:rsidRDefault="009E5913" w:rsidP="002050E8">
            <w:pPr>
              <w:rPr>
                <w:rFonts w:ascii="Arial" w:hAnsi="Arial" w:cs="Arial"/>
                <w:sz w:val="20"/>
                <w:szCs w:val="20"/>
              </w:rPr>
            </w:pPr>
            <w:r>
              <w:rPr>
                <w:rFonts w:ascii="Arial" w:hAnsi="Arial" w:cs="Arial"/>
                <w:sz w:val="20"/>
                <w:szCs w:val="20"/>
              </w:rPr>
              <w:t>Other tumor</w:t>
            </w:r>
          </w:p>
        </w:tc>
        <w:tc>
          <w:tcPr>
            <w:tcW w:w="7187" w:type="dxa"/>
          </w:tcPr>
          <w:p w:rsidR="009E5913" w:rsidRDefault="009E5913" w:rsidP="009E5913">
            <w:pPr>
              <w:rPr>
                <w:rFonts w:ascii="Arial" w:hAnsi="Arial" w:cs="Arial"/>
                <w:sz w:val="20"/>
                <w:szCs w:val="20"/>
              </w:rPr>
            </w:pPr>
            <w:r>
              <w:rPr>
                <w:rFonts w:ascii="Arial" w:hAnsi="Arial" w:cs="Arial"/>
                <w:sz w:val="20"/>
                <w:szCs w:val="20"/>
              </w:rPr>
              <w:t>CCS codes 40-43 correspond to other or NOS malignancies</w:t>
            </w:r>
          </w:p>
        </w:tc>
      </w:tr>
      <w:tr w:rsidR="00D96987" w:rsidTr="006404C0">
        <w:trPr>
          <w:trHeight w:val="293"/>
        </w:trPr>
        <w:tc>
          <w:tcPr>
            <w:tcW w:w="2173" w:type="dxa"/>
            <w:shd w:val="clear" w:color="auto" w:fill="BFBFBF" w:themeFill="background1" w:themeFillShade="BF"/>
          </w:tcPr>
          <w:p w:rsidR="009E5913" w:rsidRPr="009E5913" w:rsidRDefault="00AD1E00" w:rsidP="009E5913">
            <w:pPr>
              <w:rPr>
                <w:rFonts w:ascii="Arial" w:hAnsi="Arial" w:cs="Arial"/>
                <w:b/>
                <w:sz w:val="20"/>
                <w:szCs w:val="20"/>
              </w:rPr>
            </w:pPr>
            <w:r>
              <w:rPr>
                <w:rFonts w:ascii="Arial" w:hAnsi="Arial" w:cs="Arial"/>
                <w:b/>
                <w:sz w:val="20"/>
                <w:szCs w:val="20"/>
              </w:rPr>
              <w:t>Site</w:t>
            </w:r>
            <w:r w:rsidR="009E5913" w:rsidRPr="009E5913">
              <w:rPr>
                <w:rFonts w:ascii="Arial" w:hAnsi="Arial" w:cs="Arial"/>
                <w:b/>
                <w:sz w:val="20"/>
                <w:szCs w:val="20"/>
              </w:rPr>
              <w:t xml:space="preserve"> of Infection</w:t>
            </w:r>
          </w:p>
        </w:tc>
        <w:tc>
          <w:tcPr>
            <w:tcW w:w="7187" w:type="dxa"/>
            <w:shd w:val="clear" w:color="auto" w:fill="BFBFBF" w:themeFill="background1" w:themeFillShade="BF"/>
          </w:tcPr>
          <w:p w:rsidR="009E5913" w:rsidRDefault="009E5913" w:rsidP="009E5913">
            <w:pPr>
              <w:rPr>
                <w:rFonts w:ascii="Arial" w:hAnsi="Arial" w:cs="Arial"/>
                <w:sz w:val="20"/>
                <w:szCs w:val="20"/>
              </w:rPr>
            </w:pPr>
            <w:r>
              <w:rPr>
                <w:rFonts w:ascii="Arial" w:hAnsi="Arial" w:cs="Arial"/>
                <w:sz w:val="20"/>
                <w:szCs w:val="20"/>
              </w:rPr>
              <w:t>ICD-9 codes or CCS co</w:t>
            </w:r>
            <w:r w:rsidR="00AD1E00">
              <w:rPr>
                <w:rFonts w:ascii="Arial" w:hAnsi="Arial" w:cs="Arial"/>
                <w:sz w:val="20"/>
                <w:szCs w:val="20"/>
              </w:rPr>
              <w:t>des were used to identify site</w:t>
            </w:r>
            <w:r w:rsidR="00DB3F00">
              <w:rPr>
                <w:rFonts w:ascii="Arial" w:hAnsi="Arial" w:cs="Arial"/>
                <w:sz w:val="20"/>
                <w:szCs w:val="20"/>
              </w:rPr>
              <w:t>, first diagnosis was the only one considered.</w:t>
            </w:r>
          </w:p>
        </w:tc>
      </w:tr>
      <w:tr w:rsidR="00D96987" w:rsidTr="006404C0">
        <w:trPr>
          <w:trHeight w:val="286"/>
        </w:trPr>
        <w:tc>
          <w:tcPr>
            <w:tcW w:w="2173" w:type="dxa"/>
          </w:tcPr>
          <w:p w:rsidR="009E5913" w:rsidRDefault="009E5913" w:rsidP="009E5913">
            <w:pPr>
              <w:rPr>
                <w:rFonts w:ascii="Arial" w:hAnsi="Arial" w:cs="Arial"/>
                <w:sz w:val="20"/>
                <w:szCs w:val="20"/>
              </w:rPr>
            </w:pPr>
            <w:r>
              <w:rPr>
                <w:rFonts w:ascii="Arial" w:hAnsi="Arial" w:cs="Arial"/>
                <w:sz w:val="20"/>
                <w:szCs w:val="20"/>
              </w:rPr>
              <w:t xml:space="preserve">  Respiratory</w:t>
            </w:r>
          </w:p>
        </w:tc>
        <w:tc>
          <w:tcPr>
            <w:tcW w:w="7187" w:type="dxa"/>
          </w:tcPr>
          <w:p w:rsidR="00D96987" w:rsidRDefault="00D96987" w:rsidP="009E5913">
            <w:pPr>
              <w:rPr>
                <w:rFonts w:ascii="Arial" w:hAnsi="Arial" w:cs="Arial"/>
                <w:sz w:val="20"/>
                <w:szCs w:val="20"/>
              </w:rPr>
            </w:pPr>
            <w:r>
              <w:rPr>
                <w:rFonts w:ascii="Arial" w:hAnsi="Arial" w:cs="Arial"/>
                <w:sz w:val="20"/>
                <w:szCs w:val="20"/>
              </w:rPr>
              <w:t xml:space="preserve">CCS codes: 122 (pneumonia); 123 (Influenza); 125 (bronchitis); 126 (other upper respiratory infections); 129 (aspiration pneumonitis); </w:t>
            </w:r>
          </w:p>
          <w:p w:rsidR="00D96987" w:rsidRDefault="00D96987" w:rsidP="009E5913">
            <w:pPr>
              <w:rPr>
                <w:rFonts w:ascii="Arial" w:hAnsi="Arial" w:cs="Arial"/>
                <w:sz w:val="20"/>
                <w:szCs w:val="20"/>
              </w:rPr>
            </w:pPr>
          </w:p>
          <w:p w:rsidR="009E5913" w:rsidRDefault="00D96987" w:rsidP="00D96987">
            <w:pPr>
              <w:rPr>
                <w:rFonts w:ascii="Arial" w:hAnsi="Arial" w:cs="Arial"/>
                <w:sz w:val="20"/>
                <w:szCs w:val="20"/>
              </w:rPr>
            </w:pPr>
            <w:r>
              <w:rPr>
                <w:rFonts w:ascii="Arial" w:hAnsi="Arial" w:cs="Arial"/>
                <w:sz w:val="20"/>
                <w:szCs w:val="20"/>
              </w:rPr>
              <w:t>ICD9 codes: 510 (empyema); 510.0 (empyema with fistula); 510.9 (Empyema without fistula); 513.0 (abscess of lung)</w:t>
            </w:r>
          </w:p>
        </w:tc>
      </w:tr>
      <w:tr w:rsidR="00D96987" w:rsidTr="006404C0">
        <w:trPr>
          <w:trHeight w:val="286"/>
        </w:trPr>
        <w:tc>
          <w:tcPr>
            <w:tcW w:w="2173" w:type="dxa"/>
          </w:tcPr>
          <w:p w:rsidR="009E5913" w:rsidRDefault="009E5913" w:rsidP="009E5913">
            <w:pPr>
              <w:rPr>
                <w:rFonts w:ascii="Arial" w:hAnsi="Arial" w:cs="Arial"/>
                <w:sz w:val="20"/>
                <w:szCs w:val="20"/>
              </w:rPr>
            </w:pPr>
            <w:r>
              <w:rPr>
                <w:rFonts w:ascii="Arial" w:hAnsi="Arial" w:cs="Arial"/>
                <w:sz w:val="20"/>
                <w:szCs w:val="20"/>
              </w:rPr>
              <w:t xml:space="preserve">  Bacteremia</w:t>
            </w:r>
            <w:r w:rsidR="00E86B10">
              <w:rPr>
                <w:rFonts w:ascii="Arial" w:hAnsi="Arial" w:cs="Arial"/>
                <w:sz w:val="20"/>
                <w:szCs w:val="20"/>
              </w:rPr>
              <w:t>/</w:t>
            </w:r>
            <w:proofErr w:type="spellStart"/>
            <w:r w:rsidR="00E86B10">
              <w:rPr>
                <w:rFonts w:ascii="Arial" w:hAnsi="Arial" w:cs="Arial"/>
                <w:sz w:val="20"/>
                <w:szCs w:val="20"/>
              </w:rPr>
              <w:t>Fungemia</w:t>
            </w:r>
            <w:proofErr w:type="spellEnd"/>
          </w:p>
        </w:tc>
        <w:tc>
          <w:tcPr>
            <w:tcW w:w="7187" w:type="dxa"/>
          </w:tcPr>
          <w:p w:rsidR="009E5913" w:rsidRDefault="009E5913" w:rsidP="00D96987">
            <w:pPr>
              <w:rPr>
                <w:rFonts w:ascii="Arial" w:hAnsi="Arial" w:cs="Arial"/>
                <w:sz w:val="20"/>
                <w:szCs w:val="20"/>
              </w:rPr>
            </w:pPr>
            <w:r>
              <w:rPr>
                <w:rFonts w:ascii="Arial" w:hAnsi="Arial" w:cs="Arial"/>
                <w:sz w:val="20"/>
                <w:szCs w:val="20"/>
              </w:rPr>
              <w:t>I</w:t>
            </w:r>
            <w:r w:rsidR="00D96987">
              <w:rPr>
                <w:rFonts w:ascii="Arial" w:hAnsi="Arial" w:cs="Arial"/>
                <w:sz w:val="20"/>
                <w:szCs w:val="20"/>
              </w:rPr>
              <w:t>CD9 codes: 790.7 (Bacteremia); 771.81 (newborn sepsis); 999.32 (catheter associated blood stream infection); 112.5 (disseminated candida); 999.31 (infection due to central venous catheter)</w:t>
            </w:r>
          </w:p>
        </w:tc>
      </w:tr>
      <w:tr w:rsidR="00D96987" w:rsidTr="006404C0">
        <w:trPr>
          <w:trHeight w:val="286"/>
        </w:trPr>
        <w:tc>
          <w:tcPr>
            <w:tcW w:w="2173" w:type="dxa"/>
          </w:tcPr>
          <w:p w:rsidR="009E5913" w:rsidRDefault="00D96987" w:rsidP="009E5913">
            <w:pPr>
              <w:rPr>
                <w:rFonts w:ascii="Arial" w:hAnsi="Arial" w:cs="Arial"/>
                <w:sz w:val="20"/>
                <w:szCs w:val="20"/>
              </w:rPr>
            </w:pPr>
            <w:r>
              <w:rPr>
                <w:rFonts w:ascii="Arial" w:hAnsi="Arial" w:cs="Arial"/>
                <w:sz w:val="20"/>
                <w:szCs w:val="20"/>
              </w:rPr>
              <w:t xml:space="preserve">  Genitourinary</w:t>
            </w:r>
          </w:p>
        </w:tc>
        <w:tc>
          <w:tcPr>
            <w:tcW w:w="7187" w:type="dxa"/>
          </w:tcPr>
          <w:p w:rsidR="009E5913" w:rsidRDefault="009E5913" w:rsidP="009E5913">
            <w:pPr>
              <w:rPr>
                <w:rFonts w:ascii="Arial" w:hAnsi="Arial" w:cs="Arial"/>
                <w:sz w:val="20"/>
                <w:szCs w:val="20"/>
              </w:rPr>
            </w:pPr>
            <w:r>
              <w:rPr>
                <w:rFonts w:ascii="Arial" w:hAnsi="Arial" w:cs="Arial"/>
                <w:sz w:val="20"/>
                <w:szCs w:val="20"/>
              </w:rPr>
              <w:t>CCS code</w:t>
            </w:r>
            <w:r w:rsidR="00D96987">
              <w:rPr>
                <w:rFonts w:ascii="Arial" w:hAnsi="Arial" w:cs="Arial"/>
                <w:sz w:val="20"/>
                <w:szCs w:val="20"/>
              </w:rPr>
              <w:t>s:</w:t>
            </w:r>
            <w:r>
              <w:rPr>
                <w:rFonts w:ascii="Arial" w:hAnsi="Arial" w:cs="Arial"/>
                <w:sz w:val="20"/>
                <w:szCs w:val="20"/>
              </w:rPr>
              <w:t xml:space="preserve"> 159</w:t>
            </w:r>
            <w:r w:rsidR="00D96987">
              <w:rPr>
                <w:rFonts w:ascii="Arial" w:hAnsi="Arial" w:cs="Arial"/>
                <w:sz w:val="20"/>
                <w:szCs w:val="20"/>
              </w:rPr>
              <w:t xml:space="preserve"> (urinary tract infections)</w:t>
            </w:r>
          </w:p>
          <w:p w:rsidR="00D96987" w:rsidRDefault="00D96987" w:rsidP="009E5913">
            <w:pPr>
              <w:rPr>
                <w:rFonts w:ascii="Arial" w:hAnsi="Arial" w:cs="Arial"/>
                <w:sz w:val="20"/>
                <w:szCs w:val="20"/>
              </w:rPr>
            </w:pPr>
          </w:p>
          <w:p w:rsidR="00D96987" w:rsidRDefault="00D96987" w:rsidP="00AE7073">
            <w:pPr>
              <w:rPr>
                <w:rFonts w:ascii="Arial" w:hAnsi="Arial" w:cs="Arial"/>
                <w:sz w:val="20"/>
                <w:szCs w:val="20"/>
              </w:rPr>
            </w:pPr>
            <w:r>
              <w:rPr>
                <w:rFonts w:ascii="Arial" w:hAnsi="Arial" w:cs="Arial"/>
                <w:sz w:val="20"/>
                <w:szCs w:val="20"/>
              </w:rPr>
              <w:t>ICD-9 codes: 590.0 (pyelonephritis); 590.1 (pyelonephritis); 590.10 (pyelonephritis NOS); 590.80 (pyelonephritis NOS); 590.81 (pyelonephritis in other disease);</w:t>
            </w:r>
            <w:r w:rsidR="00AE7073">
              <w:rPr>
                <w:rFonts w:ascii="Arial" w:hAnsi="Arial" w:cs="Arial"/>
                <w:sz w:val="20"/>
                <w:szCs w:val="20"/>
              </w:rPr>
              <w:t xml:space="preserve"> 590.11 (pyelonephritis with necrosis);</w:t>
            </w:r>
            <w:r>
              <w:rPr>
                <w:rFonts w:ascii="Arial" w:hAnsi="Arial" w:cs="Arial"/>
                <w:sz w:val="20"/>
                <w:szCs w:val="20"/>
              </w:rPr>
              <w:t xml:space="preserve"> 601.9</w:t>
            </w:r>
            <w:r w:rsidR="00AE7073">
              <w:rPr>
                <w:rFonts w:ascii="Arial" w:hAnsi="Arial" w:cs="Arial"/>
                <w:sz w:val="20"/>
                <w:szCs w:val="20"/>
              </w:rPr>
              <w:t xml:space="preserve"> (prostatitis NOS);</w:t>
            </w:r>
            <w:r>
              <w:rPr>
                <w:rFonts w:ascii="Arial" w:hAnsi="Arial" w:cs="Arial"/>
                <w:sz w:val="20"/>
                <w:szCs w:val="20"/>
              </w:rPr>
              <w:t xml:space="preserve"> 601.0</w:t>
            </w:r>
            <w:r w:rsidR="00AE7073">
              <w:rPr>
                <w:rFonts w:ascii="Arial" w:hAnsi="Arial" w:cs="Arial"/>
                <w:sz w:val="20"/>
                <w:szCs w:val="20"/>
              </w:rPr>
              <w:t xml:space="preserve"> (prostatitis); 646.6 (infections of genitourinary tract in pregnancy)</w:t>
            </w:r>
          </w:p>
        </w:tc>
      </w:tr>
      <w:tr w:rsidR="00D96987" w:rsidTr="006404C0">
        <w:trPr>
          <w:trHeight w:val="286"/>
        </w:trPr>
        <w:tc>
          <w:tcPr>
            <w:tcW w:w="2173" w:type="dxa"/>
          </w:tcPr>
          <w:p w:rsidR="009E5913" w:rsidRDefault="00E86B10" w:rsidP="009E5913">
            <w:pPr>
              <w:rPr>
                <w:rFonts w:ascii="Arial" w:hAnsi="Arial" w:cs="Arial"/>
                <w:sz w:val="20"/>
                <w:szCs w:val="20"/>
              </w:rPr>
            </w:pPr>
            <w:r>
              <w:rPr>
                <w:rFonts w:ascii="Arial" w:hAnsi="Arial" w:cs="Arial"/>
                <w:sz w:val="20"/>
                <w:szCs w:val="20"/>
              </w:rPr>
              <w:lastRenderedPageBreak/>
              <w:t xml:space="preserve">  Gastrointestinal</w:t>
            </w:r>
          </w:p>
        </w:tc>
        <w:tc>
          <w:tcPr>
            <w:tcW w:w="7187" w:type="dxa"/>
          </w:tcPr>
          <w:p w:rsidR="00AE7073" w:rsidRDefault="009E5913" w:rsidP="009E5913">
            <w:pPr>
              <w:rPr>
                <w:rFonts w:ascii="Arial" w:hAnsi="Arial" w:cs="Arial"/>
                <w:sz w:val="20"/>
                <w:szCs w:val="20"/>
              </w:rPr>
            </w:pPr>
            <w:r>
              <w:rPr>
                <w:rFonts w:ascii="Arial" w:hAnsi="Arial" w:cs="Arial"/>
                <w:sz w:val="20"/>
                <w:szCs w:val="20"/>
              </w:rPr>
              <w:t>CCS codes</w:t>
            </w:r>
            <w:r w:rsidR="00AE7073">
              <w:rPr>
                <w:rFonts w:ascii="Arial" w:hAnsi="Arial" w:cs="Arial"/>
                <w:sz w:val="20"/>
                <w:szCs w:val="20"/>
              </w:rPr>
              <w:t>:</w:t>
            </w:r>
            <w:r>
              <w:rPr>
                <w:rFonts w:ascii="Arial" w:hAnsi="Arial" w:cs="Arial"/>
                <w:sz w:val="20"/>
                <w:szCs w:val="20"/>
              </w:rPr>
              <w:t xml:space="preserve"> 142</w:t>
            </w:r>
            <w:r w:rsidR="00AE7073">
              <w:rPr>
                <w:rFonts w:ascii="Arial" w:hAnsi="Arial" w:cs="Arial"/>
                <w:sz w:val="20"/>
                <w:szCs w:val="20"/>
              </w:rPr>
              <w:t xml:space="preserve"> (appendicitis); 146 (diverticulitis); 148 (peritonitis and intestinal abscess)</w:t>
            </w:r>
            <w:r>
              <w:rPr>
                <w:rFonts w:ascii="Arial" w:hAnsi="Arial" w:cs="Arial"/>
                <w:sz w:val="20"/>
                <w:szCs w:val="20"/>
              </w:rPr>
              <w:t xml:space="preserve"> </w:t>
            </w:r>
          </w:p>
          <w:p w:rsidR="00AE7073" w:rsidRDefault="00AE7073" w:rsidP="009E5913">
            <w:pPr>
              <w:rPr>
                <w:rFonts w:ascii="Arial" w:hAnsi="Arial" w:cs="Arial"/>
                <w:sz w:val="20"/>
                <w:szCs w:val="20"/>
              </w:rPr>
            </w:pPr>
          </w:p>
          <w:p w:rsidR="00AE7073" w:rsidRDefault="009E5913" w:rsidP="00AE7073">
            <w:pPr>
              <w:rPr>
                <w:rFonts w:ascii="Arial" w:hAnsi="Arial" w:cs="Arial"/>
                <w:sz w:val="20"/>
                <w:szCs w:val="20"/>
              </w:rPr>
            </w:pPr>
            <w:r>
              <w:rPr>
                <w:rFonts w:ascii="Arial" w:hAnsi="Arial" w:cs="Arial"/>
                <w:sz w:val="20"/>
                <w:szCs w:val="20"/>
              </w:rPr>
              <w:t>ICD-9 code</w:t>
            </w:r>
            <w:r w:rsidR="00AE7073">
              <w:rPr>
                <w:rFonts w:ascii="Arial" w:hAnsi="Arial" w:cs="Arial"/>
                <w:sz w:val="20"/>
                <w:szCs w:val="20"/>
              </w:rPr>
              <w:t>s:</w:t>
            </w:r>
            <w:r>
              <w:rPr>
                <w:rFonts w:ascii="Arial" w:hAnsi="Arial" w:cs="Arial"/>
                <w:sz w:val="20"/>
                <w:szCs w:val="20"/>
              </w:rPr>
              <w:t xml:space="preserve"> 576.1</w:t>
            </w:r>
            <w:r w:rsidR="00AE7073">
              <w:rPr>
                <w:rFonts w:ascii="Arial" w:hAnsi="Arial" w:cs="Arial"/>
                <w:sz w:val="20"/>
                <w:szCs w:val="20"/>
              </w:rPr>
              <w:t xml:space="preserve"> (cholangitis); 008.5 (bacterial enteritis NOS); 003.0 (salmonella enteritis); 009.0 (infections enteritis NOS); 009.1 (enteritis of infectious origin); 008.45 (clostridium </w:t>
            </w:r>
            <w:proofErr w:type="spellStart"/>
            <w:r w:rsidR="00AE7073">
              <w:rPr>
                <w:rFonts w:ascii="Arial" w:hAnsi="Arial" w:cs="Arial"/>
                <w:sz w:val="20"/>
                <w:szCs w:val="20"/>
              </w:rPr>
              <w:t>dificile</w:t>
            </w:r>
            <w:proofErr w:type="spellEnd"/>
            <w:r w:rsidR="00AE7073">
              <w:rPr>
                <w:rFonts w:ascii="Arial" w:hAnsi="Arial" w:cs="Arial"/>
                <w:sz w:val="20"/>
                <w:szCs w:val="20"/>
              </w:rPr>
              <w:t xml:space="preserve">); 009 (ill-defined intestinal infections); 008.41 (staphylococcal enteritis); 572.0 (liver abscess); 567.22 (peritoneal abscess); 569.83 (perforation of intestine); 777.5 (necrotizing </w:t>
            </w:r>
            <w:proofErr w:type="spellStart"/>
            <w:r w:rsidR="00AE7073">
              <w:rPr>
                <w:rFonts w:ascii="Arial" w:hAnsi="Arial" w:cs="Arial"/>
                <w:sz w:val="20"/>
                <w:szCs w:val="20"/>
              </w:rPr>
              <w:t>enterocolitis</w:t>
            </w:r>
            <w:proofErr w:type="spellEnd"/>
            <w:r w:rsidR="00AE7073">
              <w:rPr>
                <w:rFonts w:ascii="Arial" w:hAnsi="Arial" w:cs="Arial"/>
                <w:sz w:val="20"/>
                <w:szCs w:val="20"/>
              </w:rPr>
              <w:t xml:space="preserve"> of newborn)</w:t>
            </w:r>
            <w:r w:rsidR="00EF0367">
              <w:rPr>
                <w:rFonts w:ascii="Arial" w:hAnsi="Arial" w:cs="Arial"/>
                <w:sz w:val="20"/>
                <w:szCs w:val="20"/>
              </w:rPr>
              <w:t>; 004.0 (</w:t>
            </w:r>
            <w:proofErr w:type="spellStart"/>
            <w:r w:rsidR="00EF0367">
              <w:rPr>
                <w:rFonts w:ascii="Arial" w:hAnsi="Arial" w:cs="Arial"/>
                <w:sz w:val="20"/>
                <w:szCs w:val="20"/>
              </w:rPr>
              <w:t>shigella</w:t>
            </w:r>
            <w:proofErr w:type="spellEnd"/>
            <w:r w:rsidR="00EF0367">
              <w:rPr>
                <w:rFonts w:ascii="Arial" w:hAnsi="Arial" w:cs="Arial"/>
                <w:sz w:val="20"/>
                <w:szCs w:val="20"/>
              </w:rPr>
              <w:t xml:space="preserve"> dysentery)</w:t>
            </w:r>
          </w:p>
        </w:tc>
      </w:tr>
      <w:tr w:rsidR="00D96987" w:rsidTr="006404C0">
        <w:trPr>
          <w:trHeight w:val="286"/>
        </w:trPr>
        <w:tc>
          <w:tcPr>
            <w:tcW w:w="2173" w:type="dxa"/>
          </w:tcPr>
          <w:p w:rsidR="009E5913" w:rsidRDefault="009E5913" w:rsidP="009E5913">
            <w:pPr>
              <w:rPr>
                <w:rFonts w:ascii="Arial" w:hAnsi="Arial" w:cs="Arial"/>
                <w:sz w:val="20"/>
                <w:szCs w:val="20"/>
              </w:rPr>
            </w:pPr>
            <w:r>
              <w:rPr>
                <w:rFonts w:ascii="Arial" w:hAnsi="Arial" w:cs="Arial"/>
                <w:sz w:val="20"/>
                <w:szCs w:val="20"/>
              </w:rPr>
              <w:t xml:space="preserve">  Skin/soft tissue</w:t>
            </w:r>
          </w:p>
        </w:tc>
        <w:tc>
          <w:tcPr>
            <w:tcW w:w="7187" w:type="dxa"/>
          </w:tcPr>
          <w:p w:rsidR="009E5913" w:rsidRDefault="009E5913" w:rsidP="009E5913">
            <w:pPr>
              <w:rPr>
                <w:rFonts w:ascii="Arial" w:hAnsi="Arial" w:cs="Arial"/>
                <w:sz w:val="20"/>
                <w:szCs w:val="20"/>
              </w:rPr>
            </w:pPr>
            <w:r>
              <w:rPr>
                <w:rFonts w:ascii="Arial" w:hAnsi="Arial" w:cs="Arial"/>
                <w:sz w:val="20"/>
                <w:szCs w:val="20"/>
              </w:rPr>
              <w:t>CCS code</w:t>
            </w:r>
            <w:r w:rsidR="00AE7073">
              <w:rPr>
                <w:rFonts w:ascii="Arial" w:hAnsi="Arial" w:cs="Arial"/>
                <w:sz w:val="20"/>
                <w:szCs w:val="20"/>
              </w:rPr>
              <w:t>s:</w:t>
            </w:r>
            <w:r>
              <w:rPr>
                <w:rFonts w:ascii="Arial" w:hAnsi="Arial" w:cs="Arial"/>
                <w:sz w:val="20"/>
                <w:szCs w:val="20"/>
              </w:rPr>
              <w:t xml:space="preserve"> 197</w:t>
            </w:r>
            <w:r w:rsidR="00AE7073">
              <w:rPr>
                <w:rFonts w:ascii="Arial" w:hAnsi="Arial" w:cs="Arial"/>
                <w:sz w:val="20"/>
                <w:szCs w:val="20"/>
              </w:rPr>
              <w:t xml:space="preserve"> (skin and subcutaneous soft tissue infections)</w:t>
            </w:r>
          </w:p>
          <w:p w:rsidR="00AE7073" w:rsidRDefault="00AE7073" w:rsidP="009E5913">
            <w:pPr>
              <w:rPr>
                <w:rFonts w:ascii="Arial" w:hAnsi="Arial" w:cs="Arial"/>
                <w:sz w:val="20"/>
                <w:szCs w:val="20"/>
              </w:rPr>
            </w:pPr>
          </w:p>
          <w:p w:rsidR="00AE7073" w:rsidRDefault="00AE7073" w:rsidP="009E5913">
            <w:pPr>
              <w:rPr>
                <w:rFonts w:ascii="Arial" w:hAnsi="Arial" w:cs="Arial"/>
                <w:sz w:val="20"/>
                <w:szCs w:val="20"/>
              </w:rPr>
            </w:pPr>
            <w:r>
              <w:rPr>
                <w:rFonts w:ascii="Arial" w:hAnsi="Arial" w:cs="Arial"/>
                <w:sz w:val="20"/>
                <w:szCs w:val="20"/>
              </w:rPr>
              <w:t>ICD-9 codes: 728.86 (necrotizing fasciitis); 785.4 (gangrene); 683 (lymphadenitis); 682.9 (cellulitis NOS)</w:t>
            </w:r>
          </w:p>
        </w:tc>
      </w:tr>
      <w:tr w:rsidR="00D96987" w:rsidTr="006404C0">
        <w:trPr>
          <w:trHeight w:val="286"/>
        </w:trPr>
        <w:tc>
          <w:tcPr>
            <w:tcW w:w="2173" w:type="dxa"/>
          </w:tcPr>
          <w:p w:rsidR="009E5913" w:rsidRDefault="009E5913" w:rsidP="009E5913">
            <w:pPr>
              <w:rPr>
                <w:rFonts w:ascii="Arial" w:hAnsi="Arial" w:cs="Arial"/>
                <w:sz w:val="20"/>
                <w:szCs w:val="20"/>
              </w:rPr>
            </w:pPr>
            <w:r>
              <w:rPr>
                <w:rFonts w:ascii="Arial" w:hAnsi="Arial" w:cs="Arial"/>
                <w:sz w:val="20"/>
                <w:szCs w:val="20"/>
              </w:rPr>
              <w:t xml:space="preserve">  Joint/bone</w:t>
            </w:r>
          </w:p>
        </w:tc>
        <w:tc>
          <w:tcPr>
            <w:tcW w:w="7187" w:type="dxa"/>
          </w:tcPr>
          <w:p w:rsidR="009E5913" w:rsidRDefault="009E5913" w:rsidP="009E5913">
            <w:pPr>
              <w:rPr>
                <w:rFonts w:ascii="Arial" w:hAnsi="Arial" w:cs="Arial"/>
                <w:sz w:val="20"/>
                <w:szCs w:val="20"/>
              </w:rPr>
            </w:pPr>
            <w:r>
              <w:rPr>
                <w:rFonts w:ascii="Arial" w:hAnsi="Arial" w:cs="Arial"/>
                <w:sz w:val="20"/>
                <w:szCs w:val="20"/>
              </w:rPr>
              <w:t>CCS code</w:t>
            </w:r>
            <w:r w:rsidR="00AE7073">
              <w:rPr>
                <w:rFonts w:ascii="Arial" w:hAnsi="Arial" w:cs="Arial"/>
                <w:sz w:val="20"/>
                <w:szCs w:val="20"/>
              </w:rPr>
              <w:t>:</w:t>
            </w:r>
            <w:r>
              <w:rPr>
                <w:rFonts w:ascii="Arial" w:hAnsi="Arial" w:cs="Arial"/>
                <w:sz w:val="20"/>
                <w:szCs w:val="20"/>
              </w:rPr>
              <w:t xml:space="preserve"> 201</w:t>
            </w:r>
            <w:r w:rsidR="00AE7073">
              <w:rPr>
                <w:rFonts w:ascii="Arial" w:hAnsi="Arial" w:cs="Arial"/>
                <w:sz w:val="20"/>
                <w:szCs w:val="20"/>
              </w:rPr>
              <w:t xml:space="preserve"> (infective arthritis and osteomyelitis)</w:t>
            </w:r>
          </w:p>
        </w:tc>
      </w:tr>
      <w:tr w:rsidR="00D96987" w:rsidTr="006404C0">
        <w:trPr>
          <w:trHeight w:val="286"/>
        </w:trPr>
        <w:tc>
          <w:tcPr>
            <w:tcW w:w="2173" w:type="dxa"/>
          </w:tcPr>
          <w:p w:rsidR="009E5913" w:rsidRDefault="009E5913" w:rsidP="002050E8">
            <w:pPr>
              <w:rPr>
                <w:rFonts w:ascii="Arial" w:hAnsi="Arial" w:cs="Arial"/>
                <w:sz w:val="20"/>
                <w:szCs w:val="20"/>
              </w:rPr>
            </w:pPr>
            <w:r>
              <w:rPr>
                <w:rFonts w:ascii="Arial" w:hAnsi="Arial" w:cs="Arial"/>
                <w:sz w:val="20"/>
                <w:szCs w:val="20"/>
              </w:rPr>
              <w:t xml:space="preserve">  CNS</w:t>
            </w:r>
          </w:p>
        </w:tc>
        <w:tc>
          <w:tcPr>
            <w:tcW w:w="7187" w:type="dxa"/>
          </w:tcPr>
          <w:p w:rsidR="009E5913" w:rsidRDefault="009E5913" w:rsidP="002050E8">
            <w:pPr>
              <w:rPr>
                <w:rFonts w:ascii="Arial" w:hAnsi="Arial" w:cs="Arial"/>
                <w:sz w:val="20"/>
                <w:szCs w:val="20"/>
              </w:rPr>
            </w:pPr>
            <w:r>
              <w:rPr>
                <w:rFonts w:ascii="Arial" w:hAnsi="Arial" w:cs="Arial"/>
                <w:sz w:val="20"/>
                <w:szCs w:val="20"/>
              </w:rPr>
              <w:t>CCS codes</w:t>
            </w:r>
            <w:r w:rsidR="00AE7073">
              <w:rPr>
                <w:rFonts w:ascii="Arial" w:hAnsi="Arial" w:cs="Arial"/>
                <w:sz w:val="20"/>
                <w:szCs w:val="20"/>
              </w:rPr>
              <w:t>: 76 (</w:t>
            </w:r>
            <w:r w:rsidR="00B43469">
              <w:rPr>
                <w:rFonts w:ascii="Arial" w:hAnsi="Arial" w:cs="Arial"/>
                <w:sz w:val="20"/>
                <w:szCs w:val="20"/>
              </w:rPr>
              <w:t>meningitis); 77 (encephalitis); 78 (other CNS infections)</w:t>
            </w:r>
          </w:p>
        </w:tc>
      </w:tr>
      <w:tr w:rsidR="00B43469" w:rsidTr="006404C0">
        <w:trPr>
          <w:trHeight w:val="286"/>
        </w:trPr>
        <w:tc>
          <w:tcPr>
            <w:tcW w:w="2173" w:type="dxa"/>
          </w:tcPr>
          <w:p w:rsidR="00B43469" w:rsidRDefault="00B43469" w:rsidP="002050E8">
            <w:pPr>
              <w:rPr>
                <w:rFonts w:ascii="Arial" w:hAnsi="Arial" w:cs="Arial"/>
                <w:sz w:val="20"/>
                <w:szCs w:val="20"/>
              </w:rPr>
            </w:pPr>
            <w:r>
              <w:rPr>
                <w:rFonts w:ascii="Arial" w:hAnsi="Arial" w:cs="Arial"/>
                <w:sz w:val="20"/>
                <w:szCs w:val="20"/>
              </w:rPr>
              <w:t xml:space="preserve">  Cardiovascular</w:t>
            </w:r>
          </w:p>
        </w:tc>
        <w:tc>
          <w:tcPr>
            <w:tcW w:w="7187" w:type="dxa"/>
          </w:tcPr>
          <w:p w:rsidR="00B43469" w:rsidRDefault="00B43469" w:rsidP="00B43469">
            <w:pPr>
              <w:rPr>
                <w:rFonts w:ascii="Arial" w:hAnsi="Arial" w:cs="Arial"/>
                <w:sz w:val="20"/>
                <w:szCs w:val="20"/>
              </w:rPr>
            </w:pPr>
            <w:r>
              <w:rPr>
                <w:rFonts w:ascii="Arial" w:hAnsi="Arial" w:cs="Arial"/>
                <w:sz w:val="20"/>
                <w:szCs w:val="20"/>
              </w:rPr>
              <w:t xml:space="preserve">ICD-9 codes: 424.99 (endocarditis </w:t>
            </w:r>
            <w:proofErr w:type="spellStart"/>
            <w:r>
              <w:rPr>
                <w:rFonts w:ascii="Arial" w:hAnsi="Arial" w:cs="Arial"/>
                <w:sz w:val="20"/>
                <w:szCs w:val="20"/>
              </w:rPr>
              <w:t>nec</w:t>
            </w:r>
            <w:proofErr w:type="spellEnd"/>
            <w:r>
              <w:rPr>
                <w:rFonts w:ascii="Arial" w:hAnsi="Arial" w:cs="Arial"/>
                <w:sz w:val="20"/>
                <w:szCs w:val="20"/>
              </w:rPr>
              <w:t>); 424.90 (endocarditis NOS); 424.91 (endocarditis in other diseases); 424.9 (endocarditis valve unspecified); 421 (acute and subacute endocarditis); 421.9 (acute/subacute endocarditis NOS)</w:t>
            </w:r>
          </w:p>
        </w:tc>
      </w:tr>
      <w:tr w:rsidR="00D96987" w:rsidTr="006404C0">
        <w:tc>
          <w:tcPr>
            <w:tcW w:w="2173" w:type="dxa"/>
            <w:shd w:val="clear" w:color="auto" w:fill="BFBFBF" w:themeFill="background1" w:themeFillShade="BF"/>
          </w:tcPr>
          <w:p w:rsidR="00694665" w:rsidRPr="00B43469" w:rsidRDefault="00B43469" w:rsidP="002050E8">
            <w:pPr>
              <w:rPr>
                <w:rFonts w:ascii="Arial" w:hAnsi="Arial" w:cs="Arial"/>
                <w:b/>
                <w:sz w:val="20"/>
                <w:szCs w:val="20"/>
              </w:rPr>
            </w:pPr>
            <w:r>
              <w:rPr>
                <w:rFonts w:ascii="Arial" w:hAnsi="Arial" w:cs="Arial"/>
                <w:b/>
                <w:sz w:val="20"/>
                <w:szCs w:val="20"/>
              </w:rPr>
              <w:t>Individual Organ Failures</w:t>
            </w:r>
          </w:p>
        </w:tc>
        <w:tc>
          <w:tcPr>
            <w:tcW w:w="7187" w:type="dxa"/>
            <w:shd w:val="clear" w:color="auto" w:fill="BFBFBF" w:themeFill="background1" w:themeFillShade="BF"/>
          </w:tcPr>
          <w:p w:rsidR="00694665" w:rsidRDefault="00694665" w:rsidP="002050E8">
            <w:pPr>
              <w:rPr>
                <w:rFonts w:ascii="Arial" w:hAnsi="Arial" w:cs="Arial"/>
                <w:sz w:val="20"/>
                <w:szCs w:val="20"/>
              </w:rPr>
            </w:pPr>
            <w:r>
              <w:rPr>
                <w:rFonts w:ascii="Arial" w:hAnsi="Arial" w:cs="Arial"/>
                <w:sz w:val="20"/>
                <w:szCs w:val="20"/>
              </w:rPr>
              <w:t xml:space="preserve">ICD-9 codes used for organ dysfunction in </w:t>
            </w:r>
            <w:proofErr w:type="spellStart"/>
            <w:r>
              <w:rPr>
                <w:rFonts w:ascii="Arial" w:hAnsi="Arial" w:cs="Arial"/>
                <w:sz w:val="20"/>
                <w:szCs w:val="20"/>
              </w:rPr>
              <w:t>Dombrovskiy</w:t>
            </w:r>
            <w:proofErr w:type="spellEnd"/>
            <w:r>
              <w:rPr>
                <w:rFonts w:ascii="Arial" w:hAnsi="Arial" w:cs="Arial"/>
                <w:sz w:val="20"/>
                <w:szCs w:val="20"/>
              </w:rPr>
              <w:t xml:space="preserve"> methodology</w:t>
            </w:r>
          </w:p>
        </w:tc>
      </w:tr>
      <w:tr w:rsidR="00B43469" w:rsidTr="006404C0">
        <w:tc>
          <w:tcPr>
            <w:tcW w:w="2173" w:type="dxa"/>
            <w:shd w:val="clear" w:color="auto" w:fill="FFFFFF" w:themeFill="background1"/>
          </w:tcPr>
          <w:p w:rsidR="00B43469" w:rsidRPr="00B43469" w:rsidRDefault="00B43469" w:rsidP="002050E8">
            <w:pPr>
              <w:rPr>
                <w:rFonts w:ascii="Arial" w:hAnsi="Arial" w:cs="Arial"/>
                <w:sz w:val="20"/>
                <w:szCs w:val="20"/>
              </w:rPr>
            </w:pPr>
            <w:r>
              <w:rPr>
                <w:rFonts w:ascii="Arial" w:hAnsi="Arial" w:cs="Arial"/>
                <w:sz w:val="20"/>
                <w:szCs w:val="20"/>
              </w:rPr>
              <w:t xml:space="preserve">  Pulmonary</w:t>
            </w:r>
          </w:p>
        </w:tc>
        <w:tc>
          <w:tcPr>
            <w:tcW w:w="7187" w:type="dxa"/>
            <w:shd w:val="clear" w:color="auto" w:fill="FFFFFF" w:themeFill="background1"/>
          </w:tcPr>
          <w:p w:rsidR="00B43469" w:rsidRDefault="00B43469" w:rsidP="002050E8">
            <w:pPr>
              <w:rPr>
                <w:rFonts w:ascii="Arial" w:hAnsi="Arial" w:cs="Arial"/>
                <w:sz w:val="20"/>
                <w:szCs w:val="20"/>
              </w:rPr>
            </w:pPr>
            <w:r>
              <w:rPr>
                <w:rFonts w:ascii="Arial" w:hAnsi="Arial" w:cs="Arial"/>
                <w:sz w:val="20"/>
                <w:szCs w:val="20"/>
              </w:rPr>
              <w:t xml:space="preserve">518.81 (acute respiratory failure); 518.82 (other pulmonary insufficiency); 786.09 (respiratory abnormality </w:t>
            </w:r>
            <w:proofErr w:type="spellStart"/>
            <w:r>
              <w:rPr>
                <w:rFonts w:ascii="Arial" w:hAnsi="Arial" w:cs="Arial"/>
                <w:sz w:val="20"/>
                <w:szCs w:val="20"/>
              </w:rPr>
              <w:t>nec</w:t>
            </w:r>
            <w:proofErr w:type="spellEnd"/>
            <w:r>
              <w:rPr>
                <w:rFonts w:ascii="Arial" w:hAnsi="Arial" w:cs="Arial"/>
                <w:sz w:val="20"/>
                <w:szCs w:val="20"/>
              </w:rPr>
              <w:t>); 799.1 (respiratory arrest)</w:t>
            </w:r>
          </w:p>
        </w:tc>
      </w:tr>
      <w:tr w:rsidR="00B43469" w:rsidTr="006404C0">
        <w:tc>
          <w:tcPr>
            <w:tcW w:w="2173" w:type="dxa"/>
            <w:shd w:val="clear" w:color="auto" w:fill="FFFFFF" w:themeFill="background1"/>
          </w:tcPr>
          <w:p w:rsidR="00B43469" w:rsidRPr="00B43469" w:rsidRDefault="00B43469" w:rsidP="00B43469">
            <w:pPr>
              <w:rPr>
                <w:rFonts w:ascii="Arial" w:hAnsi="Arial" w:cs="Arial"/>
                <w:sz w:val="20"/>
                <w:szCs w:val="20"/>
              </w:rPr>
            </w:pPr>
            <w:r w:rsidRPr="00B43469">
              <w:rPr>
                <w:rFonts w:ascii="Arial" w:hAnsi="Arial" w:cs="Arial"/>
                <w:sz w:val="20"/>
                <w:szCs w:val="20"/>
              </w:rPr>
              <w:t xml:space="preserve">  Cardiovascular</w:t>
            </w:r>
          </w:p>
        </w:tc>
        <w:tc>
          <w:tcPr>
            <w:tcW w:w="7187" w:type="dxa"/>
            <w:shd w:val="clear" w:color="auto" w:fill="FFFFFF" w:themeFill="background1"/>
          </w:tcPr>
          <w:p w:rsidR="00B43469" w:rsidRDefault="00B43469" w:rsidP="00B43469">
            <w:pPr>
              <w:rPr>
                <w:rFonts w:ascii="Arial" w:hAnsi="Arial" w:cs="Arial"/>
                <w:sz w:val="20"/>
                <w:szCs w:val="20"/>
              </w:rPr>
            </w:pPr>
            <w:r>
              <w:rPr>
                <w:rFonts w:ascii="Arial" w:hAnsi="Arial" w:cs="Arial"/>
                <w:sz w:val="20"/>
                <w:szCs w:val="20"/>
              </w:rPr>
              <w:t>785.50 (shock NOS); 785.51 (cardiogenic shock); 785.52 (septic shock); 785.59 (</w:t>
            </w:r>
            <w:r w:rsidR="00FD39F4">
              <w:rPr>
                <w:rFonts w:ascii="Arial" w:hAnsi="Arial" w:cs="Arial"/>
                <w:sz w:val="20"/>
                <w:szCs w:val="20"/>
              </w:rPr>
              <w:t xml:space="preserve">shock without trauma </w:t>
            </w:r>
            <w:proofErr w:type="spellStart"/>
            <w:r w:rsidR="00FD39F4">
              <w:rPr>
                <w:rFonts w:ascii="Arial" w:hAnsi="Arial" w:cs="Arial"/>
                <w:sz w:val="20"/>
                <w:szCs w:val="20"/>
              </w:rPr>
              <w:t>nec</w:t>
            </w:r>
            <w:proofErr w:type="spellEnd"/>
            <w:r w:rsidR="00FD39F4">
              <w:rPr>
                <w:rFonts w:ascii="Arial" w:hAnsi="Arial" w:cs="Arial"/>
                <w:sz w:val="20"/>
                <w:szCs w:val="20"/>
              </w:rPr>
              <w:t>); 427.5 (cardiac arrest); 458.0 (orthostatic hypotension); 458.8 (hypotension NEC); 458.9 (hypotension NOS)</w:t>
            </w:r>
          </w:p>
        </w:tc>
      </w:tr>
      <w:tr w:rsidR="00B43469" w:rsidTr="006404C0">
        <w:tc>
          <w:tcPr>
            <w:tcW w:w="2173" w:type="dxa"/>
            <w:shd w:val="clear" w:color="auto" w:fill="FFFFFF" w:themeFill="background1"/>
          </w:tcPr>
          <w:p w:rsidR="00B43469" w:rsidRPr="00B43469" w:rsidRDefault="00B43469" w:rsidP="002050E8">
            <w:pPr>
              <w:rPr>
                <w:rFonts w:ascii="Arial" w:hAnsi="Arial" w:cs="Arial"/>
                <w:sz w:val="20"/>
                <w:szCs w:val="20"/>
              </w:rPr>
            </w:pPr>
            <w:r>
              <w:rPr>
                <w:rFonts w:ascii="Arial" w:hAnsi="Arial" w:cs="Arial"/>
                <w:b/>
                <w:sz w:val="20"/>
                <w:szCs w:val="20"/>
              </w:rPr>
              <w:t xml:space="preserve">  </w:t>
            </w:r>
            <w:r w:rsidRPr="00B43469">
              <w:rPr>
                <w:rFonts w:ascii="Arial" w:hAnsi="Arial" w:cs="Arial"/>
                <w:sz w:val="20"/>
                <w:szCs w:val="20"/>
              </w:rPr>
              <w:t>Renal</w:t>
            </w:r>
          </w:p>
        </w:tc>
        <w:tc>
          <w:tcPr>
            <w:tcW w:w="7187" w:type="dxa"/>
            <w:shd w:val="clear" w:color="auto" w:fill="FFFFFF" w:themeFill="background1"/>
          </w:tcPr>
          <w:p w:rsidR="00B43469" w:rsidRDefault="00FD39F4" w:rsidP="002050E8">
            <w:pPr>
              <w:rPr>
                <w:rFonts w:ascii="Arial" w:hAnsi="Arial" w:cs="Arial"/>
                <w:sz w:val="20"/>
                <w:szCs w:val="20"/>
              </w:rPr>
            </w:pPr>
            <w:r>
              <w:rPr>
                <w:rFonts w:ascii="Arial" w:hAnsi="Arial" w:cs="Arial"/>
                <w:sz w:val="20"/>
                <w:szCs w:val="20"/>
              </w:rPr>
              <w:t>584.5 (acute kidney failure NOS); 584.6 (acute kidney failure, cortical necrosis); 584.7 (acute kidney failure, medullary necrosis ); 584.8 (acute kidney failure NEC)</w:t>
            </w:r>
          </w:p>
        </w:tc>
      </w:tr>
      <w:tr w:rsidR="00B43469" w:rsidTr="006404C0">
        <w:tc>
          <w:tcPr>
            <w:tcW w:w="2173" w:type="dxa"/>
            <w:shd w:val="clear" w:color="auto" w:fill="FFFFFF" w:themeFill="background1"/>
          </w:tcPr>
          <w:p w:rsidR="00B43469" w:rsidRPr="00B43469" w:rsidRDefault="00B43469" w:rsidP="002050E8">
            <w:pPr>
              <w:rPr>
                <w:rFonts w:ascii="Arial" w:hAnsi="Arial" w:cs="Arial"/>
                <w:sz w:val="20"/>
                <w:szCs w:val="20"/>
              </w:rPr>
            </w:pPr>
            <w:r>
              <w:rPr>
                <w:rFonts w:ascii="Arial" w:hAnsi="Arial" w:cs="Arial"/>
                <w:b/>
                <w:sz w:val="20"/>
                <w:szCs w:val="20"/>
              </w:rPr>
              <w:t xml:space="preserve">  </w:t>
            </w:r>
            <w:r w:rsidRPr="00B43469">
              <w:rPr>
                <w:rFonts w:ascii="Arial" w:hAnsi="Arial" w:cs="Arial"/>
                <w:sz w:val="20"/>
                <w:szCs w:val="20"/>
              </w:rPr>
              <w:t>Liver</w:t>
            </w:r>
          </w:p>
        </w:tc>
        <w:tc>
          <w:tcPr>
            <w:tcW w:w="7187" w:type="dxa"/>
            <w:shd w:val="clear" w:color="auto" w:fill="FFFFFF" w:themeFill="background1"/>
          </w:tcPr>
          <w:p w:rsidR="00FD39F4" w:rsidRDefault="00FD39F4" w:rsidP="002050E8">
            <w:pPr>
              <w:rPr>
                <w:rFonts w:ascii="Arial" w:hAnsi="Arial" w:cs="Arial"/>
                <w:sz w:val="20"/>
                <w:szCs w:val="20"/>
              </w:rPr>
            </w:pPr>
            <w:r>
              <w:rPr>
                <w:rFonts w:ascii="Arial" w:hAnsi="Arial" w:cs="Arial"/>
                <w:sz w:val="20"/>
                <w:szCs w:val="20"/>
              </w:rPr>
              <w:t>570 (acute necrosis of liver); 572.2 (hepatic encephalopathy); 573.4 (hepatic infarction)</w:t>
            </w:r>
          </w:p>
        </w:tc>
      </w:tr>
      <w:tr w:rsidR="00B43469" w:rsidTr="006404C0">
        <w:tc>
          <w:tcPr>
            <w:tcW w:w="2173" w:type="dxa"/>
            <w:shd w:val="clear" w:color="auto" w:fill="FFFFFF" w:themeFill="background1"/>
          </w:tcPr>
          <w:p w:rsidR="00B43469" w:rsidRPr="00B43469" w:rsidRDefault="00B43469" w:rsidP="002050E8">
            <w:pPr>
              <w:rPr>
                <w:rFonts w:ascii="Arial" w:hAnsi="Arial" w:cs="Arial"/>
                <w:sz w:val="20"/>
                <w:szCs w:val="20"/>
              </w:rPr>
            </w:pPr>
            <w:r>
              <w:rPr>
                <w:rFonts w:ascii="Arial" w:hAnsi="Arial" w:cs="Arial"/>
                <w:b/>
                <w:sz w:val="20"/>
                <w:szCs w:val="20"/>
              </w:rPr>
              <w:t xml:space="preserve">  </w:t>
            </w:r>
            <w:r>
              <w:rPr>
                <w:rFonts w:ascii="Arial" w:hAnsi="Arial" w:cs="Arial"/>
                <w:sz w:val="20"/>
                <w:szCs w:val="20"/>
              </w:rPr>
              <w:t>Neurologic</w:t>
            </w:r>
          </w:p>
        </w:tc>
        <w:tc>
          <w:tcPr>
            <w:tcW w:w="7187" w:type="dxa"/>
            <w:shd w:val="clear" w:color="auto" w:fill="FFFFFF" w:themeFill="background1"/>
          </w:tcPr>
          <w:p w:rsidR="00FD39F4" w:rsidRDefault="00FD39F4" w:rsidP="002050E8">
            <w:pPr>
              <w:rPr>
                <w:rFonts w:ascii="Arial" w:hAnsi="Arial" w:cs="Arial"/>
                <w:sz w:val="20"/>
                <w:szCs w:val="20"/>
              </w:rPr>
            </w:pPr>
            <w:r>
              <w:rPr>
                <w:rFonts w:ascii="Arial" w:hAnsi="Arial" w:cs="Arial"/>
                <w:sz w:val="20"/>
                <w:szCs w:val="20"/>
              </w:rPr>
              <w:t>293.0 (delirium due to other conditions); 348.1 (anoxic brain damage); 348.3 (encephalopathy not elsewhere specified); 780.01 (coma)</w:t>
            </w:r>
          </w:p>
        </w:tc>
      </w:tr>
      <w:tr w:rsidR="00B43469" w:rsidTr="006404C0">
        <w:tc>
          <w:tcPr>
            <w:tcW w:w="2173" w:type="dxa"/>
            <w:shd w:val="clear" w:color="auto" w:fill="FFFFFF" w:themeFill="background1"/>
          </w:tcPr>
          <w:p w:rsidR="00B43469" w:rsidRPr="00B43469" w:rsidRDefault="00B43469" w:rsidP="002050E8">
            <w:pPr>
              <w:rPr>
                <w:rFonts w:ascii="Arial" w:hAnsi="Arial" w:cs="Arial"/>
                <w:sz w:val="20"/>
                <w:szCs w:val="20"/>
              </w:rPr>
            </w:pPr>
            <w:r>
              <w:rPr>
                <w:rFonts w:ascii="Arial" w:hAnsi="Arial" w:cs="Arial"/>
                <w:b/>
                <w:sz w:val="20"/>
                <w:szCs w:val="20"/>
              </w:rPr>
              <w:t xml:space="preserve">  </w:t>
            </w:r>
            <w:r>
              <w:rPr>
                <w:rFonts w:ascii="Arial" w:hAnsi="Arial" w:cs="Arial"/>
                <w:sz w:val="20"/>
                <w:szCs w:val="20"/>
              </w:rPr>
              <w:t>Hematologic</w:t>
            </w:r>
          </w:p>
        </w:tc>
        <w:tc>
          <w:tcPr>
            <w:tcW w:w="7187" w:type="dxa"/>
            <w:shd w:val="clear" w:color="auto" w:fill="FFFFFF" w:themeFill="background1"/>
          </w:tcPr>
          <w:p w:rsidR="00FD39F4" w:rsidRDefault="00FD39F4" w:rsidP="002050E8">
            <w:pPr>
              <w:rPr>
                <w:rFonts w:ascii="Arial" w:hAnsi="Arial" w:cs="Arial"/>
                <w:sz w:val="20"/>
                <w:szCs w:val="20"/>
              </w:rPr>
            </w:pPr>
            <w:r>
              <w:rPr>
                <w:rFonts w:ascii="Arial" w:hAnsi="Arial" w:cs="Arial"/>
                <w:sz w:val="20"/>
                <w:szCs w:val="20"/>
              </w:rPr>
              <w:t>287.4 (secondary thrombocytopenia); (thrombocytopenia NOS); 286.6 (</w:t>
            </w:r>
            <w:proofErr w:type="spellStart"/>
            <w:r>
              <w:rPr>
                <w:rFonts w:ascii="Arial" w:hAnsi="Arial" w:cs="Arial"/>
                <w:sz w:val="20"/>
                <w:szCs w:val="20"/>
              </w:rPr>
              <w:t>defibrination</w:t>
            </w:r>
            <w:proofErr w:type="spellEnd"/>
            <w:r>
              <w:rPr>
                <w:rFonts w:ascii="Arial" w:hAnsi="Arial" w:cs="Arial"/>
                <w:sz w:val="20"/>
                <w:szCs w:val="20"/>
              </w:rPr>
              <w:t xml:space="preserve"> syndrome); 286.9 (coagulation defect NOS/NEC)</w:t>
            </w:r>
          </w:p>
        </w:tc>
      </w:tr>
    </w:tbl>
    <w:p w:rsidR="002050E8" w:rsidRDefault="009E5913" w:rsidP="00FD39F4">
      <w:pPr>
        <w:spacing w:line="240" w:lineRule="auto"/>
        <w:rPr>
          <w:rFonts w:ascii="Arial" w:hAnsi="Arial" w:cs="Arial"/>
          <w:sz w:val="20"/>
          <w:szCs w:val="20"/>
        </w:rPr>
      </w:pPr>
      <w:r>
        <w:rPr>
          <w:rFonts w:ascii="Arial" w:hAnsi="Arial" w:cs="Arial"/>
          <w:sz w:val="20"/>
          <w:szCs w:val="20"/>
        </w:rPr>
        <w:t>HCUP CCS – Healthcare Utilization Project Clinical Classification Software Codes</w:t>
      </w:r>
      <w:r w:rsidR="00FD39F4">
        <w:rPr>
          <w:rFonts w:ascii="Arial" w:hAnsi="Arial" w:cs="Arial"/>
          <w:sz w:val="20"/>
          <w:szCs w:val="20"/>
        </w:rPr>
        <w:t>; ICD-9 – International Classification of Diseases, 9</w:t>
      </w:r>
      <w:r w:rsidR="00FD39F4" w:rsidRPr="00FD39F4">
        <w:rPr>
          <w:rFonts w:ascii="Arial" w:hAnsi="Arial" w:cs="Arial"/>
          <w:sz w:val="20"/>
          <w:szCs w:val="20"/>
          <w:vertAlign w:val="superscript"/>
        </w:rPr>
        <w:t>th</w:t>
      </w:r>
      <w:r w:rsidR="00FD39F4">
        <w:rPr>
          <w:rFonts w:ascii="Arial" w:hAnsi="Arial" w:cs="Arial"/>
          <w:sz w:val="20"/>
          <w:szCs w:val="20"/>
        </w:rPr>
        <w:t xml:space="preserve"> revision; NOS – not otherwise specified; NEC – not elsewhere classifiable</w:t>
      </w:r>
    </w:p>
    <w:p w:rsidR="00FD39F4" w:rsidRDefault="00FD39F4" w:rsidP="002050E8">
      <w:pPr>
        <w:rPr>
          <w:rFonts w:ascii="Arial" w:hAnsi="Arial" w:cs="Arial"/>
          <w:sz w:val="20"/>
          <w:szCs w:val="20"/>
        </w:rPr>
      </w:pPr>
    </w:p>
    <w:p w:rsidR="003F65DB" w:rsidRDefault="003F65DB">
      <w:pPr>
        <w:rPr>
          <w:rFonts w:ascii="Arial" w:hAnsi="Arial" w:cs="Arial"/>
          <w:sz w:val="20"/>
          <w:szCs w:val="20"/>
        </w:rPr>
      </w:pPr>
      <w:r>
        <w:rPr>
          <w:rFonts w:ascii="Arial" w:hAnsi="Arial" w:cs="Arial"/>
          <w:sz w:val="20"/>
          <w:szCs w:val="20"/>
        </w:rPr>
        <w:br w:type="page"/>
      </w:r>
    </w:p>
    <w:tbl>
      <w:tblPr>
        <w:tblStyle w:val="TableGrid"/>
        <w:tblW w:w="8754" w:type="dxa"/>
        <w:jc w:val="center"/>
        <w:tblLook w:val="04A0" w:firstRow="1" w:lastRow="0" w:firstColumn="1" w:lastColumn="0" w:noHBand="0" w:noVBand="1"/>
      </w:tblPr>
      <w:tblGrid>
        <w:gridCol w:w="3385"/>
        <w:gridCol w:w="2273"/>
        <w:gridCol w:w="2262"/>
        <w:gridCol w:w="834"/>
      </w:tblGrid>
      <w:tr w:rsidR="003F65DB" w:rsidTr="003462E2">
        <w:trPr>
          <w:trHeight w:val="258"/>
          <w:jc w:val="center"/>
        </w:trPr>
        <w:tc>
          <w:tcPr>
            <w:tcW w:w="8754" w:type="dxa"/>
            <w:gridSpan w:val="4"/>
            <w:tcBorders>
              <w:top w:val="nil"/>
              <w:left w:val="nil"/>
              <w:bottom w:val="single" w:sz="4" w:space="0" w:color="auto"/>
              <w:right w:val="nil"/>
            </w:tcBorders>
            <w:shd w:val="clear" w:color="auto" w:fill="FFFFFF" w:themeFill="background1"/>
          </w:tcPr>
          <w:p w:rsidR="003F65DB" w:rsidRDefault="003F65DB" w:rsidP="003F65DB">
            <w:pPr>
              <w:rPr>
                <w:rFonts w:ascii="Arial" w:hAnsi="Arial" w:cs="Arial"/>
                <w:sz w:val="20"/>
                <w:szCs w:val="20"/>
              </w:rPr>
            </w:pPr>
            <w:r w:rsidRPr="006404C0">
              <w:rPr>
                <w:rFonts w:ascii="Arial" w:hAnsi="Arial" w:cs="Arial"/>
                <w:b/>
                <w:sz w:val="20"/>
                <w:szCs w:val="20"/>
              </w:rPr>
              <w:lastRenderedPageBreak/>
              <w:t xml:space="preserve">Supplemental Table </w:t>
            </w:r>
            <w:r>
              <w:rPr>
                <w:rFonts w:ascii="Arial" w:hAnsi="Arial" w:cs="Arial"/>
                <w:b/>
                <w:sz w:val="20"/>
                <w:szCs w:val="20"/>
              </w:rPr>
              <w:t>2</w:t>
            </w:r>
            <w:r w:rsidRPr="006404C0">
              <w:rPr>
                <w:rFonts w:ascii="Arial" w:hAnsi="Arial" w:cs="Arial"/>
                <w:b/>
                <w:sz w:val="20"/>
                <w:szCs w:val="20"/>
              </w:rPr>
              <w:t>.</w:t>
            </w:r>
            <w:r>
              <w:rPr>
                <w:rFonts w:ascii="Arial" w:hAnsi="Arial" w:cs="Arial"/>
                <w:sz w:val="20"/>
                <w:szCs w:val="20"/>
              </w:rPr>
              <w:t xml:space="preserve"> Pediatric Chronic Conditions </w:t>
            </w:r>
            <w:r w:rsidRPr="006404C0">
              <w:rPr>
                <w:rFonts w:ascii="Arial" w:hAnsi="Arial" w:cs="Arial"/>
                <w:sz w:val="20"/>
                <w:szCs w:val="20"/>
              </w:rPr>
              <w:t>Characteristic</w:t>
            </w:r>
            <w:r>
              <w:rPr>
                <w:rFonts w:ascii="Arial" w:hAnsi="Arial" w:cs="Arial"/>
                <w:sz w:val="20"/>
                <w:szCs w:val="20"/>
              </w:rPr>
              <w:t>s*</w:t>
            </w:r>
          </w:p>
        </w:tc>
      </w:tr>
      <w:tr w:rsidR="003F65DB" w:rsidTr="003462E2">
        <w:trPr>
          <w:trHeight w:val="258"/>
          <w:jc w:val="center"/>
        </w:trPr>
        <w:tc>
          <w:tcPr>
            <w:tcW w:w="3385" w:type="dxa"/>
            <w:tcBorders>
              <w:top w:val="single" w:sz="4" w:space="0" w:color="auto"/>
              <w:bottom w:val="single" w:sz="4" w:space="0" w:color="auto"/>
            </w:tcBorders>
            <w:shd w:val="clear" w:color="auto" w:fill="FFFFFF" w:themeFill="background1"/>
            <w:vAlign w:val="bottom"/>
          </w:tcPr>
          <w:p w:rsidR="003F65DB" w:rsidRDefault="003F65DB" w:rsidP="003462E2">
            <w:pPr>
              <w:jc w:val="center"/>
              <w:rPr>
                <w:rFonts w:ascii="Arial" w:hAnsi="Arial" w:cs="Arial"/>
                <w:sz w:val="20"/>
                <w:szCs w:val="20"/>
              </w:rPr>
            </w:pPr>
          </w:p>
        </w:tc>
        <w:tc>
          <w:tcPr>
            <w:tcW w:w="2273" w:type="dxa"/>
            <w:tcBorders>
              <w:top w:val="single" w:sz="4" w:space="0" w:color="auto"/>
              <w:bottom w:val="single" w:sz="4" w:space="0" w:color="auto"/>
            </w:tcBorders>
            <w:shd w:val="clear" w:color="auto" w:fill="FFFFFF" w:themeFill="background1"/>
            <w:vAlign w:val="bottom"/>
          </w:tcPr>
          <w:p w:rsidR="003F65DB" w:rsidRDefault="003F65DB" w:rsidP="003462E2">
            <w:pPr>
              <w:jc w:val="center"/>
              <w:rPr>
                <w:rFonts w:ascii="Arial" w:hAnsi="Arial" w:cs="Arial"/>
                <w:sz w:val="20"/>
                <w:szCs w:val="20"/>
              </w:rPr>
            </w:pPr>
            <w:r>
              <w:rPr>
                <w:rFonts w:ascii="Arial" w:hAnsi="Arial" w:cs="Arial"/>
                <w:sz w:val="20"/>
                <w:szCs w:val="20"/>
              </w:rPr>
              <w:t>Non-cancer-related sepsis hospitalizations (N=4,405)</w:t>
            </w:r>
          </w:p>
        </w:tc>
        <w:tc>
          <w:tcPr>
            <w:tcW w:w="2262" w:type="dxa"/>
            <w:tcBorders>
              <w:top w:val="single" w:sz="4" w:space="0" w:color="auto"/>
              <w:bottom w:val="single" w:sz="4" w:space="0" w:color="auto"/>
            </w:tcBorders>
            <w:shd w:val="clear" w:color="auto" w:fill="FFFFFF" w:themeFill="background1"/>
            <w:vAlign w:val="bottom"/>
          </w:tcPr>
          <w:p w:rsidR="003F65DB" w:rsidRDefault="003F65DB" w:rsidP="003462E2">
            <w:pPr>
              <w:jc w:val="center"/>
              <w:rPr>
                <w:rFonts w:ascii="Arial" w:hAnsi="Arial" w:cs="Arial"/>
                <w:sz w:val="20"/>
                <w:szCs w:val="20"/>
              </w:rPr>
            </w:pPr>
            <w:r>
              <w:rPr>
                <w:rFonts w:ascii="Arial" w:hAnsi="Arial" w:cs="Arial"/>
                <w:sz w:val="20"/>
                <w:szCs w:val="20"/>
              </w:rPr>
              <w:t>Cancer-related sepsis hospitalizations (N=1,045)</w:t>
            </w:r>
          </w:p>
        </w:tc>
        <w:tc>
          <w:tcPr>
            <w:tcW w:w="834" w:type="dxa"/>
            <w:tcBorders>
              <w:top w:val="single" w:sz="4" w:space="0" w:color="auto"/>
              <w:bottom w:val="single" w:sz="4" w:space="0" w:color="auto"/>
            </w:tcBorders>
            <w:shd w:val="clear" w:color="auto" w:fill="FFFFFF" w:themeFill="background1"/>
            <w:vAlign w:val="bottom"/>
          </w:tcPr>
          <w:p w:rsidR="003F65DB" w:rsidRPr="004D30D9" w:rsidRDefault="003F65DB" w:rsidP="003462E2">
            <w:pPr>
              <w:jc w:val="center"/>
              <w:rPr>
                <w:rFonts w:ascii="Arial" w:hAnsi="Arial" w:cs="Arial"/>
                <w:i/>
                <w:sz w:val="20"/>
                <w:szCs w:val="20"/>
              </w:rPr>
            </w:pPr>
            <w:r w:rsidRPr="004D30D9">
              <w:rPr>
                <w:rFonts w:ascii="Arial" w:hAnsi="Arial" w:cs="Arial"/>
                <w:i/>
                <w:sz w:val="20"/>
                <w:szCs w:val="20"/>
              </w:rPr>
              <w:t>p</w:t>
            </w:r>
          </w:p>
        </w:tc>
      </w:tr>
      <w:tr w:rsidR="003F65DB" w:rsidTr="003462E2">
        <w:trPr>
          <w:trHeight w:val="258"/>
          <w:jc w:val="center"/>
        </w:trPr>
        <w:tc>
          <w:tcPr>
            <w:tcW w:w="3385" w:type="dxa"/>
            <w:tcBorders>
              <w:top w:val="single" w:sz="4" w:space="0" w:color="auto"/>
              <w:left w:val="single" w:sz="4" w:space="0" w:color="auto"/>
              <w:bottom w:val="nil"/>
              <w:right w:val="nil"/>
            </w:tcBorders>
            <w:shd w:val="clear" w:color="auto" w:fill="F2F2F2" w:themeFill="background1" w:themeFillShade="F2"/>
          </w:tcPr>
          <w:p w:rsidR="003F65DB" w:rsidRDefault="003F65DB" w:rsidP="003462E2">
            <w:pPr>
              <w:spacing w:line="480" w:lineRule="auto"/>
              <w:rPr>
                <w:rFonts w:ascii="Arial" w:hAnsi="Arial" w:cs="Arial"/>
                <w:sz w:val="20"/>
                <w:szCs w:val="20"/>
              </w:rPr>
            </w:pPr>
            <w:r>
              <w:rPr>
                <w:rFonts w:ascii="Arial" w:hAnsi="Arial" w:cs="Arial"/>
                <w:sz w:val="20"/>
                <w:szCs w:val="20"/>
              </w:rPr>
              <w:t>Technology Dependent</w:t>
            </w:r>
          </w:p>
        </w:tc>
        <w:tc>
          <w:tcPr>
            <w:tcW w:w="2273" w:type="dxa"/>
            <w:tcBorders>
              <w:top w:val="single" w:sz="4" w:space="0" w:color="auto"/>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1,714 (38.9%)</w:t>
            </w:r>
          </w:p>
        </w:tc>
        <w:tc>
          <w:tcPr>
            <w:tcW w:w="2262" w:type="dxa"/>
            <w:tcBorders>
              <w:top w:val="single" w:sz="4" w:space="0" w:color="auto"/>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278 (26.6%)</w:t>
            </w:r>
          </w:p>
        </w:tc>
        <w:tc>
          <w:tcPr>
            <w:tcW w:w="834" w:type="dxa"/>
            <w:tcBorders>
              <w:top w:val="single" w:sz="4" w:space="0" w:color="auto"/>
              <w:left w:val="nil"/>
              <w:bottom w:val="nil"/>
              <w:right w:val="single" w:sz="4" w:space="0" w:color="auto"/>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nil"/>
              <w:right w:val="nil"/>
            </w:tcBorders>
            <w:shd w:val="clear" w:color="auto" w:fill="FFFFFF" w:themeFill="background1"/>
          </w:tcPr>
          <w:p w:rsidR="003F65DB" w:rsidRDefault="003F65DB" w:rsidP="003462E2">
            <w:pPr>
              <w:spacing w:line="480" w:lineRule="auto"/>
              <w:rPr>
                <w:rFonts w:ascii="Arial" w:hAnsi="Arial" w:cs="Arial"/>
                <w:sz w:val="20"/>
                <w:szCs w:val="20"/>
              </w:rPr>
            </w:pPr>
            <w:r>
              <w:rPr>
                <w:rFonts w:ascii="Arial" w:hAnsi="Arial" w:cs="Arial"/>
                <w:sz w:val="20"/>
                <w:szCs w:val="20"/>
              </w:rPr>
              <w:t>Gastrointestinal</w:t>
            </w:r>
          </w:p>
        </w:tc>
        <w:tc>
          <w:tcPr>
            <w:tcW w:w="2273" w:type="dxa"/>
            <w:tcBorders>
              <w:top w:val="nil"/>
              <w:left w:val="nil"/>
              <w:bottom w:val="nil"/>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1,364 (31.0%)</w:t>
            </w:r>
          </w:p>
        </w:tc>
        <w:tc>
          <w:tcPr>
            <w:tcW w:w="2262" w:type="dxa"/>
            <w:tcBorders>
              <w:top w:val="nil"/>
              <w:left w:val="nil"/>
              <w:bottom w:val="nil"/>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163 (15.6%)</w:t>
            </w:r>
          </w:p>
        </w:tc>
        <w:tc>
          <w:tcPr>
            <w:tcW w:w="834" w:type="dxa"/>
            <w:tcBorders>
              <w:top w:val="nil"/>
              <w:left w:val="nil"/>
              <w:bottom w:val="nil"/>
              <w:right w:val="single" w:sz="4" w:space="0" w:color="auto"/>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nil"/>
              <w:right w:val="nil"/>
            </w:tcBorders>
            <w:shd w:val="clear" w:color="auto" w:fill="F2F2F2" w:themeFill="background1" w:themeFillShade="F2"/>
          </w:tcPr>
          <w:p w:rsidR="003F65DB" w:rsidRDefault="003F65DB" w:rsidP="003462E2">
            <w:pPr>
              <w:spacing w:line="480" w:lineRule="auto"/>
              <w:rPr>
                <w:rFonts w:ascii="Arial" w:hAnsi="Arial" w:cs="Arial"/>
                <w:sz w:val="20"/>
                <w:szCs w:val="20"/>
              </w:rPr>
            </w:pPr>
            <w:r>
              <w:rPr>
                <w:rFonts w:ascii="Arial" w:hAnsi="Arial" w:cs="Arial"/>
                <w:sz w:val="20"/>
                <w:szCs w:val="20"/>
              </w:rPr>
              <w:t>Neurologic &amp; Neuromuscular</w:t>
            </w:r>
          </w:p>
        </w:tc>
        <w:tc>
          <w:tcPr>
            <w:tcW w:w="2273"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1,283 (29.1%)</w:t>
            </w:r>
          </w:p>
        </w:tc>
        <w:tc>
          <w:tcPr>
            <w:tcW w:w="2262"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117 (11.2%)</w:t>
            </w:r>
          </w:p>
        </w:tc>
        <w:tc>
          <w:tcPr>
            <w:tcW w:w="834" w:type="dxa"/>
            <w:tcBorders>
              <w:top w:val="nil"/>
              <w:left w:val="nil"/>
              <w:bottom w:val="nil"/>
              <w:right w:val="single" w:sz="4" w:space="0" w:color="auto"/>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nil"/>
              <w:right w:val="nil"/>
            </w:tcBorders>
            <w:shd w:val="clear" w:color="auto" w:fill="auto"/>
          </w:tcPr>
          <w:p w:rsidR="003F65DB" w:rsidRDefault="003F65DB" w:rsidP="003462E2">
            <w:pPr>
              <w:spacing w:line="480" w:lineRule="auto"/>
              <w:rPr>
                <w:rFonts w:ascii="Arial" w:hAnsi="Arial" w:cs="Arial"/>
                <w:sz w:val="20"/>
                <w:szCs w:val="20"/>
              </w:rPr>
            </w:pPr>
            <w:r>
              <w:rPr>
                <w:rFonts w:ascii="Arial" w:hAnsi="Arial" w:cs="Arial"/>
                <w:sz w:val="20"/>
                <w:szCs w:val="20"/>
              </w:rPr>
              <w:t>Cardiovascular</w:t>
            </w:r>
          </w:p>
        </w:tc>
        <w:tc>
          <w:tcPr>
            <w:tcW w:w="2273" w:type="dxa"/>
            <w:tcBorders>
              <w:top w:val="nil"/>
              <w:left w:val="nil"/>
              <w:bottom w:val="nil"/>
              <w:right w:val="nil"/>
            </w:tcBorders>
            <w:shd w:val="clear" w:color="auto" w:fill="auto"/>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871 (19.8%)</w:t>
            </w:r>
          </w:p>
        </w:tc>
        <w:tc>
          <w:tcPr>
            <w:tcW w:w="2262" w:type="dxa"/>
            <w:tcBorders>
              <w:top w:val="nil"/>
              <w:left w:val="nil"/>
              <w:bottom w:val="nil"/>
              <w:right w:val="nil"/>
            </w:tcBorders>
            <w:shd w:val="clear" w:color="auto" w:fill="auto"/>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181 (17.3%)</w:t>
            </w:r>
          </w:p>
        </w:tc>
        <w:tc>
          <w:tcPr>
            <w:tcW w:w="834" w:type="dxa"/>
            <w:tcBorders>
              <w:top w:val="nil"/>
              <w:left w:val="nil"/>
              <w:bottom w:val="nil"/>
              <w:right w:val="single" w:sz="4" w:space="0" w:color="auto"/>
            </w:tcBorders>
            <w:shd w:val="clear" w:color="auto" w:fill="auto"/>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0.07</w:t>
            </w:r>
          </w:p>
        </w:tc>
      </w:tr>
      <w:tr w:rsidR="003F65DB" w:rsidTr="003462E2">
        <w:trPr>
          <w:trHeight w:val="258"/>
          <w:jc w:val="center"/>
        </w:trPr>
        <w:tc>
          <w:tcPr>
            <w:tcW w:w="3385" w:type="dxa"/>
            <w:tcBorders>
              <w:top w:val="nil"/>
              <w:left w:val="single" w:sz="4" w:space="0" w:color="auto"/>
              <w:bottom w:val="nil"/>
              <w:right w:val="nil"/>
            </w:tcBorders>
            <w:shd w:val="clear" w:color="auto" w:fill="F2F2F2" w:themeFill="background1" w:themeFillShade="F2"/>
          </w:tcPr>
          <w:p w:rsidR="003F65DB" w:rsidRDefault="003F65DB" w:rsidP="003462E2">
            <w:pPr>
              <w:spacing w:line="480" w:lineRule="auto"/>
              <w:rPr>
                <w:rFonts w:ascii="Arial" w:hAnsi="Arial" w:cs="Arial"/>
                <w:sz w:val="20"/>
                <w:szCs w:val="20"/>
              </w:rPr>
            </w:pPr>
            <w:r>
              <w:rPr>
                <w:rFonts w:ascii="Arial" w:hAnsi="Arial" w:cs="Arial"/>
                <w:sz w:val="20"/>
                <w:szCs w:val="20"/>
              </w:rPr>
              <w:t>Metabolic</w:t>
            </w:r>
          </w:p>
        </w:tc>
        <w:tc>
          <w:tcPr>
            <w:tcW w:w="2273"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759 (17.2%)</w:t>
            </w:r>
          </w:p>
        </w:tc>
        <w:tc>
          <w:tcPr>
            <w:tcW w:w="2262"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291 (27.9%)</w:t>
            </w:r>
          </w:p>
        </w:tc>
        <w:tc>
          <w:tcPr>
            <w:tcW w:w="834" w:type="dxa"/>
            <w:tcBorders>
              <w:top w:val="nil"/>
              <w:left w:val="nil"/>
              <w:bottom w:val="nil"/>
              <w:right w:val="single" w:sz="4" w:space="0" w:color="auto"/>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nil"/>
              <w:right w:val="nil"/>
            </w:tcBorders>
            <w:shd w:val="clear" w:color="auto" w:fill="FFFFFF" w:themeFill="background1"/>
          </w:tcPr>
          <w:p w:rsidR="003F65DB" w:rsidRDefault="003F65DB" w:rsidP="003462E2">
            <w:pPr>
              <w:spacing w:line="480" w:lineRule="auto"/>
              <w:rPr>
                <w:rFonts w:ascii="Arial" w:hAnsi="Arial" w:cs="Arial"/>
                <w:sz w:val="20"/>
                <w:szCs w:val="20"/>
              </w:rPr>
            </w:pPr>
            <w:r>
              <w:rPr>
                <w:rFonts w:ascii="Arial" w:hAnsi="Arial" w:cs="Arial"/>
                <w:sz w:val="20"/>
                <w:szCs w:val="20"/>
              </w:rPr>
              <w:t>Renal/Urologic</w:t>
            </w:r>
          </w:p>
        </w:tc>
        <w:tc>
          <w:tcPr>
            <w:tcW w:w="2273" w:type="dxa"/>
            <w:tcBorders>
              <w:top w:val="nil"/>
              <w:left w:val="nil"/>
              <w:bottom w:val="nil"/>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646 (14.7%)</w:t>
            </w:r>
          </w:p>
        </w:tc>
        <w:tc>
          <w:tcPr>
            <w:tcW w:w="2262" w:type="dxa"/>
            <w:tcBorders>
              <w:top w:val="nil"/>
              <w:left w:val="nil"/>
              <w:bottom w:val="nil"/>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155 (14.8%)</w:t>
            </w:r>
          </w:p>
        </w:tc>
        <w:tc>
          <w:tcPr>
            <w:tcW w:w="834" w:type="dxa"/>
            <w:tcBorders>
              <w:top w:val="nil"/>
              <w:left w:val="nil"/>
              <w:bottom w:val="nil"/>
              <w:right w:val="single" w:sz="4" w:space="0" w:color="auto"/>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0.9</w:t>
            </w:r>
          </w:p>
        </w:tc>
      </w:tr>
      <w:tr w:rsidR="003F65DB" w:rsidTr="003462E2">
        <w:trPr>
          <w:trHeight w:val="258"/>
          <w:jc w:val="center"/>
        </w:trPr>
        <w:tc>
          <w:tcPr>
            <w:tcW w:w="3385" w:type="dxa"/>
            <w:tcBorders>
              <w:top w:val="nil"/>
              <w:left w:val="single" w:sz="4" w:space="0" w:color="auto"/>
              <w:bottom w:val="nil"/>
              <w:right w:val="nil"/>
            </w:tcBorders>
            <w:shd w:val="clear" w:color="auto" w:fill="F2F2F2" w:themeFill="background1" w:themeFillShade="F2"/>
          </w:tcPr>
          <w:p w:rsidR="003F65DB" w:rsidRDefault="003F65DB" w:rsidP="003462E2">
            <w:pPr>
              <w:spacing w:line="480" w:lineRule="auto"/>
              <w:rPr>
                <w:rFonts w:ascii="Arial" w:hAnsi="Arial" w:cs="Arial"/>
                <w:sz w:val="20"/>
                <w:szCs w:val="20"/>
              </w:rPr>
            </w:pPr>
            <w:r>
              <w:rPr>
                <w:rFonts w:ascii="Arial" w:hAnsi="Arial" w:cs="Arial"/>
                <w:sz w:val="20"/>
                <w:szCs w:val="20"/>
              </w:rPr>
              <w:t>Hematologic/Immunologic</w:t>
            </w:r>
          </w:p>
        </w:tc>
        <w:tc>
          <w:tcPr>
            <w:tcW w:w="2273"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621 (14.1%)</w:t>
            </w:r>
          </w:p>
        </w:tc>
        <w:tc>
          <w:tcPr>
            <w:tcW w:w="2262"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594 (56.8%)</w:t>
            </w:r>
          </w:p>
        </w:tc>
        <w:tc>
          <w:tcPr>
            <w:tcW w:w="834" w:type="dxa"/>
            <w:tcBorders>
              <w:top w:val="nil"/>
              <w:left w:val="nil"/>
              <w:bottom w:val="nil"/>
              <w:right w:val="single" w:sz="4" w:space="0" w:color="auto"/>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nil"/>
              <w:right w:val="nil"/>
            </w:tcBorders>
            <w:shd w:val="clear" w:color="auto" w:fill="FFFFFF" w:themeFill="background1"/>
          </w:tcPr>
          <w:p w:rsidR="003F65DB" w:rsidRDefault="003F65DB" w:rsidP="003462E2">
            <w:pPr>
              <w:spacing w:line="480" w:lineRule="auto"/>
              <w:rPr>
                <w:rFonts w:ascii="Arial" w:hAnsi="Arial" w:cs="Arial"/>
                <w:sz w:val="20"/>
                <w:szCs w:val="20"/>
              </w:rPr>
            </w:pPr>
            <w:r>
              <w:rPr>
                <w:rFonts w:ascii="Arial" w:hAnsi="Arial" w:cs="Arial"/>
                <w:sz w:val="20"/>
                <w:szCs w:val="20"/>
              </w:rPr>
              <w:t>Congenital/Genetic</w:t>
            </w:r>
          </w:p>
        </w:tc>
        <w:tc>
          <w:tcPr>
            <w:tcW w:w="2273" w:type="dxa"/>
            <w:tcBorders>
              <w:top w:val="nil"/>
              <w:left w:val="nil"/>
              <w:bottom w:val="nil"/>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615 (14.0%)</w:t>
            </w:r>
          </w:p>
        </w:tc>
        <w:tc>
          <w:tcPr>
            <w:tcW w:w="2262" w:type="dxa"/>
            <w:tcBorders>
              <w:top w:val="nil"/>
              <w:left w:val="nil"/>
              <w:bottom w:val="nil"/>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49 (4.7%)</w:t>
            </w:r>
          </w:p>
        </w:tc>
        <w:tc>
          <w:tcPr>
            <w:tcW w:w="834" w:type="dxa"/>
            <w:tcBorders>
              <w:top w:val="nil"/>
              <w:left w:val="nil"/>
              <w:bottom w:val="nil"/>
              <w:right w:val="single" w:sz="4" w:space="0" w:color="auto"/>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nil"/>
              <w:right w:val="nil"/>
            </w:tcBorders>
            <w:shd w:val="clear" w:color="auto" w:fill="F2F2F2" w:themeFill="background1" w:themeFillShade="F2"/>
          </w:tcPr>
          <w:p w:rsidR="003F65DB" w:rsidRDefault="003F65DB" w:rsidP="003462E2">
            <w:pPr>
              <w:spacing w:line="480" w:lineRule="auto"/>
              <w:rPr>
                <w:rFonts w:ascii="Arial" w:hAnsi="Arial" w:cs="Arial"/>
                <w:sz w:val="20"/>
                <w:szCs w:val="20"/>
              </w:rPr>
            </w:pPr>
            <w:r>
              <w:rPr>
                <w:rFonts w:ascii="Arial" w:hAnsi="Arial" w:cs="Arial"/>
                <w:sz w:val="20"/>
                <w:szCs w:val="20"/>
              </w:rPr>
              <w:t>Respiratory</w:t>
            </w:r>
          </w:p>
        </w:tc>
        <w:tc>
          <w:tcPr>
            <w:tcW w:w="2273"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541 (12.3%)</w:t>
            </w:r>
          </w:p>
        </w:tc>
        <w:tc>
          <w:tcPr>
            <w:tcW w:w="2262"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35 (3.4%)</w:t>
            </w:r>
          </w:p>
        </w:tc>
        <w:tc>
          <w:tcPr>
            <w:tcW w:w="834" w:type="dxa"/>
            <w:tcBorders>
              <w:top w:val="nil"/>
              <w:left w:val="nil"/>
              <w:bottom w:val="nil"/>
              <w:right w:val="single" w:sz="4" w:space="0" w:color="auto"/>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nil"/>
              <w:right w:val="nil"/>
            </w:tcBorders>
            <w:shd w:val="clear" w:color="auto" w:fill="FFFFFF" w:themeFill="background1"/>
          </w:tcPr>
          <w:p w:rsidR="003F65DB" w:rsidRDefault="003F65DB" w:rsidP="003462E2">
            <w:pPr>
              <w:spacing w:line="480" w:lineRule="auto"/>
              <w:rPr>
                <w:rFonts w:ascii="Arial" w:hAnsi="Arial" w:cs="Arial"/>
                <w:sz w:val="20"/>
                <w:szCs w:val="20"/>
              </w:rPr>
            </w:pPr>
            <w:r>
              <w:rPr>
                <w:rFonts w:ascii="Arial" w:hAnsi="Arial" w:cs="Arial"/>
                <w:sz w:val="20"/>
                <w:szCs w:val="20"/>
              </w:rPr>
              <w:t>Transplantation</w:t>
            </w:r>
          </w:p>
        </w:tc>
        <w:tc>
          <w:tcPr>
            <w:tcW w:w="2273" w:type="dxa"/>
            <w:tcBorders>
              <w:top w:val="nil"/>
              <w:left w:val="nil"/>
              <w:bottom w:val="nil"/>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259 (5.9%)</w:t>
            </w:r>
          </w:p>
        </w:tc>
        <w:tc>
          <w:tcPr>
            <w:tcW w:w="2262" w:type="dxa"/>
            <w:tcBorders>
              <w:top w:val="nil"/>
              <w:left w:val="nil"/>
              <w:bottom w:val="nil"/>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210 (20.1%)</w:t>
            </w:r>
          </w:p>
        </w:tc>
        <w:tc>
          <w:tcPr>
            <w:tcW w:w="834" w:type="dxa"/>
            <w:tcBorders>
              <w:top w:val="nil"/>
              <w:left w:val="nil"/>
              <w:bottom w:val="nil"/>
              <w:right w:val="single" w:sz="4" w:space="0" w:color="auto"/>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nil"/>
              <w:right w:val="nil"/>
            </w:tcBorders>
            <w:shd w:val="clear" w:color="auto" w:fill="F2F2F2" w:themeFill="background1" w:themeFillShade="F2"/>
          </w:tcPr>
          <w:p w:rsidR="003F65DB" w:rsidRDefault="003F65DB" w:rsidP="003462E2">
            <w:pPr>
              <w:spacing w:line="480" w:lineRule="auto"/>
              <w:rPr>
                <w:rFonts w:ascii="Arial" w:hAnsi="Arial" w:cs="Arial"/>
                <w:sz w:val="20"/>
                <w:szCs w:val="20"/>
              </w:rPr>
            </w:pPr>
            <w:r>
              <w:rPr>
                <w:rFonts w:ascii="Arial" w:hAnsi="Arial" w:cs="Arial"/>
                <w:sz w:val="20"/>
                <w:szCs w:val="20"/>
              </w:rPr>
              <w:t>Neonatal</w:t>
            </w:r>
          </w:p>
        </w:tc>
        <w:tc>
          <w:tcPr>
            <w:tcW w:w="2273"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66 (1.5%)</w:t>
            </w:r>
          </w:p>
        </w:tc>
        <w:tc>
          <w:tcPr>
            <w:tcW w:w="2262" w:type="dxa"/>
            <w:tcBorders>
              <w:top w:val="nil"/>
              <w:left w:val="nil"/>
              <w:bottom w:val="nil"/>
              <w:right w:val="nil"/>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&lt;11 (&lt;1.0%)</w:t>
            </w:r>
          </w:p>
        </w:tc>
        <w:tc>
          <w:tcPr>
            <w:tcW w:w="834" w:type="dxa"/>
            <w:tcBorders>
              <w:top w:val="nil"/>
              <w:left w:val="nil"/>
              <w:bottom w:val="nil"/>
              <w:right w:val="single" w:sz="4" w:space="0" w:color="auto"/>
            </w:tcBorders>
            <w:shd w:val="clear" w:color="auto" w:fill="F2F2F2" w:themeFill="background1" w:themeFillShade="F2"/>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3385" w:type="dxa"/>
            <w:tcBorders>
              <w:top w:val="nil"/>
              <w:left w:val="single" w:sz="4" w:space="0" w:color="auto"/>
              <w:bottom w:val="single" w:sz="4" w:space="0" w:color="auto"/>
              <w:right w:val="nil"/>
            </w:tcBorders>
            <w:shd w:val="clear" w:color="auto" w:fill="FFFFFF" w:themeFill="background1"/>
          </w:tcPr>
          <w:p w:rsidR="003F65DB" w:rsidRDefault="003F65DB" w:rsidP="003462E2">
            <w:pPr>
              <w:spacing w:line="480" w:lineRule="auto"/>
              <w:rPr>
                <w:rFonts w:ascii="Arial" w:hAnsi="Arial" w:cs="Arial"/>
                <w:sz w:val="20"/>
                <w:szCs w:val="20"/>
              </w:rPr>
            </w:pPr>
            <w:r>
              <w:rPr>
                <w:rFonts w:ascii="Arial" w:hAnsi="Arial" w:cs="Arial"/>
                <w:sz w:val="20"/>
                <w:szCs w:val="20"/>
              </w:rPr>
              <w:t>None</w:t>
            </w:r>
          </w:p>
        </w:tc>
        <w:tc>
          <w:tcPr>
            <w:tcW w:w="2273" w:type="dxa"/>
            <w:tcBorders>
              <w:top w:val="nil"/>
              <w:left w:val="nil"/>
              <w:bottom w:val="single" w:sz="4" w:space="0" w:color="auto"/>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1,293 (29.4%)</w:t>
            </w:r>
          </w:p>
        </w:tc>
        <w:tc>
          <w:tcPr>
            <w:tcW w:w="2262" w:type="dxa"/>
            <w:tcBorders>
              <w:top w:val="nil"/>
              <w:left w:val="nil"/>
              <w:bottom w:val="single" w:sz="4" w:space="0" w:color="auto"/>
              <w:right w:val="nil"/>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&lt;11 (&lt;1.0%)</w:t>
            </w:r>
          </w:p>
        </w:tc>
        <w:tc>
          <w:tcPr>
            <w:tcW w:w="834" w:type="dxa"/>
            <w:tcBorders>
              <w:top w:val="nil"/>
              <w:left w:val="nil"/>
              <w:bottom w:val="single" w:sz="4" w:space="0" w:color="auto"/>
              <w:right w:val="single" w:sz="4" w:space="0" w:color="auto"/>
            </w:tcBorders>
            <w:shd w:val="clear" w:color="auto" w:fill="FFFFFF" w:themeFill="background1"/>
            <w:vAlign w:val="center"/>
          </w:tcPr>
          <w:p w:rsidR="003F65DB" w:rsidRDefault="003F65DB" w:rsidP="003462E2">
            <w:pPr>
              <w:spacing w:line="480" w:lineRule="auto"/>
              <w:jc w:val="right"/>
              <w:rPr>
                <w:rFonts w:ascii="Arial" w:hAnsi="Arial" w:cs="Arial"/>
                <w:sz w:val="20"/>
                <w:szCs w:val="20"/>
              </w:rPr>
            </w:pPr>
            <w:r>
              <w:rPr>
                <w:rFonts w:ascii="Arial" w:hAnsi="Arial" w:cs="Arial"/>
                <w:sz w:val="20"/>
                <w:szCs w:val="20"/>
              </w:rPr>
              <w:t>&lt;0.001</w:t>
            </w:r>
          </w:p>
        </w:tc>
      </w:tr>
      <w:tr w:rsidR="003F65DB" w:rsidTr="003462E2">
        <w:trPr>
          <w:trHeight w:val="258"/>
          <w:jc w:val="center"/>
        </w:trPr>
        <w:tc>
          <w:tcPr>
            <w:tcW w:w="8754" w:type="dxa"/>
            <w:gridSpan w:val="4"/>
            <w:tcBorders>
              <w:top w:val="single" w:sz="4" w:space="0" w:color="auto"/>
              <w:left w:val="nil"/>
              <w:bottom w:val="nil"/>
              <w:right w:val="nil"/>
            </w:tcBorders>
            <w:shd w:val="clear" w:color="auto" w:fill="FFFFFF" w:themeFill="background1"/>
          </w:tcPr>
          <w:p w:rsidR="003F65DB" w:rsidRPr="00AF30BE" w:rsidRDefault="003F65DB" w:rsidP="003462E2">
            <w:pPr>
              <w:spacing w:line="480" w:lineRule="auto"/>
              <w:rPr>
                <w:rFonts w:ascii="Arial" w:hAnsi="Arial" w:cs="Arial"/>
                <w:sz w:val="16"/>
                <w:szCs w:val="16"/>
              </w:rPr>
            </w:pPr>
            <w:r>
              <w:rPr>
                <w:rFonts w:ascii="Arial" w:hAnsi="Arial" w:cs="Arial"/>
                <w:sz w:val="16"/>
                <w:szCs w:val="16"/>
              </w:rPr>
              <w:t>* Malignancy excluded given this was also the exposure</w:t>
            </w:r>
          </w:p>
        </w:tc>
      </w:tr>
    </w:tbl>
    <w:p w:rsidR="00FD39F4" w:rsidRPr="002050E8" w:rsidRDefault="00FD39F4" w:rsidP="00FD39F4">
      <w:pPr>
        <w:spacing w:line="240" w:lineRule="auto"/>
        <w:rPr>
          <w:rFonts w:ascii="Arial" w:hAnsi="Arial" w:cs="Arial"/>
          <w:sz w:val="20"/>
          <w:szCs w:val="20"/>
        </w:rPr>
      </w:pPr>
    </w:p>
    <w:p w:rsidR="00183346" w:rsidRDefault="00183346">
      <w:r>
        <w:br w:type="page"/>
      </w:r>
    </w:p>
    <w:tbl>
      <w:tblPr>
        <w:tblStyle w:val="TableGrid"/>
        <w:tblW w:w="0" w:type="auto"/>
        <w:tblLook w:val="04A0" w:firstRow="1" w:lastRow="0" w:firstColumn="1" w:lastColumn="0" w:noHBand="0" w:noVBand="1"/>
      </w:tblPr>
      <w:tblGrid>
        <w:gridCol w:w="3780"/>
        <w:gridCol w:w="2453"/>
        <w:gridCol w:w="3117"/>
      </w:tblGrid>
      <w:tr w:rsidR="00183346" w:rsidRPr="00145C9C" w:rsidTr="005B70C1">
        <w:tc>
          <w:tcPr>
            <w:tcW w:w="9350" w:type="dxa"/>
            <w:gridSpan w:val="3"/>
            <w:tcBorders>
              <w:top w:val="nil"/>
              <w:left w:val="nil"/>
              <w:bottom w:val="single" w:sz="4" w:space="0" w:color="auto"/>
              <w:right w:val="nil"/>
            </w:tcBorders>
          </w:tcPr>
          <w:p w:rsidR="00183346" w:rsidRPr="00145C9C" w:rsidRDefault="00183346" w:rsidP="00183346">
            <w:pPr>
              <w:rPr>
                <w:sz w:val="20"/>
                <w:szCs w:val="20"/>
              </w:rPr>
            </w:pPr>
            <w:r>
              <w:rPr>
                <w:rFonts w:ascii="Arial" w:hAnsi="Arial" w:cs="Arial"/>
                <w:b/>
                <w:sz w:val="20"/>
                <w:szCs w:val="20"/>
              </w:rPr>
              <w:lastRenderedPageBreak/>
              <w:t>Supplemental Table 3</w:t>
            </w:r>
            <w:r w:rsidRPr="00145C9C">
              <w:rPr>
                <w:rFonts w:ascii="Arial" w:hAnsi="Arial" w:cs="Arial"/>
                <w:sz w:val="20"/>
                <w:szCs w:val="20"/>
              </w:rPr>
              <w:t>. Comparison of Sepsis Outcomes from 1995-2014*</w:t>
            </w:r>
          </w:p>
        </w:tc>
      </w:tr>
      <w:tr w:rsidR="00183346" w:rsidRPr="00145C9C" w:rsidTr="005B70C1">
        <w:tc>
          <w:tcPr>
            <w:tcW w:w="3780" w:type="dxa"/>
            <w:tcBorders>
              <w:top w:val="single" w:sz="4" w:space="0" w:color="auto"/>
              <w:bottom w:val="single" w:sz="4" w:space="0" w:color="auto"/>
            </w:tcBorders>
          </w:tcPr>
          <w:p w:rsidR="00183346" w:rsidRPr="00145C9C" w:rsidRDefault="00183346" w:rsidP="005B70C1">
            <w:pPr>
              <w:jc w:val="center"/>
              <w:rPr>
                <w:rFonts w:ascii="Arial" w:hAnsi="Arial" w:cs="Arial"/>
                <w:sz w:val="20"/>
                <w:szCs w:val="20"/>
              </w:rPr>
            </w:pPr>
            <w:r w:rsidRPr="00145C9C">
              <w:rPr>
                <w:rFonts w:ascii="Arial" w:hAnsi="Arial" w:cs="Arial"/>
                <w:sz w:val="20"/>
                <w:szCs w:val="20"/>
              </w:rPr>
              <w:t>Category</w:t>
            </w:r>
          </w:p>
        </w:tc>
        <w:tc>
          <w:tcPr>
            <w:tcW w:w="2453" w:type="dxa"/>
            <w:tcBorders>
              <w:top w:val="single" w:sz="4" w:space="0" w:color="auto"/>
              <w:bottom w:val="single" w:sz="4" w:space="0" w:color="auto"/>
            </w:tcBorders>
          </w:tcPr>
          <w:p w:rsidR="00183346" w:rsidRPr="00145C9C" w:rsidRDefault="00183346" w:rsidP="005B70C1">
            <w:pPr>
              <w:jc w:val="center"/>
              <w:rPr>
                <w:rFonts w:ascii="Arial" w:hAnsi="Arial" w:cs="Arial"/>
                <w:sz w:val="20"/>
                <w:szCs w:val="20"/>
              </w:rPr>
            </w:pPr>
            <w:r w:rsidRPr="00145C9C">
              <w:rPr>
                <w:rFonts w:ascii="Arial" w:hAnsi="Arial" w:cs="Arial"/>
                <w:sz w:val="20"/>
                <w:szCs w:val="20"/>
              </w:rPr>
              <w:t>1995</w:t>
            </w:r>
            <w:r w:rsidRPr="00145C9C">
              <w:rPr>
                <w:rFonts w:ascii="Arial" w:hAnsi="Arial" w:cs="Arial"/>
                <w:sz w:val="20"/>
                <w:szCs w:val="20"/>
              </w:rPr>
              <w:fldChar w:fldCharType="begin"/>
            </w:r>
            <w:r w:rsidRPr="00145C9C">
              <w:rPr>
                <w:rFonts w:ascii="Arial" w:hAnsi="Arial" w:cs="Arial"/>
                <w:sz w:val="20"/>
                <w:szCs w:val="20"/>
              </w:rPr>
              <w:instrText xml:space="preserve"> ADDIN ZOTERO_ITEM CSL_CITATION {"citationID":"m1ib1Uxn","properties":{"formattedCitation":"\\super 1\\nosupersub{}","plainCitation":"1","noteIndex":0},"citationItems":[{"id":30,"uris":["http://zotero.org/users/5026825/items/E9774HG6"],"uri":["http://zotero.org/users/5026825/items/E9774HG6"],"itemData":{"id":30,"type":"article-journal","title":"Epidemiology of severe sepsis in the United States: analysis of incidence, outcome, and associated costs of care","container-title":"Critical Care Medicine","page":"1303-1310","volume":"29","issue":"7","source":"PubMed","abstract":"OBJECTIVE: To determine the incidence, cost, and outcome of severe sepsis in the United States.\nDESIGN: Observational cohort study.\nSETTING: All nonfederal hospitals (n = 847) in seven U.S. states.\nPATIENTS: All patients (n = 192,980) meeting criteria for severe sepsis based on the International Classification of Diseases, Ninth Revision, Clinical Modification.\nINTERVENTIONS: None.\nMEASUREMENTS AND MAIN RESULTS: We linked all 1995 state hospital discharge records (n = 6,621,559) from seven large states with population and hospital data from the U.S. Census, the Centers for Disease Control, the Health Care Financing Administration, and the American Hospital Association. We defined severe sepsis as documented infection and acute organ dysfunction using criteria based on the International Classification of Diseases, Ninth Revision, Clinical Modification. We validated these criteria against prospective clinical and physiologic criteria in a subset of five hospitals. We generated national age- and gender-adjusted estimates of incidence, cost, and outcome. We identified 192,980 cases, yielding national estimates of 751,000 cases (3.0 cases per 1,000 population and 2.26 cases per 100 hospital discharges), of whom 383,000 (51.1%) received intensive care and an additional 130,000 (17.3%) were ventilated in an intermediate care unit or cared for in a coronary care unit. Incidence increased &gt;100-fold with age (0.2/1,000 in children to 26.2/1,000 in those &gt;85 yrs old). Mortality was 28.6%, or 215,000 deaths nationally, and also increased with age, from 10% in children to 38.4% in those &gt;85 yrs old. Women had lower age-specific incidence and mortality, but the difference in mortality was explained by differences in underlying disease and the site of infection. The average costs per case were $22,100, with annual total costs of $16.7 billion nationally. Costs were higher in infants, nonsurvivors, intensive care unit patients, surgical patients, and patients with more organ failure. The incidence was projected to increase by 1.5% per annum.\nCONCLUSIONS: Severe sepsis is a common, expensive, and frequently fatal condition, with as many deaths annually as those from acute myocardial infarction. It is especially common in the elderly and is likely to increase substantially as the U.S. population ages.","ISSN":"0090-3493","note":"PMID: 11445675","shortTitle":"Epidemiology of severe sepsis in the United States","journalAbbreviation":"Crit. Care Med.","language":"eng","author":[{"family":"Angus","given":"D. C."},{"family":"Linde-Zwirble","given":"W. T."},{"family":"Lidicker","given":"J."},{"family":"Clermont","given":"G."},{"family":"Carcillo","given":"J."},{"family":"Pinsky","given":"M. R."}],"issued":{"date-parts":[["2001",7]]}}}],"schema":"https://github.com/citation-style-language/schema/raw/master/csl-citation.json"} </w:instrText>
            </w:r>
            <w:r w:rsidRPr="00145C9C">
              <w:rPr>
                <w:rFonts w:ascii="Arial" w:hAnsi="Arial" w:cs="Arial"/>
                <w:sz w:val="20"/>
                <w:szCs w:val="20"/>
              </w:rPr>
              <w:fldChar w:fldCharType="separate"/>
            </w:r>
            <w:r w:rsidRPr="00145C9C">
              <w:rPr>
                <w:rFonts w:ascii="Arial" w:hAnsi="Arial" w:cs="Arial"/>
                <w:sz w:val="20"/>
                <w:szCs w:val="20"/>
                <w:vertAlign w:val="superscript"/>
              </w:rPr>
              <w:t>1</w:t>
            </w:r>
            <w:r w:rsidRPr="00145C9C">
              <w:rPr>
                <w:rFonts w:ascii="Arial" w:hAnsi="Arial" w:cs="Arial"/>
                <w:sz w:val="20"/>
                <w:szCs w:val="20"/>
              </w:rPr>
              <w:fldChar w:fldCharType="end"/>
            </w:r>
          </w:p>
        </w:tc>
        <w:tc>
          <w:tcPr>
            <w:tcW w:w="3117" w:type="dxa"/>
            <w:tcBorders>
              <w:top w:val="single" w:sz="4" w:space="0" w:color="auto"/>
              <w:bottom w:val="single" w:sz="4" w:space="0" w:color="auto"/>
            </w:tcBorders>
          </w:tcPr>
          <w:p w:rsidR="00183346" w:rsidRPr="00145C9C" w:rsidRDefault="00183346" w:rsidP="005B70C1">
            <w:pPr>
              <w:jc w:val="center"/>
              <w:rPr>
                <w:rFonts w:ascii="Arial" w:hAnsi="Arial" w:cs="Arial"/>
                <w:sz w:val="20"/>
                <w:szCs w:val="20"/>
              </w:rPr>
            </w:pPr>
            <w:r w:rsidRPr="00145C9C">
              <w:rPr>
                <w:rFonts w:ascii="Arial" w:hAnsi="Arial" w:cs="Arial"/>
                <w:sz w:val="20"/>
                <w:szCs w:val="20"/>
              </w:rPr>
              <w:t>2013-2014</w:t>
            </w:r>
          </w:p>
        </w:tc>
      </w:tr>
      <w:tr w:rsidR="00183346" w:rsidRPr="00145C9C" w:rsidTr="005B70C1">
        <w:tc>
          <w:tcPr>
            <w:tcW w:w="3780" w:type="dxa"/>
            <w:tcBorders>
              <w:top w:val="single" w:sz="4" w:space="0" w:color="auto"/>
              <w:left w:val="single" w:sz="4" w:space="0" w:color="auto"/>
              <w:bottom w:val="nil"/>
              <w:right w:val="nil"/>
            </w:tcBorders>
            <w:shd w:val="clear" w:color="auto" w:fill="F2F2F2" w:themeFill="background1" w:themeFillShade="F2"/>
          </w:tcPr>
          <w:p w:rsidR="00183346" w:rsidRPr="00145C9C" w:rsidRDefault="00183346" w:rsidP="005B70C1">
            <w:pPr>
              <w:spacing w:line="276" w:lineRule="auto"/>
              <w:rPr>
                <w:rFonts w:ascii="Arial" w:hAnsi="Arial" w:cs="Arial"/>
                <w:sz w:val="20"/>
                <w:szCs w:val="20"/>
              </w:rPr>
            </w:pPr>
            <w:r w:rsidRPr="00145C9C">
              <w:rPr>
                <w:rFonts w:ascii="Arial" w:hAnsi="Arial" w:cs="Arial"/>
                <w:sz w:val="20"/>
                <w:szCs w:val="20"/>
              </w:rPr>
              <w:t>Cancer-Related Sepsis Mortality (%)</w:t>
            </w:r>
          </w:p>
        </w:tc>
        <w:tc>
          <w:tcPr>
            <w:tcW w:w="2453" w:type="dxa"/>
            <w:tcBorders>
              <w:top w:val="single" w:sz="4" w:space="0" w:color="auto"/>
              <w:left w:val="nil"/>
              <w:bottom w:val="nil"/>
              <w:right w:val="nil"/>
            </w:tcBorders>
            <w:shd w:val="clear" w:color="auto" w:fill="F2F2F2" w:themeFill="background1" w:themeFillShade="F2"/>
          </w:tcPr>
          <w:p w:rsidR="00183346" w:rsidRPr="00145C9C" w:rsidRDefault="00183346" w:rsidP="005B70C1">
            <w:pPr>
              <w:spacing w:line="276" w:lineRule="auto"/>
              <w:jc w:val="center"/>
              <w:rPr>
                <w:rFonts w:ascii="Arial" w:hAnsi="Arial" w:cs="Arial"/>
                <w:sz w:val="20"/>
                <w:szCs w:val="20"/>
              </w:rPr>
            </w:pPr>
            <w:r w:rsidRPr="00145C9C">
              <w:rPr>
                <w:rFonts w:ascii="Arial" w:hAnsi="Arial" w:cs="Arial"/>
                <w:sz w:val="20"/>
                <w:szCs w:val="20"/>
              </w:rPr>
              <w:t>43.4%</w:t>
            </w:r>
          </w:p>
        </w:tc>
        <w:tc>
          <w:tcPr>
            <w:tcW w:w="3117" w:type="dxa"/>
            <w:tcBorders>
              <w:top w:val="single" w:sz="4" w:space="0" w:color="auto"/>
              <w:left w:val="nil"/>
              <w:bottom w:val="nil"/>
              <w:right w:val="single" w:sz="4" w:space="0" w:color="auto"/>
            </w:tcBorders>
            <w:shd w:val="clear" w:color="auto" w:fill="F2F2F2" w:themeFill="background1" w:themeFillShade="F2"/>
          </w:tcPr>
          <w:p w:rsidR="00183346" w:rsidRPr="00145C9C" w:rsidRDefault="00183346" w:rsidP="005B70C1">
            <w:pPr>
              <w:spacing w:line="276" w:lineRule="auto"/>
              <w:jc w:val="center"/>
              <w:rPr>
                <w:rFonts w:ascii="Arial" w:hAnsi="Arial" w:cs="Arial"/>
                <w:sz w:val="20"/>
                <w:szCs w:val="20"/>
              </w:rPr>
            </w:pPr>
            <w:r w:rsidRPr="00145C9C">
              <w:rPr>
                <w:rFonts w:ascii="Arial" w:hAnsi="Arial" w:cs="Arial"/>
                <w:sz w:val="20"/>
                <w:szCs w:val="20"/>
              </w:rPr>
              <w:t>27.9%</w:t>
            </w:r>
          </w:p>
        </w:tc>
      </w:tr>
      <w:tr w:rsidR="00183346" w:rsidRPr="00145C9C" w:rsidTr="005B70C1">
        <w:tc>
          <w:tcPr>
            <w:tcW w:w="3780" w:type="dxa"/>
            <w:tcBorders>
              <w:top w:val="nil"/>
              <w:left w:val="single" w:sz="4" w:space="0" w:color="auto"/>
              <w:bottom w:val="nil"/>
              <w:right w:val="nil"/>
            </w:tcBorders>
          </w:tcPr>
          <w:p w:rsidR="00183346" w:rsidRPr="00145C9C" w:rsidRDefault="00D945FC" w:rsidP="00D945FC">
            <w:pPr>
              <w:spacing w:line="276" w:lineRule="auto"/>
              <w:rPr>
                <w:rFonts w:ascii="Arial" w:hAnsi="Arial" w:cs="Arial"/>
                <w:sz w:val="20"/>
                <w:szCs w:val="20"/>
              </w:rPr>
            </w:pPr>
            <w:r>
              <w:rPr>
                <w:rFonts w:ascii="Arial" w:hAnsi="Arial" w:cs="Arial"/>
                <w:sz w:val="20"/>
                <w:szCs w:val="20"/>
              </w:rPr>
              <w:t>Proportion of Cancer</w:t>
            </w:r>
            <w:r w:rsidR="00183346" w:rsidRPr="00145C9C">
              <w:rPr>
                <w:rFonts w:ascii="Arial" w:hAnsi="Arial" w:cs="Arial"/>
                <w:sz w:val="20"/>
                <w:szCs w:val="20"/>
              </w:rPr>
              <w:t xml:space="preserve"> Among Sepsis Hospitalizations (%)</w:t>
            </w:r>
          </w:p>
        </w:tc>
        <w:tc>
          <w:tcPr>
            <w:tcW w:w="2453" w:type="dxa"/>
            <w:tcBorders>
              <w:top w:val="nil"/>
              <w:left w:val="nil"/>
              <w:bottom w:val="nil"/>
              <w:right w:val="nil"/>
            </w:tcBorders>
          </w:tcPr>
          <w:p w:rsidR="00183346" w:rsidRPr="00145C9C" w:rsidRDefault="00183346" w:rsidP="005B70C1">
            <w:pPr>
              <w:spacing w:line="276" w:lineRule="auto"/>
              <w:jc w:val="center"/>
              <w:rPr>
                <w:rFonts w:ascii="Arial" w:hAnsi="Arial" w:cs="Arial"/>
                <w:sz w:val="20"/>
                <w:szCs w:val="20"/>
              </w:rPr>
            </w:pPr>
            <w:r w:rsidRPr="00145C9C">
              <w:rPr>
                <w:rFonts w:ascii="Arial" w:hAnsi="Arial" w:cs="Arial"/>
                <w:sz w:val="20"/>
                <w:szCs w:val="20"/>
              </w:rPr>
              <w:t>12%</w:t>
            </w:r>
          </w:p>
        </w:tc>
        <w:tc>
          <w:tcPr>
            <w:tcW w:w="3117" w:type="dxa"/>
            <w:tcBorders>
              <w:top w:val="nil"/>
              <w:left w:val="nil"/>
              <w:bottom w:val="nil"/>
              <w:right w:val="single" w:sz="4" w:space="0" w:color="auto"/>
            </w:tcBorders>
          </w:tcPr>
          <w:p w:rsidR="00183346" w:rsidRPr="00145C9C" w:rsidRDefault="00183346" w:rsidP="00183346">
            <w:pPr>
              <w:spacing w:line="276" w:lineRule="auto"/>
              <w:jc w:val="center"/>
              <w:rPr>
                <w:rFonts w:ascii="Arial" w:hAnsi="Arial" w:cs="Arial"/>
                <w:sz w:val="20"/>
                <w:szCs w:val="20"/>
              </w:rPr>
            </w:pPr>
            <w:r w:rsidRPr="00145C9C">
              <w:rPr>
                <w:rFonts w:ascii="Arial" w:hAnsi="Arial" w:cs="Arial"/>
                <w:sz w:val="20"/>
                <w:szCs w:val="20"/>
              </w:rPr>
              <w:t>2</w:t>
            </w:r>
            <w:r>
              <w:rPr>
                <w:rFonts w:ascii="Arial" w:hAnsi="Arial" w:cs="Arial"/>
                <w:sz w:val="20"/>
                <w:szCs w:val="20"/>
              </w:rPr>
              <w:t>1.2</w:t>
            </w:r>
            <w:r w:rsidRPr="00145C9C">
              <w:rPr>
                <w:rFonts w:ascii="Arial" w:hAnsi="Arial" w:cs="Arial"/>
                <w:sz w:val="20"/>
                <w:szCs w:val="20"/>
              </w:rPr>
              <w:t>%</w:t>
            </w:r>
          </w:p>
        </w:tc>
      </w:tr>
      <w:tr w:rsidR="00183346" w:rsidRPr="00145C9C" w:rsidTr="005B70C1">
        <w:tc>
          <w:tcPr>
            <w:tcW w:w="3780" w:type="dxa"/>
            <w:tcBorders>
              <w:top w:val="nil"/>
              <w:left w:val="single" w:sz="4" w:space="0" w:color="auto"/>
              <w:bottom w:val="single" w:sz="4" w:space="0" w:color="auto"/>
              <w:right w:val="nil"/>
            </w:tcBorders>
            <w:shd w:val="clear" w:color="auto" w:fill="F2F2F2" w:themeFill="background1" w:themeFillShade="F2"/>
          </w:tcPr>
          <w:p w:rsidR="00183346" w:rsidRPr="00145C9C" w:rsidRDefault="00183346" w:rsidP="005B70C1">
            <w:pPr>
              <w:spacing w:line="276" w:lineRule="auto"/>
              <w:rPr>
                <w:rFonts w:ascii="Arial" w:hAnsi="Arial" w:cs="Arial"/>
                <w:sz w:val="20"/>
                <w:szCs w:val="20"/>
              </w:rPr>
            </w:pPr>
            <w:r w:rsidRPr="00145C9C">
              <w:rPr>
                <w:rFonts w:ascii="Arial" w:hAnsi="Arial" w:cs="Arial"/>
                <w:sz w:val="20"/>
                <w:szCs w:val="20"/>
              </w:rPr>
              <w:t>Proportion of Sepsis Among Cancer Hospitalizations (%)</w:t>
            </w:r>
          </w:p>
        </w:tc>
        <w:tc>
          <w:tcPr>
            <w:tcW w:w="2453" w:type="dxa"/>
            <w:tcBorders>
              <w:top w:val="nil"/>
              <w:left w:val="nil"/>
              <w:bottom w:val="single" w:sz="4" w:space="0" w:color="auto"/>
              <w:right w:val="nil"/>
            </w:tcBorders>
            <w:shd w:val="clear" w:color="auto" w:fill="F2F2F2" w:themeFill="background1" w:themeFillShade="F2"/>
          </w:tcPr>
          <w:p w:rsidR="00183346" w:rsidRPr="00145C9C" w:rsidRDefault="00183346" w:rsidP="005B70C1">
            <w:pPr>
              <w:spacing w:line="276" w:lineRule="auto"/>
              <w:jc w:val="center"/>
              <w:rPr>
                <w:rFonts w:ascii="Arial" w:hAnsi="Arial" w:cs="Arial"/>
                <w:sz w:val="20"/>
                <w:szCs w:val="20"/>
              </w:rPr>
            </w:pPr>
            <w:r w:rsidRPr="00145C9C">
              <w:rPr>
                <w:rFonts w:ascii="Arial" w:hAnsi="Arial" w:cs="Arial"/>
                <w:sz w:val="20"/>
                <w:szCs w:val="20"/>
              </w:rPr>
              <w:t>5%</w:t>
            </w:r>
          </w:p>
        </w:tc>
        <w:tc>
          <w:tcPr>
            <w:tcW w:w="3117" w:type="dxa"/>
            <w:tcBorders>
              <w:top w:val="nil"/>
              <w:left w:val="nil"/>
              <w:bottom w:val="single" w:sz="4" w:space="0" w:color="auto"/>
              <w:right w:val="single" w:sz="4" w:space="0" w:color="auto"/>
            </w:tcBorders>
            <w:shd w:val="clear" w:color="auto" w:fill="F2F2F2" w:themeFill="background1" w:themeFillShade="F2"/>
          </w:tcPr>
          <w:p w:rsidR="00183346" w:rsidRPr="00145C9C" w:rsidRDefault="00183346" w:rsidP="005B70C1">
            <w:pPr>
              <w:spacing w:line="276" w:lineRule="auto"/>
              <w:jc w:val="center"/>
              <w:rPr>
                <w:rFonts w:ascii="Arial" w:hAnsi="Arial" w:cs="Arial"/>
                <w:sz w:val="20"/>
                <w:szCs w:val="20"/>
              </w:rPr>
            </w:pPr>
            <w:r w:rsidRPr="00145C9C">
              <w:rPr>
                <w:rFonts w:ascii="Arial" w:hAnsi="Arial" w:cs="Arial"/>
                <w:sz w:val="20"/>
                <w:szCs w:val="20"/>
              </w:rPr>
              <w:t>5.7%</w:t>
            </w:r>
          </w:p>
        </w:tc>
      </w:tr>
      <w:tr w:rsidR="00183346" w:rsidRPr="00145C9C" w:rsidTr="005B70C1">
        <w:tc>
          <w:tcPr>
            <w:tcW w:w="9350" w:type="dxa"/>
            <w:gridSpan w:val="3"/>
            <w:tcBorders>
              <w:top w:val="single" w:sz="4" w:space="0" w:color="auto"/>
              <w:left w:val="nil"/>
              <w:bottom w:val="nil"/>
              <w:right w:val="nil"/>
            </w:tcBorders>
            <w:shd w:val="clear" w:color="auto" w:fill="FFFFFF" w:themeFill="background1"/>
          </w:tcPr>
          <w:p w:rsidR="00183346" w:rsidRPr="00A459EA" w:rsidRDefault="00183346" w:rsidP="005B70C1">
            <w:pPr>
              <w:rPr>
                <w:rFonts w:ascii="Arial" w:hAnsi="Arial" w:cs="Arial"/>
                <w:sz w:val="16"/>
                <w:szCs w:val="16"/>
              </w:rPr>
            </w:pPr>
            <w:r w:rsidRPr="00A459EA">
              <w:rPr>
                <w:rFonts w:ascii="Arial" w:hAnsi="Arial" w:cs="Arial"/>
                <w:sz w:val="16"/>
                <w:szCs w:val="16"/>
              </w:rPr>
              <w:t xml:space="preserve">* Angus method was used to identify sepsis in the 1990’s. </w:t>
            </w:r>
            <w:proofErr w:type="spellStart"/>
            <w:r w:rsidRPr="00A459EA">
              <w:rPr>
                <w:rFonts w:ascii="Arial" w:hAnsi="Arial" w:cs="Arial"/>
                <w:sz w:val="16"/>
                <w:szCs w:val="16"/>
              </w:rPr>
              <w:t>Dombrovskiy</w:t>
            </w:r>
            <w:proofErr w:type="spellEnd"/>
            <w:r w:rsidRPr="00A459EA">
              <w:rPr>
                <w:rFonts w:ascii="Arial" w:hAnsi="Arial" w:cs="Arial"/>
                <w:sz w:val="16"/>
                <w:szCs w:val="16"/>
              </w:rPr>
              <w:t xml:space="preserve"> method is used in the current study.</w:t>
            </w:r>
          </w:p>
          <w:p w:rsidR="00183346" w:rsidRPr="00145C9C" w:rsidRDefault="00183346" w:rsidP="005B70C1">
            <w:pPr>
              <w:pStyle w:val="Bibliography"/>
              <w:rPr>
                <w:rFonts w:ascii="Arial" w:hAnsi="Arial" w:cs="Arial"/>
                <w:sz w:val="20"/>
                <w:szCs w:val="20"/>
              </w:rPr>
            </w:pPr>
            <w:r w:rsidRPr="00A459EA">
              <w:rPr>
                <w:rFonts w:ascii="Arial" w:hAnsi="Arial" w:cs="Arial"/>
                <w:sz w:val="16"/>
                <w:szCs w:val="16"/>
              </w:rPr>
              <w:t>1. Derived from Table 2 of Angus DC, Linde-</w:t>
            </w:r>
            <w:proofErr w:type="spellStart"/>
            <w:r w:rsidRPr="00A459EA">
              <w:rPr>
                <w:rFonts w:ascii="Arial" w:hAnsi="Arial" w:cs="Arial"/>
                <w:sz w:val="16"/>
                <w:szCs w:val="16"/>
              </w:rPr>
              <w:t>Zwirble</w:t>
            </w:r>
            <w:proofErr w:type="spellEnd"/>
            <w:r w:rsidRPr="00A459EA">
              <w:rPr>
                <w:rFonts w:ascii="Arial" w:hAnsi="Arial" w:cs="Arial"/>
                <w:sz w:val="16"/>
                <w:szCs w:val="16"/>
              </w:rPr>
              <w:t xml:space="preserve"> WT, </w:t>
            </w:r>
            <w:proofErr w:type="spellStart"/>
            <w:r w:rsidRPr="00A459EA">
              <w:rPr>
                <w:rFonts w:ascii="Arial" w:hAnsi="Arial" w:cs="Arial"/>
                <w:sz w:val="16"/>
                <w:szCs w:val="16"/>
              </w:rPr>
              <w:t>Lidicker</w:t>
            </w:r>
            <w:proofErr w:type="spellEnd"/>
            <w:r w:rsidRPr="00A459EA">
              <w:rPr>
                <w:rFonts w:ascii="Arial" w:hAnsi="Arial" w:cs="Arial"/>
                <w:sz w:val="16"/>
                <w:szCs w:val="16"/>
              </w:rPr>
              <w:t xml:space="preserve"> J, Clermont G, </w:t>
            </w:r>
            <w:proofErr w:type="spellStart"/>
            <w:r w:rsidRPr="00A459EA">
              <w:rPr>
                <w:rFonts w:ascii="Arial" w:hAnsi="Arial" w:cs="Arial"/>
                <w:sz w:val="16"/>
                <w:szCs w:val="16"/>
              </w:rPr>
              <w:t>Carcillo</w:t>
            </w:r>
            <w:proofErr w:type="spellEnd"/>
            <w:r w:rsidRPr="00A459EA">
              <w:rPr>
                <w:rFonts w:ascii="Arial" w:hAnsi="Arial" w:cs="Arial"/>
                <w:sz w:val="16"/>
                <w:szCs w:val="16"/>
              </w:rPr>
              <w:t xml:space="preserve"> J, Pinsky MR. Epidemiology of severe sepsis in the United States: analysis of incidence, outcome, and associated costs of care. </w:t>
            </w:r>
            <w:proofErr w:type="spellStart"/>
            <w:r w:rsidRPr="00A459EA">
              <w:rPr>
                <w:rFonts w:ascii="Arial" w:hAnsi="Arial" w:cs="Arial"/>
                <w:i/>
                <w:sz w:val="16"/>
                <w:szCs w:val="16"/>
              </w:rPr>
              <w:t>Crit</w:t>
            </w:r>
            <w:proofErr w:type="spellEnd"/>
            <w:r w:rsidRPr="00A459EA">
              <w:rPr>
                <w:rFonts w:ascii="Arial" w:hAnsi="Arial" w:cs="Arial"/>
                <w:i/>
                <w:sz w:val="16"/>
                <w:szCs w:val="16"/>
              </w:rPr>
              <w:t xml:space="preserve"> Care Med</w:t>
            </w:r>
            <w:r w:rsidRPr="00A459EA">
              <w:rPr>
                <w:rFonts w:ascii="Arial" w:hAnsi="Arial" w:cs="Arial"/>
                <w:sz w:val="16"/>
                <w:szCs w:val="16"/>
              </w:rPr>
              <w:t>. 2001</w:t>
            </w:r>
          </w:p>
        </w:tc>
      </w:tr>
    </w:tbl>
    <w:p w:rsidR="00A42687" w:rsidRDefault="00A42687">
      <w:r>
        <w:br w:type="page"/>
      </w:r>
    </w:p>
    <w:tbl>
      <w:tblPr>
        <w:tblStyle w:val="TableGrid"/>
        <w:tblW w:w="8557" w:type="dxa"/>
        <w:jc w:val="center"/>
        <w:tblLook w:val="04A0" w:firstRow="1" w:lastRow="0" w:firstColumn="1" w:lastColumn="0" w:noHBand="0" w:noVBand="1"/>
      </w:tblPr>
      <w:tblGrid>
        <w:gridCol w:w="2822"/>
        <w:gridCol w:w="2590"/>
        <w:gridCol w:w="2250"/>
        <w:gridCol w:w="895"/>
      </w:tblGrid>
      <w:tr w:rsidR="00A42687" w:rsidTr="00A42687">
        <w:trPr>
          <w:jc w:val="center"/>
        </w:trPr>
        <w:tc>
          <w:tcPr>
            <w:tcW w:w="8557" w:type="dxa"/>
            <w:gridSpan w:val="4"/>
            <w:tcBorders>
              <w:top w:val="nil"/>
              <w:left w:val="nil"/>
              <w:bottom w:val="single" w:sz="4" w:space="0" w:color="auto"/>
              <w:right w:val="nil"/>
            </w:tcBorders>
            <w:shd w:val="clear" w:color="auto" w:fill="FFFFFF" w:themeFill="background1"/>
            <w:vAlign w:val="bottom"/>
          </w:tcPr>
          <w:p w:rsidR="00A42687" w:rsidRPr="004D30D9" w:rsidRDefault="00462438" w:rsidP="00A42687">
            <w:pPr>
              <w:rPr>
                <w:rFonts w:ascii="Arial" w:hAnsi="Arial" w:cs="Arial"/>
                <w:i/>
                <w:sz w:val="20"/>
                <w:szCs w:val="20"/>
              </w:rPr>
            </w:pPr>
            <w:r>
              <w:rPr>
                <w:rFonts w:ascii="Arial" w:hAnsi="Arial" w:cs="Arial"/>
                <w:b/>
                <w:sz w:val="20"/>
                <w:szCs w:val="20"/>
              </w:rPr>
              <w:lastRenderedPageBreak/>
              <w:t>Supplemental Table 4</w:t>
            </w:r>
            <w:r w:rsidR="00A42687" w:rsidRPr="00077F90">
              <w:rPr>
                <w:rFonts w:ascii="Arial" w:hAnsi="Arial" w:cs="Arial"/>
                <w:b/>
                <w:sz w:val="20"/>
                <w:szCs w:val="20"/>
              </w:rPr>
              <w:t>.</w:t>
            </w:r>
            <w:r w:rsidR="00A42687">
              <w:rPr>
                <w:rFonts w:ascii="Arial" w:hAnsi="Arial" w:cs="Arial"/>
                <w:sz w:val="20"/>
                <w:szCs w:val="20"/>
              </w:rPr>
              <w:t xml:space="preserve"> Payer Type</w:t>
            </w:r>
          </w:p>
        </w:tc>
      </w:tr>
      <w:tr w:rsidR="00A42687" w:rsidTr="00A42687">
        <w:trPr>
          <w:jc w:val="center"/>
        </w:trPr>
        <w:tc>
          <w:tcPr>
            <w:tcW w:w="2822" w:type="dxa"/>
            <w:tcBorders>
              <w:top w:val="single" w:sz="4" w:space="0" w:color="auto"/>
              <w:bottom w:val="single" w:sz="4" w:space="0" w:color="auto"/>
            </w:tcBorders>
            <w:shd w:val="clear" w:color="auto" w:fill="FFFFFF" w:themeFill="background1"/>
            <w:vAlign w:val="bottom"/>
          </w:tcPr>
          <w:p w:rsidR="00A42687" w:rsidRDefault="00A42687" w:rsidP="00A42687">
            <w:pPr>
              <w:jc w:val="center"/>
              <w:rPr>
                <w:rFonts w:ascii="Arial" w:hAnsi="Arial" w:cs="Arial"/>
                <w:sz w:val="20"/>
                <w:szCs w:val="20"/>
              </w:rPr>
            </w:pPr>
          </w:p>
        </w:tc>
        <w:tc>
          <w:tcPr>
            <w:tcW w:w="2590" w:type="dxa"/>
            <w:tcBorders>
              <w:top w:val="single" w:sz="4" w:space="0" w:color="auto"/>
              <w:bottom w:val="single" w:sz="4" w:space="0" w:color="auto"/>
            </w:tcBorders>
            <w:shd w:val="clear" w:color="auto" w:fill="FFFFFF" w:themeFill="background1"/>
            <w:vAlign w:val="bottom"/>
          </w:tcPr>
          <w:p w:rsidR="00A42687" w:rsidRDefault="00A42687" w:rsidP="00A42687">
            <w:pPr>
              <w:jc w:val="center"/>
              <w:rPr>
                <w:rFonts w:ascii="Arial" w:hAnsi="Arial" w:cs="Arial"/>
                <w:sz w:val="20"/>
                <w:szCs w:val="20"/>
              </w:rPr>
            </w:pPr>
            <w:r>
              <w:rPr>
                <w:rFonts w:ascii="Arial" w:hAnsi="Arial" w:cs="Arial"/>
                <w:sz w:val="20"/>
                <w:szCs w:val="20"/>
              </w:rPr>
              <w:t>Non-cancer-related sepsis hospitalizations (N=869,722)</w:t>
            </w:r>
          </w:p>
        </w:tc>
        <w:tc>
          <w:tcPr>
            <w:tcW w:w="2250" w:type="dxa"/>
            <w:tcBorders>
              <w:top w:val="single" w:sz="4" w:space="0" w:color="auto"/>
              <w:bottom w:val="single" w:sz="4" w:space="0" w:color="auto"/>
            </w:tcBorders>
            <w:shd w:val="clear" w:color="auto" w:fill="FFFFFF" w:themeFill="background1"/>
            <w:vAlign w:val="bottom"/>
          </w:tcPr>
          <w:p w:rsidR="00A42687" w:rsidRDefault="00A42687" w:rsidP="00A42687">
            <w:pPr>
              <w:jc w:val="center"/>
              <w:rPr>
                <w:rFonts w:ascii="Arial" w:hAnsi="Arial" w:cs="Arial"/>
                <w:sz w:val="20"/>
                <w:szCs w:val="20"/>
              </w:rPr>
            </w:pPr>
            <w:r>
              <w:rPr>
                <w:rFonts w:ascii="Arial" w:hAnsi="Arial" w:cs="Arial"/>
                <w:sz w:val="20"/>
                <w:szCs w:val="20"/>
              </w:rPr>
              <w:t>Cancer-related sepsis hospitalizations (N=234,641)</w:t>
            </w:r>
          </w:p>
        </w:tc>
        <w:tc>
          <w:tcPr>
            <w:tcW w:w="895" w:type="dxa"/>
            <w:tcBorders>
              <w:top w:val="single" w:sz="4" w:space="0" w:color="auto"/>
              <w:bottom w:val="single" w:sz="4" w:space="0" w:color="auto"/>
            </w:tcBorders>
            <w:shd w:val="clear" w:color="auto" w:fill="FFFFFF" w:themeFill="background1"/>
            <w:vAlign w:val="bottom"/>
          </w:tcPr>
          <w:p w:rsidR="00A42687" w:rsidRPr="004D30D9" w:rsidRDefault="00A42687" w:rsidP="00A42687">
            <w:pPr>
              <w:jc w:val="center"/>
              <w:rPr>
                <w:rFonts w:ascii="Arial" w:hAnsi="Arial" w:cs="Arial"/>
                <w:i/>
                <w:sz w:val="20"/>
                <w:szCs w:val="20"/>
              </w:rPr>
            </w:pPr>
            <w:r w:rsidRPr="004D30D9">
              <w:rPr>
                <w:rFonts w:ascii="Arial" w:hAnsi="Arial" w:cs="Arial"/>
                <w:i/>
                <w:sz w:val="20"/>
                <w:szCs w:val="20"/>
              </w:rPr>
              <w:t>p</w:t>
            </w:r>
          </w:p>
        </w:tc>
      </w:tr>
      <w:tr w:rsidR="00A42687" w:rsidTr="00A42687">
        <w:trPr>
          <w:trHeight w:val="233"/>
          <w:jc w:val="center"/>
        </w:trPr>
        <w:tc>
          <w:tcPr>
            <w:tcW w:w="7662" w:type="dxa"/>
            <w:gridSpan w:val="3"/>
            <w:tcBorders>
              <w:top w:val="single" w:sz="4" w:space="0" w:color="auto"/>
              <w:left w:val="single" w:sz="4" w:space="0" w:color="auto"/>
              <w:bottom w:val="nil"/>
              <w:right w:val="nil"/>
            </w:tcBorders>
            <w:shd w:val="clear" w:color="auto" w:fill="F2F2F2" w:themeFill="background1" w:themeFillShade="F2"/>
            <w:vAlign w:val="bottom"/>
          </w:tcPr>
          <w:p w:rsidR="00A42687" w:rsidRDefault="00A42687" w:rsidP="00A42687">
            <w:pPr>
              <w:spacing w:line="480" w:lineRule="auto"/>
              <w:rPr>
                <w:rFonts w:ascii="Arial" w:hAnsi="Arial" w:cs="Arial"/>
                <w:sz w:val="20"/>
                <w:szCs w:val="20"/>
              </w:rPr>
            </w:pPr>
            <w:r w:rsidRPr="00FA6A6F">
              <w:rPr>
                <w:rFonts w:ascii="Arial" w:hAnsi="Arial" w:cs="Arial"/>
                <w:sz w:val="20"/>
                <w:szCs w:val="20"/>
              </w:rPr>
              <w:t>Payer type, N(%)</w:t>
            </w:r>
          </w:p>
        </w:tc>
        <w:tc>
          <w:tcPr>
            <w:tcW w:w="895" w:type="dxa"/>
            <w:tcBorders>
              <w:top w:val="single" w:sz="4" w:space="0" w:color="auto"/>
              <w:left w:val="nil"/>
              <w:bottom w:val="nil"/>
              <w:right w:val="single" w:sz="4" w:space="0" w:color="auto"/>
            </w:tcBorders>
            <w:shd w:val="clear" w:color="auto" w:fill="F2F2F2" w:themeFill="background1" w:themeFillShade="F2"/>
            <w:vAlign w:val="bottom"/>
          </w:tcPr>
          <w:p w:rsidR="00A42687" w:rsidRPr="00D51D85" w:rsidRDefault="00A42687" w:rsidP="00A42687">
            <w:pPr>
              <w:spacing w:line="480" w:lineRule="auto"/>
              <w:jc w:val="center"/>
              <w:rPr>
                <w:rFonts w:ascii="Arial" w:hAnsi="Arial" w:cs="Arial"/>
                <w:sz w:val="20"/>
                <w:szCs w:val="20"/>
              </w:rPr>
            </w:pPr>
            <w:r w:rsidRPr="00D51D85">
              <w:rPr>
                <w:rFonts w:ascii="Arial" w:hAnsi="Arial" w:cs="Arial"/>
                <w:sz w:val="20"/>
                <w:szCs w:val="20"/>
              </w:rPr>
              <w:t>&lt;0.001</w:t>
            </w:r>
          </w:p>
        </w:tc>
      </w:tr>
      <w:tr w:rsidR="00A42687" w:rsidTr="00A42687">
        <w:trPr>
          <w:trHeight w:val="263"/>
          <w:jc w:val="center"/>
        </w:trPr>
        <w:tc>
          <w:tcPr>
            <w:tcW w:w="2822"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Medicare</w:t>
            </w:r>
          </w:p>
        </w:tc>
        <w:tc>
          <w:tcPr>
            <w:tcW w:w="2590"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583,766 (67.1%)</w:t>
            </w:r>
          </w:p>
        </w:tc>
        <w:tc>
          <w:tcPr>
            <w:tcW w:w="2250"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162,312 (69.2%)</w:t>
            </w:r>
          </w:p>
        </w:tc>
        <w:tc>
          <w:tcPr>
            <w:tcW w:w="895" w:type="dxa"/>
            <w:tcBorders>
              <w:top w:val="nil"/>
              <w:left w:val="nil"/>
              <w:bottom w:val="nil"/>
              <w:right w:val="single" w:sz="4" w:space="0" w:color="auto"/>
            </w:tcBorders>
            <w:shd w:val="clear" w:color="auto" w:fill="FFFFFF" w:themeFill="background1"/>
          </w:tcPr>
          <w:p w:rsidR="00A42687" w:rsidRDefault="00A42687" w:rsidP="00A42687">
            <w:pPr>
              <w:spacing w:line="480" w:lineRule="auto"/>
              <w:jc w:val="center"/>
              <w:rPr>
                <w:rFonts w:ascii="Arial" w:hAnsi="Arial" w:cs="Arial"/>
                <w:sz w:val="20"/>
                <w:szCs w:val="20"/>
              </w:rPr>
            </w:pPr>
          </w:p>
        </w:tc>
      </w:tr>
      <w:tr w:rsidR="00A42687" w:rsidTr="00A42687">
        <w:trPr>
          <w:trHeight w:val="263"/>
          <w:jc w:val="center"/>
        </w:trPr>
        <w:tc>
          <w:tcPr>
            <w:tcW w:w="2822"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Private </w:t>
            </w:r>
          </w:p>
        </w:tc>
        <w:tc>
          <w:tcPr>
            <w:tcW w:w="2590"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123,953 (14.2%)</w:t>
            </w:r>
          </w:p>
        </w:tc>
        <w:tc>
          <w:tcPr>
            <w:tcW w:w="2250"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41,803 (17.8%)</w:t>
            </w:r>
          </w:p>
        </w:tc>
        <w:tc>
          <w:tcPr>
            <w:tcW w:w="895" w:type="dxa"/>
            <w:tcBorders>
              <w:top w:val="nil"/>
              <w:left w:val="nil"/>
              <w:bottom w:val="nil"/>
              <w:right w:val="single" w:sz="4" w:space="0" w:color="auto"/>
            </w:tcBorders>
            <w:shd w:val="clear" w:color="auto" w:fill="F2F2F2" w:themeFill="background1" w:themeFillShade="F2"/>
          </w:tcPr>
          <w:p w:rsidR="00A42687" w:rsidRDefault="00A42687" w:rsidP="00A42687">
            <w:pPr>
              <w:spacing w:line="480" w:lineRule="auto"/>
              <w:jc w:val="center"/>
              <w:rPr>
                <w:rFonts w:ascii="Arial" w:hAnsi="Arial" w:cs="Arial"/>
                <w:sz w:val="20"/>
                <w:szCs w:val="20"/>
              </w:rPr>
            </w:pPr>
          </w:p>
        </w:tc>
      </w:tr>
      <w:tr w:rsidR="00A42687" w:rsidTr="00A42687">
        <w:trPr>
          <w:trHeight w:val="263"/>
          <w:jc w:val="center"/>
        </w:trPr>
        <w:tc>
          <w:tcPr>
            <w:tcW w:w="2822"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Medicaid</w:t>
            </w:r>
          </w:p>
        </w:tc>
        <w:tc>
          <w:tcPr>
            <w:tcW w:w="2590"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107,143 (12.3%)</w:t>
            </w:r>
          </w:p>
        </w:tc>
        <w:tc>
          <w:tcPr>
            <w:tcW w:w="2250"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20,553 (8.8%)</w:t>
            </w:r>
          </w:p>
        </w:tc>
        <w:tc>
          <w:tcPr>
            <w:tcW w:w="895" w:type="dxa"/>
            <w:tcBorders>
              <w:top w:val="nil"/>
              <w:left w:val="nil"/>
              <w:bottom w:val="nil"/>
              <w:right w:val="single" w:sz="4" w:space="0" w:color="auto"/>
            </w:tcBorders>
            <w:shd w:val="clear" w:color="auto" w:fill="FFFFFF" w:themeFill="background1"/>
          </w:tcPr>
          <w:p w:rsidR="00A42687" w:rsidRDefault="00A42687" w:rsidP="00A42687">
            <w:pPr>
              <w:spacing w:line="480" w:lineRule="auto"/>
              <w:jc w:val="center"/>
              <w:rPr>
                <w:rFonts w:ascii="Arial" w:hAnsi="Arial" w:cs="Arial"/>
                <w:sz w:val="20"/>
                <w:szCs w:val="20"/>
              </w:rPr>
            </w:pPr>
          </w:p>
        </w:tc>
      </w:tr>
      <w:tr w:rsidR="00A42687" w:rsidTr="00A42687">
        <w:trPr>
          <w:trHeight w:val="305"/>
          <w:jc w:val="center"/>
        </w:trPr>
        <w:tc>
          <w:tcPr>
            <w:tcW w:w="2822"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Self-Pay</w:t>
            </w:r>
          </w:p>
        </w:tc>
        <w:tc>
          <w:tcPr>
            <w:tcW w:w="2590"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27,654 (3.2%)</w:t>
            </w:r>
          </w:p>
        </w:tc>
        <w:tc>
          <w:tcPr>
            <w:tcW w:w="2250"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3,189 (1.4%)</w:t>
            </w:r>
          </w:p>
        </w:tc>
        <w:tc>
          <w:tcPr>
            <w:tcW w:w="895" w:type="dxa"/>
            <w:tcBorders>
              <w:top w:val="nil"/>
              <w:left w:val="nil"/>
              <w:bottom w:val="nil"/>
              <w:right w:val="single" w:sz="4" w:space="0" w:color="auto"/>
            </w:tcBorders>
            <w:shd w:val="clear" w:color="auto" w:fill="F2F2F2" w:themeFill="background1" w:themeFillShade="F2"/>
          </w:tcPr>
          <w:p w:rsidR="00A42687" w:rsidRDefault="00A42687" w:rsidP="00A42687">
            <w:pPr>
              <w:spacing w:line="480" w:lineRule="auto"/>
              <w:jc w:val="center"/>
              <w:rPr>
                <w:rFonts w:ascii="Arial" w:hAnsi="Arial" w:cs="Arial"/>
                <w:sz w:val="20"/>
                <w:szCs w:val="20"/>
              </w:rPr>
            </w:pPr>
          </w:p>
        </w:tc>
      </w:tr>
      <w:tr w:rsidR="00A42687" w:rsidTr="00A42687">
        <w:trPr>
          <w:trHeight w:val="263"/>
          <w:jc w:val="center"/>
        </w:trPr>
        <w:tc>
          <w:tcPr>
            <w:tcW w:w="2822"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Other</w:t>
            </w:r>
          </w:p>
        </w:tc>
        <w:tc>
          <w:tcPr>
            <w:tcW w:w="2590"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23,658 (2.7%)</w:t>
            </w:r>
          </w:p>
        </w:tc>
        <w:tc>
          <w:tcPr>
            <w:tcW w:w="2250"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6,058 (2.6%)</w:t>
            </w:r>
          </w:p>
        </w:tc>
        <w:tc>
          <w:tcPr>
            <w:tcW w:w="895" w:type="dxa"/>
            <w:tcBorders>
              <w:top w:val="nil"/>
              <w:left w:val="nil"/>
              <w:bottom w:val="nil"/>
              <w:right w:val="single" w:sz="4" w:space="0" w:color="auto"/>
            </w:tcBorders>
            <w:shd w:val="clear" w:color="auto" w:fill="FFFFFF" w:themeFill="background1"/>
          </w:tcPr>
          <w:p w:rsidR="00A42687" w:rsidRDefault="00A42687" w:rsidP="00A42687">
            <w:pPr>
              <w:spacing w:line="480" w:lineRule="auto"/>
              <w:jc w:val="center"/>
              <w:rPr>
                <w:rFonts w:ascii="Arial" w:hAnsi="Arial" w:cs="Arial"/>
                <w:sz w:val="20"/>
                <w:szCs w:val="20"/>
              </w:rPr>
            </w:pPr>
          </w:p>
        </w:tc>
      </w:tr>
      <w:tr w:rsidR="00A42687" w:rsidTr="00A42687">
        <w:trPr>
          <w:trHeight w:val="263"/>
          <w:jc w:val="center"/>
        </w:trPr>
        <w:tc>
          <w:tcPr>
            <w:tcW w:w="2822" w:type="dxa"/>
            <w:tcBorders>
              <w:top w:val="nil"/>
              <w:left w:val="single" w:sz="4" w:space="0" w:color="auto"/>
              <w:bottom w:val="single" w:sz="4" w:space="0" w:color="auto"/>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Missing</w:t>
            </w:r>
          </w:p>
        </w:tc>
        <w:tc>
          <w:tcPr>
            <w:tcW w:w="2590" w:type="dxa"/>
            <w:tcBorders>
              <w:top w:val="nil"/>
              <w:left w:val="nil"/>
              <w:bottom w:val="single" w:sz="4" w:space="0" w:color="auto"/>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1,156 (0.1%)</w:t>
            </w:r>
          </w:p>
        </w:tc>
        <w:tc>
          <w:tcPr>
            <w:tcW w:w="2250" w:type="dxa"/>
            <w:tcBorders>
              <w:top w:val="nil"/>
              <w:left w:val="nil"/>
              <w:bottom w:val="single" w:sz="4" w:space="0" w:color="auto"/>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346 (0.2%)</w:t>
            </w:r>
          </w:p>
        </w:tc>
        <w:tc>
          <w:tcPr>
            <w:tcW w:w="895" w:type="dxa"/>
            <w:tcBorders>
              <w:top w:val="nil"/>
              <w:left w:val="nil"/>
              <w:bottom w:val="single" w:sz="4" w:space="0" w:color="auto"/>
              <w:right w:val="single" w:sz="4" w:space="0" w:color="auto"/>
            </w:tcBorders>
            <w:shd w:val="clear" w:color="auto" w:fill="F2F2F2" w:themeFill="background1" w:themeFillShade="F2"/>
          </w:tcPr>
          <w:p w:rsidR="00A42687" w:rsidRDefault="00A42687" w:rsidP="00A42687">
            <w:pPr>
              <w:spacing w:line="480" w:lineRule="auto"/>
              <w:jc w:val="center"/>
              <w:rPr>
                <w:rFonts w:ascii="Arial" w:hAnsi="Arial" w:cs="Arial"/>
                <w:sz w:val="20"/>
                <w:szCs w:val="20"/>
              </w:rPr>
            </w:pPr>
          </w:p>
        </w:tc>
      </w:tr>
    </w:tbl>
    <w:p w:rsidR="00A42687" w:rsidRDefault="00A42687"/>
    <w:p w:rsidR="00A42687" w:rsidRDefault="00A42687">
      <w:r>
        <w:br w:type="page"/>
      </w:r>
    </w:p>
    <w:tbl>
      <w:tblPr>
        <w:tblStyle w:val="TableGrid"/>
        <w:tblW w:w="8754" w:type="dxa"/>
        <w:jc w:val="center"/>
        <w:tblLook w:val="04A0" w:firstRow="1" w:lastRow="0" w:firstColumn="1" w:lastColumn="0" w:noHBand="0" w:noVBand="1"/>
      </w:tblPr>
      <w:tblGrid>
        <w:gridCol w:w="2933"/>
        <w:gridCol w:w="2718"/>
        <w:gridCol w:w="2269"/>
        <w:gridCol w:w="834"/>
      </w:tblGrid>
      <w:tr w:rsidR="00A42687" w:rsidTr="00A42687">
        <w:trPr>
          <w:trHeight w:val="258"/>
          <w:jc w:val="center"/>
        </w:trPr>
        <w:tc>
          <w:tcPr>
            <w:tcW w:w="8754" w:type="dxa"/>
            <w:gridSpan w:val="4"/>
            <w:tcBorders>
              <w:top w:val="nil"/>
              <w:left w:val="nil"/>
              <w:bottom w:val="single" w:sz="4" w:space="0" w:color="auto"/>
              <w:right w:val="nil"/>
            </w:tcBorders>
            <w:shd w:val="clear" w:color="auto" w:fill="FFFFFF" w:themeFill="background1"/>
          </w:tcPr>
          <w:p w:rsidR="00A42687" w:rsidRDefault="00A42687" w:rsidP="00462438">
            <w:pPr>
              <w:rPr>
                <w:rFonts w:ascii="Arial" w:hAnsi="Arial" w:cs="Arial"/>
                <w:sz w:val="20"/>
                <w:szCs w:val="20"/>
              </w:rPr>
            </w:pPr>
            <w:r w:rsidRPr="006404C0">
              <w:rPr>
                <w:rFonts w:ascii="Arial" w:hAnsi="Arial" w:cs="Arial"/>
                <w:b/>
                <w:sz w:val="20"/>
                <w:szCs w:val="20"/>
              </w:rPr>
              <w:lastRenderedPageBreak/>
              <w:t xml:space="preserve">Supplemental Table </w:t>
            </w:r>
            <w:r w:rsidR="00462438">
              <w:rPr>
                <w:rFonts w:ascii="Arial" w:hAnsi="Arial" w:cs="Arial"/>
                <w:b/>
                <w:sz w:val="20"/>
                <w:szCs w:val="20"/>
              </w:rPr>
              <w:t>5</w:t>
            </w:r>
            <w:r w:rsidRPr="006404C0">
              <w:rPr>
                <w:rFonts w:ascii="Arial" w:hAnsi="Arial" w:cs="Arial"/>
                <w:b/>
                <w:sz w:val="20"/>
                <w:szCs w:val="20"/>
              </w:rPr>
              <w:t>.</w:t>
            </w:r>
            <w:r>
              <w:rPr>
                <w:rFonts w:ascii="Arial" w:hAnsi="Arial" w:cs="Arial"/>
                <w:sz w:val="20"/>
                <w:szCs w:val="20"/>
              </w:rPr>
              <w:t xml:space="preserve"> </w:t>
            </w:r>
            <w:proofErr w:type="spellStart"/>
            <w:r w:rsidRPr="006404C0">
              <w:rPr>
                <w:rFonts w:ascii="Arial" w:hAnsi="Arial" w:cs="Arial"/>
                <w:sz w:val="20"/>
                <w:szCs w:val="20"/>
              </w:rPr>
              <w:t>Charlson</w:t>
            </w:r>
            <w:proofErr w:type="spellEnd"/>
            <w:r w:rsidRPr="006404C0">
              <w:rPr>
                <w:rFonts w:ascii="Arial" w:hAnsi="Arial" w:cs="Arial"/>
                <w:sz w:val="20"/>
                <w:szCs w:val="20"/>
              </w:rPr>
              <w:t xml:space="preserve"> Comorbidity Index Characteristic</w:t>
            </w:r>
            <w:r>
              <w:rPr>
                <w:rFonts w:ascii="Arial" w:hAnsi="Arial" w:cs="Arial"/>
                <w:sz w:val="20"/>
                <w:szCs w:val="20"/>
              </w:rPr>
              <w:t>s*</w:t>
            </w:r>
          </w:p>
        </w:tc>
      </w:tr>
      <w:tr w:rsidR="00A42687" w:rsidTr="00A42687">
        <w:trPr>
          <w:trHeight w:val="258"/>
          <w:jc w:val="center"/>
        </w:trPr>
        <w:tc>
          <w:tcPr>
            <w:tcW w:w="2933" w:type="dxa"/>
            <w:tcBorders>
              <w:top w:val="single" w:sz="4" w:space="0" w:color="auto"/>
              <w:bottom w:val="single" w:sz="4" w:space="0" w:color="auto"/>
            </w:tcBorders>
            <w:shd w:val="clear" w:color="auto" w:fill="FFFFFF" w:themeFill="background1"/>
            <w:vAlign w:val="bottom"/>
          </w:tcPr>
          <w:p w:rsidR="00A42687" w:rsidRDefault="00A42687" w:rsidP="00A42687">
            <w:pPr>
              <w:jc w:val="center"/>
              <w:rPr>
                <w:rFonts w:ascii="Arial" w:hAnsi="Arial" w:cs="Arial"/>
                <w:sz w:val="20"/>
                <w:szCs w:val="20"/>
              </w:rPr>
            </w:pPr>
          </w:p>
        </w:tc>
        <w:tc>
          <w:tcPr>
            <w:tcW w:w="2718" w:type="dxa"/>
            <w:tcBorders>
              <w:top w:val="single" w:sz="4" w:space="0" w:color="auto"/>
              <w:bottom w:val="single" w:sz="4" w:space="0" w:color="auto"/>
            </w:tcBorders>
            <w:shd w:val="clear" w:color="auto" w:fill="FFFFFF" w:themeFill="background1"/>
            <w:vAlign w:val="bottom"/>
          </w:tcPr>
          <w:p w:rsidR="00A42687" w:rsidRDefault="00A42687" w:rsidP="00A42687">
            <w:pPr>
              <w:jc w:val="center"/>
              <w:rPr>
                <w:rFonts w:ascii="Arial" w:hAnsi="Arial" w:cs="Arial"/>
                <w:sz w:val="20"/>
                <w:szCs w:val="20"/>
              </w:rPr>
            </w:pPr>
            <w:r>
              <w:rPr>
                <w:rFonts w:ascii="Arial" w:hAnsi="Arial" w:cs="Arial"/>
                <w:sz w:val="20"/>
                <w:szCs w:val="20"/>
              </w:rPr>
              <w:t>Non-cancer-related sepsis hospitalizations (N=865,233)</w:t>
            </w:r>
          </w:p>
        </w:tc>
        <w:tc>
          <w:tcPr>
            <w:tcW w:w="2269" w:type="dxa"/>
            <w:tcBorders>
              <w:top w:val="single" w:sz="4" w:space="0" w:color="auto"/>
              <w:bottom w:val="single" w:sz="4" w:space="0" w:color="auto"/>
            </w:tcBorders>
            <w:shd w:val="clear" w:color="auto" w:fill="FFFFFF" w:themeFill="background1"/>
            <w:vAlign w:val="bottom"/>
          </w:tcPr>
          <w:p w:rsidR="00A42687" w:rsidRDefault="00A42687" w:rsidP="00550794">
            <w:pPr>
              <w:jc w:val="center"/>
              <w:rPr>
                <w:rFonts w:ascii="Arial" w:hAnsi="Arial" w:cs="Arial"/>
                <w:sz w:val="20"/>
                <w:szCs w:val="20"/>
              </w:rPr>
            </w:pPr>
            <w:r>
              <w:rPr>
                <w:rFonts w:ascii="Arial" w:hAnsi="Arial" w:cs="Arial"/>
                <w:sz w:val="20"/>
                <w:szCs w:val="20"/>
              </w:rPr>
              <w:t>Cancer-relate</w:t>
            </w:r>
            <w:r w:rsidR="00550794">
              <w:rPr>
                <w:rFonts w:ascii="Arial" w:hAnsi="Arial" w:cs="Arial"/>
                <w:sz w:val="20"/>
                <w:szCs w:val="20"/>
              </w:rPr>
              <w:t>d sepsis hospitalizations (N=234</w:t>
            </w:r>
            <w:r>
              <w:rPr>
                <w:rFonts w:ascii="Arial" w:hAnsi="Arial" w:cs="Arial"/>
                <w:sz w:val="20"/>
                <w:szCs w:val="20"/>
              </w:rPr>
              <w:t>,</w:t>
            </w:r>
            <w:r w:rsidR="00550794">
              <w:rPr>
                <w:rFonts w:ascii="Arial" w:hAnsi="Arial" w:cs="Arial"/>
                <w:sz w:val="20"/>
                <w:szCs w:val="20"/>
              </w:rPr>
              <w:t>641</w:t>
            </w:r>
            <w:r>
              <w:rPr>
                <w:rFonts w:ascii="Arial" w:hAnsi="Arial" w:cs="Arial"/>
                <w:sz w:val="20"/>
                <w:szCs w:val="20"/>
              </w:rPr>
              <w:t>)</w:t>
            </w:r>
          </w:p>
        </w:tc>
        <w:tc>
          <w:tcPr>
            <w:tcW w:w="834" w:type="dxa"/>
            <w:tcBorders>
              <w:top w:val="single" w:sz="4" w:space="0" w:color="auto"/>
              <w:bottom w:val="single" w:sz="4" w:space="0" w:color="auto"/>
            </w:tcBorders>
            <w:shd w:val="clear" w:color="auto" w:fill="FFFFFF" w:themeFill="background1"/>
            <w:vAlign w:val="bottom"/>
          </w:tcPr>
          <w:p w:rsidR="00A42687" w:rsidRPr="004D30D9" w:rsidRDefault="00A42687" w:rsidP="00A42687">
            <w:pPr>
              <w:jc w:val="center"/>
              <w:rPr>
                <w:rFonts w:ascii="Arial" w:hAnsi="Arial" w:cs="Arial"/>
                <w:i/>
                <w:sz w:val="20"/>
                <w:szCs w:val="20"/>
              </w:rPr>
            </w:pPr>
            <w:r w:rsidRPr="004D30D9">
              <w:rPr>
                <w:rFonts w:ascii="Arial" w:hAnsi="Arial" w:cs="Arial"/>
                <w:i/>
                <w:sz w:val="20"/>
                <w:szCs w:val="20"/>
              </w:rPr>
              <w:t>p</w:t>
            </w:r>
          </w:p>
        </w:tc>
      </w:tr>
      <w:tr w:rsidR="00A42687" w:rsidTr="00A42687">
        <w:trPr>
          <w:trHeight w:val="258"/>
          <w:jc w:val="center"/>
        </w:trPr>
        <w:tc>
          <w:tcPr>
            <w:tcW w:w="2933" w:type="dxa"/>
            <w:tcBorders>
              <w:top w:val="single" w:sz="4" w:space="0" w:color="auto"/>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Chronic kidney disease</w:t>
            </w:r>
          </w:p>
        </w:tc>
        <w:tc>
          <w:tcPr>
            <w:tcW w:w="2718" w:type="dxa"/>
            <w:tcBorders>
              <w:top w:val="single" w:sz="4" w:space="0" w:color="auto"/>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276,374 (31.9%)</w:t>
            </w:r>
          </w:p>
        </w:tc>
        <w:tc>
          <w:tcPr>
            <w:tcW w:w="2269" w:type="dxa"/>
            <w:tcBorders>
              <w:top w:val="single" w:sz="4" w:space="0" w:color="auto"/>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64,902 (27.7%)</w:t>
            </w:r>
          </w:p>
        </w:tc>
        <w:tc>
          <w:tcPr>
            <w:tcW w:w="834" w:type="dxa"/>
            <w:tcBorders>
              <w:top w:val="single" w:sz="4" w:space="0" w:color="auto"/>
              <w:left w:val="nil"/>
              <w:bottom w:val="nil"/>
              <w:right w:val="single" w:sz="4" w:space="0" w:color="auto"/>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Congestive heart failure</w:t>
            </w:r>
          </w:p>
        </w:tc>
        <w:tc>
          <w:tcPr>
            <w:tcW w:w="2718"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249,743 (28.9%)</w:t>
            </w:r>
          </w:p>
        </w:tc>
        <w:tc>
          <w:tcPr>
            <w:tcW w:w="2269"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48,981 (21.0%)</w:t>
            </w:r>
          </w:p>
        </w:tc>
        <w:tc>
          <w:tcPr>
            <w:tcW w:w="834" w:type="dxa"/>
            <w:tcBorders>
              <w:top w:val="nil"/>
              <w:left w:val="nil"/>
              <w:bottom w:val="nil"/>
              <w:right w:val="single" w:sz="4" w:space="0" w:color="auto"/>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Chronic respiratory disease</w:t>
            </w:r>
          </w:p>
        </w:tc>
        <w:tc>
          <w:tcPr>
            <w:tcW w:w="2718"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236,579 (27.3%)</w:t>
            </w:r>
          </w:p>
        </w:tc>
        <w:tc>
          <w:tcPr>
            <w:tcW w:w="2269"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61,226 (26.2%)</w:t>
            </w:r>
          </w:p>
        </w:tc>
        <w:tc>
          <w:tcPr>
            <w:tcW w:w="834" w:type="dxa"/>
            <w:tcBorders>
              <w:top w:val="nil"/>
              <w:left w:val="nil"/>
              <w:bottom w:val="nil"/>
              <w:right w:val="single" w:sz="4" w:space="0" w:color="auto"/>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auto"/>
          </w:tcPr>
          <w:p w:rsidR="00A42687" w:rsidRDefault="00A42687" w:rsidP="00A42687">
            <w:pPr>
              <w:spacing w:line="480" w:lineRule="auto"/>
              <w:rPr>
                <w:rFonts w:ascii="Arial" w:hAnsi="Arial" w:cs="Arial"/>
                <w:sz w:val="20"/>
                <w:szCs w:val="20"/>
              </w:rPr>
            </w:pPr>
            <w:r>
              <w:rPr>
                <w:rFonts w:ascii="Arial" w:hAnsi="Arial" w:cs="Arial"/>
                <w:sz w:val="20"/>
                <w:szCs w:val="20"/>
              </w:rPr>
              <w:t xml:space="preserve">  Uncomplicated diabetes</w:t>
            </w:r>
          </w:p>
        </w:tc>
        <w:tc>
          <w:tcPr>
            <w:tcW w:w="2718" w:type="dxa"/>
            <w:tcBorders>
              <w:top w:val="nil"/>
              <w:left w:val="nil"/>
              <w:bottom w:val="nil"/>
              <w:right w:val="nil"/>
            </w:tcBorders>
            <w:shd w:val="clear" w:color="auto" w:fill="auto"/>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234,241 (27.1%)</w:t>
            </w:r>
          </w:p>
        </w:tc>
        <w:tc>
          <w:tcPr>
            <w:tcW w:w="2269" w:type="dxa"/>
            <w:tcBorders>
              <w:top w:val="nil"/>
              <w:left w:val="nil"/>
              <w:bottom w:val="nil"/>
              <w:right w:val="nil"/>
            </w:tcBorders>
            <w:shd w:val="clear" w:color="auto" w:fill="auto"/>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52,757 (22.6%)</w:t>
            </w:r>
          </w:p>
        </w:tc>
        <w:tc>
          <w:tcPr>
            <w:tcW w:w="834" w:type="dxa"/>
            <w:tcBorders>
              <w:top w:val="nil"/>
              <w:left w:val="nil"/>
              <w:bottom w:val="nil"/>
              <w:right w:val="single" w:sz="4" w:space="0" w:color="auto"/>
            </w:tcBorders>
            <w:shd w:val="clear" w:color="auto" w:fill="auto"/>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Myocardial infarction</w:t>
            </w:r>
          </w:p>
        </w:tc>
        <w:tc>
          <w:tcPr>
            <w:tcW w:w="2718"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103,450 (12.0%)</w:t>
            </w:r>
          </w:p>
        </w:tc>
        <w:tc>
          <w:tcPr>
            <w:tcW w:w="2269"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22,662 (9.7%)</w:t>
            </w:r>
          </w:p>
        </w:tc>
        <w:tc>
          <w:tcPr>
            <w:tcW w:w="834" w:type="dxa"/>
            <w:tcBorders>
              <w:top w:val="nil"/>
              <w:left w:val="nil"/>
              <w:bottom w:val="nil"/>
              <w:right w:val="single" w:sz="4" w:space="0" w:color="auto"/>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Cerebrovascular disease</w:t>
            </w:r>
          </w:p>
        </w:tc>
        <w:tc>
          <w:tcPr>
            <w:tcW w:w="2718"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85,385 (9.9%)</w:t>
            </w:r>
          </w:p>
        </w:tc>
        <w:tc>
          <w:tcPr>
            <w:tcW w:w="2269"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14,967 (6.4%)</w:t>
            </w:r>
          </w:p>
        </w:tc>
        <w:tc>
          <w:tcPr>
            <w:tcW w:w="834" w:type="dxa"/>
            <w:tcBorders>
              <w:top w:val="nil"/>
              <w:left w:val="nil"/>
              <w:bottom w:val="nil"/>
              <w:right w:val="single" w:sz="4" w:space="0" w:color="auto"/>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Complicated diabetes</w:t>
            </w:r>
          </w:p>
        </w:tc>
        <w:tc>
          <w:tcPr>
            <w:tcW w:w="2718"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70,248 (8.1%)</w:t>
            </w:r>
          </w:p>
        </w:tc>
        <w:tc>
          <w:tcPr>
            <w:tcW w:w="2269"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10,372 (4.4%)</w:t>
            </w:r>
          </w:p>
        </w:tc>
        <w:tc>
          <w:tcPr>
            <w:tcW w:w="834" w:type="dxa"/>
            <w:tcBorders>
              <w:top w:val="nil"/>
              <w:left w:val="nil"/>
              <w:bottom w:val="nil"/>
              <w:right w:val="single" w:sz="4" w:space="0" w:color="auto"/>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Peripheral vascular disease</w:t>
            </w:r>
          </w:p>
        </w:tc>
        <w:tc>
          <w:tcPr>
            <w:tcW w:w="2718"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53,405 (6.2%)</w:t>
            </w:r>
          </w:p>
        </w:tc>
        <w:tc>
          <w:tcPr>
            <w:tcW w:w="2269"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10,008 (4.3%)</w:t>
            </w:r>
          </w:p>
        </w:tc>
        <w:tc>
          <w:tcPr>
            <w:tcW w:w="834" w:type="dxa"/>
            <w:tcBorders>
              <w:top w:val="nil"/>
              <w:left w:val="nil"/>
              <w:bottom w:val="nil"/>
              <w:right w:val="single" w:sz="4" w:space="0" w:color="auto"/>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Mild liver disease</w:t>
            </w:r>
          </w:p>
        </w:tc>
        <w:tc>
          <w:tcPr>
            <w:tcW w:w="2718"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41,034 (4.7%)</w:t>
            </w:r>
          </w:p>
        </w:tc>
        <w:tc>
          <w:tcPr>
            <w:tcW w:w="2269"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8,260 (3.5%)</w:t>
            </w:r>
          </w:p>
        </w:tc>
        <w:tc>
          <w:tcPr>
            <w:tcW w:w="834" w:type="dxa"/>
            <w:tcBorders>
              <w:top w:val="nil"/>
              <w:left w:val="nil"/>
              <w:bottom w:val="nil"/>
              <w:right w:val="single" w:sz="4" w:space="0" w:color="auto"/>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Severe liver disease</w:t>
            </w:r>
          </w:p>
        </w:tc>
        <w:tc>
          <w:tcPr>
            <w:tcW w:w="2718"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36,009 (4.2%)</w:t>
            </w:r>
          </w:p>
        </w:tc>
        <w:tc>
          <w:tcPr>
            <w:tcW w:w="2269"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8,964 (3.8%)</w:t>
            </w:r>
          </w:p>
        </w:tc>
        <w:tc>
          <w:tcPr>
            <w:tcW w:w="834" w:type="dxa"/>
            <w:tcBorders>
              <w:top w:val="nil"/>
              <w:left w:val="nil"/>
              <w:bottom w:val="nil"/>
              <w:right w:val="single" w:sz="4" w:space="0" w:color="auto"/>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Rheumatologic disease</w:t>
            </w:r>
          </w:p>
        </w:tc>
        <w:tc>
          <w:tcPr>
            <w:tcW w:w="2718"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32,697 (3.8%)</w:t>
            </w:r>
          </w:p>
        </w:tc>
        <w:tc>
          <w:tcPr>
            <w:tcW w:w="2269"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6,313 (2.7%)</w:t>
            </w:r>
          </w:p>
        </w:tc>
        <w:tc>
          <w:tcPr>
            <w:tcW w:w="834" w:type="dxa"/>
            <w:tcBorders>
              <w:top w:val="nil"/>
              <w:left w:val="nil"/>
              <w:bottom w:val="nil"/>
              <w:right w:val="single" w:sz="4" w:space="0" w:color="auto"/>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Hemiplegia</w:t>
            </w:r>
          </w:p>
        </w:tc>
        <w:tc>
          <w:tcPr>
            <w:tcW w:w="2718"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21,394 (2.5%)</w:t>
            </w:r>
          </w:p>
        </w:tc>
        <w:tc>
          <w:tcPr>
            <w:tcW w:w="2269"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3,588 (1.5%)</w:t>
            </w:r>
          </w:p>
        </w:tc>
        <w:tc>
          <w:tcPr>
            <w:tcW w:w="834" w:type="dxa"/>
            <w:tcBorders>
              <w:top w:val="nil"/>
              <w:left w:val="nil"/>
              <w:bottom w:val="nil"/>
              <w:right w:val="single" w:sz="4" w:space="0" w:color="auto"/>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Pr>
                <w:rFonts w:ascii="Arial" w:hAnsi="Arial" w:cs="Arial"/>
                <w:sz w:val="20"/>
                <w:szCs w:val="20"/>
              </w:rPr>
              <w:t xml:space="preserve">  Peptic ulcer disease</w:t>
            </w:r>
          </w:p>
        </w:tc>
        <w:tc>
          <w:tcPr>
            <w:tcW w:w="2718"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19,296 (2.2%)</w:t>
            </w:r>
          </w:p>
        </w:tc>
        <w:tc>
          <w:tcPr>
            <w:tcW w:w="2269"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4,498 (1.9%)</w:t>
            </w:r>
          </w:p>
        </w:tc>
        <w:tc>
          <w:tcPr>
            <w:tcW w:w="834" w:type="dxa"/>
            <w:tcBorders>
              <w:top w:val="nil"/>
              <w:left w:val="nil"/>
              <w:bottom w:val="nil"/>
              <w:right w:val="single" w:sz="4" w:space="0" w:color="auto"/>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Dementia</w:t>
            </w:r>
          </w:p>
        </w:tc>
        <w:tc>
          <w:tcPr>
            <w:tcW w:w="2718"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12,538 (1.4%)</w:t>
            </w:r>
          </w:p>
        </w:tc>
        <w:tc>
          <w:tcPr>
            <w:tcW w:w="2269" w:type="dxa"/>
            <w:tcBorders>
              <w:top w:val="nil"/>
              <w:left w:val="nil"/>
              <w:bottom w:val="nil"/>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1,967 (0.8%)</w:t>
            </w:r>
          </w:p>
        </w:tc>
        <w:tc>
          <w:tcPr>
            <w:tcW w:w="834" w:type="dxa"/>
            <w:tcBorders>
              <w:top w:val="nil"/>
              <w:left w:val="nil"/>
              <w:bottom w:val="nil"/>
              <w:right w:val="single" w:sz="4" w:space="0" w:color="auto"/>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nil"/>
              <w:right w:val="nil"/>
            </w:tcBorders>
            <w:shd w:val="clear" w:color="auto" w:fill="F2F2F2" w:themeFill="background1" w:themeFillShade="F2"/>
          </w:tcPr>
          <w:p w:rsidR="00A42687" w:rsidRDefault="00A42687" w:rsidP="00A42687">
            <w:pPr>
              <w:spacing w:line="480" w:lineRule="auto"/>
              <w:rPr>
                <w:rFonts w:ascii="Arial" w:hAnsi="Arial" w:cs="Arial"/>
                <w:sz w:val="20"/>
                <w:szCs w:val="20"/>
              </w:rPr>
            </w:pPr>
            <w:r w:rsidRPr="00486859">
              <w:rPr>
                <w:rFonts w:ascii="Arial" w:hAnsi="Arial" w:cs="Arial"/>
                <w:sz w:val="20"/>
                <w:szCs w:val="20"/>
                <w:shd w:val="clear" w:color="auto" w:fill="F2F2F2" w:themeFill="background1" w:themeFillShade="F2"/>
              </w:rPr>
              <w:t xml:space="preserve">  </w:t>
            </w:r>
            <w:r>
              <w:rPr>
                <w:rFonts w:ascii="Arial" w:hAnsi="Arial" w:cs="Arial"/>
                <w:sz w:val="20"/>
                <w:szCs w:val="20"/>
              </w:rPr>
              <w:t>HIV</w:t>
            </w:r>
          </w:p>
        </w:tc>
        <w:tc>
          <w:tcPr>
            <w:tcW w:w="2718"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8,209 (1.0%)</w:t>
            </w:r>
          </w:p>
        </w:tc>
        <w:tc>
          <w:tcPr>
            <w:tcW w:w="2269" w:type="dxa"/>
            <w:tcBorders>
              <w:top w:val="nil"/>
              <w:left w:val="nil"/>
              <w:bottom w:val="nil"/>
              <w:right w:val="nil"/>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1,699 (0.7%)</w:t>
            </w:r>
          </w:p>
        </w:tc>
        <w:tc>
          <w:tcPr>
            <w:tcW w:w="834" w:type="dxa"/>
            <w:tcBorders>
              <w:top w:val="nil"/>
              <w:left w:val="nil"/>
              <w:bottom w:val="nil"/>
              <w:right w:val="single" w:sz="4" w:space="0" w:color="auto"/>
            </w:tcBorders>
            <w:shd w:val="clear" w:color="auto" w:fill="F2F2F2" w:themeFill="background1" w:themeFillShade="F2"/>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Tr="00A42687">
        <w:trPr>
          <w:trHeight w:val="258"/>
          <w:jc w:val="center"/>
        </w:trPr>
        <w:tc>
          <w:tcPr>
            <w:tcW w:w="2933" w:type="dxa"/>
            <w:tcBorders>
              <w:top w:val="nil"/>
              <w:left w:val="single" w:sz="4" w:space="0" w:color="auto"/>
              <w:bottom w:val="single" w:sz="4" w:space="0" w:color="auto"/>
              <w:right w:val="nil"/>
            </w:tcBorders>
            <w:shd w:val="clear" w:color="auto" w:fill="FFFFFF" w:themeFill="background1"/>
          </w:tcPr>
          <w:p w:rsidR="00A42687" w:rsidRDefault="00A42687" w:rsidP="00A42687">
            <w:pPr>
              <w:spacing w:line="480" w:lineRule="auto"/>
              <w:rPr>
                <w:rFonts w:ascii="Arial" w:hAnsi="Arial" w:cs="Arial"/>
                <w:sz w:val="20"/>
                <w:szCs w:val="20"/>
              </w:rPr>
            </w:pPr>
            <w:r>
              <w:rPr>
                <w:rFonts w:ascii="Arial" w:hAnsi="Arial" w:cs="Arial"/>
                <w:sz w:val="20"/>
                <w:szCs w:val="20"/>
              </w:rPr>
              <w:t xml:space="preserve">  None</w:t>
            </w:r>
          </w:p>
        </w:tc>
        <w:tc>
          <w:tcPr>
            <w:tcW w:w="2718" w:type="dxa"/>
            <w:tcBorders>
              <w:top w:val="nil"/>
              <w:left w:val="nil"/>
              <w:bottom w:val="single" w:sz="4" w:space="0" w:color="auto"/>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184,057 (21.3%)</w:t>
            </w:r>
          </w:p>
        </w:tc>
        <w:tc>
          <w:tcPr>
            <w:tcW w:w="2269" w:type="dxa"/>
            <w:tcBorders>
              <w:top w:val="nil"/>
              <w:left w:val="nil"/>
              <w:bottom w:val="single" w:sz="4" w:space="0" w:color="auto"/>
              <w:right w:val="nil"/>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65,870 (28.2%)</w:t>
            </w:r>
          </w:p>
        </w:tc>
        <w:tc>
          <w:tcPr>
            <w:tcW w:w="834" w:type="dxa"/>
            <w:tcBorders>
              <w:top w:val="nil"/>
              <w:left w:val="nil"/>
              <w:bottom w:val="single" w:sz="4" w:space="0" w:color="auto"/>
              <w:right w:val="single" w:sz="4" w:space="0" w:color="auto"/>
            </w:tcBorders>
            <w:shd w:val="clear" w:color="auto" w:fill="FFFFFF" w:themeFill="background1"/>
            <w:vAlign w:val="center"/>
          </w:tcPr>
          <w:p w:rsidR="00A42687" w:rsidRDefault="00A42687" w:rsidP="00A42687">
            <w:pPr>
              <w:spacing w:line="480" w:lineRule="auto"/>
              <w:jc w:val="right"/>
              <w:rPr>
                <w:rFonts w:ascii="Arial" w:hAnsi="Arial" w:cs="Arial"/>
                <w:sz w:val="20"/>
                <w:szCs w:val="20"/>
              </w:rPr>
            </w:pPr>
            <w:r>
              <w:rPr>
                <w:rFonts w:ascii="Arial" w:hAnsi="Arial" w:cs="Arial"/>
                <w:sz w:val="20"/>
                <w:szCs w:val="20"/>
              </w:rPr>
              <w:t>&lt;0.001</w:t>
            </w:r>
          </w:p>
        </w:tc>
      </w:tr>
      <w:tr w:rsidR="00A42687" w:rsidRPr="004E0050" w:rsidTr="00A42687">
        <w:trPr>
          <w:trHeight w:val="258"/>
          <w:jc w:val="center"/>
        </w:trPr>
        <w:tc>
          <w:tcPr>
            <w:tcW w:w="8754" w:type="dxa"/>
            <w:gridSpan w:val="4"/>
            <w:tcBorders>
              <w:top w:val="single" w:sz="4" w:space="0" w:color="auto"/>
              <w:left w:val="nil"/>
              <w:bottom w:val="nil"/>
              <w:right w:val="nil"/>
            </w:tcBorders>
            <w:shd w:val="clear" w:color="auto" w:fill="FFFFFF" w:themeFill="background1"/>
          </w:tcPr>
          <w:p w:rsidR="00A42687" w:rsidRPr="004E0050" w:rsidRDefault="00A42687" w:rsidP="00A42687">
            <w:pPr>
              <w:spacing w:line="480" w:lineRule="auto"/>
              <w:rPr>
                <w:rFonts w:ascii="Arial" w:hAnsi="Arial" w:cs="Arial"/>
                <w:sz w:val="16"/>
                <w:szCs w:val="16"/>
              </w:rPr>
            </w:pPr>
            <w:r w:rsidRPr="004E0050">
              <w:rPr>
                <w:rFonts w:ascii="Arial" w:hAnsi="Arial" w:cs="Arial"/>
                <w:sz w:val="16"/>
                <w:szCs w:val="16"/>
              </w:rPr>
              <w:t>*Malignancy excluded given this was also the exposure</w:t>
            </w:r>
          </w:p>
        </w:tc>
      </w:tr>
    </w:tbl>
    <w:p w:rsidR="003F65DB" w:rsidRDefault="003F65DB"/>
    <w:p w:rsidR="003F65DB" w:rsidRDefault="003F65DB">
      <w:r>
        <w:br w:type="page"/>
      </w:r>
    </w:p>
    <w:tbl>
      <w:tblPr>
        <w:tblStyle w:val="TableGrid"/>
        <w:tblW w:w="0" w:type="auto"/>
        <w:jc w:val="center"/>
        <w:tblLook w:val="04A0" w:firstRow="1" w:lastRow="0" w:firstColumn="1" w:lastColumn="0" w:noHBand="0" w:noVBand="1"/>
      </w:tblPr>
      <w:tblGrid>
        <w:gridCol w:w="2924"/>
        <w:gridCol w:w="2925"/>
        <w:gridCol w:w="2925"/>
      </w:tblGrid>
      <w:tr w:rsidR="003F65DB" w:rsidRPr="0081515A" w:rsidTr="003462E2">
        <w:trPr>
          <w:jc w:val="center"/>
        </w:trPr>
        <w:tc>
          <w:tcPr>
            <w:tcW w:w="8774" w:type="dxa"/>
            <w:gridSpan w:val="3"/>
            <w:tcBorders>
              <w:top w:val="nil"/>
              <w:left w:val="nil"/>
              <w:bottom w:val="single" w:sz="4" w:space="0" w:color="auto"/>
              <w:right w:val="nil"/>
            </w:tcBorders>
          </w:tcPr>
          <w:p w:rsidR="003F65DB" w:rsidRPr="0081515A" w:rsidRDefault="003F65DB" w:rsidP="003462E2">
            <w:pPr>
              <w:rPr>
                <w:rFonts w:ascii="Arial" w:hAnsi="Arial" w:cs="Arial"/>
                <w:b/>
                <w:color w:val="212121"/>
                <w:sz w:val="20"/>
                <w:szCs w:val="20"/>
              </w:rPr>
            </w:pPr>
            <w:r>
              <w:rPr>
                <w:rFonts w:ascii="Arial" w:hAnsi="Arial" w:cs="Arial"/>
                <w:b/>
                <w:color w:val="212121"/>
                <w:sz w:val="20"/>
                <w:szCs w:val="20"/>
              </w:rPr>
              <w:lastRenderedPageBreak/>
              <w:t>Supplemental Table 6</w:t>
            </w:r>
            <w:r w:rsidRPr="0081515A">
              <w:rPr>
                <w:rFonts w:ascii="Arial" w:hAnsi="Arial" w:cs="Arial"/>
                <w:b/>
                <w:color w:val="212121"/>
                <w:sz w:val="20"/>
                <w:szCs w:val="20"/>
              </w:rPr>
              <w:t xml:space="preserve">. </w:t>
            </w:r>
            <w:r w:rsidRPr="0081515A">
              <w:rPr>
                <w:rFonts w:ascii="Arial" w:hAnsi="Arial" w:cs="Arial"/>
                <w:color w:val="212121"/>
                <w:sz w:val="20"/>
                <w:szCs w:val="20"/>
              </w:rPr>
              <w:t>Comparison of Sepsis Mort</w:t>
            </w:r>
            <w:r w:rsidR="003571C5">
              <w:rPr>
                <w:rFonts w:ascii="Arial" w:hAnsi="Arial" w:cs="Arial"/>
                <w:color w:val="212121"/>
                <w:sz w:val="20"/>
                <w:szCs w:val="20"/>
              </w:rPr>
              <w:t>ality by Site and Organ Dysfunctions</w:t>
            </w:r>
          </w:p>
        </w:tc>
      </w:tr>
      <w:tr w:rsidR="003F65DB" w:rsidRPr="0081515A" w:rsidTr="003462E2">
        <w:trPr>
          <w:jc w:val="center"/>
        </w:trPr>
        <w:tc>
          <w:tcPr>
            <w:tcW w:w="2924" w:type="dxa"/>
            <w:tcBorders>
              <w:top w:val="single" w:sz="4" w:space="0" w:color="auto"/>
              <w:bottom w:val="single" w:sz="4" w:space="0" w:color="auto"/>
            </w:tcBorders>
          </w:tcPr>
          <w:p w:rsidR="003F65DB" w:rsidRPr="0081515A" w:rsidRDefault="003F65DB" w:rsidP="003462E2">
            <w:pPr>
              <w:jc w:val="center"/>
              <w:rPr>
                <w:rFonts w:ascii="Arial" w:hAnsi="Arial" w:cs="Arial"/>
                <w:color w:val="212121"/>
                <w:sz w:val="20"/>
                <w:szCs w:val="20"/>
              </w:rPr>
            </w:pPr>
            <w:r w:rsidRPr="0081515A">
              <w:rPr>
                <w:rFonts w:ascii="Arial" w:hAnsi="Arial" w:cs="Arial"/>
                <w:color w:val="212121"/>
                <w:sz w:val="20"/>
                <w:szCs w:val="20"/>
              </w:rPr>
              <w:t>Variable</w:t>
            </w:r>
          </w:p>
        </w:tc>
        <w:tc>
          <w:tcPr>
            <w:tcW w:w="2925" w:type="dxa"/>
            <w:tcBorders>
              <w:top w:val="single" w:sz="4" w:space="0" w:color="auto"/>
              <w:bottom w:val="single" w:sz="4" w:space="0" w:color="auto"/>
            </w:tcBorders>
          </w:tcPr>
          <w:p w:rsidR="003F65DB" w:rsidRPr="0081515A" w:rsidRDefault="003F65DB" w:rsidP="003462E2">
            <w:pPr>
              <w:jc w:val="center"/>
              <w:rPr>
                <w:rFonts w:ascii="Arial" w:hAnsi="Arial" w:cs="Arial"/>
                <w:color w:val="212121"/>
                <w:sz w:val="20"/>
                <w:szCs w:val="20"/>
              </w:rPr>
            </w:pPr>
            <w:r w:rsidRPr="0081515A">
              <w:rPr>
                <w:rFonts w:ascii="Arial" w:hAnsi="Arial" w:cs="Arial"/>
                <w:color w:val="212121"/>
                <w:sz w:val="20"/>
                <w:szCs w:val="20"/>
              </w:rPr>
              <w:t>Cancer-Related Sepsis Mortality (%)</w:t>
            </w:r>
          </w:p>
        </w:tc>
        <w:tc>
          <w:tcPr>
            <w:tcW w:w="2925" w:type="dxa"/>
            <w:tcBorders>
              <w:top w:val="single" w:sz="4" w:space="0" w:color="auto"/>
              <w:bottom w:val="single" w:sz="4" w:space="0" w:color="auto"/>
            </w:tcBorders>
          </w:tcPr>
          <w:p w:rsidR="003F65DB" w:rsidRPr="0081515A" w:rsidRDefault="003F65DB" w:rsidP="003462E2">
            <w:pPr>
              <w:jc w:val="center"/>
              <w:rPr>
                <w:rFonts w:ascii="Arial" w:hAnsi="Arial" w:cs="Arial"/>
                <w:color w:val="212121"/>
                <w:sz w:val="20"/>
                <w:szCs w:val="20"/>
              </w:rPr>
            </w:pPr>
            <w:r w:rsidRPr="0081515A">
              <w:rPr>
                <w:rFonts w:ascii="Arial" w:hAnsi="Arial" w:cs="Arial"/>
                <w:color w:val="212121"/>
                <w:sz w:val="20"/>
                <w:szCs w:val="20"/>
              </w:rPr>
              <w:t>Non-Cancer-Related Sepsis Mortality (%)</w:t>
            </w:r>
          </w:p>
        </w:tc>
      </w:tr>
      <w:tr w:rsidR="003F65DB" w:rsidRPr="0081515A" w:rsidTr="003462E2">
        <w:trPr>
          <w:jc w:val="center"/>
        </w:trPr>
        <w:tc>
          <w:tcPr>
            <w:tcW w:w="2924" w:type="dxa"/>
            <w:tcBorders>
              <w:top w:val="single" w:sz="4" w:space="0" w:color="auto"/>
              <w:left w:val="single" w:sz="4" w:space="0" w:color="auto"/>
              <w:bottom w:val="nil"/>
              <w:right w:val="nil"/>
            </w:tcBorders>
            <w:shd w:val="clear" w:color="auto" w:fill="F2F2F2" w:themeFill="background1" w:themeFillShade="F2"/>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Sepsis source</w:t>
            </w:r>
          </w:p>
        </w:tc>
        <w:tc>
          <w:tcPr>
            <w:tcW w:w="2925" w:type="dxa"/>
            <w:tcBorders>
              <w:top w:val="single" w:sz="4" w:space="0" w:color="auto"/>
              <w:left w:val="nil"/>
              <w:bottom w:val="nil"/>
              <w:right w:val="nil"/>
            </w:tcBorders>
            <w:shd w:val="clear" w:color="auto" w:fill="F2F2F2" w:themeFill="background1" w:themeFillShade="F2"/>
          </w:tcPr>
          <w:p w:rsidR="003F65DB" w:rsidRPr="0081515A" w:rsidRDefault="003F65DB" w:rsidP="003462E2">
            <w:pPr>
              <w:spacing w:line="276" w:lineRule="auto"/>
              <w:rPr>
                <w:rFonts w:ascii="Arial" w:hAnsi="Arial" w:cs="Arial"/>
                <w:color w:val="212121"/>
                <w:sz w:val="20"/>
                <w:szCs w:val="20"/>
              </w:rPr>
            </w:pPr>
          </w:p>
        </w:tc>
        <w:tc>
          <w:tcPr>
            <w:tcW w:w="2925" w:type="dxa"/>
            <w:tcBorders>
              <w:top w:val="single" w:sz="4" w:space="0" w:color="auto"/>
              <w:left w:val="nil"/>
              <w:bottom w:val="nil"/>
              <w:right w:val="single" w:sz="4" w:space="0" w:color="auto"/>
            </w:tcBorders>
            <w:shd w:val="clear" w:color="auto" w:fill="F2F2F2" w:themeFill="background1" w:themeFillShade="F2"/>
          </w:tcPr>
          <w:p w:rsidR="003F65DB" w:rsidRPr="0081515A" w:rsidRDefault="003F65DB" w:rsidP="003462E2">
            <w:pPr>
              <w:spacing w:line="276" w:lineRule="auto"/>
              <w:rPr>
                <w:rFonts w:ascii="Arial" w:hAnsi="Arial" w:cs="Arial"/>
                <w:color w:val="212121"/>
                <w:sz w:val="20"/>
                <w:szCs w:val="20"/>
              </w:rPr>
            </w:pPr>
          </w:p>
        </w:tc>
      </w:tr>
      <w:tr w:rsidR="003F65DB" w:rsidRPr="0081515A" w:rsidTr="003462E2">
        <w:trPr>
          <w:jc w:val="center"/>
        </w:trPr>
        <w:tc>
          <w:tcPr>
            <w:tcW w:w="2924" w:type="dxa"/>
            <w:tcBorders>
              <w:top w:val="nil"/>
              <w:left w:val="single" w:sz="4" w:space="0" w:color="auto"/>
              <w:bottom w:val="nil"/>
              <w:right w:val="nil"/>
            </w:tcBorders>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 xml:space="preserve">   Pulmonary</w:t>
            </w:r>
          </w:p>
        </w:tc>
        <w:tc>
          <w:tcPr>
            <w:tcW w:w="2925" w:type="dxa"/>
            <w:tcBorders>
              <w:top w:val="nil"/>
              <w:left w:val="nil"/>
              <w:bottom w:val="nil"/>
              <w:right w:val="nil"/>
            </w:tcBorders>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34.1</w:t>
            </w:r>
            <w:r w:rsidRPr="0081515A">
              <w:rPr>
                <w:rFonts w:ascii="Arial" w:hAnsi="Arial" w:cs="Arial"/>
                <w:color w:val="212121"/>
                <w:sz w:val="20"/>
                <w:szCs w:val="20"/>
              </w:rPr>
              <w:t>%</w:t>
            </w:r>
          </w:p>
        </w:tc>
        <w:tc>
          <w:tcPr>
            <w:tcW w:w="2925" w:type="dxa"/>
            <w:tcBorders>
              <w:top w:val="nil"/>
              <w:left w:val="nil"/>
              <w:bottom w:val="nil"/>
              <w:right w:val="single" w:sz="4" w:space="0" w:color="auto"/>
            </w:tcBorders>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23.7</w:t>
            </w:r>
            <w:r w:rsidRPr="0081515A">
              <w:rPr>
                <w:rFonts w:ascii="Arial" w:hAnsi="Arial" w:cs="Arial"/>
                <w:color w:val="212121"/>
                <w:sz w:val="20"/>
                <w:szCs w:val="20"/>
              </w:rPr>
              <w:t>%</w:t>
            </w:r>
          </w:p>
        </w:tc>
      </w:tr>
      <w:tr w:rsidR="003F65DB" w:rsidRPr="0081515A" w:rsidTr="003462E2">
        <w:trPr>
          <w:jc w:val="center"/>
        </w:trPr>
        <w:tc>
          <w:tcPr>
            <w:tcW w:w="2924" w:type="dxa"/>
            <w:tcBorders>
              <w:top w:val="nil"/>
              <w:left w:val="single" w:sz="4" w:space="0" w:color="auto"/>
              <w:bottom w:val="nil"/>
              <w:right w:val="nil"/>
            </w:tcBorders>
            <w:shd w:val="clear" w:color="auto" w:fill="F2F2F2" w:themeFill="background1" w:themeFillShade="F2"/>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 xml:space="preserve">   Gastrointestinal</w:t>
            </w:r>
          </w:p>
        </w:tc>
        <w:tc>
          <w:tcPr>
            <w:tcW w:w="2925" w:type="dxa"/>
            <w:tcBorders>
              <w:top w:val="nil"/>
              <w:left w:val="nil"/>
              <w:bottom w:val="nil"/>
              <w:right w:val="nil"/>
            </w:tcBorders>
            <w:shd w:val="clear" w:color="auto" w:fill="F2F2F2" w:themeFill="background1" w:themeFillShade="F2"/>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27.3</w:t>
            </w:r>
            <w:r w:rsidRPr="0081515A">
              <w:rPr>
                <w:rFonts w:ascii="Arial" w:hAnsi="Arial" w:cs="Arial"/>
                <w:color w:val="212121"/>
                <w:sz w:val="20"/>
                <w:szCs w:val="20"/>
              </w:rPr>
              <w:t>%</w:t>
            </w:r>
          </w:p>
        </w:tc>
        <w:tc>
          <w:tcPr>
            <w:tcW w:w="2925" w:type="dxa"/>
            <w:tcBorders>
              <w:top w:val="nil"/>
              <w:left w:val="nil"/>
              <w:bottom w:val="nil"/>
              <w:right w:val="single" w:sz="4" w:space="0" w:color="auto"/>
            </w:tcBorders>
            <w:shd w:val="clear" w:color="auto" w:fill="F2F2F2" w:themeFill="background1" w:themeFillShade="F2"/>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21.6</w:t>
            </w:r>
            <w:r w:rsidRPr="0081515A">
              <w:rPr>
                <w:rFonts w:ascii="Arial" w:hAnsi="Arial" w:cs="Arial"/>
                <w:color w:val="212121"/>
                <w:sz w:val="20"/>
                <w:szCs w:val="20"/>
              </w:rPr>
              <w:t>%</w:t>
            </w:r>
          </w:p>
        </w:tc>
      </w:tr>
      <w:tr w:rsidR="003F65DB" w:rsidRPr="0081515A" w:rsidTr="003462E2">
        <w:trPr>
          <w:jc w:val="center"/>
        </w:trPr>
        <w:tc>
          <w:tcPr>
            <w:tcW w:w="2924" w:type="dxa"/>
            <w:tcBorders>
              <w:top w:val="nil"/>
              <w:left w:val="single" w:sz="4" w:space="0" w:color="auto"/>
              <w:bottom w:val="nil"/>
              <w:right w:val="nil"/>
            </w:tcBorders>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 xml:space="preserve">   Genitourinary</w:t>
            </w:r>
          </w:p>
        </w:tc>
        <w:tc>
          <w:tcPr>
            <w:tcW w:w="2925" w:type="dxa"/>
            <w:tcBorders>
              <w:top w:val="nil"/>
              <w:left w:val="nil"/>
              <w:bottom w:val="nil"/>
              <w:right w:val="nil"/>
            </w:tcBorders>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17.4</w:t>
            </w:r>
            <w:r w:rsidRPr="0081515A">
              <w:rPr>
                <w:rFonts w:ascii="Arial" w:hAnsi="Arial" w:cs="Arial"/>
                <w:color w:val="212121"/>
                <w:sz w:val="20"/>
                <w:szCs w:val="20"/>
              </w:rPr>
              <w:t>%</w:t>
            </w:r>
          </w:p>
        </w:tc>
        <w:tc>
          <w:tcPr>
            <w:tcW w:w="2925" w:type="dxa"/>
            <w:tcBorders>
              <w:top w:val="nil"/>
              <w:left w:val="nil"/>
              <w:bottom w:val="nil"/>
              <w:right w:val="single" w:sz="4" w:space="0" w:color="auto"/>
            </w:tcBorders>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12.7</w:t>
            </w:r>
            <w:r w:rsidRPr="0081515A">
              <w:rPr>
                <w:rFonts w:ascii="Arial" w:hAnsi="Arial" w:cs="Arial"/>
                <w:color w:val="212121"/>
                <w:sz w:val="20"/>
                <w:szCs w:val="20"/>
              </w:rPr>
              <w:t>%</w:t>
            </w:r>
          </w:p>
        </w:tc>
      </w:tr>
      <w:tr w:rsidR="003F65DB" w:rsidRPr="0081515A" w:rsidTr="003462E2">
        <w:trPr>
          <w:jc w:val="center"/>
        </w:trPr>
        <w:tc>
          <w:tcPr>
            <w:tcW w:w="2924" w:type="dxa"/>
            <w:tcBorders>
              <w:top w:val="nil"/>
              <w:left w:val="single" w:sz="4" w:space="0" w:color="auto"/>
              <w:bottom w:val="nil"/>
              <w:right w:val="nil"/>
            </w:tcBorders>
            <w:shd w:val="clear" w:color="auto" w:fill="F2F2F2" w:themeFill="background1" w:themeFillShade="F2"/>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 xml:space="preserve">   Missing</w:t>
            </w:r>
          </w:p>
        </w:tc>
        <w:tc>
          <w:tcPr>
            <w:tcW w:w="2925" w:type="dxa"/>
            <w:tcBorders>
              <w:top w:val="nil"/>
              <w:left w:val="nil"/>
              <w:bottom w:val="nil"/>
              <w:right w:val="nil"/>
            </w:tcBorders>
            <w:shd w:val="clear" w:color="auto" w:fill="F2F2F2" w:themeFill="background1" w:themeFillShade="F2"/>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34.1</w:t>
            </w:r>
            <w:r w:rsidRPr="0081515A">
              <w:rPr>
                <w:rFonts w:ascii="Arial" w:hAnsi="Arial" w:cs="Arial"/>
                <w:color w:val="212121"/>
                <w:sz w:val="20"/>
                <w:szCs w:val="20"/>
              </w:rPr>
              <w:t>%</w:t>
            </w:r>
          </w:p>
        </w:tc>
        <w:tc>
          <w:tcPr>
            <w:tcW w:w="2925" w:type="dxa"/>
            <w:tcBorders>
              <w:top w:val="nil"/>
              <w:left w:val="nil"/>
              <w:bottom w:val="nil"/>
              <w:right w:val="single" w:sz="4" w:space="0" w:color="auto"/>
            </w:tcBorders>
            <w:shd w:val="clear" w:color="auto" w:fill="F2F2F2" w:themeFill="background1" w:themeFillShade="F2"/>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26.2</w:t>
            </w:r>
            <w:r w:rsidRPr="0081515A">
              <w:rPr>
                <w:rFonts w:ascii="Arial" w:hAnsi="Arial" w:cs="Arial"/>
                <w:color w:val="212121"/>
                <w:sz w:val="20"/>
                <w:szCs w:val="20"/>
              </w:rPr>
              <w:t>%</w:t>
            </w:r>
          </w:p>
        </w:tc>
      </w:tr>
      <w:tr w:rsidR="003F65DB" w:rsidRPr="0081515A" w:rsidTr="003462E2">
        <w:trPr>
          <w:jc w:val="center"/>
        </w:trPr>
        <w:tc>
          <w:tcPr>
            <w:tcW w:w="2924" w:type="dxa"/>
            <w:tcBorders>
              <w:top w:val="nil"/>
              <w:left w:val="single" w:sz="4" w:space="0" w:color="auto"/>
              <w:bottom w:val="nil"/>
              <w:right w:val="nil"/>
            </w:tcBorders>
            <w:shd w:val="clear" w:color="auto" w:fill="FFFFFF" w:themeFill="background1"/>
          </w:tcPr>
          <w:p w:rsidR="003F65DB" w:rsidRPr="0081515A" w:rsidRDefault="003F65DB" w:rsidP="007B22B8">
            <w:pPr>
              <w:spacing w:line="276" w:lineRule="auto"/>
              <w:rPr>
                <w:rFonts w:ascii="Arial" w:hAnsi="Arial" w:cs="Arial"/>
                <w:color w:val="212121"/>
                <w:sz w:val="20"/>
                <w:szCs w:val="20"/>
              </w:rPr>
            </w:pPr>
            <w:r w:rsidRPr="0081515A">
              <w:rPr>
                <w:rFonts w:ascii="Arial" w:hAnsi="Arial" w:cs="Arial"/>
                <w:color w:val="212121"/>
                <w:sz w:val="20"/>
                <w:szCs w:val="20"/>
              </w:rPr>
              <w:t xml:space="preserve">Organ </w:t>
            </w:r>
            <w:r w:rsidR="007B22B8">
              <w:rPr>
                <w:rFonts w:ascii="Arial" w:hAnsi="Arial" w:cs="Arial"/>
                <w:color w:val="212121"/>
                <w:sz w:val="20"/>
                <w:szCs w:val="20"/>
              </w:rPr>
              <w:t>Dysfunctions</w:t>
            </w:r>
          </w:p>
        </w:tc>
        <w:tc>
          <w:tcPr>
            <w:tcW w:w="2925" w:type="dxa"/>
            <w:tcBorders>
              <w:top w:val="nil"/>
              <w:left w:val="nil"/>
              <w:bottom w:val="nil"/>
              <w:right w:val="nil"/>
            </w:tcBorders>
            <w:shd w:val="clear" w:color="auto" w:fill="FFFFFF" w:themeFill="background1"/>
          </w:tcPr>
          <w:p w:rsidR="003F65DB" w:rsidRPr="0081515A" w:rsidRDefault="003F65DB" w:rsidP="003462E2">
            <w:pPr>
              <w:spacing w:line="276" w:lineRule="auto"/>
              <w:jc w:val="center"/>
              <w:rPr>
                <w:rFonts w:ascii="Arial" w:hAnsi="Arial" w:cs="Arial"/>
                <w:color w:val="212121"/>
                <w:sz w:val="20"/>
                <w:szCs w:val="20"/>
              </w:rPr>
            </w:pPr>
          </w:p>
        </w:tc>
        <w:tc>
          <w:tcPr>
            <w:tcW w:w="2925" w:type="dxa"/>
            <w:tcBorders>
              <w:top w:val="nil"/>
              <w:left w:val="nil"/>
              <w:bottom w:val="nil"/>
              <w:right w:val="single" w:sz="4" w:space="0" w:color="auto"/>
            </w:tcBorders>
            <w:shd w:val="clear" w:color="auto" w:fill="FFFFFF" w:themeFill="background1"/>
          </w:tcPr>
          <w:p w:rsidR="003F65DB" w:rsidRPr="0081515A" w:rsidRDefault="003F65DB" w:rsidP="003462E2">
            <w:pPr>
              <w:spacing w:line="276" w:lineRule="auto"/>
              <w:jc w:val="center"/>
              <w:rPr>
                <w:rFonts w:ascii="Arial" w:hAnsi="Arial" w:cs="Arial"/>
                <w:color w:val="212121"/>
                <w:sz w:val="20"/>
                <w:szCs w:val="20"/>
              </w:rPr>
            </w:pPr>
          </w:p>
        </w:tc>
      </w:tr>
      <w:tr w:rsidR="003F65DB" w:rsidRPr="0081515A" w:rsidTr="003462E2">
        <w:trPr>
          <w:jc w:val="center"/>
        </w:trPr>
        <w:tc>
          <w:tcPr>
            <w:tcW w:w="2924" w:type="dxa"/>
            <w:tcBorders>
              <w:top w:val="nil"/>
              <w:left w:val="single" w:sz="4" w:space="0" w:color="auto"/>
              <w:bottom w:val="nil"/>
              <w:right w:val="nil"/>
            </w:tcBorders>
            <w:shd w:val="clear" w:color="auto" w:fill="F2F2F2" w:themeFill="background1" w:themeFillShade="F2"/>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 xml:space="preserve">   1</w:t>
            </w:r>
          </w:p>
        </w:tc>
        <w:tc>
          <w:tcPr>
            <w:tcW w:w="2925" w:type="dxa"/>
            <w:tcBorders>
              <w:top w:val="nil"/>
              <w:left w:val="nil"/>
              <w:bottom w:val="nil"/>
              <w:right w:val="nil"/>
            </w:tcBorders>
            <w:shd w:val="clear" w:color="auto" w:fill="F2F2F2" w:themeFill="background1" w:themeFillShade="F2"/>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14.0</w:t>
            </w:r>
            <w:r w:rsidRPr="0081515A">
              <w:rPr>
                <w:rFonts w:ascii="Arial" w:hAnsi="Arial" w:cs="Arial"/>
                <w:color w:val="212121"/>
                <w:sz w:val="20"/>
                <w:szCs w:val="20"/>
              </w:rPr>
              <w:t>%</w:t>
            </w:r>
          </w:p>
        </w:tc>
        <w:tc>
          <w:tcPr>
            <w:tcW w:w="2925" w:type="dxa"/>
            <w:tcBorders>
              <w:top w:val="nil"/>
              <w:left w:val="nil"/>
              <w:bottom w:val="nil"/>
              <w:right w:val="single" w:sz="4" w:space="0" w:color="auto"/>
            </w:tcBorders>
            <w:shd w:val="clear" w:color="auto" w:fill="F2F2F2" w:themeFill="background1" w:themeFillShade="F2"/>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8.3</w:t>
            </w:r>
            <w:r w:rsidRPr="0081515A">
              <w:rPr>
                <w:rFonts w:ascii="Arial" w:hAnsi="Arial" w:cs="Arial"/>
                <w:color w:val="212121"/>
                <w:sz w:val="20"/>
                <w:szCs w:val="20"/>
              </w:rPr>
              <w:t>%</w:t>
            </w:r>
          </w:p>
        </w:tc>
      </w:tr>
      <w:tr w:rsidR="003F65DB" w:rsidRPr="0081515A" w:rsidTr="003462E2">
        <w:trPr>
          <w:jc w:val="center"/>
        </w:trPr>
        <w:tc>
          <w:tcPr>
            <w:tcW w:w="2924" w:type="dxa"/>
            <w:tcBorders>
              <w:top w:val="nil"/>
              <w:left w:val="single" w:sz="4" w:space="0" w:color="auto"/>
              <w:bottom w:val="nil"/>
              <w:right w:val="nil"/>
            </w:tcBorders>
            <w:shd w:val="clear" w:color="auto" w:fill="FFFFFF" w:themeFill="background1"/>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 xml:space="preserve">   2</w:t>
            </w:r>
          </w:p>
        </w:tc>
        <w:tc>
          <w:tcPr>
            <w:tcW w:w="2925" w:type="dxa"/>
            <w:tcBorders>
              <w:top w:val="nil"/>
              <w:left w:val="nil"/>
              <w:bottom w:val="nil"/>
              <w:right w:val="nil"/>
            </w:tcBorders>
            <w:shd w:val="clear" w:color="auto" w:fill="FFFFFF" w:themeFill="background1"/>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31.5</w:t>
            </w:r>
            <w:r w:rsidRPr="0081515A">
              <w:rPr>
                <w:rFonts w:ascii="Arial" w:hAnsi="Arial" w:cs="Arial"/>
                <w:color w:val="212121"/>
                <w:sz w:val="20"/>
                <w:szCs w:val="20"/>
              </w:rPr>
              <w:t>%</w:t>
            </w:r>
          </w:p>
        </w:tc>
        <w:tc>
          <w:tcPr>
            <w:tcW w:w="2925" w:type="dxa"/>
            <w:tcBorders>
              <w:top w:val="nil"/>
              <w:left w:val="nil"/>
              <w:bottom w:val="nil"/>
              <w:right w:val="single" w:sz="4" w:space="0" w:color="auto"/>
            </w:tcBorders>
            <w:shd w:val="clear" w:color="auto" w:fill="FFFFFF" w:themeFill="background1"/>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21.5</w:t>
            </w:r>
            <w:r w:rsidRPr="0081515A">
              <w:rPr>
                <w:rFonts w:ascii="Arial" w:hAnsi="Arial" w:cs="Arial"/>
                <w:color w:val="212121"/>
                <w:sz w:val="20"/>
                <w:szCs w:val="20"/>
              </w:rPr>
              <w:t>%</w:t>
            </w:r>
          </w:p>
        </w:tc>
      </w:tr>
      <w:tr w:rsidR="003F65DB" w:rsidRPr="0081515A" w:rsidTr="003462E2">
        <w:trPr>
          <w:jc w:val="center"/>
        </w:trPr>
        <w:tc>
          <w:tcPr>
            <w:tcW w:w="2924" w:type="dxa"/>
            <w:tcBorders>
              <w:top w:val="nil"/>
              <w:left w:val="single" w:sz="4" w:space="0" w:color="auto"/>
              <w:bottom w:val="nil"/>
              <w:right w:val="nil"/>
            </w:tcBorders>
            <w:shd w:val="clear" w:color="auto" w:fill="F2F2F2" w:themeFill="background1" w:themeFillShade="F2"/>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 xml:space="preserve">   3+</w:t>
            </w:r>
          </w:p>
        </w:tc>
        <w:tc>
          <w:tcPr>
            <w:tcW w:w="2925" w:type="dxa"/>
            <w:tcBorders>
              <w:top w:val="nil"/>
              <w:left w:val="nil"/>
              <w:bottom w:val="nil"/>
              <w:right w:val="nil"/>
            </w:tcBorders>
            <w:shd w:val="clear" w:color="auto" w:fill="F2F2F2" w:themeFill="background1" w:themeFillShade="F2"/>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57.2</w:t>
            </w:r>
            <w:r w:rsidRPr="0081515A">
              <w:rPr>
                <w:rFonts w:ascii="Arial" w:hAnsi="Arial" w:cs="Arial"/>
                <w:color w:val="212121"/>
                <w:sz w:val="20"/>
                <w:szCs w:val="20"/>
              </w:rPr>
              <w:t>%</w:t>
            </w:r>
          </w:p>
        </w:tc>
        <w:tc>
          <w:tcPr>
            <w:tcW w:w="2925" w:type="dxa"/>
            <w:tcBorders>
              <w:top w:val="nil"/>
              <w:left w:val="nil"/>
              <w:bottom w:val="nil"/>
              <w:right w:val="single" w:sz="4" w:space="0" w:color="auto"/>
            </w:tcBorders>
            <w:shd w:val="clear" w:color="auto" w:fill="F2F2F2" w:themeFill="background1" w:themeFillShade="F2"/>
          </w:tcPr>
          <w:p w:rsidR="003F65DB" w:rsidRPr="0081515A" w:rsidRDefault="003F65DB" w:rsidP="003462E2">
            <w:pPr>
              <w:spacing w:line="276" w:lineRule="auto"/>
              <w:jc w:val="center"/>
              <w:rPr>
                <w:rFonts w:ascii="Arial" w:hAnsi="Arial" w:cs="Arial"/>
                <w:color w:val="212121"/>
                <w:sz w:val="20"/>
                <w:szCs w:val="20"/>
              </w:rPr>
            </w:pPr>
            <w:r>
              <w:rPr>
                <w:rFonts w:ascii="Arial" w:hAnsi="Arial" w:cs="Arial"/>
                <w:color w:val="212121"/>
                <w:sz w:val="20"/>
                <w:szCs w:val="20"/>
              </w:rPr>
              <w:t>44.1</w:t>
            </w:r>
            <w:r w:rsidRPr="0081515A">
              <w:rPr>
                <w:rFonts w:ascii="Arial" w:hAnsi="Arial" w:cs="Arial"/>
                <w:color w:val="212121"/>
                <w:sz w:val="20"/>
                <w:szCs w:val="20"/>
              </w:rPr>
              <w:t>%</w:t>
            </w:r>
          </w:p>
        </w:tc>
      </w:tr>
      <w:tr w:rsidR="003F65DB" w:rsidRPr="0081515A" w:rsidTr="003462E2">
        <w:trPr>
          <w:jc w:val="center"/>
        </w:trPr>
        <w:tc>
          <w:tcPr>
            <w:tcW w:w="2924" w:type="dxa"/>
            <w:tcBorders>
              <w:top w:val="nil"/>
              <w:left w:val="single" w:sz="4" w:space="0" w:color="auto"/>
              <w:bottom w:val="single" w:sz="4" w:space="0" w:color="auto"/>
              <w:right w:val="nil"/>
            </w:tcBorders>
            <w:shd w:val="clear" w:color="auto" w:fill="FFFFFF" w:themeFill="background1"/>
          </w:tcPr>
          <w:p w:rsidR="003F65DB" w:rsidRPr="0081515A" w:rsidRDefault="003F65DB" w:rsidP="003462E2">
            <w:pPr>
              <w:spacing w:line="276" w:lineRule="auto"/>
              <w:rPr>
                <w:rFonts w:ascii="Arial" w:hAnsi="Arial" w:cs="Arial"/>
                <w:color w:val="212121"/>
                <w:sz w:val="20"/>
                <w:szCs w:val="20"/>
              </w:rPr>
            </w:pPr>
            <w:r w:rsidRPr="0081515A">
              <w:rPr>
                <w:rFonts w:ascii="Arial" w:hAnsi="Arial" w:cs="Arial"/>
                <w:color w:val="212121"/>
                <w:sz w:val="20"/>
                <w:szCs w:val="20"/>
              </w:rPr>
              <w:t>Received Mechanical Ventilation</w:t>
            </w:r>
          </w:p>
        </w:tc>
        <w:tc>
          <w:tcPr>
            <w:tcW w:w="2925" w:type="dxa"/>
            <w:tcBorders>
              <w:top w:val="nil"/>
              <w:left w:val="nil"/>
              <w:bottom w:val="single" w:sz="4" w:space="0" w:color="auto"/>
              <w:right w:val="nil"/>
            </w:tcBorders>
            <w:shd w:val="clear" w:color="auto" w:fill="FFFFFF" w:themeFill="background1"/>
          </w:tcPr>
          <w:p w:rsidR="003F65DB" w:rsidRPr="0081515A" w:rsidRDefault="003F65DB" w:rsidP="003462E2">
            <w:pPr>
              <w:spacing w:line="276" w:lineRule="auto"/>
              <w:jc w:val="center"/>
              <w:rPr>
                <w:rFonts w:ascii="Arial" w:hAnsi="Arial" w:cs="Arial"/>
                <w:color w:val="212121"/>
                <w:sz w:val="20"/>
                <w:szCs w:val="20"/>
              </w:rPr>
            </w:pPr>
            <w:r w:rsidRPr="0081515A">
              <w:rPr>
                <w:rFonts w:ascii="Arial" w:hAnsi="Arial" w:cs="Arial"/>
                <w:color w:val="212121"/>
                <w:sz w:val="20"/>
                <w:szCs w:val="20"/>
              </w:rPr>
              <w:t>46.6%</w:t>
            </w:r>
          </w:p>
        </w:tc>
        <w:tc>
          <w:tcPr>
            <w:tcW w:w="2925" w:type="dxa"/>
            <w:tcBorders>
              <w:top w:val="nil"/>
              <w:left w:val="nil"/>
              <w:bottom w:val="single" w:sz="4" w:space="0" w:color="auto"/>
              <w:right w:val="single" w:sz="4" w:space="0" w:color="auto"/>
            </w:tcBorders>
            <w:shd w:val="clear" w:color="auto" w:fill="FFFFFF" w:themeFill="background1"/>
          </w:tcPr>
          <w:p w:rsidR="003F65DB" w:rsidRPr="0081515A" w:rsidRDefault="003F65DB" w:rsidP="003462E2">
            <w:pPr>
              <w:spacing w:line="276" w:lineRule="auto"/>
              <w:jc w:val="center"/>
              <w:rPr>
                <w:rFonts w:ascii="Arial" w:hAnsi="Arial" w:cs="Arial"/>
                <w:color w:val="212121"/>
                <w:sz w:val="20"/>
                <w:szCs w:val="20"/>
              </w:rPr>
            </w:pPr>
            <w:r w:rsidRPr="0081515A">
              <w:rPr>
                <w:rFonts w:ascii="Arial" w:hAnsi="Arial" w:cs="Arial"/>
                <w:color w:val="212121"/>
                <w:sz w:val="20"/>
                <w:szCs w:val="20"/>
              </w:rPr>
              <w:t>32.6%</w:t>
            </w:r>
          </w:p>
        </w:tc>
      </w:tr>
    </w:tbl>
    <w:p w:rsidR="00C413DE" w:rsidRDefault="00C413DE">
      <w:r>
        <w:br w:type="page"/>
      </w:r>
    </w:p>
    <w:tbl>
      <w:tblPr>
        <w:tblStyle w:val="TableGrid"/>
        <w:tblW w:w="10610" w:type="dxa"/>
        <w:jc w:val="center"/>
        <w:tblLook w:val="04A0" w:firstRow="1" w:lastRow="0" w:firstColumn="1" w:lastColumn="0" w:noHBand="0" w:noVBand="1"/>
      </w:tblPr>
      <w:tblGrid>
        <w:gridCol w:w="3578"/>
        <w:gridCol w:w="2182"/>
        <w:gridCol w:w="1980"/>
        <w:gridCol w:w="1976"/>
        <w:gridCol w:w="894"/>
      </w:tblGrid>
      <w:tr w:rsidR="00C413DE" w:rsidTr="00030091">
        <w:trPr>
          <w:jc w:val="center"/>
        </w:trPr>
        <w:tc>
          <w:tcPr>
            <w:tcW w:w="10610" w:type="dxa"/>
            <w:gridSpan w:val="5"/>
            <w:tcBorders>
              <w:top w:val="nil"/>
              <w:left w:val="nil"/>
              <w:bottom w:val="single" w:sz="4" w:space="0" w:color="auto"/>
              <w:right w:val="nil"/>
            </w:tcBorders>
            <w:shd w:val="clear" w:color="auto" w:fill="FFFFFF" w:themeFill="background1"/>
          </w:tcPr>
          <w:p w:rsidR="00C413DE" w:rsidRDefault="00681C9A" w:rsidP="003F65DB">
            <w:pPr>
              <w:rPr>
                <w:rFonts w:ascii="Arial" w:hAnsi="Arial" w:cs="Arial"/>
                <w:sz w:val="20"/>
                <w:szCs w:val="20"/>
              </w:rPr>
            </w:pPr>
            <w:r>
              <w:rPr>
                <w:rFonts w:ascii="Arial" w:hAnsi="Arial" w:cs="Arial"/>
                <w:b/>
                <w:sz w:val="20"/>
                <w:szCs w:val="20"/>
              </w:rPr>
              <w:lastRenderedPageBreak/>
              <w:t xml:space="preserve">Supplemental </w:t>
            </w:r>
            <w:r w:rsidR="00C413DE" w:rsidRPr="00077F90">
              <w:rPr>
                <w:rFonts w:ascii="Arial" w:hAnsi="Arial" w:cs="Arial"/>
                <w:b/>
                <w:sz w:val="20"/>
                <w:szCs w:val="20"/>
              </w:rPr>
              <w:t xml:space="preserve">Table </w:t>
            </w:r>
            <w:r w:rsidR="003F65DB">
              <w:rPr>
                <w:rFonts w:ascii="Arial" w:hAnsi="Arial" w:cs="Arial"/>
                <w:b/>
                <w:sz w:val="20"/>
                <w:szCs w:val="20"/>
              </w:rPr>
              <w:t>7</w:t>
            </w:r>
            <w:r w:rsidR="00C413DE" w:rsidRPr="00077F90">
              <w:rPr>
                <w:rFonts w:ascii="Arial" w:hAnsi="Arial" w:cs="Arial"/>
                <w:b/>
                <w:sz w:val="20"/>
                <w:szCs w:val="20"/>
              </w:rPr>
              <w:t>.</w:t>
            </w:r>
            <w:r w:rsidR="00C413DE">
              <w:rPr>
                <w:rFonts w:ascii="Arial" w:hAnsi="Arial" w:cs="Arial"/>
                <w:sz w:val="20"/>
                <w:szCs w:val="20"/>
              </w:rPr>
              <w:t xml:space="preserve"> Sepsis Hospitaliz</w:t>
            </w:r>
            <w:r w:rsidR="00F97495">
              <w:rPr>
                <w:rFonts w:ascii="Arial" w:hAnsi="Arial" w:cs="Arial"/>
                <w:sz w:val="20"/>
                <w:szCs w:val="20"/>
              </w:rPr>
              <w:t>ation Demographics by Tumor Class</w:t>
            </w:r>
          </w:p>
        </w:tc>
      </w:tr>
      <w:tr w:rsidR="00C413DE" w:rsidTr="00FA38E6">
        <w:trPr>
          <w:jc w:val="center"/>
        </w:trPr>
        <w:tc>
          <w:tcPr>
            <w:tcW w:w="3578" w:type="dxa"/>
            <w:tcBorders>
              <w:top w:val="single" w:sz="4" w:space="0" w:color="auto"/>
            </w:tcBorders>
            <w:shd w:val="clear" w:color="auto" w:fill="auto"/>
            <w:vAlign w:val="bottom"/>
          </w:tcPr>
          <w:p w:rsidR="00C413DE" w:rsidRDefault="00C413DE" w:rsidP="00030091">
            <w:pPr>
              <w:jc w:val="center"/>
              <w:rPr>
                <w:rFonts w:ascii="Arial" w:hAnsi="Arial" w:cs="Arial"/>
                <w:sz w:val="20"/>
                <w:szCs w:val="20"/>
              </w:rPr>
            </w:pPr>
          </w:p>
        </w:tc>
        <w:tc>
          <w:tcPr>
            <w:tcW w:w="2182" w:type="dxa"/>
            <w:tcBorders>
              <w:top w:val="single" w:sz="4" w:space="0" w:color="auto"/>
            </w:tcBorders>
            <w:shd w:val="clear" w:color="auto" w:fill="auto"/>
            <w:vAlign w:val="bottom"/>
          </w:tcPr>
          <w:p w:rsidR="00C413DE" w:rsidRDefault="00C413DE" w:rsidP="00772B85">
            <w:pPr>
              <w:jc w:val="center"/>
              <w:rPr>
                <w:rFonts w:ascii="Arial" w:hAnsi="Arial" w:cs="Arial"/>
                <w:sz w:val="20"/>
                <w:szCs w:val="20"/>
              </w:rPr>
            </w:pPr>
            <w:r>
              <w:rPr>
                <w:rFonts w:ascii="Arial" w:hAnsi="Arial" w:cs="Arial"/>
                <w:sz w:val="20"/>
                <w:szCs w:val="20"/>
              </w:rPr>
              <w:t>Solid Tumor (N=1</w:t>
            </w:r>
            <w:r w:rsidR="00772B85">
              <w:rPr>
                <w:rFonts w:ascii="Arial" w:hAnsi="Arial" w:cs="Arial"/>
                <w:sz w:val="20"/>
                <w:szCs w:val="20"/>
              </w:rPr>
              <w:t>48,845</w:t>
            </w:r>
            <w:r>
              <w:rPr>
                <w:rFonts w:ascii="Arial" w:hAnsi="Arial" w:cs="Arial"/>
                <w:sz w:val="20"/>
                <w:szCs w:val="20"/>
              </w:rPr>
              <w:t>)</w:t>
            </w:r>
          </w:p>
        </w:tc>
        <w:tc>
          <w:tcPr>
            <w:tcW w:w="1980" w:type="dxa"/>
            <w:tcBorders>
              <w:top w:val="single" w:sz="4" w:space="0" w:color="auto"/>
            </w:tcBorders>
            <w:shd w:val="clear" w:color="auto" w:fill="auto"/>
            <w:vAlign w:val="bottom"/>
          </w:tcPr>
          <w:p w:rsidR="00C413DE" w:rsidRDefault="00C413DE" w:rsidP="00772B85">
            <w:pPr>
              <w:jc w:val="center"/>
              <w:rPr>
                <w:rFonts w:ascii="Arial" w:hAnsi="Arial" w:cs="Arial"/>
                <w:sz w:val="20"/>
                <w:szCs w:val="20"/>
              </w:rPr>
            </w:pPr>
            <w:r>
              <w:rPr>
                <w:rFonts w:ascii="Arial" w:hAnsi="Arial" w:cs="Arial"/>
                <w:sz w:val="20"/>
                <w:szCs w:val="20"/>
              </w:rPr>
              <w:t>H</w:t>
            </w:r>
            <w:r w:rsidR="00856A77">
              <w:rPr>
                <w:rFonts w:ascii="Arial" w:hAnsi="Arial" w:cs="Arial"/>
                <w:sz w:val="20"/>
                <w:szCs w:val="20"/>
              </w:rPr>
              <w:t>ematologic Tumor (N=43,0</w:t>
            </w:r>
            <w:r w:rsidR="00772B85">
              <w:rPr>
                <w:rFonts w:ascii="Arial" w:hAnsi="Arial" w:cs="Arial"/>
                <w:sz w:val="20"/>
                <w:szCs w:val="20"/>
              </w:rPr>
              <w:t>74</w:t>
            </w:r>
            <w:r>
              <w:rPr>
                <w:rFonts w:ascii="Arial" w:hAnsi="Arial" w:cs="Arial"/>
                <w:sz w:val="20"/>
                <w:szCs w:val="20"/>
              </w:rPr>
              <w:t>)</w:t>
            </w:r>
          </w:p>
        </w:tc>
        <w:tc>
          <w:tcPr>
            <w:tcW w:w="1976" w:type="dxa"/>
            <w:tcBorders>
              <w:top w:val="single" w:sz="4" w:space="0" w:color="auto"/>
            </w:tcBorders>
            <w:shd w:val="clear" w:color="auto" w:fill="auto"/>
            <w:vAlign w:val="bottom"/>
          </w:tcPr>
          <w:p w:rsidR="00C413DE" w:rsidRDefault="00856A77" w:rsidP="00030091">
            <w:pPr>
              <w:jc w:val="center"/>
              <w:rPr>
                <w:rFonts w:ascii="Arial" w:hAnsi="Arial" w:cs="Arial"/>
                <w:sz w:val="20"/>
                <w:szCs w:val="20"/>
              </w:rPr>
            </w:pPr>
            <w:r>
              <w:rPr>
                <w:rFonts w:ascii="Arial" w:hAnsi="Arial" w:cs="Arial"/>
                <w:sz w:val="20"/>
                <w:szCs w:val="20"/>
              </w:rPr>
              <w:t>O</w:t>
            </w:r>
            <w:r w:rsidR="00772B85">
              <w:rPr>
                <w:rFonts w:ascii="Arial" w:hAnsi="Arial" w:cs="Arial"/>
                <w:sz w:val="20"/>
                <w:szCs w:val="20"/>
              </w:rPr>
              <w:t>ther Tumor (N=42,722</w:t>
            </w:r>
            <w:r w:rsidR="00C413DE">
              <w:rPr>
                <w:rFonts w:ascii="Arial" w:hAnsi="Arial" w:cs="Arial"/>
                <w:sz w:val="20"/>
                <w:szCs w:val="20"/>
              </w:rPr>
              <w:t>)</w:t>
            </w:r>
          </w:p>
        </w:tc>
        <w:tc>
          <w:tcPr>
            <w:tcW w:w="894" w:type="dxa"/>
            <w:tcBorders>
              <w:top w:val="single" w:sz="4" w:space="0" w:color="auto"/>
            </w:tcBorders>
            <w:shd w:val="clear" w:color="auto" w:fill="auto"/>
            <w:vAlign w:val="bottom"/>
          </w:tcPr>
          <w:p w:rsidR="00C413DE" w:rsidRPr="004D30D9" w:rsidRDefault="00C413DE" w:rsidP="00030091">
            <w:pPr>
              <w:jc w:val="center"/>
              <w:rPr>
                <w:rFonts w:ascii="Arial" w:hAnsi="Arial" w:cs="Arial"/>
                <w:i/>
                <w:sz w:val="20"/>
                <w:szCs w:val="20"/>
              </w:rPr>
            </w:pPr>
            <w:r w:rsidRPr="004D30D9">
              <w:rPr>
                <w:rFonts w:ascii="Arial" w:hAnsi="Arial" w:cs="Arial"/>
                <w:i/>
                <w:sz w:val="20"/>
                <w:szCs w:val="20"/>
              </w:rPr>
              <w:t>p</w:t>
            </w:r>
          </w:p>
        </w:tc>
      </w:tr>
      <w:tr w:rsidR="00C413DE" w:rsidRPr="00290385" w:rsidTr="00FA38E6">
        <w:trPr>
          <w:jc w:val="center"/>
        </w:trPr>
        <w:tc>
          <w:tcPr>
            <w:tcW w:w="10610" w:type="dxa"/>
            <w:gridSpan w:val="5"/>
            <w:tcBorders>
              <w:bottom w:val="single" w:sz="4" w:space="0" w:color="auto"/>
            </w:tcBorders>
            <w:shd w:val="clear" w:color="auto" w:fill="D9D9D9" w:themeFill="background1" w:themeFillShade="D9"/>
          </w:tcPr>
          <w:p w:rsidR="00C413DE" w:rsidRPr="00BE0C99" w:rsidRDefault="00C413DE" w:rsidP="00030091">
            <w:pPr>
              <w:rPr>
                <w:rFonts w:ascii="Arial" w:hAnsi="Arial" w:cs="Arial"/>
                <w:b/>
                <w:sz w:val="20"/>
                <w:szCs w:val="20"/>
              </w:rPr>
            </w:pPr>
            <w:r w:rsidRPr="00BE0C99">
              <w:rPr>
                <w:rFonts w:ascii="Arial" w:hAnsi="Arial" w:cs="Arial"/>
                <w:b/>
                <w:sz w:val="20"/>
                <w:szCs w:val="20"/>
              </w:rPr>
              <w:t>Patient Characteristics</w:t>
            </w:r>
          </w:p>
        </w:tc>
      </w:tr>
      <w:tr w:rsidR="00C413DE" w:rsidRPr="00290385" w:rsidTr="00FA38E6">
        <w:trPr>
          <w:trHeight w:val="233"/>
          <w:jc w:val="center"/>
        </w:trPr>
        <w:tc>
          <w:tcPr>
            <w:tcW w:w="3578" w:type="dxa"/>
            <w:tcBorders>
              <w:top w:val="single" w:sz="4" w:space="0" w:color="auto"/>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Age (years), median (IQR)</w:t>
            </w:r>
          </w:p>
        </w:tc>
        <w:tc>
          <w:tcPr>
            <w:tcW w:w="2182" w:type="dxa"/>
            <w:tcBorders>
              <w:top w:val="single" w:sz="4" w:space="0" w:color="auto"/>
              <w:left w:val="nil"/>
              <w:bottom w:val="nil"/>
              <w:right w:val="nil"/>
            </w:tcBorders>
            <w:shd w:val="clear" w:color="auto" w:fill="F2F2F2" w:themeFill="background1" w:themeFillShade="F2"/>
          </w:tcPr>
          <w:p w:rsidR="00C413DE" w:rsidRPr="00290385" w:rsidRDefault="00C413DE" w:rsidP="001810EE">
            <w:pPr>
              <w:jc w:val="center"/>
              <w:rPr>
                <w:rFonts w:ascii="Arial" w:hAnsi="Arial" w:cs="Arial"/>
                <w:sz w:val="20"/>
                <w:szCs w:val="20"/>
              </w:rPr>
            </w:pPr>
            <w:r>
              <w:rPr>
                <w:rFonts w:ascii="Arial" w:hAnsi="Arial" w:cs="Arial"/>
                <w:sz w:val="20"/>
                <w:szCs w:val="20"/>
              </w:rPr>
              <w:t>7</w:t>
            </w:r>
            <w:r w:rsidR="001810EE">
              <w:rPr>
                <w:rFonts w:ascii="Arial" w:hAnsi="Arial" w:cs="Arial"/>
                <w:sz w:val="20"/>
                <w:szCs w:val="20"/>
              </w:rPr>
              <w:t>4</w:t>
            </w:r>
            <w:r>
              <w:rPr>
                <w:rFonts w:ascii="Arial" w:hAnsi="Arial" w:cs="Arial"/>
                <w:sz w:val="20"/>
                <w:szCs w:val="20"/>
              </w:rPr>
              <w:t xml:space="preserve"> (6</w:t>
            </w:r>
            <w:r w:rsidR="001810EE">
              <w:rPr>
                <w:rFonts w:ascii="Arial" w:hAnsi="Arial" w:cs="Arial"/>
                <w:sz w:val="20"/>
                <w:szCs w:val="20"/>
              </w:rPr>
              <w:t>4-83</w:t>
            </w:r>
            <w:r>
              <w:rPr>
                <w:rFonts w:ascii="Arial" w:hAnsi="Arial" w:cs="Arial"/>
                <w:sz w:val="20"/>
                <w:szCs w:val="20"/>
              </w:rPr>
              <w:t>)</w:t>
            </w:r>
          </w:p>
        </w:tc>
        <w:tc>
          <w:tcPr>
            <w:tcW w:w="1980" w:type="dxa"/>
            <w:tcBorders>
              <w:top w:val="single" w:sz="4" w:space="0" w:color="auto"/>
              <w:left w:val="nil"/>
              <w:bottom w:val="nil"/>
              <w:right w:val="nil"/>
            </w:tcBorders>
            <w:shd w:val="clear" w:color="auto" w:fill="F2F2F2" w:themeFill="background1" w:themeFillShade="F2"/>
          </w:tcPr>
          <w:p w:rsidR="00C413DE" w:rsidRPr="00290385" w:rsidRDefault="00C413DE" w:rsidP="00030091">
            <w:pPr>
              <w:jc w:val="center"/>
              <w:rPr>
                <w:rFonts w:ascii="Arial" w:hAnsi="Arial" w:cs="Arial"/>
                <w:sz w:val="20"/>
                <w:szCs w:val="20"/>
              </w:rPr>
            </w:pPr>
            <w:r>
              <w:rPr>
                <w:rFonts w:ascii="Arial" w:hAnsi="Arial" w:cs="Arial"/>
                <w:sz w:val="20"/>
                <w:szCs w:val="20"/>
              </w:rPr>
              <w:t>6</w:t>
            </w:r>
            <w:r w:rsidR="001810EE">
              <w:rPr>
                <w:rFonts w:ascii="Arial" w:hAnsi="Arial" w:cs="Arial"/>
                <w:sz w:val="20"/>
                <w:szCs w:val="20"/>
              </w:rPr>
              <w:t>9 (58-78</w:t>
            </w:r>
            <w:r>
              <w:rPr>
                <w:rFonts w:ascii="Arial" w:hAnsi="Arial" w:cs="Arial"/>
                <w:sz w:val="20"/>
                <w:szCs w:val="20"/>
              </w:rPr>
              <w:t>)</w:t>
            </w:r>
          </w:p>
        </w:tc>
        <w:tc>
          <w:tcPr>
            <w:tcW w:w="1976" w:type="dxa"/>
            <w:tcBorders>
              <w:top w:val="single" w:sz="4" w:space="0" w:color="auto"/>
              <w:left w:val="nil"/>
              <w:bottom w:val="nil"/>
              <w:right w:val="nil"/>
            </w:tcBorders>
            <w:shd w:val="clear" w:color="auto" w:fill="F2F2F2" w:themeFill="background1" w:themeFillShade="F2"/>
          </w:tcPr>
          <w:p w:rsidR="00C413DE" w:rsidRPr="00290385" w:rsidRDefault="00C413DE" w:rsidP="00030091">
            <w:pPr>
              <w:jc w:val="center"/>
              <w:rPr>
                <w:rFonts w:ascii="Arial" w:hAnsi="Arial" w:cs="Arial"/>
                <w:sz w:val="20"/>
                <w:szCs w:val="20"/>
              </w:rPr>
            </w:pPr>
            <w:r>
              <w:rPr>
                <w:rFonts w:ascii="Arial" w:hAnsi="Arial" w:cs="Arial"/>
                <w:sz w:val="20"/>
                <w:szCs w:val="20"/>
              </w:rPr>
              <w:t>67 (58-76)</w:t>
            </w:r>
          </w:p>
        </w:tc>
        <w:tc>
          <w:tcPr>
            <w:tcW w:w="894" w:type="dxa"/>
            <w:tcBorders>
              <w:top w:val="single" w:sz="4" w:space="0" w:color="auto"/>
              <w:left w:val="nil"/>
              <w:bottom w:val="nil"/>
              <w:right w:val="single" w:sz="4" w:space="0" w:color="auto"/>
            </w:tcBorders>
            <w:shd w:val="clear" w:color="auto" w:fill="F2F2F2" w:themeFill="background1" w:themeFillShade="F2"/>
          </w:tcPr>
          <w:p w:rsidR="00C413DE" w:rsidRPr="00290385" w:rsidRDefault="00C413DE" w:rsidP="000428B7">
            <w:pPr>
              <w:jc w:val="right"/>
              <w:rPr>
                <w:rFonts w:ascii="Arial" w:hAnsi="Arial" w:cs="Arial"/>
                <w:sz w:val="20"/>
                <w:szCs w:val="20"/>
              </w:rPr>
            </w:pPr>
            <w:r w:rsidRPr="00290385">
              <w:rPr>
                <w:rFonts w:ascii="Arial" w:hAnsi="Arial" w:cs="Arial"/>
                <w:sz w:val="20"/>
                <w:szCs w:val="20"/>
              </w:rPr>
              <w:t>&lt;0.001</w:t>
            </w:r>
          </w:p>
        </w:tc>
      </w:tr>
      <w:tr w:rsidR="00856A77" w:rsidTr="00856A77">
        <w:trPr>
          <w:trHeight w:val="267"/>
          <w:jc w:val="center"/>
        </w:trPr>
        <w:tc>
          <w:tcPr>
            <w:tcW w:w="3578" w:type="dxa"/>
            <w:tcBorders>
              <w:top w:val="nil"/>
              <w:left w:val="single" w:sz="4" w:space="0" w:color="auto"/>
              <w:bottom w:val="nil"/>
              <w:right w:val="nil"/>
            </w:tcBorders>
            <w:shd w:val="clear" w:color="auto" w:fill="auto"/>
          </w:tcPr>
          <w:p w:rsidR="00856A77" w:rsidRDefault="00856A77" w:rsidP="00030091">
            <w:pPr>
              <w:rPr>
                <w:rFonts w:ascii="Arial" w:hAnsi="Arial" w:cs="Arial"/>
                <w:sz w:val="20"/>
                <w:szCs w:val="20"/>
              </w:rPr>
            </w:pPr>
            <w:r>
              <w:rPr>
                <w:rFonts w:ascii="Arial" w:hAnsi="Arial" w:cs="Arial"/>
                <w:sz w:val="20"/>
                <w:szCs w:val="20"/>
              </w:rPr>
              <w:t>Gender</w:t>
            </w:r>
            <w:r w:rsidR="009F19C4">
              <w:rPr>
                <w:rFonts w:ascii="Arial" w:hAnsi="Arial" w:cs="Arial"/>
                <w:sz w:val="20"/>
                <w:szCs w:val="20"/>
              </w:rPr>
              <w:t>, N(%)</w:t>
            </w:r>
          </w:p>
        </w:tc>
        <w:tc>
          <w:tcPr>
            <w:tcW w:w="2182" w:type="dxa"/>
            <w:tcBorders>
              <w:top w:val="nil"/>
              <w:left w:val="nil"/>
              <w:bottom w:val="nil"/>
              <w:right w:val="nil"/>
            </w:tcBorders>
            <w:shd w:val="clear" w:color="auto" w:fill="auto"/>
          </w:tcPr>
          <w:p w:rsidR="00856A77" w:rsidRDefault="00856A77" w:rsidP="001810EE">
            <w:pPr>
              <w:jc w:val="center"/>
              <w:rPr>
                <w:rFonts w:ascii="Arial" w:hAnsi="Arial" w:cs="Arial"/>
                <w:sz w:val="20"/>
                <w:szCs w:val="20"/>
              </w:rPr>
            </w:pPr>
          </w:p>
        </w:tc>
        <w:tc>
          <w:tcPr>
            <w:tcW w:w="1980" w:type="dxa"/>
            <w:tcBorders>
              <w:top w:val="nil"/>
              <w:left w:val="nil"/>
              <w:bottom w:val="nil"/>
              <w:right w:val="nil"/>
            </w:tcBorders>
            <w:shd w:val="clear" w:color="auto" w:fill="auto"/>
          </w:tcPr>
          <w:p w:rsidR="00856A77" w:rsidRDefault="00856A77" w:rsidP="00856A77">
            <w:pPr>
              <w:jc w:val="center"/>
              <w:rPr>
                <w:rFonts w:ascii="Arial" w:hAnsi="Arial" w:cs="Arial"/>
                <w:sz w:val="20"/>
                <w:szCs w:val="20"/>
              </w:rPr>
            </w:pPr>
          </w:p>
        </w:tc>
        <w:tc>
          <w:tcPr>
            <w:tcW w:w="1976" w:type="dxa"/>
            <w:tcBorders>
              <w:top w:val="nil"/>
              <w:left w:val="nil"/>
              <w:bottom w:val="nil"/>
              <w:right w:val="nil"/>
            </w:tcBorders>
            <w:shd w:val="clear" w:color="auto" w:fill="auto"/>
          </w:tcPr>
          <w:p w:rsidR="00856A77" w:rsidRDefault="00856A77" w:rsidP="00EF3A17">
            <w:pPr>
              <w:jc w:val="center"/>
              <w:rPr>
                <w:rFonts w:ascii="Arial" w:hAnsi="Arial" w:cs="Arial"/>
                <w:sz w:val="20"/>
                <w:szCs w:val="20"/>
              </w:rPr>
            </w:pPr>
          </w:p>
        </w:tc>
        <w:tc>
          <w:tcPr>
            <w:tcW w:w="894" w:type="dxa"/>
            <w:tcBorders>
              <w:top w:val="nil"/>
              <w:left w:val="nil"/>
              <w:bottom w:val="nil"/>
              <w:right w:val="single" w:sz="4" w:space="0" w:color="auto"/>
            </w:tcBorders>
            <w:shd w:val="clear" w:color="auto" w:fill="auto"/>
          </w:tcPr>
          <w:p w:rsidR="00856A77" w:rsidRDefault="00856A77" w:rsidP="000428B7">
            <w:pPr>
              <w:jc w:val="right"/>
              <w:rPr>
                <w:rFonts w:ascii="Arial" w:hAnsi="Arial" w:cs="Arial"/>
                <w:sz w:val="20"/>
                <w:szCs w:val="20"/>
              </w:rPr>
            </w:pPr>
            <w:r>
              <w:rPr>
                <w:rFonts w:ascii="Arial" w:hAnsi="Arial" w:cs="Arial"/>
                <w:sz w:val="20"/>
                <w:szCs w:val="20"/>
              </w:rPr>
              <w:t>&lt;0.001</w:t>
            </w:r>
          </w:p>
        </w:tc>
      </w:tr>
      <w:tr w:rsidR="00856A77" w:rsidTr="00FA38E6">
        <w:trPr>
          <w:trHeight w:val="267"/>
          <w:jc w:val="center"/>
        </w:trPr>
        <w:tc>
          <w:tcPr>
            <w:tcW w:w="3578" w:type="dxa"/>
            <w:tcBorders>
              <w:top w:val="nil"/>
              <w:left w:val="single" w:sz="4" w:space="0" w:color="auto"/>
              <w:bottom w:val="nil"/>
              <w:right w:val="nil"/>
            </w:tcBorders>
            <w:shd w:val="clear" w:color="auto" w:fill="F2F2F2" w:themeFill="background1" w:themeFillShade="F2"/>
          </w:tcPr>
          <w:p w:rsidR="00856A77" w:rsidRDefault="00856A77" w:rsidP="00030091">
            <w:pPr>
              <w:rPr>
                <w:rFonts w:ascii="Arial" w:hAnsi="Arial" w:cs="Arial"/>
                <w:sz w:val="20"/>
                <w:szCs w:val="20"/>
              </w:rPr>
            </w:pPr>
            <w:r>
              <w:rPr>
                <w:rFonts w:ascii="Arial" w:hAnsi="Arial" w:cs="Arial"/>
                <w:sz w:val="20"/>
                <w:szCs w:val="20"/>
              </w:rPr>
              <w:t xml:space="preserve">  Male</w:t>
            </w:r>
          </w:p>
        </w:tc>
        <w:tc>
          <w:tcPr>
            <w:tcW w:w="2182" w:type="dxa"/>
            <w:tcBorders>
              <w:top w:val="nil"/>
              <w:left w:val="nil"/>
              <w:bottom w:val="nil"/>
              <w:right w:val="nil"/>
            </w:tcBorders>
            <w:shd w:val="clear" w:color="auto" w:fill="F2F2F2" w:themeFill="background1" w:themeFillShade="F2"/>
          </w:tcPr>
          <w:p w:rsidR="00856A77" w:rsidRDefault="00772B85" w:rsidP="000428B7">
            <w:pPr>
              <w:jc w:val="right"/>
              <w:rPr>
                <w:rFonts w:ascii="Arial" w:hAnsi="Arial" w:cs="Arial"/>
                <w:sz w:val="20"/>
                <w:szCs w:val="20"/>
              </w:rPr>
            </w:pPr>
            <w:r>
              <w:rPr>
                <w:rFonts w:ascii="Arial" w:hAnsi="Arial" w:cs="Arial"/>
                <w:sz w:val="20"/>
                <w:szCs w:val="20"/>
              </w:rPr>
              <w:t>82,664</w:t>
            </w:r>
            <w:r w:rsidR="00856A77">
              <w:rPr>
                <w:rFonts w:ascii="Arial" w:hAnsi="Arial" w:cs="Arial"/>
                <w:sz w:val="20"/>
                <w:szCs w:val="20"/>
              </w:rPr>
              <w:t xml:space="preserve"> (55.5%)</w:t>
            </w:r>
          </w:p>
        </w:tc>
        <w:tc>
          <w:tcPr>
            <w:tcW w:w="1980" w:type="dxa"/>
            <w:tcBorders>
              <w:top w:val="nil"/>
              <w:left w:val="nil"/>
              <w:bottom w:val="nil"/>
              <w:right w:val="nil"/>
            </w:tcBorders>
            <w:shd w:val="clear" w:color="auto" w:fill="F2F2F2" w:themeFill="background1" w:themeFillShade="F2"/>
          </w:tcPr>
          <w:p w:rsidR="00856A77" w:rsidRDefault="00772B85" w:rsidP="000428B7">
            <w:pPr>
              <w:jc w:val="right"/>
              <w:rPr>
                <w:rFonts w:ascii="Arial" w:hAnsi="Arial" w:cs="Arial"/>
                <w:sz w:val="20"/>
                <w:szCs w:val="20"/>
              </w:rPr>
            </w:pPr>
            <w:r>
              <w:rPr>
                <w:rFonts w:ascii="Arial" w:hAnsi="Arial" w:cs="Arial"/>
                <w:sz w:val="20"/>
                <w:szCs w:val="20"/>
              </w:rPr>
              <w:t>25,421</w:t>
            </w:r>
            <w:r w:rsidR="00856A77">
              <w:rPr>
                <w:rFonts w:ascii="Arial" w:hAnsi="Arial" w:cs="Arial"/>
                <w:sz w:val="20"/>
                <w:szCs w:val="20"/>
              </w:rPr>
              <w:t xml:space="preserve"> (59.0%)</w:t>
            </w:r>
          </w:p>
        </w:tc>
        <w:tc>
          <w:tcPr>
            <w:tcW w:w="1976" w:type="dxa"/>
            <w:tcBorders>
              <w:top w:val="nil"/>
              <w:left w:val="nil"/>
              <w:bottom w:val="nil"/>
              <w:right w:val="nil"/>
            </w:tcBorders>
            <w:shd w:val="clear" w:color="auto" w:fill="F2F2F2" w:themeFill="background1" w:themeFillShade="F2"/>
          </w:tcPr>
          <w:p w:rsidR="00856A77" w:rsidRDefault="00772B85" w:rsidP="000428B7">
            <w:pPr>
              <w:jc w:val="right"/>
              <w:rPr>
                <w:rFonts w:ascii="Arial" w:hAnsi="Arial" w:cs="Arial"/>
                <w:sz w:val="20"/>
                <w:szCs w:val="20"/>
              </w:rPr>
            </w:pPr>
            <w:r>
              <w:rPr>
                <w:rFonts w:ascii="Arial" w:hAnsi="Arial" w:cs="Arial"/>
                <w:sz w:val="20"/>
                <w:szCs w:val="20"/>
              </w:rPr>
              <w:t>22,644</w:t>
            </w:r>
            <w:r w:rsidR="00856A77">
              <w:rPr>
                <w:rFonts w:ascii="Arial" w:hAnsi="Arial" w:cs="Arial"/>
                <w:sz w:val="20"/>
                <w:szCs w:val="20"/>
              </w:rPr>
              <w:t xml:space="preserve"> (53.0%)</w:t>
            </w:r>
          </w:p>
        </w:tc>
        <w:tc>
          <w:tcPr>
            <w:tcW w:w="894" w:type="dxa"/>
            <w:tcBorders>
              <w:top w:val="nil"/>
              <w:left w:val="nil"/>
              <w:bottom w:val="nil"/>
              <w:right w:val="single" w:sz="4" w:space="0" w:color="auto"/>
            </w:tcBorders>
            <w:shd w:val="clear" w:color="auto" w:fill="F2F2F2" w:themeFill="background1" w:themeFillShade="F2"/>
          </w:tcPr>
          <w:p w:rsidR="00856A77" w:rsidRDefault="00856A77" w:rsidP="000428B7">
            <w:pPr>
              <w:jc w:val="right"/>
              <w:rPr>
                <w:rFonts w:ascii="Arial" w:hAnsi="Arial" w:cs="Arial"/>
                <w:sz w:val="20"/>
                <w:szCs w:val="20"/>
              </w:rPr>
            </w:pPr>
          </w:p>
        </w:tc>
      </w:tr>
      <w:tr w:rsidR="00C413DE" w:rsidTr="00FA38E6">
        <w:trPr>
          <w:trHeight w:val="215"/>
          <w:jc w:val="center"/>
        </w:trPr>
        <w:tc>
          <w:tcPr>
            <w:tcW w:w="3578" w:type="dxa"/>
            <w:tcBorders>
              <w:top w:val="nil"/>
              <w:left w:val="single" w:sz="4" w:space="0" w:color="auto"/>
              <w:bottom w:val="nil"/>
              <w:right w:val="nil"/>
            </w:tcBorders>
            <w:shd w:val="clear" w:color="auto" w:fill="FFFFFF" w:themeFill="background1"/>
          </w:tcPr>
          <w:p w:rsidR="00C413DE" w:rsidRPr="0063526E" w:rsidRDefault="00C413DE" w:rsidP="00030091">
            <w:pPr>
              <w:rPr>
                <w:rFonts w:ascii="Arial" w:hAnsi="Arial" w:cs="Arial"/>
                <w:sz w:val="20"/>
                <w:szCs w:val="20"/>
              </w:rPr>
            </w:pPr>
            <w:r w:rsidRPr="0063526E">
              <w:rPr>
                <w:rFonts w:ascii="Arial" w:hAnsi="Arial" w:cs="Arial"/>
                <w:sz w:val="20"/>
                <w:szCs w:val="20"/>
              </w:rPr>
              <w:t>Payer type, N(%)</w:t>
            </w:r>
          </w:p>
        </w:tc>
        <w:tc>
          <w:tcPr>
            <w:tcW w:w="6138" w:type="dxa"/>
            <w:gridSpan w:val="3"/>
            <w:tcBorders>
              <w:top w:val="nil"/>
              <w:left w:val="nil"/>
              <w:bottom w:val="nil"/>
              <w:right w:val="nil"/>
            </w:tcBorders>
            <w:shd w:val="clear" w:color="auto" w:fill="FFFFFF" w:themeFill="background1"/>
          </w:tcPr>
          <w:p w:rsidR="00C413DE" w:rsidRDefault="00C413DE" w:rsidP="000428B7">
            <w:pPr>
              <w:jc w:val="right"/>
              <w:rPr>
                <w:rFonts w:ascii="Arial" w:hAnsi="Arial" w:cs="Arial"/>
                <w:sz w:val="20"/>
                <w:szCs w:val="20"/>
              </w:rPr>
            </w:pPr>
          </w:p>
        </w:tc>
        <w:tc>
          <w:tcPr>
            <w:tcW w:w="894" w:type="dxa"/>
            <w:tcBorders>
              <w:top w:val="nil"/>
              <w:left w:val="nil"/>
              <w:bottom w:val="nil"/>
              <w:right w:val="single" w:sz="4" w:space="0" w:color="auto"/>
            </w:tcBorders>
            <w:shd w:val="clear" w:color="auto" w:fill="FFFFFF" w:themeFill="background1"/>
          </w:tcPr>
          <w:p w:rsidR="00C413DE" w:rsidRDefault="00C413DE" w:rsidP="000428B7">
            <w:pPr>
              <w:jc w:val="right"/>
              <w:rPr>
                <w:rFonts w:ascii="Arial" w:hAnsi="Arial" w:cs="Arial"/>
                <w:sz w:val="20"/>
                <w:szCs w:val="20"/>
              </w:rPr>
            </w:pPr>
            <w:r>
              <w:rPr>
                <w:rFonts w:ascii="Arial" w:hAnsi="Arial" w:cs="Arial"/>
                <w:sz w:val="20"/>
                <w:szCs w:val="20"/>
              </w:rPr>
              <w:t>&lt;0.001</w:t>
            </w:r>
          </w:p>
        </w:tc>
      </w:tr>
      <w:tr w:rsidR="00C413DE" w:rsidTr="00FA38E6">
        <w:trPr>
          <w:trHeight w:val="263"/>
          <w:jc w:val="center"/>
        </w:trPr>
        <w:tc>
          <w:tcPr>
            <w:tcW w:w="3578" w:type="dxa"/>
            <w:tcBorders>
              <w:top w:val="nil"/>
              <w:left w:val="single" w:sz="4" w:space="0" w:color="auto"/>
              <w:bottom w:val="nil"/>
              <w:right w:val="nil"/>
            </w:tcBorders>
            <w:shd w:val="clear" w:color="auto" w:fill="F2F2F2" w:themeFill="background1" w:themeFillShade="F2"/>
          </w:tcPr>
          <w:p w:rsidR="00C413DE" w:rsidRDefault="00C413DE" w:rsidP="00030091">
            <w:pPr>
              <w:rPr>
                <w:rFonts w:ascii="Arial" w:hAnsi="Arial" w:cs="Arial"/>
                <w:sz w:val="20"/>
                <w:szCs w:val="20"/>
              </w:rPr>
            </w:pPr>
            <w:r>
              <w:rPr>
                <w:rFonts w:ascii="Arial" w:hAnsi="Arial" w:cs="Arial"/>
                <w:sz w:val="20"/>
                <w:szCs w:val="20"/>
              </w:rPr>
              <w:t xml:space="preserve">  Medicare</w:t>
            </w:r>
          </w:p>
        </w:tc>
        <w:tc>
          <w:tcPr>
            <w:tcW w:w="2182" w:type="dxa"/>
            <w:tcBorders>
              <w:top w:val="nil"/>
              <w:left w:val="nil"/>
              <w:bottom w:val="nil"/>
              <w:right w:val="nil"/>
            </w:tcBorders>
            <w:shd w:val="clear" w:color="auto" w:fill="F2F2F2" w:themeFill="background1" w:themeFillShade="F2"/>
          </w:tcPr>
          <w:p w:rsidR="00C413DE" w:rsidRDefault="009F19C4" w:rsidP="000428B7">
            <w:pPr>
              <w:jc w:val="right"/>
              <w:rPr>
                <w:rFonts w:ascii="Arial" w:hAnsi="Arial" w:cs="Arial"/>
                <w:sz w:val="20"/>
                <w:szCs w:val="20"/>
              </w:rPr>
            </w:pPr>
            <w:r>
              <w:rPr>
                <w:rFonts w:ascii="Arial" w:hAnsi="Arial" w:cs="Arial"/>
                <w:sz w:val="20"/>
                <w:szCs w:val="20"/>
              </w:rPr>
              <w:t>109,771 (73.8%)</w:t>
            </w:r>
          </w:p>
        </w:tc>
        <w:tc>
          <w:tcPr>
            <w:tcW w:w="1980" w:type="dxa"/>
            <w:tcBorders>
              <w:top w:val="nil"/>
              <w:left w:val="nil"/>
              <w:bottom w:val="nil"/>
              <w:right w:val="nil"/>
            </w:tcBorders>
            <w:shd w:val="clear" w:color="auto" w:fill="F2F2F2" w:themeFill="background1" w:themeFillShade="F2"/>
          </w:tcPr>
          <w:p w:rsidR="00C413DE" w:rsidRDefault="009F19C4" w:rsidP="000428B7">
            <w:pPr>
              <w:jc w:val="right"/>
              <w:rPr>
                <w:rFonts w:ascii="Arial" w:hAnsi="Arial" w:cs="Arial"/>
                <w:sz w:val="20"/>
                <w:szCs w:val="20"/>
              </w:rPr>
            </w:pPr>
            <w:r>
              <w:rPr>
                <w:rFonts w:ascii="Arial" w:hAnsi="Arial" w:cs="Arial"/>
                <w:sz w:val="20"/>
                <w:szCs w:val="20"/>
              </w:rPr>
              <w:t>27,179 (63.1%)</w:t>
            </w:r>
          </w:p>
        </w:tc>
        <w:tc>
          <w:tcPr>
            <w:tcW w:w="1976" w:type="dxa"/>
            <w:tcBorders>
              <w:top w:val="nil"/>
              <w:left w:val="nil"/>
              <w:bottom w:val="nil"/>
              <w:right w:val="nil"/>
            </w:tcBorders>
            <w:shd w:val="clear" w:color="auto" w:fill="F2F2F2" w:themeFill="background1" w:themeFillShade="F2"/>
          </w:tcPr>
          <w:p w:rsidR="00C413DE" w:rsidRDefault="009F19C4" w:rsidP="000428B7">
            <w:pPr>
              <w:jc w:val="right"/>
              <w:rPr>
                <w:rFonts w:ascii="Arial" w:hAnsi="Arial" w:cs="Arial"/>
                <w:sz w:val="20"/>
                <w:szCs w:val="20"/>
              </w:rPr>
            </w:pPr>
            <w:r>
              <w:rPr>
                <w:rFonts w:ascii="Arial" w:hAnsi="Arial" w:cs="Arial"/>
                <w:sz w:val="20"/>
                <w:szCs w:val="20"/>
              </w:rPr>
              <w:t>25,362 (59.4%)</w:t>
            </w:r>
          </w:p>
        </w:tc>
        <w:tc>
          <w:tcPr>
            <w:tcW w:w="894" w:type="dxa"/>
            <w:tcBorders>
              <w:top w:val="nil"/>
              <w:left w:val="nil"/>
              <w:bottom w:val="nil"/>
              <w:right w:val="single" w:sz="4" w:space="0" w:color="auto"/>
            </w:tcBorders>
            <w:shd w:val="clear" w:color="auto" w:fill="F2F2F2" w:themeFill="background1" w:themeFillShade="F2"/>
          </w:tcPr>
          <w:p w:rsidR="00C413DE" w:rsidRDefault="00C413DE" w:rsidP="000428B7">
            <w:pPr>
              <w:jc w:val="right"/>
              <w:rPr>
                <w:rFonts w:ascii="Arial" w:hAnsi="Arial" w:cs="Arial"/>
                <w:sz w:val="20"/>
                <w:szCs w:val="20"/>
              </w:rPr>
            </w:pPr>
          </w:p>
        </w:tc>
      </w:tr>
      <w:tr w:rsidR="00C413DE" w:rsidTr="00FA38E6">
        <w:trPr>
          <w:trHeight w:val="263"/>
          <w:jc w:val="center"/>
        </w:trPr>
        <w:tc>
          <w:tcPr>
            <w:tcW w:w="3578" w:type="dxa"/>
            <w:tcBorders>
              <w:top w:val="nil"/>
              <w:left w:val="single" w:sz="4" w:space="0" w:color="auto"/>
              <w:bottom w:val="nil"/>
              <w:right w:val="nil"/>
            </w:tcBorders>
            <w:shd w:val="clear" w:color="auto" w:fill="FFFFFF" w:themeFill="background1"/>
          </w:tcPr>
          <w:p w:rsidR="00C413DE" w:rsidRDefault="00C413DE" w:rsidP="00030091">
            <w:pPr>
              <w:rPr>
                <w:rFonts w:ascii="Arial" w:hAnsi="Arial" w:cs="Arial"/>
                <w:sz w:val="20"/>
                <w:szCs w:val="20"/>
              </w:rPr>
            </w:pPr>
            <w:r>
              <w:rPr>
                <w:rFonts w:ascii="Arial" w:hAnsi="Arial" w:cs="Arial"/>
                <w:sz w:val="20"/>
                <w:szCs w:val="20"/>
              </w:rPr>
              <w:t xml:space="preserve">  Private </w:t>
            </w:r>
          </w:p>
        </w:tc>
        <w:tc>
          <w:tcPr>
            <w:tcW w:w="2182" w:type="dxa"/>
            <w:tcBorders>
              <w:top w:val="nil"/>
              <w:left w:val="nil"/>
              <w:bottom w:val="nil"/>
              <w:right w:val="nil"/>
            </w:tcBorders>
            <w:shd w:val="clear" w:color="auto" w:fill="FFFFFF" w:themeFill="background1"/>
          </w:tcPr>
          <w:p w:rsidR="00C413DE" w:rsidRDefault="00772B85" w:rsidP="000428B7">
            <w:pPr>
              <w:jc w:val="right"/>
              <w:rPr>
                <w:rFonts w:ascii="Arial" w:hAnsi="Arial" w:cs="Arial"/>
                <w:sz w:val="20"/>
                <w:szCs w:val="20"/>
              </w:rPr>
            </w:pPr>
            <w:r>
              <w:rPr>
                <w:rFonts w:ascii="Arial" w:hAnsi="Arial" w:cs="Arial"/>
                <w:sz w:val="20"/>
                <w:szCs w:val="20"/>
              </w:rPr>
              <w:t>22,028</w:t>
            </w:r>
            <w:r w:rsidR="009F19C4">
              <w:rPr>
                <w:rFonts w:ascii="Arial" w:hAnsi="Arial" w:cs="Arial"/>
                <w:sz w:val="20"/>
                <w:szCs w:val="20"/>
              </w:rPr>
              <w:t xml:space="preserve"> (14.8%)</w:t>
            </w:r>
          </w:p>
        </w:tc>
        <w:tc>
          <w:tcPr>
            <w:tcW w:w="1980" w:type="dxa"/>
            <w:tcBorders>
              <w:top w:val="nil"/>
              <w:left w:val="nil"/>
              <w:bottom w:val="nil"/>
              <w:right w:val="nil"/>
            </w:tcBorders>
            <w:shd w:val="clear" w:color="auto" w:fill="FFFFFF" w:themeFill="background1"/>
          </w:tcPr>
          <w:p w:rsidR="00C413DE" w:rsidRDefault="00772B85" w:rsidP="00772B85">
            <w:pPr>
              <w:jc w:val="right"/>
              <w:rPr>
                <w:rFonts w:ascii="Arial" w:hAnsi="Arial" w:cs="Arial"/>
                <w:sz w:val="20"/>
                <w:szCs w:val="20"/>
              </w:rPr>
            </w:pPr>
            <w:r>
              <w:rPr>
                <w:rFonts w:ascii="Arial" w:hAnsi="Arial" w:cs="Arial"/>
                <w:sz w:val="20"/>
                <w:szCs w:val="20"/>
              </w:rPr>
              <w:t>9,647</w:t>
            </w:r>
            <w:r w:rsidR="009F19C4">
              <w:rPr>
                <w:rFonts w:ascii="Arial" w:hAnsi="Arial" w:cs="Arial"/>
                <w:sz w:val="20"/>
                <w:szCs w:val="20"/>
              </w:rPr>
              <w:t xml:space="preserve"> (22.4%)</w:t>
            </w:r>
          </w:p>
        </w:tc>
        <w:tc>
          <w:tcPr>
            <w:tcW w:w="1976" w:type="dxa"/>
            <w:tcBorders>
              <w:top w:val="nil"/>
              <w:left w:val="nil"/>
              <w:bottom w:val="nil"/>
              <w:right w:val="nil"/>
            </w:tcBorders>
            <w:shd w:val="clear" w:color="auto" w:fill="FFFFFF" w:themeFill="background1"/>
          </w:tcPr>
          <w:p w:rsidR="00C413DE" w:rsidRDefault="009F19C4" w:rsidP="000428B7">
            <w:pPr>
              <w:jc w:val="right"/>
              <w:rPr>
                <w:rFonts w:ascii="Arial" w:hAnsi="Arial" w:cs="Arial"/>
                <w:sz w:val="20"/>
                <w:szCs w:val="20"/>
              </w:rPr>
            </w:pPr>
            <w:r>
              <w:rPr>
                <w:rFonts w:ascii="Arial" w:hAnsi="Arial" w:cs="Arial"/>
                <w:sz w:val="20"/>
                <w:szCs w:val="20"/>
              </w:rPr>
              <w:t>10,128 (23.7%)</w:t>
            </w:r>
          </w:p>
        </w:tc>
        <w:tc>
          <w:tcPr>
            <w:tcW w:w="894" w:type="dxa"/>
            <w:tcBorders>
              <w:top w:val="nil"/>
              <w:left w:val="nil"/>
              <w:bottom w:val="nil"/>
              <w:right w:val="single" w:sz="4" w:space="0" w:color="auto"/>
            </w:tcBorders>
            <w:shd w:val="clear" w:color="auto" w:fill="FFFFFF" w:themeFill="background1"/>
          </w:tcPr>
          <w:p w:rsidR="00C413DE" w:rsidRDefault="00C413DE" w:rsidP="000428B7">
            <w:pPr>
              <w:jc w:val="right"/>
              <w:rPr>
                <w:rFonts w:ascii="Arial" w:hAnsi="Arial" w:cs="Arial"/>
                <w:sz w:val="20"/>
                <w:szCs w:val="20"/>
              </w:rPr>
            </w:pPr>
          </w:p>
        </w:tc>
      </w:tr>
      <w:tr w:rsidR="00C413DE" w:rsidTr="00FA38E6">
        <w:trPr>
          <w:trHeight w:val="263"/>
          <w:jc w:val="center"/>
        </w:trPr>
        <w:tc>
          <w:tcPr>
            <w:tcW w:w="3578" w:type="dxa"/>
            <w:tcBorders>
              <w:top w:val="nil"/>
              <w:left w:val="single" w:sz="4" w:space="0" w:color="auto"/>
              <w:bottom w:val="nil"/>
              <w:right w:val="nil"/>
            </w:tcBorders>
            <w:shd w:val="clear" w:color="auto" w:fill="F2F2F2" w:themeFill="background1" w:themeFillShade="F2"/>
          </w:tcPr>
          <w:p w:rsidR="00C413DE" w:rsidRDefault="00C413DE" w:rsidP="00030091">
            <w:pPr>
              <w:rPr>
                <w:rFonts w:ascii="Arial" w:hAnsi="Arial" w:cs="Arial"/>
                <w:sz w:val="20"/>
                <w:szCs w:val="20"/>
              </w:rPr>
            </w:pPr>
            <w:r>
              <w:rPr>
                <w:rFonts w:ascii="Arial" w:hAnsi="Arial" w:cs="Arial"/>
                <w:sz w:val="20"/>
                <w:szCs w:val="20"/>
              </w:rPr>
              <w:t xml:space="preserve">  Medicaid</w:t>
            </w:r>
          </w:p>
        </w:tc>
        <w:tc>
          <w:tcPr>
            <w:tcW w:w="2182" w:type="dxa"/>
            <w:tcBorders>
              <w:top w:val="nil"/>
              <w:left w:val="nil"/>
              <w:bottom w:val="nil"/>
              <w:right w:val="nil"/>
            </w:tcBorders>
            <w:shd w:val="clear" w:color="auto" w:fill="F2F2F2" w:themeFill="background1" w:themeFillShade="F2"/>
          </w:tcPr>
          <w:p w:rsidR="00C413DE" w:rsidRDefault="00772B85" w:rsidP="000428B7">
            <w:pPr>
              <w:jc w:val="right"/>
              <w:rPr>
                <w:rFonts w:ascii="Arial" w:hAnsi="Arial" w:cs="Arial"/>
                <w:sz w:val="20"/>
                <w:szCs w:val="20"/>
              </w:rPr>
            </w:pPr>
            <w:r>
              <w:rPr>
                <w:rFonts w:ascii="Arial" w:hAnsi="Arial" w:cs="Arial"/>
                <w:sz w:val="20"/>
                <w:szCs w:val="20"/>
              </w:rPr>
              <w:t>11,133</w:t>
            </w:r>
            <w:r w:rsidR="009F19C4">
              <w:rPr>
                <w:rFonts w:ascii="Arial" w:hAnsi="Arial" w:cs="Arial"/>
                <w:sz w:val="20"/>
                <w:szCs w:val="20"/>
              </w:rPr>
              <w:t xml:space="preserve"> (7.5%)</w:t>
            </w:r>
          </w:p>
        </w:tc>
        <w:tc>
          <w:tcPr>
            <w:tcW w:w="1980" w:type="dxa"/>
            <w:tcBorders>
              <w:top w:val="nil"/>
              <w:left w:val="nil"/>
              <w:bottom w:val="nil"/>
              <w:right w:val="nil"/>
            </w:tcBorders>
            <w:shd w:val="clear" w:color="auto" w:fill="F2F2F2" w:themeFill="background1" w:themeFillShade="F2"/>
          </w:tcPr>
          <w:p w:rsidR="00C413DE" w:rsidRDefault="00772B85" w:rsidP="000428B7">
            <w:pPr>
              <w:jc w:val="right"/>
              <w:rPr>
                <w:rFonts w:ascii="Arial" w:hAnsi="Arial" w:cs="Arial"/>
                <w:sz w:val="20"/>
                <w:szCs w:val="20"/>
              </w:rPr>
            </w:pPr>
            <w:r>
              <w:rPr>
                <w:rFonts w:ascii="Arial" w:hAnsi="Arial" w:cs="Arial"/>
                <w:sz w:val="20"/>
                <w:szCs w:val="20"/>
              </w:rPr>
              <w:t>4,317</w:t>
            </w:r>
            <w:r w:rsidR="009F19C4">
              <w:rPr>
                <w:rFonts w:ascii="Arial" w:hAnsi="Arial" w:cs="Arial"/>
                <w:sz w:val="20"/>
                <w:szCs w:val="20"/>
              </w:rPr>
              <w:t xml:space="preserve"> (10.0%)</w:t>
            </w:r>
          </w:p>
        </w:tc>
        <w:tc>
          <w:tcPr>
            <w:tcW w:w="1976" w:type="dxa"/>
            <w:tcBorders>
              <w:top w:val="nil"/>
              <w:left w:val="nil"/>
              <w:bottom w:val="nil"/>
              <w:right w:val="nil"/>
            </w:tcBorders>
            <w:shd w:val="clear" w:color="auto" w:fill="F2F2F2" w:themeFill="background1" w:themeFillShade="F2"/>
          </w:tcPr>
          <w:p w:rsidR="00C413DE" w:rsidRDefault="00772B85" w:rsidP="000428B7">
            <w:pPr>
              <w:jc w:val="right"/>
              <w:rPr>
                <w:rFonts w:ascii="Arial" w:hAnsi="Arial" w:cs="Arial"/>
                <w:sz w:val="20"/>
                <w:szCs w:val="20"/>
              </w:rPr>
            </w:pPr>
            <w:r>
              <w:rPr>
                <w:rFonts w:ascii="Arial" w:hAnsi="Arial" w:cs="Arial"/>
                <w:sz w:val="20"/>
                <w:szCs w:val="20"/>
              </w:rPr>
              <w:t>5,103</w:t>
            </w:r>
            <w:r w:rsidR="009F19C4">
              <w:rPr>
                <w:rFonts w:ascii="Arial" w:hAnsi="Arial" w:cs="Arial"/>
                <w:sz w:val="20"/>
                <w:szCs w:val="20"/>
              </w:rPr>
              <w:t xml:space="preserve"> (12.0%)</w:t>
            </w:r>
          </w:p>
        </w:tc>
        <w:tc>
          <w:tcPr>
            <w:tcW w:w="894" w:type="dxa"/>
            <w:tcBorders>
              <w:top w:val="nil"/>
              <w:left w:val="nil"/>
              <w:bottom w:val="nil"/>
              <w:right w:val="single" w:sz="4" w:space="0" w:color="auto"/>
            </w:tcBorders>
            <w:shd w:val="clear" w:color="auto" w:fill="F2F2F2" w:themeFill="background1" w:themeFillShade="F2"/>
          </w:tcPr>
          <w:p w:rsidR="00C413DE" w:rsidRDefault="00C413DE" w:rsidP="000428B7">
            <w:pPr>
              <w:jc w:val="right"/>
              <w:rPr>
                <w:rFonts w:ascii="Arial" w:hAnsi="Arial" w:cs="Arial"/>
                <w:sz w:val="20"/>
                <w:szCs w:val="20"/>
              </w:rPr>
            </w:pPr>
          </w:p>
        </w:tc>
      </w:tr>
      <w:tr w:rsidR="00C413DE" w:rsidTr="00FA38E6">
        <w:trPr>
          <w:trHeight w:val="305"/>
          <w:jc w:val="center"/>
        </w:trPr>
        <w:tc>
          <w:tcPr>
            <w:tcW w:w="3578" w:type="dxa"/>
            <w:tcBorders>
              <w:top w:val="nil"/>
              <w:left w:val="single" w:sz="4" w:space="0" w:color="auto"/>
              <w:bottom w:val="nil"/>
              <w:right w:val="nil"/>
            </w:tcBorders>
            <w:shd w:val="clear" w:color="auto" w:fill="FFFFFF" w:themeFill="background1"/>
          </w:tcPr>
          <w:p w:rsidR="00C413DE" w:rsidRDefault="00C413DE" w:rsidP="00030091">
            <w:pPr>
              <w:rPr>
                <w:rFonts w:ascii="Arial" w:hAnsi="Arial" w:cs="Arial"/>
                <w:sz w:val="20"/>
                <w:szCs w:val="20"/>
              </w:rPr>
            </w:pPr>
            <w:r>
              <w:rPr>
                <w:rFonts w:ascii="Arial" w:hAnsi="Arial" w:cs="Arial"/>
                <w:sz w:val="20"/>
                <w:szCs w:val="20"/>
              </w:rPr>
              <w:t xml:space="preserve">  Self-Pay</w:t>
            </w:r>
          </w:p>
        </w:tc>
        <w:tc>
          <w:tcPr>
            <w:tcW w:w="2182" w:type="dxa"/>
            <w:tcBorders>
              <w:top w:val="nil"/>
              <w:left w:val="nil"/>
              <w:bottom w:val="nil"/>
              <w:right w:val="nil"/>
            </w:tcBorders>
            <w:shd w:val="clear" w:color="auto" w:fill="FFFFFF" w:themeFill="background1"/>
          </w:tcPr>
          <w:p w:rsidR="00C413DE" w:rsidRDefault="009F19C4" w:rsidP="000428B7">
            <w:pPr>
              <w:jc w:val="right"/>
              <w:rPr>
                <w:rFonts w:ascii="Arial" w:hAnsi="Arial" w:cs="Arial"/>
                <w:sz w:val="20"/>
                <w:szCs w:val="20"/>
              </w:rPr>
            </w:pPr>
            <w:r>
              <w:rPr>
                <w:rFonts w:ascii="Arial" w:hAnsi="Arial" w:cs="Arial"/>
                <w:sz w:val="20"/>
                <w:szCs w:val="20"/>
              </w:rPr>
              <w:t>1,815 (1.2%)</w:t>
            </w:r>
          </w:p>
        </w:tc>
        <w:tc>
          <w:tcPr>
            <w:tcW w:w="1980" w:type="dxa"/>
            <w:tcBorders>
              <w:top w:val="nil"/>
              <w:left w:val="nil"/>
              <w:bottom w:val="nil"/>
              <w:right w:val="nil"/>
            </w:tcBorders>
            <w:shd w:val="clear" w:color="auto" w:fill="FFFFFF" w:themeFill="background1"/>
          </w:tcPr>
          <w:p w:rsidR="00C413DE" w:rsidRDefault="009F19C4" w:rsidP="000428B7">
            <w:pPr>
              <w:jc w:val="right"/>
              <w:rPr>
                <w:rFonts w:ascii="Arial" w:hAnsi="Arial" w:cs="Arial"/>
                <w:sz w:val="20"/>
                <w:szCs w:val="20"/>
              </w:rPr>
            </w:pPr>
            <w:r>
              <w:rPr>
                <w:rFonts w:ascii="Arial" w:hAnsi="Arial" w:cs="Arial"/>
                <w:sz w:val="20"/>
                <w:szCs w:val="20"/>
              </w:rPr>
              <w:t>616 (1.4%)</w:t>
            </w:r>
          </w:p>
        </w:tc>
        <w:tc>
          <w:tcPr>
            <w:tcW w:w="1976" w:type="dxa"/>
            <w:tcBorders>
              <w:top w:val="nil"/>
              <w:left w:val="nil"/>
              <w:bottom w:val="nil"/>
              <w:right w:val="nil"/>
            </w:tcBorders>
            <w:shd w:val="clear" w:color="auto" w:fill="FFFFFF" w:themeFill="background1"/>
          </w:tcPr>
          <w:p w:rsidR="00C413DE" w:rsidRDefault="009F19C4" w:rsidP="000428B7">
            <w:pPr>
              <w:jc w:val="right"/>
              <w:rPr>
                <w:rFonts w:ascii="Arial" w:hAnsi="Arial" w:cs="Arial"/>
                <w:sz w:val="20"/>
                <w:szCs w:val="20"/>
              </w:rPr>
            </w:pPr>
            <w:r>
              <w:rPr>
                <w:rFonts w:ascii="Arial" w:hAnsi="Arial" w:cs="Arial"/>
                <w:sz w:val="20"/>
                <w:szCs w:val="20"/>
              </w:rPr>
              <w:t>758 (1.8%)</w:t>
            </w:r>
          </w:p>
        </w:tc>
        <w:tc>
          <w:tcPr>
            <w:tcW w:w="894" w:type="dxa"/>
            <w:tcBorders>
              <w:top w:val="nil"/>
              <w:left w:val="nil"/>
              <w:bottom w:val="nil"/>
              <w:right w:val="single" w:sz="4" w:space="0" w:color="auto"/>
            </w:tcBorders>
            <w:shd w:val="clear" w:color="auto" w:fill="FFFFFF" w:themeFill="background1"/>
          </w:tcPr>
          <w:p w:rsidR="00C413DE" w:rsidRDefault="00C413DE" w:rsidP="000428B7">
            <w:pPr>
              <w:jc w:val="right"/>
              <w:rPr>
                <w:rFonts w:ascii="Arial" w:hAnsi="Arial" w:cs="Arial"/>
                <w:sz w:val="20"/>
                <w:szCs w:val="20"/>
              </w:rPr>
            </w:pPr>
          </w:p>
        </w:tc>
      </w:tr>
      <w:tr w:rsidR="00C413DE" w:rsidTr="00FA38E6">
        <w:trPr>
          <w:trHeight w:val="263"/>
          <w:jc w:val="center"/>
        </w:trPr>
        <w:tc>
          <w:tcPr>
            <w:tcW w:w="3578" w:type="dxa"/>
            <w:tcBorders>
              <w:top w:val="nil"/>
              <w:left w:val="single" w:sz="4" w:space="0" w:color="auto"/>
              <w:bottom w:val="nil"/>
              <w:right w:val="nil"/>
            </w:tcBorders>
            <w:shd w:val="clear" w:color="auto" w:fill="F2F2F2" w:themeFill="background1" w:themeFillShade="F2"/>
          </w:tcPr>
          <w:p w:rsidR="00C413DE" w:rsidRDefault="00C413DE" w:rsidP="00030091">
            <w:pPr>
              <w:rPr>
                <w:rFonts w:ascii="Arial" w:hAnsi="Arial" w:cs="Arial"/>
                <w:sz w:val="20"/>
                <w:szCs w:val="20"/>
              </w:rPr>
            </w:pPr>
            <w:r>
              <w:rPr>
                <w:rFonts w:ascii="Arial" w:hAnsi="Arial" w:cs="Arial"/>
                <w:sz w:val="20"/>
                <w:szCs w:val="20"/>
              </w:rPr>
              <w:t xml:space="preserve">  Other</w:t>
            </w:r>
          </w:p>
        </w:tc>
        <w:tc>
          <w:tcPr>
            <w:tcW w:w="2182" w:type="dxa"/>
            <w:tcBorders>
              <w:top w:val="nil"/>
              <w:left w:val="nil"/>
              <w:bottom w:val="nil"/>
              <w:right w:val="nil"/>
            </w:tcBorders>
            <w:shd w:val="clear" w:color="auto" w:fill="F2F2F2" w:themeFill="background1" w:themeFillShade="F2"/>
          </w:tcPr>
          <w:p w:rsidR="00C413DE" w:rsidRDefault="009F19C4" w:rsidP="000428B7">
            <w:pPr>
              <w:jc w:val="right"/>
              <w:rPr>
                <w:rFonts w:ascii="Arial" w:hAnsi="Arial" w:cs="Arial"/>
                <w:sz w:val="20"/>
                <w:szCs w:val="20"/>
              </w:rPr>
            </w:pPr>
            <w:r>
              <w:rPr>
                <w:rFonts w:ascii="Arial" w:hAnsi="Arial" w:cs="Arial"/>
                <w:sz w:val="20"/>
                <w:szCs w:val="20"/>
              </w:rPr>
              <w:t>3,697 (2.5%)</w:t>
            </w:r>
          </w:p>
        </w:tc>
        <w:tc>
          <w:tcPr>
            <w:tcW w:w="1980" w:type="dxa"/>
            <w:tcBorders>
              <w:top w:val="nil"/>
              <w:left w:val="nil"/>
              <w:bottom w:val="nil"/>
              <w:right w:val="nil"/>
            </w:tcBorders>
            <w:shd w:val="clear" w:color="auto" w:fill="F2F2F2" w:themeFill="background1" w:themeFillShade="F2"/>
          </w:tcPr>
          <w:p w:rsidR="00C413DE" w:rsidRDefault="009F19C4" w:rsidP="000428B7">
            <w:pPr>
              <w:jc w:val="right"/>
              <w:rPr>
                <w:rFonts w:ascii="Arial" w:hAnsi="Arial" w:cs="Arial"/>
                <w:sz w:val="20"/>
                <w:szCs w:val="20"/>
              </w:rPr>
            </w:pPr>
            <w:r>
              <w:rPr>
                <w:rFonts w:ascii="Arial" w:hAnsi="Arial" w:cs="Arial"/>
                <w:sz w:val="20"/>
                <w:szCs w:val="20"/>
              </w:rPr>
              <w:t>1,142 (2.7%)</w:t>
            </w:r>
          </w:p>
        </w:tc>
        <w:tc>
          <w:tcPr>
            <w:tcW w:w="1976" w:type="dxa"/>
            <w:tcBorders>
              <w:top w:val="nil"/>
              <w:left w:val="nil"/>
              <w:bottom w:val="nil"/>
              <w:right w:val="nil"/>
            </w:tcBorders>
            <w:shd w:val="clear" w:color="auto" w:fill="F2F2F2" w:themeFill="background1" w:themeFillShade="F2"/>
          </w:tcPr>
          <w:p w:rsidR="00C413DE" w:rsidRDefault="00772B85" w:rsidP="000428B7">
            <w:pPr>
              <w:jc w:val="right"/>
              <w:rPr>
                <w:rFonts w:ascii="Arial" w:hAnsi="Arial" w:cs="Arial"/>
                <w:sz w:val="20"/>
                <w:szCs w:val="20"/>
              </w:rPr>
            </w:pPr>
            <w:r>
              <w:rPr>
                <w:rFonts w:ascii="Arial" w:hAnsi="Arial" w:cs="Arial"/>
                <w:sz w:val="20"/>
                <w:szCs w:val="20"/>
              </w:rPr>
              <w:t>1,219</w:t>
            </w:r>
            <w:r w:rsidR="009F19C4">
              <w:rPr>
                <w:rFonts w:ascii="Arial" w:hAnsi="Arial" w:cs="Arial"/>
                <w:sz w:val="20"/>
                <w:szCs w:val="20"/>
              </w:rPr>
              <w:t xml:space="preserve"> (2.9%)</w:t>
            </w:r>
          </w:p>
        </w:tc>
        <w:tc>
          <w:tcPr>
            <w:tcW w:w="894" w:type="dxa"/>
            <w:tcBorders>
              <w:top w:val="nil"/>
              <w:left w:val="nil"/>
              <w:bottom w:val="nil"/>
              <w:right w:val="single" w:sz="4" w:space="0" w:color="auto"/>
            </w:tcBorders>
            <w:shd w:val="clear" w:color="auto" w:fill="F2F2F2" w:themeFill="background1" w:themeFillShade="F2"/>
          </w:tcPr>
          <w:p w:rsidR="00C413DE" w:rsidRDefault="00C413DE" w:rsidP="000428B7">
            <w:pPr>
              <w:jc w:val="right"/>
              <w:rPr>
                <w:rFonts w:ascii="Arial" w:hAnsi="Arial" w:cs="Arial"/>
                <w:sz w:val="20"/>
                <w:szCs w:val="20"/>
              </w:rPr>
            </w:pPr>
          </w:p>
        </w:tc>
      </w:tr>
      <w:tr w:rsidR="00C413DE" w:rsidTr="00FA38E6">
        <w:trPr>
          <w:trHeight w:val="263"/>
          <w:jc w:val="center"/>
        </w:trPr>
        <w:tc>
          <w:tcPr>
            <w:tcW w:w="3578" w:type="dxa"/>
            <w:tcBorders>
              <w:top w:val="nil"/>
              <w:left w:val="single" w:sz="4" w:space="0" w:color="auto"/>
              <w:bottom w:val="nil"/>
              <w:right w:val="nil"/>
            </w:tcBorders>
            <w:shd w:val="clear" w:color="auto" w:fill="FFFFFF" w:themeFill="background1"/>
          </w:tcPr>
          <w:p w:rsidR="00C413DE" w:rsidRDefault="00C413DE" w:rsidP="00030091">
            <w:pPr>
              <w:rPr>
                <w:rFonts w:ascii="Arial" w:hAnsi="Arial" w:cs="Arial"/>
                <w:sz w:val="20"/>
                <w:szCs w:val="20"/>
              </w:rPr>
            </w:pPr>
            <w:r>
              <w:rPr>
                <w:rFonts w:ascii="Arial" w:hAnsi="Arial" w:cs="Arial"/>
                <w:sz w:val="20"/>
                <w:szCs w:val="20"/>
              </w:rPr>
              <w:t xml:space="preserve">  Missing</w:t>
            </w:r>
          </w:p>
        </w:tc>
        <w:tc>
          <w:tcPr>
            <w:tcW w:w="2182" w:type="dxa"/>
            <w:tcBorders>
              <w:top w:val="nil"/>
              <w:left w:val="nil"/>
              <w:bottom w:val="nil"/>
              <w:right w:val="nil"/>
            </w:tcBorders>
            <w:shd w:val="clear" w:color="auto" w:fill="FFFFFF" w:themeFill="background1"/>
          </w:tcPr>
          <w:p w:rsidR="00C413DE" w:rsidRDefault="009F19C4" w:rsidP="000428B7">
            <w:pPr>
              <w:jc w:val="right"/>
              <w:rPr>
                <w:rFonts w:ascii="Arial" w:hAnsi="Arial" w:cs="Arial"/>
                <w:sz w:val="20"/>
                <w:szCs w:val="20"/>
              </w:rPr>
            </w:pPr>
            <w:r>
              <w:rPr>
                <w:rFonts w:ascii="Arial" w:hAnsi="Arial" w:cs="Arial"/>
                <w:sz w:val="20"/>
                <w:szCs w:val="20"/>
              </w:rPr>
              <w:t>180 (0.1%)</w:t>
            </w:r>
          </w:p>
        </w:tc>
        <w:tc>
          <w:tcPr>
            <w:tcW w:w="1980" w:type="dxa"/>
            <w:tcBorders>
              <w:top w:val="nil"/>
              <w:left w:val="nil"/>
              <w:bottom w:val="nil"/>
              <w:right w:val="nil"/>
            </w:tcBorders>
            <w:shd w:val="clear" w:color="auto" w:fill="FFFFFF" w:themeFill="background1"/>
          </w:tcPr>
          <w:p w:rsidR="00C413DE" w:rsidRDefault="009F19C4" w:rsidP="000428B7">
            <w:pPr>
              <w:jc w:val="right"/>
              <w:rPr>
                <w:rFonts w:ascii="Arial" w:hAnsi="Arial" w:cs="Arial"/>
                <w:sz w:val="20"/>
                <w:szCs w:val="20"/>
              </w:rPr>
            </w:pPr>
            <w:r>
              <w:rPr>
                <w:rFonts w:ascii="Arial" w:hAnsi="Arial" w:cs="Arial"/>
                <w:sz w:val="20"/>
                <w:szCs w:val="20"/>
              </w:rPr>
              <w:t>97 (0.2%)</w:t>
            </w:r>
          </w:p>
        </w:tc>
        <w:tc>
          <w:tcPr>
            <w:tcW w:w="1976" w:type="dxa"/>
            <w:tcBorders>
              <w:top w:val="nil"/>
              <w:left w:val="nil"/>
              <w:bottom w:val="nil"/>
              <w:right w:val="nil"/>
            </w:tcBorders>
            <w:shd w:val="clear" w:color="auto" w:fill="FFFFFF" w:themeFill="background1"/>
          </w:tcPr>
          <w:p w:rsidR="00C413DE" w:rsidRDefault="009F19C4" w:rsidP="000428B7">
            <w:pPr>
              <w:jc w:val="right"/>
              <w:rPr>
                <w:rFonts w:ascii="Arial" w:hAnsi="Arial" w:cs="Arial"/>
                <w:sz w:val="20"/>
                <w:szCs w:val="20"/>
              </w:rPr>
            </w:pPr>
            <w:r>
              <w:rPr>
                <w:rFonts w:ascii="Arial" w:hAnsi="Arial" w:cs="Arial"/>
                <w:sz w:val="20"/>
                <w:szCs w:val="20"/>
              </w:rPr>
              <w:t>69 (0.2%)</w:t>
            </w:r>
          </w:p>
        </w:tc>
        <w:tc>
          <w:tcPr>
            <w:tcW w:w="894" w:type="dxa"/>
            <w:tcBorders>
              <w:top w:val="nil"/>
              <w:left w:val="nil"/>
              <w:bottom w:val="nil"/>
              <w:right w:val="single" w:sz="4" w:space="0" w:color="auto"/>
            </w:tcBorders>
            <w:shd w:val="clear" w:color="auto" w:fill="FFFFFF" w:themeFill="background1"/>
          </w:tcPr>
          <w:p w:rsidR="00C413DE" w:rsidRDefault="00C413DE" w:rsidP="000428B7">
            <w:pPr>
              <w:jc w:val="right"/>
              <w:rPr>
                <w:rFonts w:ascii="Arial" w:hAnsi="Arial" w:cs="Arial"/>
                <w:sz w:val="20"/>
                <w:szCs w:val="20"/>
              </w:rPr>
            </w:pPr>
          </w:p>
        </w:tc>
      </w:tr>
      <w:tr w:rsidR="00FA38E6" w:rsidTr="00FA38E6">
        <w:trPr>
          <w:trHeight w:val="263"/>
          <w:jc w:val="center"/>
        </w:trPr>
        <w:tc>
          <w:tcPr>
            <w:tcW w:w="3578" w:type="dxa"/>
            <w:tcBorders>
              <w:top w:val="nil"/>
              <w:left w:val="single" w:sz="4" w:space="0" w:color="auto"/>
              <w:bottom w:val="nil"/>
              <w:right w:val="nil"/>
            </w:tcBorders>
            <w:shd w:val="clear" w:color="auto" w:fill="F2F2F2" w:themeFill="background1" w:themeFillShade="F2"/>
          </w:tcPr>
          <w:p w:rsidR="00FA38E6" w:rsidRDefault="00FA38E6" w:rsidP="00030091">
            <w:pPr>
              <w:rPr>
                <w:rFonts w:ascii="Arial" w:hAnsi="Arial" w:cs="Arial"/>
                <w:sz w:val="20"/>
                <w:szCs w:val="20"/>
              </w:rPr>
            </w:pPr>
            <w:proofErr w:type="spellStart"/>
            <w:r>
              <w:rPr>
                <w:rFonts w:ascii="Arial" w:hAnsi="Arial" w:cs="Arial"/>
                <w:sz w:val="20"/>
                <w:szCs w:val="20"/>
              </w:rPr>
              <w:t>Charlson</w:t>
            </w:r>
            <w:proofErr w:type="spellEnd"/>
            <w:r>
              <w:rPr>
                <w:rFonts w:ascii="Arial" w:hAnsi="Arial" w:cs="Arial"/>
                <w:sz w:val="20"/>
                <w:szCs w:val="20"/>
              </w:rPr>
              <w:t xml:space="preserve"> Comorbidity Index</w:t>
            </w:r>
          </w:p>
        </w:tc>
        <w:tc>
          <w:tcPr>
            <w:tcW w:w="2182" w:type="dxa"/>
            <w:tcBorders>
              <w:top w:val="nil"/>
              <w:left w:val="nil"/>
              <w:bottom w:val="nil"/>
              <w:right w:val="nil"/>
            </w:tcBorders>
            <w:shd w:val="clear" w:color="auto" w:fill="F2F2F2" w:themeFill="background1" w:themeFillShade="F2"/>
          </w:tcPr>
          <w:p w:rsidR="00FA38E6" w:rsidRDefault="00FA38E6" w:rsidP="00030091">
            <w:pPr>
              <w:jc w:val="center"/>
              <w:rPr>
                <w:rFonts w:ascii="Arial" w:hAnsi="Arial" w:cs="Arial"/>
                <w:sz w:val="20"/>
                <w:szCs w:val="20"/>
              </w:rPr>
            </w:pPr>
          </w:p>
        </w:tc>
        <w:tc>
          <w:tcPr>
            <w:tcW w:w="1980" w:type="dxa"/>
            <w:tcBorders>
              <w:top w:val="nil"/>
              <w:left w:val="nil"/>
              <w:bottom w:val="nil"/>
              <w:right w:val="nil"/>
            </w:tcBorders>
            <w:shd w:val="clear" w:color="auto" w:fill="F2F2F2" w:themeFill="background1" w:themeFillShade="F2"/>
          </w:tcPr>
          <w:p w:rsidR="00FA38E6" w:rsidRDefault="00FA38E6" w:rsidP="00030091">
            <w:pPr>
              <w:jc w:val="center"/>
              <w:rPr>
                <w:rFonts w:ascii="Arial" w:hAnsi="Arial" w:cs="Arial"/>
                <w:sz w:val="20"/>
                <w:szCs w:val="20"/>
              </w:rPr>
            </w:pPr>
          </w:p>
        </w:tc>
        <w:tc>
          <w:tcPr>
            <w:tcW w:w="1976" w:type="dxa"/>
            <w:tcBorders>
              <w:top w:val="nil"/>
              <w:left w:val="nil"/>
              <w:bottom w:val="nil"/>
              <w:right w:val="nil"/>
            </w:tcBorders>
            <w:shd w:val="clear" w:color="auto" w:fill="F2F2F2" w:themeFill="background1" w:themeFillShade="F2"/>
          </w:tcPr>
          <w:p w:rsidR="00FA38E6" w:rsidRDefault="00FA38E6" w:rsidP="00030091">
            <w:pPr>
              <w:jc w:val="center"/>
              <w:rPr>
                <w:rFonts w:ascii="Arial" w:hAnsi="Arial" w:cs="Arial"/>
                <w:sz w:val="20"/>
                <w:szCs w:val="20"/>
              </w:rPr>
            </w:pPr>
          </w:p>
        </w:tc>
        <w:tc>
          <w:tcPr>
            <w:tcW w:w="894" w:type="dxa"/>
            <w:tcBorders>
              <w:top w:val="nil"/>
              <w:left w:val="nil"/>
              <w:bottom w:val="nil"/>
              <w:right w:val="single" w:sz="4" w:space="0" w:color="auto"/>
            </w:tcBorders>
            <w:shd w:val="clear" w:color="auto" w:fill="F2F2F2" w:themeFill="background1" w:themeFillShade="F2"/>
          </w:tcPr>
          <w:p w:rsidR="00FA38E6" w:rsidRDefault="00534186" w:rsidP="000428B7">
            <w:pPr>
              <w:jc w:val="right"/>
              <w:rPr>
                <w:rFonts w:ascii="Arial" w:hAnsi="Arial" w:cs="Arial"/>
                <w:sz w:val="20"/>
                <w:szCs w:val="20"/>
              </w:rPr>
            </w:pPr>
            <w:r>
              <w:rPr>
                <w:rFonts w:ascii="Arial" w:hAnsi="Arial" w:cs="Arial"/>
                <w:sz w:val="20"/>
                <w:szCs w:val="20"/>
              </w:rPr>
              <w:t>&lt;0.001</w:t>
            </w:r>
          </w:p>
        </w:tc>
      </w:tr>
      <w:tr w:rsidR="00FA38E6" w:rsidTr="00FA38E6">
        <w:trPr>
          <w:trHeight w:val="263"/>
          <w:jc w:val="center"/>
        </w:trPr>
        <w:tc>
          <w:tcPr>
            <w:tcW w:w="3578" w:type="dxa"/>
            <w:tcBorders>
              <w:top w:val="nil"/>
              <w:left w:val="single" w:sz="4" w:space="0" w:color="auto"/>
              <w:bottom w:val="nil"/>
              <w:right w:val="nil"/>
            </w:tcBorders>
            <w:shd w:val="clear" w:color="auto" w:fill="FFFFFF" w:themeFill="background1"/>
          </w:tcPr>
          <w:p w:rsidR="00FA38E6" w:rsidRDefault="00FA38E6" w:rsidP="00030091">
            <w:pPr>
              <w:rPr>
                <w:rFonts w:ascii="Arial" w:hAnsi="Arial" w:cs="Arial"/>
                <w:sz w:val="20"/>
                <w:szCs w:val="20"/>
              </w:rPr>
            </w:pPr>
            <w:r>
              <w:rPr>
                <w:rFonts w:ascii="Arial" w:hAnsi="Arial" w:cs="Arial"/>
                <w:sz w:val="20"/>
                <w:szCs w:val="20"/>
              </w:rPr>
              <w:t xml:space="preserve">  Median (IQR)</w:t>
            </w:r>
          </w:p>
        </w:tc>
        <w:tc>
          <w:tcPr>
            <w:tcW w:w="2182" w:type="dxa"/>
            <w:tcBorders>
              <w:top w:val="nil"/>
              <w:left w:val="nil"/>
              <w:bottom w:val="nil"/>
              <w:right w:val="nil"/>
            </w:tcBorders>
            <w:shd w:val="clear" w:color="auto" w:fill="FFFFFF" w:themeFill="background1"/>
          </w:tcPr>
          <w:p w:rsidR="00FA38E6" w:rsidRDefault="00535FF7" w:rsidP="001F3AEE">
            <w:pPr>
              <w:jc w:val="center"/>
              <w:rPr>
                <w:rFonts w:ascii="Arial" w:hAnsi="Arial" w:cs="Arial"/>
                <w:sz w:val="20"/>
                <w:szCs w:val="20"/>
              </w:rPr>
            </w:pPr>
            <w:r>
              <w:rPr>
                <w:rFonts w:ascii="Arial" w:hAnsi="Arial" w:cs="Arial"/>
                <w:sz w:val="20"/>
                <w:szCs w:val="20"/>
              </w:rPr>
              <w:t>2 (</w:t>
            </w:r>
            <w:r w:rsidR="001F3AEE">
              <w:rPr>
                <w:rFonts w:ascii="Arial" w:hAnsi="Arial" w:cs="Arial"/>
                <w:sz w:val="20"/>
                <w:szCs w:val="20"/>
              </w:rPr>
              <w:t>1</w:t>
            </w:r>
            <w:r>
              <w:rPr>
                <w:rFonts w:ascii="Arial" w:hAnsi="Arial" w:cs="Arial"/>
                <w:sz w:val="20"/>
                <w:szCs w:val="20"/>
              </w:rPr>
              <w:t>-4)</w:t>
            </w:r>
          </w:p>
        </w:tc>
        <w:tc>
          <w:tcPr>
            <w:tcW w:w="1980" w:type="dxa"/>
            <w:tcBorders>
              <w:top w:val="nil"/>
              <w:left w:val="nil"/>
              <w:bottom w:val="nil"/>
              <w:right w:val="nil"/>
            </w:tcBorders>
            <w:shd w:val="clear" w:color="auto" w:fill="FFFFFF" w:themeFill="background1"/>
          </w:tcPr>
          <w:p w:rsidR="00FA38E6" w:rsidRDefault="00535FF7" w:rsidP="00030091">
            <w:pPr>
              <w:jc w:val="center"/>
              <w:rPr>
                <w:rFonts w:ascii="Arial" w:hAnsi="Arial" w:cs="Arial"/>
                <w:sz w:val="20"/>
                <w:szCs w:val="20"/>
              </w:rPr>
            </w:pPr>
            <w:r>
              <w:rPr>
                <w:rFonts w:ascii="Arial" w:hAnsi="Arial" w:cs="Arial"/>
                <w:sz w:val="20"/>
                <w:szCs w:val="20"/>
              </w:rPr>
              <w:t>2 (0-4)</w:t>
            </w:r>
          </w:p>
        </w:tc>
        <w:tc>
          <w:tcPr>
            <w:tcW w:w="1976" w:type="dxa"/>
            <w:tcBorders>
              <w:top w:val="nil"/>
              <w:left w:val="nil"/>
              <w:bottom w:val="nil"/>
              <w:right w:val="nil"/>
            </w:tcBorders>
            <w:shd w:val="clear" w:color="auto" w:fill="FFFFFF" w:themeFill="background1"/>
          </w:tcPr>
          <w:p w:rsidR="00FA38E6" w:rsidRDefault="00535FF7" w:rsidP="00030091">
            <w:pPr>
              <w:jc w:val="center"/>
              <w:rPr>
                <w:rFonts w:ascii="Arial" w:hAnsi="Arial" w:cs="Arial"/>
                <w:sz w:val="20"/>
                <w:szCs w:val="20"/>
              </w:rPr>
            </w:pPr>
            <w:r>
              <w:rPr>
                <w:rFonts w:ascii="Arial" w:hAnsi="Arial" w:cs="Arial"/>
                <w:sz w:val="20"/>
                <w:szCs w:val="20"/>
              </w:rPr>
              <w:t>2 (0-3)</w:t>
            </w:r>
          </w:p>
        </w:tc>
        <w:tc>
          <w:tcPr>
            <w:tcW w:w="894" w:type="dxa"/>
            <w:tcBorders>
              <w:top w:val="nil"/>
              <w:left w:val="nil"/>
              <w:bottom w:val="nil"/>
              <w:right w:val="single" w:sz="4" w:space="0" w:color="auto"/>
            </w:tcBorders>
            <w:shd w:val="clear" w:color="auto" w:fill="FFFFFF" w:themeFill="background1"/>
          </w:tcPr>
          <w:p w:rsidR="00FA38E6" w:rsidRDefault="00FA38E6" w:rsidP="000428B7">
            <w:pPr>
              <w:jc w:val="right"/>
              <w:rPr>
                <w:rFonts w:ascii="Arial" w:hAnsi="Arial" w:cs="Arial"/>
                <w:sz w:val="20"/>
                <w:szCs w:val="20"/>
              </w:rPr>
            </w:pPr>
          </w:p>
        </w:tc>
      </w:tr>
      <w:tr w:rsidR="006E3844" w:rsidTr="00B9470A">
        <w:trPr>
          <w:trHeight w:val="263"/>
          <w:jc w:val="center"/>
        </w:trPr>
        <w:tc>
          <w:tcPr>
            <w:tcW w:w="3578" w:type="dxa"/>
            <w:tcBorders>
              <w:top w:val="nil"/>
              <w:left w:val="single" w:sz="4" w:space="0" w:color="auto"/>
              <w:bottom w:val="nil"/>
              <w:right w:val="nil"/>
            </w:tcBorders>
            <w:shd w:val="clear" w:color="auto" w:fill="F2F2F2" w:themeFill="background1" w:themeFillShade="F2"/>
          </w:tcPr>
          <w:p w:rsidR="006E3844" w:rsidRDefault="006E3844" w:rsidP="00030091">
            <w:pPr>
              <w:rPr>
                <w:rFonts w:ascii="Arial" w:hAnsi="Arial" w:cs="Arial"/>
                <w:sz w:val="20"/>
                <w:szCs w:val="20"/>
              </w:rPr>
            </w:pPr>
            <w:r>
              <w:rPr>
                <w:rFonts w:ascii="Arial" w:hAnsi="Arial" w:cs="Arial"/>
                <w:sz w:val="20"/>
                <w:szCs w:val="20"/>
              </w:rPr>
              <w:t>Pediatric CCC v2 (Revised)</w:t>
            </w:r>
          </w:p>
        </w:tc>
        <w:tc>
          <w:tcPr>
            <w:tcW w:w="2182" w:type="dxa"/>
            <w:tcBorders>
              <w:top w:val="nil"/>
              <w:left w:val="nil"/>
              <w:bottom w:val="nil"/>
              <w:right w:val="nil"/>
            </w:tcBorders>
            <w:shd w:val="clear" w:color="auto" w:fill="F2F2F2" w:themeFill="background1" w:themeFillShade="F2"/>
          </w:tcPr>
          <w:p w:rsidR="006E3844" w:rsidRDefault="006E3844" w:rsidP="001F3AEE">
            <w:pPr>
              <w:jc w:val="center"/>
              <w:rPr>
                <w:rFonts w:ascii="Arial" w:hAnsi="Arial" w:cs="Arial"/>
                <w:sz w:val="20"/>
                <w:szCs w:val="20"/>
              </w:rPr>
            </w:pPr>
          </w:p>
        </w:tc>
        <w:tc>
          <w:tcPr>
            <w:tcW w:w="1980" w:type="dxa"/>
            <w:tcBorders>
              <w:top w:val="nil"/>
              <w:left w:val="nil"/>
              <w:bottom w:val="nil"/>
              <w:right w:val="nil"/>
            </w:tcBorders>
            <w:shd w:val="clear" w:color="auto" w:fill="F2F2F2" w:themeFill="background1" w:themeFillShade="F2"/>
          </w:tcPr>
          <w:p w:rsidR="006E3844" w:rsidRDefault="006E3844" w:rsidP="00030091">
            <w:pPr>
              <w:jc w:val="center"/>
              <w:rPr>
                <w:rFonts w:ascii="Arial" w:hAnsi="Arial" w:cs="Arial"/>
                <w:sz w:val="20"/>
                <w:szCs w:val="20"/>
              </w:rPr>
            </w:pPr>
          </w:p>
        </w:tc>
        <w:tc>
          <w:tcPr>
            <w:tcW w:w="1976" w:type="dxa"/>
            <w:tcBorders>
              <w:top w:val="nil"/>
              <w:left w:val="nil"/>
              <w:bottom w:val="nil"/>
              <w:right w:val="nil"/>
            </w:tcBorders>
            <w:shd w:val="clear" w:color="auto" w:fill="F2F2F2" w:themeFill="background1" w:themeFillShade="F2"/>
          </w:tcPr>
          <w:p w:rsidR="006E3844" w:rsidRDefault="006E3844" w:rsidP="00030091">
            <w:pPr>
              <w:jc w:val="center"/>
              <w:rPr>
                <w:rFonts w:ascii="Arial" w:hAnsi="Arial" w:cs="Arial"/>
                <w:sz w:val="20"/>
                <w:szCs w:val="20"/>
              </w:rPr>
            </w:pPr>
          </w:p>
        </w:tc>
        <w:tc>
          <w:tcPr>
            <w:tcW w:w="894" w:type="dxa"/>
            <w:tcBorders>
              <w:top w:val="nil"/>
              <w:left w:val="nil"/>
              <w:bottom w:val="nil"/>
              <w:right w:val="single" w:sz="4" w:space="0" w:color="auto"/>
            </w:tcBorders>
            <w:shd w:val="clear" w:color="auto" w:fill="F2F2F2" w:themeFill="background1" w:themeFillShade="F2"/>
          </w:tcPr>
          <w:p w:rsidR="006E3844" w:rsidRDefault="005105BB" w:rsidP="000428B7">
            <w:pPr>
              <w:jc w:val="right"/>
              <w:rPr>
                <w:rFonts w:ascii="Arial" w:hAnsi="Arial" w:cs="Arial"/>
                <w:sz w:val="20"/>
                <w:szCs w:val="20"/>
              </w:rPr>
            </w:pPr>
            <w:r>
              <w:rPr>
                <w:rFonts w:ascii="Arial" w:hAnsi="Arial" w:cs="Arial"/>
                <w:sz w:val="20"/>
                <w:szCs w:val="20"/>
              </w:rPr>
              <w:t>&lt;0.001</w:t>
            </w:r>
          </w:p>
        </w:tc>
      </w:tr>
      <w:tr w:rsidR="006E3844" w:rsidTr="00FA38E6">
        <w:trPr>
          <w:trHeight w:val="263"/>
          <w:jc w:val="center"/>
        </w:trPr>
        <w:tc>
          <w:tcPr>
            <w:tcW w:w="3578" w:type="dxa"/>
            <w:tcBorders>
              <w:top w:val="nil"/>
              <w:left w:val="single" w:sz="4" w:space="0" w:color="auto"/>
              <w:bottom w:val="nil"/>
              <w:right w:val="nil"/>
            </w:tcBorders>
            <w:shd w:val="clear" w:color="auto" w:fill="FFFFFF" w:themeFill="background1"/>
          </w:tcPr>
          <w:p w:rsidR="006E3844" w:rsidRDefault="006E3844" w:rsidP="00030091">
            <w:pPr>
              <w:rPr>
                <w:rFonts w:ascii="Arial" w:hAnsi="Arial" w:cs="Arial"/>
                <w:sz w:val="20"/>
                <w:szCs w:val="20"/>
              </w:rPr>
            </w:pPr>
            <w:r>
              <w:rPr>
                <w:rFonts w:ascii="Arial" w:hAnsi="Arial" w:cs="Arial"/>
                <w:sz w:val="20"/>
                <w:szCs w:val="20"/>
              </w:rPr>
              <w:t xml:space="preserve">  Median (IQR)</w:t>
            </w:r>
          </w:p>
        </w:tc>
        <w:tc>
          <w:tcPr>
            <w:tcW w:w="2182" w:type="dxa"/>
            <w:tcBorders>
              <w:top w:val="nil"/>
              <w:left w:val="nil"/>
              <w:bottom w:val="nil"/>
              <w:right w:val="nil"/>
            </w:tcBorders>
            <w:shd w:val="clear" w:color="auto" w:fill="FFFFFF" w:themeFill="background1"/>
          </w:tcPr>
          <w:p w:rsidR="006E3844" w:rsidRDefault="005105BB" w:rsidP="001F3AEE">
            <w:pPr>
              <w:jc w:val="center"/>
              <w:rPr>
                <w:rFonts w:ascii="Arial" w:hAnsi="Arial" w:cs="Arial"/>
                <w:sz w:val="20"/>
                <w:szCs w:val="20"/>
              </w:rPr>
            </w:pPr>
            <w:r>
              <w:rPr>
                <w:rFonts w:ascii="Arial" w:hAnsi="Arial" w:cs="Arial"/>
                <w:sz w:val="20"/>
                <w:szCs w:val="20"/>
              </w:rPr>
              <w:t>3 (2-3)</w:t>
            </w:r>
          </w:p>
        </w:tc>
        <w:tc>
          <w:tcPr>
            <w:tcW w:w="1980" w:type="dxa"/>
            <w:tcBorders>
              <w:top w:val="nil"/>
              <w:left w:val="nil"/>
              <w:bottom w:val="nil"/>
              <w:right w:val="nil"/>
            </w:tcBorders>
            <w:shd w:val="clear" w:color="auto" w:fill="FFFFFF" w:themeFill="background1"/>
          </w:tcPr>
          <w:p w:rsidR="006E3844" w:rsidRDefault="005105BB" w:rsidP="004D0206">
            <w:pPr>
              <w:jc w:val="center"/>
              <w:rPr>
                <w:rFonts w:ascii="Arial" w:hAnsi="Arial" w:cs="Arial"/>
                <w:sz w:val="20"/>
                <w:szCs w:val="20"/>
              </w:rPr>
            </w:pPr>
            <w:r>
              <w:rPr>
                <w:rFonts w:ascii="Arial" w:hAnsi="Arial" w:cs="Arial"/>
                <w:sz w:val="20"/>
                <w:szCs w:val="20"/>
              </w:rPr>
              <w:t>2 (2-</w:t>
            </w:r>
            <w:r w:rsidR="004D0206">
              <w:rPr>
                <w:rFonts w:ascii="Arial" w:hAnsi="Arial" w:cs="Arial"/>
                <w:sz w:val="20"/>
                <w:szCs w:val="20"/>
              </w:rPr>
              <w:t>3</w:t>
            </w:r>
            <w:r>
              <w:rPr>
                <w:rFonts w:ascii="Arial" w:hAnsi="Arial" w:cs="Arial"/>
                <w:sz w:val="20"/>
                <w:szCs w:val="20"/>
              </w:rPr>
              <w:t>)</w:t>
            </w:r>
          </w:p>
        </w:tc>
        <w:tc>
          <w:tcPr>
            <w:tcW w:w="1976" w:type="dxa"/>
            <w:tcBorders>
              <w:top w:val="nil"/>
              <w:left w:val="nil"/>
              <w:bottom w:val="nil"/>
              <w:right w:val="nil"/>
            </w:tcBorders>
            <w:shd w:val="clear" w:color="auto" w:fill="FFFFFF" w:themeFill="background1"/>
          </w:tcPr>
          <w:p w:rsidR="006E3844" w:rsidRDefault="004D0206" w:rsidP="004D0206">
            <w:pPr>
              <w:jc w:val="center"/>
              <w:rPr>
                <w:rFonts w:ascii="Arial" w:hAnsi="Arial" w:cs="Arial"/>
                <w:sz w:val="20"/>
                <w:szCs w:val="20"/>
              </w:rPr>
            </w:pPr>
            <w:r>
              <w:rPr>
                <w:rFonts w:ascii="Arial" w:hAnsi="Arial" w:cs="Arial"/>
                <w:sz w:val="20"/>
                <w:szCs w:val="20"/>
              </w:rPr>
              <w:t>2</w:t>
            </w:r>
            <w:r w:rsidR="005105BB">
              <w:rPr>
                <w:rFonts w:ascii="Arial" w:hAnsi="Arial" w:cs="Arial"/>
                <w:sz w:val="20"/>
                <w:szCs w:val="20"/>
              </w:rPr>
              <w:t xml:space="preserve"> (</w:t>
            </w:r>
            <w:r>
              <w:rPr>
                <w:rFonts w:ascii="Arial" w:hAnsi="Arial" w:cs="Arial"/>
                <w:sz w:val="20"/>
                <w:szCs w:val="20"/>
              </w:rPr>
              <w:t>1-3</w:t>
            </w:r>
            <w:r w:rsidR="005105BB">
              <w:rPr>
                <w:rFonts w:ascii="Arial" w:hAnsi="Arial" w:cs="Arial"/>
                <w:sz w:val="20"/>
                <w:szCs w:val="20"/>
              </w:rPr>
              <w:t>)</w:t>
            </w:r>
          </w:p>
        </w:tc>
        <w:tc>
          <w:tcPr>
            <w:tcW w:w="894" w:type="dxa"/>
            <w:tcBorders>
              <w:top w:val="nil"/>
              <w:left w:val="nil"/>
              <w:bottom w:val="nil"/>
              <w:right w:val="single" w:sz="4" w:space="0" w:color="auto"/>
            </w:tcBorders>
            <w:shd w:val="clear" w:color="auto" w:fill="FFFFFF" w:themeFill="background1"/>
          </w:tcPr>
          <w:p w:rsidR="006E3844" w:rsidRDefault="006E3844" w:rsidP="000428B7">
            <w:pPr>
              <w:jc w:val="right"/>
              <w:rPr>
                <w:rFonts w:ascii="Arial" w:hAnsi="Arial" w:cs="Arial"/>
                <w:sz w:val="20"/>
                <w:szCs w:val="20"/>
              </w:rPr>
            </w:pPr>
          </w:p>
        </w:tc>
      </w:tr>
      <w:tr w:rsidR="00C413DE" w:rsidTr="00FA38E6">
        <w:trPr>
          <w:trHeight w:val="264"/>
          <w:jc w:val="center"/>
        </w:trPr>
        <w:tc>
          <w:tcPr>
            <w:tcW w:w="10610" w:type="dxa"/>
            <w:gridSpan w:val="5"/>
            <w:tcBorders>
              <w:top w:val="single" w:sz="4" w:space="0" w:color="auto"/>
              <w:bottom w:val="single" w:sz="4" w:space="0" w:color="auto"/>
            </w:tcBorders>
            <w:shd w:val="clear" w:color="auto" w:fill="D9D9D9" w:themeFill="background1" w:themeFillShade="D9"/>
          </w:tcPr>
          <w:p w:rsidR="00C413DE" w:rsidRPr="00BE0C99" w:rsidRDefault="00C413DE" w:rsidP="000428B7">
            <w:pPr>
              <w:rPr>
                <w:rFonts w:ascii="Arial" w:hAnsi="Arial" w:cs="Arial"/>
                <w:b/>
                <w:sz w:val="20"/>
                <w:szCs w:val="20"/>
              </w:rPr>
            </w:pPr>
            <w:r w:rsidRPr="00BE0C99">
              <w:rPr>
                <w:rFonts w:ascii="Arial" w:hAnsi="Arial" w:cs="Arial"/>
                <w:b/>
                <w:sz w:val="20"/>
                <w:szCs w:val="20"/>
              </w:rPr>
              <w:t>Hospitalization Characteristics</w:t>
            </w:r>
          </w:p>
        </w:tc>
      </w:tr>
      <w:tr w:rsidR="00C413DE" w:rsidTr="00FA38E6">
        <w:trPr>
          <w:trHeight w:val="264"/>
          <w:jc w:val="center"/>
        </w:trPr>
        <w:tc>
          <w:tcPr>
            <w:tcW w:w="3578" w:type="dxa"/>
            <w:tcBorders>
              <w:top w:val="single" w:sz="4" w:space="0" w:color="auto"/>
              <w:left w:val="single" w:sz="4" w:space="0" w:color="auto"/>
              <w:bottom w:val="nil"/>
              <w:right w:val="nil"/>
            </w:tcBorders>
            <w:shd w:val="clear" w:color="auto" w:fill="F2F2F2" w:themeFill="background1" w:themeFillShade="F2"/>
          </w:tcPr>
          <w:p w:rsidR="0063526E" w:rsidRDefault="0063526E" w:rsidP="00030091">
            <w:pPr>
              <w:rPr>
                <w:rFonts w:ascii="Arial" w:hAnsi="Arial" w:cs="Arial"/>
                <w:sz w:val="20"/>
                <w:szCs w:val="20"/>
              </w:rPr>
            </w:pPr>
            <w:r>
              <w:rPr>
                <w:rFonts w:ascii="Arial" w:hAnsi="Arial" w:cs="Arial"/>
                <w:sz w:val="20"/>
                <w:szCs w:val="20"/>
              </w:rPr>
              <w:t>Organ dysfunction count</w:t>
            </w:r>
          </w:p>
          <w:p w:rsidR="00FA38E6" w:rsidRPr="0063526E" w:rsidRDefault="00FA38E6" w:rsidP="00FA38E6">
            <w:pPr>
              <w:rPr>
                <w:rFonts w:ascii="Arial" w:hAnsi="Arial" w:cs="Arial"/>
                <w:sz w:val="20"/>
                <w:szCs w:val="20"/>
              </w:rPr>
            </w:pPr>
            <w:r>
              <w:rPr>
                <w:rFonts w:ascii="Arial" w:hAnsi="Arial" w:cs="Arial"/>
                <w:sz w:val="20"/>
                <w:szCs w:val="20"/>
              </w:rPr>
              <w:t xml:space="preserve">  </w:t>
            </w:r>
            <w:r w:rsidRPr="0063526E">
              <w:rPr>
                <w:rFonts w:ascii="Arial" w:hAnsi="Arial" w:cs="Arial"/>
                <w:sz w:val="20"/>
                <w:szCs w:val="20"/>
              </w:rPr>
              <w:t>M</w:t>
            </w:r>
            <w:r w:rsidR="00C413DE" w:rsidRPr="0063526E">
              <w:rPr>
                <w:rFonts w:ascii="Arial" w:hAnsi="Arial" w:cs="Arial"/>
                <w:sz w:val="20"/>
                <w:szCs w:val="20"/>
              </w:rPr>
              <w:t>ed</w:t>
            </w:r>
            <w:r>
              <w:rPr>
                <w:rFonts w:ascii="Arial" w:hAnsi="Arial" w:cs="Arial"/>
                <w:sz w:val="20"/>
                <w:szCs w:val="20"/>
              </w:rPr>
              <w:t>ian</w:t>
            </w:r>
            <w:r w:rsidR="00C413DE" w:rsidRPr="0063526E">
              <w:rPr>
                <w:rFonts w:ascii="Arial" w:hAnsi="Arial" w:cs="Arial"/>
                <w:sz w:val="20"/>
                <w:szCs w:val="20"/>
              </w:rPr>
              <w:t xml:space="preserve"> (IQR)</w:t>
            </w:r>
          </w:p>
        </w:tc>
        <w:tc>
          <w:tcPr>
            <w:tcW w:w="2182" w:type="dxa"/>
            <w:tcBorders>
              <w:top w:val="single" w:sz="4" w:space="0" w:color="auto"/>
              <w:left w:val="nil"/>
              <w:bottom w:val="nil"/>
              <w:right w:val="nil"/>
            </w:tcBorders>
            <w:shd w:val="clear" w:color="auto" w:fill="F2F2F2" w:themeFill="background1" w:themeFillShade="F2"/>
          </w:tcPr>
          <w:p w:rsidR="00C413DE" w:rsidRPr="0063526E" w:rsidRDefault="003C2F7F" w:rsidP="00030091">
            <w:pPr>
              <w:jc w:val="center"/>
              <w:rPr>
                <w:rFonts w:ascii="Arial" w:hAnsi="Arial" w:cs="Arial"/>
                <w:sz w:val="20"/>
                <w:szCs w:val="20"/>
              </w:rPr>
            </w:pPr>
            <w:r w:rsidRPr="0063526E">
              <w:rPr>
                <w:rFonts w:ascii="Arial" w:hAnsi="Arial" w:cs="Arial"/>
                <w:sz w:val="20"/>
                <w:szCs w:val="20"/>
              </w:rPr>
              <w:t>1 (1-2)</w:t>
            </w:r>
          </w:p>
        </w:tc>
        <w:tc>
          <w:tcPr>
            <w:tcW w:w="1980" w:type="dxa"/>
            <w:tcBorders>
              <w:top w:val="single" w:sz="4" w:space="0" w:color="auto"/>
              <w:left w:val="nil"/>
              <w:bottom w:val="nil"/>
              <w:right w:val="nil"/>
            </w:tcBorders>
            <w:shd w:val="clear" w:color="auto" w:fill="F2F2F2" w:themeFill="background1" w:themeFillShade="F2"/>
          </w:tcPr>
          <w:p w:rsidR="00C413DE" w:rsidRPr="0063526E" w:rsidRDefault="003C2F7F" w:rsidP="00030091">
            <w:pPr>
              <w:jc w:val="center"/>
              <w:rPr>
                <w:rFonts w:ascii="Arial" w:hAnsi="Arial" w:cs="Arial"/>
                <w:sz w:val="20"/>
                <w:szCs w:val="20"/>
              </w:rPr>
            </w:pPr>
            <w:r w:rsidRPr="0063526E">
              <w:rPr>
                <w:rFonts w:ascii="Arial" w:hAnsi="Arial" w:cs="Arial"/>
                <w:sz w:val="20"/>
                <w:szCs w:val="20"/>
              </w:rPr>
              <w:t>2 (1-3)</w:t>
            </w:r>
          </w:p>
        </w:tc>
        <w:tc>
          <w:tcPr>
            <w:tcW w:w="1976" w:type="dxa"/>
            <w:tcBorders>
              <w:top w:val="single" w:sz="4" w:space="0" w:color="auto"/>
              <w:left w:val="nil"/>
              <w:bottom w:val="nil"/>
              <w:right w:val="nil"/>
            </w:tcBorders>
            <w:shd w:val="clear" w:color="auto" w:fill="F2F2F2" w:themeFill="background1" w:themeFillShade="F2"/>
          </w:tcPr>
          <w:p w:rsidR="00C413DE" w:rsidRPr="0063526E" w:rsidRDefault="003C2F7F" w:rsidP="00030091">
            <w:pPr>
              <w:jc w:val="center"/>
              <w:rPr>
                <w:rFonts w:ascii="Arial" w:hAnsi="Arial" w:cs="Arial"/>
                <w:sz w:val="20"/>
                <w:szCs w:val="20"/>
              </w:rPr>
            </w:pPr>
            <w:r w:rsidRPr="0063526E">
              <w:rPr>
                <w:rFonts w:ascii="Arial" w:hAnsi="Arial" w:cs="Arial"/>
                <w:sz w:val="20"/>
                <w:szCs w:val="20"/>
              </w:rPr>
              <w:t>2 (1-2)</w:t>
            </w:r>
          </w:p>
        </w:tc>
        <w:tc>
          <w:tcPr>
            <w:tcW w:w="894" w:type="dxa"/>
            <w:tcBorders>
              <w:top w:val="single" w:sz="4" w:space="0" w:color="auto"/>
              <w:left w:val="nil"/>
              <w:bottom w:val="nil"/>
              <w:right w:val="single" w:sz="4" w:space="0" w:color="auto"/>
            </w:tcBorders>
            <w:shd w:val="clear" w:color="auto" w:fill="F2F2F2" w:themeFill="background1" w:themeFillShade="F2"/>
          </w:tcPr>
          <w:p w:rsidR="00C413DE" w:rsidRPr="0063526E" w:rsidRDefault="00C413DE" w:rsidP="000428B7">
            <w:pPr>
              <w:jc w:val="right"/>
              <w:rPr>
                <w:rFonts w:ascii="Arial" w:hAnsi="Arial" w:cs="Arial"/>
                <w:sz w:val="20"/>
                <w:szCs w:val="20"/>
              </w:rPr>
            </w:pPr>
            <w:r w:rsidRPr="0063526E">
              <w:rPr>
                <w:rFonts w:ascii="Arial" w:hAnsi="Arial" w:cs="Arial"/>
                <w:sz w:val="20"/>
                <w:szCs w:val="20"/>
              </w:rPr>
              <w:t>&lt;0.001</w:t>
            </w:r>
          </w:p>
        </w:tc>
      </w:tr>
      <w:tr w:rsidR="00C413DE" w:rsidTr="00FA38E6">
        <w:trPr>
          <w:trHeight w:val="198"/>
          <w:jc w:val="center"/>
        </w:trPr>
        <w:tc>
          <w:tcPr>
            <w:tcW w:w="3578" w:type="dxa"/>
            <w:tcBorders>
              <w:top w:val="nil"/>
              <w:left w:val="single" w:sz="4" w:space="0" w:color="auto"/>
              <w:bottom w:val="nil"/>
              <w:right w:val="nil"/>
            </w:tcBorders>
            <w:shd w:val="clear" w:color="auto" w:fill="FFFFFF" w:themeFill="background1"/>
          </w:tcPr>
          <w:p w:rsidR="00C413DE" w:rsidRPr="0063526E" w:rsidRDefault="00C413DE" w:rsidP="00030091">
            <w:pPr>
              <w:rPr>
                <w:rFonts w:ascii="Arial" w:hAnsi="Arial" w:cs="Arial"/>
                <w:sz w:val="20"/>
                <w:szCs w:val="20"/>
              </w:rPr>
            </w:pPr>
            <w:r w:rsidRPr="0063526E">
              <w:rPr>
                <w:rFonts w:ascii="Arial" w:hAnsi="Arial" w:cs="Arial"/>
                <w:sz w:val="20"/>
                <w:szCs w:val="20"/>
              </w:rPr>
              <w:t>Individual Organ Dysfunctions, N(%)</w:t>
            </w:r>
          </w:p>
        </w:tc>
        <w:tc>
          <w:tcPr>
            <w:tcW w:w="2182" w:type="dxa"/>
            <w:tcBorders>
              <w:top w:val="nil"/>
              <w:left w:val="nil"/>
              <w:bottom w:val="nil"/>
              <w:right w:val="nil"/>
            </w:tcBorders>
            <w:shd w:val="clear" w:color="auto" w:fill="FFFFFF" w:themeFill="background1"/>
          </w:tcPr>
          <w:p w:rsidR="00C413DE" w:rsidRPr="0063526E" w:rsidRDefault="00C413DE" w:rsidP="00030091">
            <w:pPr>
              <w:jc w:val="center"/>
              <w:rPr>
                <w:rFonts w:ascii="Arial" w:hAnsi="Arial" w:cs="Arial"/>
                <w:sz w:val="20"/>
                <w:szCs w:val="20"/>
              </w:rPr>
            </w:pPr>
          </w:p>
        </w:tc>
        <w:tc>
          <w:tcPr>
            <w:tcW w:w="1980" w:type="dxa"/>
            <w:tcBorders>
              <w:top w:val="nil"/>
              <w:left w:val="nil"/>
              <w:bottom w:val="nil"/>
              <w:right w:val="nil"/>
            </w:tcBorders>
            <w:shd w:val="clear" w:color="auto" w:fill="FFFFFF" w:themeFill="background1"/>
          </w:tcPr>
          <w:p w:rsidR="00C413DE" w:rsidRPr="0063526E" w:rsidRDefault="00C413DE" w:rsidP="00030091">
            <w:pPr>
              <w:jc w:val="center"/>
              <w:rPr>
                <w:rFonts w:ascii="Arial" w:hAnsi="Arial" w:cs="Arial"/>
                <w:sz w:val="20"/>
                <w:szCs w:val="20"/>
              </w:rPr>
            </w:pPr>
          </w:p>
        </w:tc>
        <w:tc>
          <w:tcPr>
            <w:tcW w:w="1976" w:type="dxa"/>
            <w:tcBorders>
              <w:top w:val="nil"/>
              <w:left w:val="nil"/>
              <w:bottom w:val="nil"/>
              <w:right w:val="nil"/>
            </w:tcBorders>
            <w:shd w:val="clear" w:color="auto" w:fill="FFFFFF" w:themeFill="background1"/>
          </w:tcPr>
          <w:p w:rsidR="00C413DE" w:rsidRPr="0063526E" w:rsidRDefault="00C413DE" w:rsidP="00030091">
            <w:pPr>
              <w:jc w:val="center"/>
              <w:rPr>
                <w:rFonts w:ascii="Arial" w:hAnsi="Arial" w:cs="Arial"/>
                <w:sz w:val="20"/>
                <w:szCs w:val="20"/>
              </w:rPr>
            </w:pPr>
          </w:p>
        </w:tc>
        <w:tc>
          <w:tcPr>
            <w:tcW w:w="894" w:type="dxa"/>
            <w:tcBorders>
              <w:top w:val="nil"/>
              <w:left w:val="nil"/>
              <w:bottom w:val="nil"/>
              <w:right w:val="single" w:sz="4" w:space="0" w:color="auto"/>
            </w:tcBorders>
            <w:shd w:val="clear" w:color="auto" w:fill="FFFFFF" w:themeFill="background1"/>
          </w:tcPr>
          <w:p w:rsidR="00C413DE" w:rsidRPr="0063526E" w:rsidRDefault="00C413DE" w:rsidP="000428B7">
            <w:pPr>
              <w:jc w:val="right"/>
              <w:rPr>
                <w:rFonts w:ascii="Arial" w:hAnsi="Arial" w:cs="Arial"/>
                <w:sz w:val="20"/>
                <w:szCs w:val="20"/>
              </w:rPr>
            </w:pPr>
          </w:p>
        </w:tc>
      </w:tr>
      <w:tr w:rsidR="00C413DE" w:rsidTr="00FA38E6">
        <w:trPr>
          <w:trHeight w:val="258"/>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Renal  </w:t>
            </w:r>
          </w:p>
        </w:tc>
        <w:tc>
          <w:tcPr>
            <w:tcW w:w="2182"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88,278</w:t>
            </w:r>
            <w:r w:rsidR="007B4CF1">
              <w:rPr>
                <w:rFonts w:ascii="Arial" w:hAnsi="Arial" w:cs="Arial"/>
                <w:sz w:val="20"/>
                <w:szCs w:val="20"/>
              </w:rPr>
              <w:t xml:space="preserve"> (59.3%)</w:t>
            </w:r>
          </w:p>
        </w:tc>
        <w:tc>
          <w:tcPr>
            <w:tcW w:w="1980"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24,922</w:t>
            </w:r>
            <w:r w:rsidR="007B4CF1">
              <w:rPr>
                <w:rFonts w:ascii="Arial" w:hAnsi="Arial" w:cs="Arial"/>
                <w:sz w:val="20"/>
                <w:szCs w:val="20"/>
              </w:rPr>
              <w:t xml:space="preserve"> (57.9%)</w:t>
            </w:r>
          </w:p>
        </w:tc>
        <w:tc>
          <w:tcPr>
            <w:tcW w:w="1976" w:type="dxa"/>
            <w:tcBorders>
              <w:top w:val="nil"/>
              <w:left w:val="nil"/>
              <w:bottom w:val="nil"/>
              <w:right w:val="nil"/>
            </w:tcBorders>
            <w:shd w:val="clear" w:color="auto" w:fill="F2F2F2" w:themeFill="background1" w:themeFillShade="F2"/>
          </w:tcPr>
          <w:p w:rsidR="00C413DE" w:rsidRPr="0063526E" w:rsidRDefault="007B4CF1" w:rsidP="00772B85">
            <w:pPr>
              <w:jc w:val="right"/>
              <w:rPr>
                <w:rFonts w:ascii="Arial" w:hAnsi="Arial" w:cs="Arial"/>
                <w:sz w:val="20"/>
                <w:szCs w:val="20"/>
              </w:rPr>
            </w:pPr>
            <w:r>
              <w:rPr>
                <w:rFonts w:ascii="Arial" w:hAnsi="Arial" w:cs="Arial"/>
                <w:sz w:val="20"/>
                <w:szCs w:val="20"/>
              </w:rPr>
              <w:t>24,28</w:t>
            </w:r>
            <w:r w:rsidR="00772B85">
              <w:rPr>
                <w:rFonts w:ascii="Arial" w:hAnsi="Arial" w:cs="Arial"/>
                <w:sz w:val="20"/>
                <w:szCs w:val="20"/>
              </w:rPr>
              <w:t>1</w:t>
            </w:r>
            <w:r>
              <w:rPr>
                <w:rFonts w:ascii="Arial" w:hAnsi="Arial" w:cs="Arial"/>
                <w:sz w:val="20"/>
                <w:szCs w:val="20"/>
              </w:rPr>
              <w:t xml:space="preserve"> (56.8%)</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7B4CF1" w:rsidP="000428B7">
            <w:pPr>
              <w:jc w:val="right"/>
              <w:rPr>
                <w:rFonts w:ascii="Arial" w:hAnsi="Arial" w:cs="Arial"/>
                <w:sz w:val="20"/>
                <w:szCs w:val="20"/>
              </w:rPr>
            </w:pPr>
            <w:r w:rsidRPr="0063526E">
              <w:rPr>
                <w:rFonts w:ascii="Arial" w:hAnsi="Arial" w:cs="Arial"/>
                <w:sz w:val="20"/>
                <w:szCs w:val="20"/>
              </w:rPr>
              <w:t>&lt;0.001</w:t>
            </w:r>
          </w:p>
        </w:tc>
      </w:tr>
      <w:tr w:rsidR="00C413DE" w:rsidTr="00FA38E6">
        <w:trPr>
          <w:trHeight w:val="258"/>
          <w:jc w:val="center"/>
        </w:trPr>
        <w:tc>
          <w:tcPr>
            <w:tcW w:w="3578" w:type="dxa"/>
            <w:tcBorders>
              <w:top w:val="nil"/>
              <w:left w:val="single" w:sz="4" w:space="0" w:color="auto"/>
              <w:bottom w:val="nil"/>
              <w:right w:val="nil"/>
            </w:tcBorders>
            <w:shd w:val="clear" w:color="auto" w:fill="FFFFFF" w:themeFill="background1"/>
          </w:tcPr>
          <w:p w:rsidR="00C413DE" w:rsidRPr="0063526E" w:rsidRDefault="00C413DE" w:rsidP="00030091">
            <w:pPr>
              <w:rPr>
                <w:rFonts w:ascii="Arial" w:hAnsi="Arial" w:cs="Arial"/>
                <w:sz w:val="20"/>
                <w:szCs w:val="20"/>
              </w:rPr>
            </w:pPr>
            <w:r w:rsidRPr="0063526E">
              <w:rPr>
                <w:rFonts w:ascii="Arial" w:hAnsi="Arial" w:cs="Arial"/>
                <w:sz w:val="20"/>
                <w:szCs w:val="20"/>
              </w:rPr>
              <w:t xml:space="preserve">  Cardiovascular</w:t>
            </w:r>
          </w:p>
        </w:tc>
        <w:tc>
          <w:tcPr>
            <w:tcW w:w="2182" w:type="dxa"/>
            <w:tcBorders>
              <w:top w:val="nil"/>
              <w:left w:val="nil"/>
              <w:bottom w:val="nil"/>
              <w:right w:val="nil"/>
            </w:tcBorders>
            <w:shd w:val="clear" w:color="auto" w:fill="FFFFFF" w:themeFill="background1"/>
          </w:tcPr>
          <w:p w:rsidR="00C413DE" w:rsidRPr="0063526E" w:rsidRDefault="007B4CF1" w:rsidP="00772B85">
            <w:pPr>
              <w:jc w:val="right"/>
              <w:rPr>
                <w:rFonts w:ascii="Arial" w:hAnsi="Arial" w:cs="Arial"/>
                <w:sz w:val="20"/>
                <w:szCs w:val="20"/>
              </w:rPr>
            </w:pPr>
            <w:r>
              <w:rPr>
                <w:rFonts w:ascii="Arial" w:hAnsi="Arial" w:cs="Arial"/>
                <w:sz w:val="20"/>
                <w:szCs w:val="20"/>
              </w:rPr>
              <w:t>66,73</w:t>
            </w:r>
            <w:r w:rsidR="00772B85">
              <w:rPr>
                <w:rFonts w:ascii="Arial" w:hAnsi="Arial" w:cs="Arial"/>
                <w:sz w:val="20"/>
                <w:szCs w:val="20"/>
              </w:rPr>
              <w:t>1</w:t>
            </w:r>
            <w:r>
              <w:rPr>
                <w:rFonts w:ascii="Arial" w:hAnsi="Arial" w:cs="Arial"/>
                <w:sz w:val="20"/>
                <w:szCs w:val="20"/>
              </w:rPr>
              <w:t xml:space="preserve"> (44.8%)</w:t>
            </w:r>
          </w:p>
        </w:tc>
        <w:tc>
          <w:tcPr>
            <w:tcW w:w="1980" w:type="dxa"/>
            <w:tcBorders>
              <w:top w:val="nil"/>
              <w:left w:val="nil"/>
              <w:bottom w:val="nil"/>
              <w:right w:val="nil"/>
            </w:tcBorders>
            <w:shd w:val="clear" w:color="auto" w:fill="FFFFFF" w:themeFill="background1"/>
          </w:tcPr>
          <w:p w:rsidR="00C413DE" w:rsidRPr="0063526E" w:rsidRDefault="007B4CF1" w:rsidP="00772B85">
            <w:pPr>
              <w:jc w:val="right"/>
              <w:rPr>
                <w:rFonts w:ascii="Arial" w:hAnsi="Arial" w:cs="Arial"/>
                <w:sz w:val="20"/>
                <w:szCs w:val="20"/>
              </w:rPr>
            </w:pPr>
            <w:r>
              <w:rPr>
                <w:rFonts w:ascii="Arial" w:hAnsi="Arial" w:cs="Arial"/>
                <w:sz w:val="20"/>
                <w:szCs w:val="20"/>
              </w:rPr>
              <w:t>22,00</w:t>
            </w:r>
            <w:r w:rsidR="00772B85">
              <w:rPr>
                <w:rFonts w:ascii="Arial" w:hAnsi="Arial" w:cs="Arial"/>
                <w:sz w:val="20"/>
                <w:szCs w:val="20"/>
              </w:rPr>
              <w:t>1</w:t>
            </w:r>
            <w:r>
              <w:rPr>
                <w:rFonts w:ascii="Arial" w:hAnsi="Arial" w:cs="Arial"/>
                <w:sz w:val="20"/>
                <w:szCs w:val="20"/>
              </w:rPr>
              <w:t xml:space="preserve"> (51.1%)</w:t>
            </w:r>
          </w:p>
        </w:tc>
        <w:tc>
          <w:tcPr>
            <w:tcW w:w="1976" w:type="dxa"/>
            <w:tcBorders>
              <w:top w:val="nil"/>
              <w:left w:val="nil"/>
              <w:bottom w:val="nil"/>
              <w:right w:val="nil"/>
            </w:tcBorders>
            <w:shd w:val="clear" w:color="auto" w:fill="FFFFFF" w:themeFill="background1"/>
          </w:tcPr>
          <w:p w:rsidR="00C413DE" w:rsidRPr="0063526E" w:rsidRDefault="007B4CF1" w:rsidP="000428B7">
            <w:pPr>
              <w:jc w:val="right"/>
              <w:rPr>
                <w:rFonts w:ascii="Arial" w:hAnsi="Arial" w:cs="Arial"/>
                <w:sz w:val="20"/>
                <w:szCs w:val="20"/>
              </w:rPr>
            </w:pPr>
            <w:r>
              <w:rPr>
                <w:rFonts w:ascii="Arial" w:hAnsi="Arial" w:cs="Arial"/>
                <w:sz w:val="20"/>
                <w:szCs w:val="20"/>
              </w:rPr>
              <w:t>21,827 (51.1%)</w:t>
            </w:r>
          </w:p>
        </w:tc>
        <w:tc>
          <w:tcPr>
            <w:tcW w:w="894" w:type="dxa"/>
            <w:tcBorders>
              <w:top w:val="nil"/>
              <w:left w:val="nil"/>
              <w:bottom w:val="nil"/>
              <w:right w:val="single" w:sz="4" w:space="0" w:color="auto"/>
            </w:tcBorders>
            <w:shd w:val="clear" w:color="auto" w:fill="FFFFFF" w:themeFill="background1"/>
          </w:tcPr>
          <w:p w:rsidR="00C413DE" w:rsidRPr="0063526E" w:rsidRDefault="007B4CF1" w:rsidP="000428B7">
            <w:pPr>
              <w:jc w:val="right"/>
              <w:rPr>
                <w:rFonts w:ascii="Arial" w:hAnsi="Arial" w:cs="Arial"/>
                <w:sz w:val="20"/>
                <w:szCs w:val="20"/>
              </w:rPr>
            </w:pPr>
            <w:r w:rsidRPr="0063526E">
              <w:rPr>
                <w:rFonts w:ascii="Arial" w:hAnsi="Arial" w:cs="Arial"/>
                <w:sz w:val="20"/>
                <w:szCs w:val="20"/>
              </w:rPr>
              <w:t>&lt;0.001</w:t>
            </w:r>
          </w:p>
        </w:tc>
      </w:tr>
      <w:tr w:rsidR="00C413DE" w:rsidTr="00FA38E6">
        <w:trPr>
          <w:trHeight w:val="258"/>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Pulmonary</w:t>
            </w:r>
          </w:p>
        </w:tc>
        <w:tc>
          <w:tcPr>
            <w:tcW w:w="2182"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52,886</w:t>
            </w:r>
            <w:r w:rsidR="007B4CF1">
              <w:rPr>
                <w:rFonts w:ascii="Arial" w:hAnsi="Arial" w:cs="Arial"/>
                <w:sz w:val="20"/>
                <w:szCs w:val="20"/>
              </w:rPr>
              <w:t xml:space="preserve"> (35.5%)</w:t>
            </w:r>
          </w:p>
        </w:tc>
        <w:tc>
          <w:tcPr>
            <w:tcW w:w="1980"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18,081</w:t>
            </w:r>
            <w:r w:rsidR="007B4CF1">
              <w:rPr>
                <w:rFonts w:ascii="Arial" w:hAnsi="Arial" w:cs="Arial"/>
                <w:sz w:val="20"/>
                <w:szCs w:val="20"/>
              </w:rPr>
              <w:t xml:space="preserve"> (42.0%)</w:t>
            </w:r>
          </w:p>
        </w:tc>
        <w:tc>
          <w:tcPr>
            <w:tcW w:w="1976" w:type="dxa"/>
            <w:tcBorders>
              <w:top w:val="nil"/>
              <w:left w:val="nil"/>
              <w:bottom w:val="nil"/>
              <w:right w:val="nil"/>
            </w:tcBorders>
            <w:shd w:val="clear" w:color="auto" w:fill="F2F2F2" w:themeFill="background1" w:themeFillShade="F2"/>
          </w:tcPr>
          <w:p w:rsidR="00C413DE" w:rsidRPr="0063526E" w:rsidRDefault="00772B85" w:rsidP="00772B85">
            <w:pPr>
              <w:jc w:val="right"/>
              <w:rPr>
                <w:rFonts w:ascii="Arial" w:hAnsi="Arial" w:cs="Arial"/>
                <w:sz w:val="20"/>
                <w:szCs w:val="20"/>
              </w:rPr>
            </w:pPr>
            <w:r>
              <w:rPr>
                <w:rFonts w:ascii="Arial" w:hAnsi="Arial" w:cs="Arial"/>
                <w:sz w:val="20"/>
                <w:szCs w:val="20"/>
              </w:rPr>
              <w:t>16,759</w:t>
            </w:r>
            <w:r w:rsidR="007B4CF1">
              <w:rPr>
                <w:rFonts w:ascii="Arial" w:hAnsi="Arial" w:cs="Arial"/>
                <w:sz w:val="20"/>
                <w:szCs w:val="20"/>
              </w:rPr>
              <w:t xml:space="preserve"> (39.2%)</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7B4CF1" w:rsidP="000428B7">
            <w:pPr>
              <w:jc w:val="right"/>
              <w:rPr>
                <w:rFonts w:ascii="Arial" w:hAnsi="Arial" w:cs="Arial"/>
                <w:sz w:val="20"/>
                <w:szCs w:val="20"/>
              </w:rPr>
            </w:pPr>
            <w:r w:rsidRPr="0063526E">
              <w:rPr>
                <w:rFonts w:ascii="Arial" w:hAnsi="Arial" w:cs="Arial"/>
                <w:sz w:val="20"/>
                <w:szCs w:val="20"/>
              </w:rPr>
              <w:t>&lt;0.001</w:t>
            </w:r>
          </w:p>
        </w:tc>
      </w:tr>
      <w:tr w:rsidR="00C413DE" w:rsidTr="00FA38E6">
        <w:trPr>
          <w:trHeight w:val="258"/>
          <w:jc w:val="center"/>
        </w:trPr>
        <w:tc>
          <w:tcPr>
            <w:tcW w:w="3578" w:type="dxa"/>
            <w:tcBorders>
              <w:top w:val="nil"/>
              <w:left w:val="single" w:sz="4" w:space="0" w:color="auto"/>
              <w:bottom w:val="nil"/>
              <w:right w:val="nil"/>
            </w:tcBorders>
            <w:shd w:val="clear" w:color="auto" w:fill="FFFFFF" w:themeFill="background1"/>
          </w:tcPr>
          <w:p w:rsidR="00C413DE" w:rsidRPr="0063526E" w:rsidRDefault="00C413DE" w:rsidP="00030091">
            <w:pPr>
              <w:rPr>
                <w:rFonts w:ascii="Arial" w:hAnsi="Arial" w:cs="Arial"/>
                <w:sz w:val="20"/>
                <w:szCs w:val="20"/>
              </w:rPr>
            </w:pPr>
            <w:r w:rsidRPr="0063526E">
              <w:rPr>
                <w:rFonts w:ascii="Arial" w:hAnsi="Arial" w:cs="Arial"/>
                <w:sz w:val="20"/>
                <w:szCs w:val="20"/>
              </w:rPr>
              <w:t xml:space="preserve">  Hematologic</w:t>
            </w:r>
          </w:p>
        </w:tc>
        <w:tc>
          <w:tcPr>
            <w:tcW w:w="2182" w:type="dxa"/>
            <w:tcBorders>
              <w:top w:val="nil"/>
              <w:left w:val="nil"/>
              <w:bottom w:val="nil"/>
              <w:right w:val="nil"/>
            </w:tcBorders>
            <w:shd w:val="clear" w:color="auto" w:fill="FFFFFF" w:themeFill="background1"/>
          </w:tcPr>
          <w:p w:rsidR="00C413DE" w:rsidRPr="0063526E" w:rsidRDefault="00772B85" w:rsidP="000428B7">
            <w:pPr>
              <w:jc w:val="right"/>
              <w:rPr>
                <w:rFonts w:ascii="Arial" w:hAnsi="Arial" w:cs="Arial"/>
                <w:sz w:val="20"/>
                <w:szCs w:val="20"/>
              </w:rPr>
            </w:pPr>
            <w:r>
              <w:rPr>
                <w:rFonts w:ascii="Arial" w:hAnsi="Arial" w:cs="Arial"/>
                <w:sz w:val="20"/>
                <w:szCs w:val="20"/>
              </w:rPr>
              <w:t>25,753</w:t>
            </w:r>
            <w:r w:rsidR="007B4CF1">
              <w:rPr>
                <w:rFonts w:ascii="Arial" w:hAnsi="Arial" w:cs="Arial"/>
                <w:sz w:val="20"/>
                <w:szCs w:val="20"/>
              </w:rPr>
              <w:t xml:space="preserve"> (17.3%)</w:t>
            </w:r>
          </w:p>
        </w:tc>
        <w:tc>
          <w:tcPr>
            <w:tcW w:w="1980" w:type="dxa"/>
            <w:tcBorders>
              <w:top w:val="nil"/>
              <w:left w:val="nil"/>
              <w:bottom w:val="nil"/>
              <w:right w:val="nil"/>
            </w:tcBorders>
            <w:shd w:val="clear" w:color="auto" w:fill="FFFFFF" w:themeFill="background1"/>
          </w:tcPr>
          <w:p w:rsidR="00C413DE" w:rsidRPr="0063526E" w:rsidRDefault="00772B85" w:rsidP="000428B7">
            <w:pPr>
              <w:jc w:val="right"/>
              <w:rPr>
                <w:rFonts w:ascii="Arial" w:hAnsi="Arial" w:cs="Arial"/>
                <w:sz w:val="20"/>
                <w:szCs w:val="20"/>
              </w:rPr>
            </w:pPr>
            <w:r>
              <w:rPr>
                <w:rFonts w:ascii="Arial" w:hAnsi="Arial" w:cs="Arial"/>
                <w:sz w:val="20"/>
                <w:szCs w:val="20"/>
              </w:rPr>
              <w:t>12,843</w:t>
            </w:r>
            <w:r w:rsidR="007B4CF1">
              <w:rPr>
                <w:rFonts w:ascii="Arial" w:hAnsi="Arial" w:cs="Arial"/>
                <w:sz w:val="20"/>
                <w:szCs w:val="20"/>
              </w:rPr>
              <w:t xml:space="preserve"> (29.8%)</w:t>
            </w:r>
          </w:p>
        </w:tc>
        <w:tc>
          <w:tcPr>
            <w:tcW w:w="1976" w:type="dxa"/>
            <w:tcBorders>
              <w:top w:val="nil"/>
              <w:left w:val="nil"/>
              <w:bottom w:val="nil"/>
              <w:right w:val="nil"/>
            </w:tcBorders>
            <w:shd w:val="clear" w:color="auto" w:fill="FFFFFF" w:themeFill="background1"/>
          </w:tcPr>
          <w:p w:rsidR="00C413DE" w:rsidRPr="0063526E" w:rsidRDefault="00772B85" w:rsidP="000428B7">
            <w:pPr>
              <w:jc w:val="right"/>
              <w:rPr>
                <w:rFonts w:ascii="Arial" w:hAnsi="Arial" w:cs="Arial"/>
                <w:sz w:val="20"/>
                <w:szCs w:val="20"/>
              </w:rPr>
            </w:pPr>
            <w:r>
              <w:rPr>
                <w:rFonts w:ascii="Arial" w:hAnsi="Arial" w:cs="Arial"/>
                <w:sz w:val="20"/>
                <w:szCs w:val="20"/>
              </w:rPr>
              <w:t>8,540</w:t>
            </w:r>
            <w:r w:rsidR="007B4CF1">
              <w:rPr>
                <w:rFonts w:ascii="Arial" w:hAnsi="Arial" w:cs="Arial"/>
                <w:sz w:val="20"/>
                <w:szCs w:val="20"/>
              </w:rPr>
              <w:t xml:space="preserve"> (20.0%)</w:t>
            </w:r>
          </w:p>
        </w:tc>
        <w:tc>
          <w:tcPr>
            <w:tcW w:w="894" w:type="dxa"/>
            <w:tcBorders>
              <w:top w:val="nil"/>
              <w:left w:val="nil"/>
              <w:bottom w:val="nil"/>
              <w:right w:val="single" w:sz="4" w:space="0" w:color="auto"/>
            </w:tcBorders>
            <w:shd w:val="clear" w:color="auto" w:fill="FFFFFF" w:themeFill="background1"/>
          </w:tcPr>
          <w:p w:rsidR="00C413DE" w:rsidRPr="0063526E" w:rsidRDefault="007B4CF1" w:rsidP="000428B7">
            <w:pPr>
              <w:jc w:val="right"/>
              <w:rPr>
                <w:rFonts w:ascii="Arial" w:hAnsi="Arial" w:cs="Arial"/>
                <w:sz w:val="20"/>
                <w:szCs w:val="20"/>
              </w:rPr>
            </w:pPr>
            <w:r w:rsidRPr="0063526E">
              <w:rPr>
                <w:rFonts w:ascii="Arial" w:hAnsi="Arial" w:cs="Arial"/>
                <w:sz w:val="20"/>
                <w:szCs w:val="20"/>
              </w:rPr>
              <w:t>&lt;0.001</w:t>
            </w:r>
          </w:p>
        </w:tc>
      </w:tr>
      <w:tr w:rsidR="00C413DE" w:rsidTr="00FA38E6">
        <w:trPr>
          <w:trHeight w:val="258"/>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Liver</w:t>
            </w:r>
          </w:p>
        </w:tc>
        <w:tc>
          <w:tcPr>
            <w:tcW w:w="2182" w:type="dxa"/>
            <w:tcBorders>
              <w:top w:val="nil"/>
              <w:left w:val="nil"/>
              <w:bottom w:val="nil"/>
              <w:right w:val="nil"/>
            </w:tcBorders>
            <w:shd w:val="clear" w:color="auto" w:fill="F2F2F2" w:themeFill="background1" w:themeFillShade="F2"/>
          </w:tcPr>
          <w:p w:rsidR="00C413DE" w:rsidRPr="0063526E" w:rsidRDefault="007B4CF1" w:rsidP="000428B7">
            <w:pPr>
              <w:jc w:val="right"/>
              <w:rPr>
                <w:rFonts w:ascii="Arial" w:hAnsi="Arial" w:cs="Arial"/>
                <w:sz w:val="20"/>
                <w:szCs w:val="20"/>
              </w:rPr>
            </w:pPr>
            <w:r>
              <w:rPr>
                <w:rFonts w:ascii="Arial" w:hAnsi="Arial" w:cs="Arial"/>
                <w:sz w:val="20"/>
                <w:szCs w:val="20"/>
              </w:rPr>
              <w:t>7,183 (4.8%)</w:t>
            </w:r>
          </w:p>
        </w:tc>
        <w:tc>
          <w:tcPr>
            <w:tcW w:w="1980"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2,324</w:t>
            </w:r>
            <w:r w:rsidR="007B4CF1">
              <w:rPr>
                <w:rFonts w:ascii="Arial" w:hAnsi="Arial" w:cs="Arial"/>
                <w:sz w:val="20"/>
                <w:szCs w:val="20"/>
              </w:rPr>
              <w:t xml:space="preserve"> (5.4%)</w:t>
            </w:r>
          </w:p>
        </w:tc>
        <w:tc>
          <w:tcPr>
            <w:tcW w:w="1976" w:type="dxa"/>
            <w:tcBorders>
              <w:top w:val="nil"/>
              <w:left w:val="nil"/>
              <w:bottom w:val="nil"/>
              <w:right w:val="nil"/>
            </w:tcBorders>
            <w:shd w:val="clear" w:color="auto" w:fill="F2F2F2" w:themeFill="background1" w:themeFillShade="F2"/>
          </w:tcPr>
          <w:p w:rsidR="00C413DE" w:rsidRPr="0063526E" w:rsidRDefault="007B4CF1" w:rsidP="000428B7">
            <w:pPr>
              <w:jc w:val="right"/>
              <w:rPr>
                <w:rFonts w:ascii="Arial" w:hAnsi="Arial" w:cs="Arial"/>
                <w:sz w:val="20"/>
                <w:szCs w:val="20"/>
              </w:rPr>
            </w:pPr>
            <w:r>
              <w:rPr>
                <w:rFonts w:ascii="Arial" w:hAnsi="Arial" w:cs="Arial"/>
                <w:sz w:val="20"/>
                <w:szCs w:val="20"/>
              </w:rPr>
              <w:t>2,910 (6.8%)</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7B4CF1" w:rsidP="000428B7">
            <w:pPr>
              <w:jc w:val="right"/>
              <w:rPr>
                <w:rFonts w:ascii="Arial" w:hAnsi="Arial" w:cs="Arial"/>
                <w:sz w:val="20"/>
                <w:szCs w:val="20"/>
              </w:rPr>
            </w:pPr>
            <w:r w:rsidRPr="0063526E">
              <w:rPr>
                <w:rFonts w:ascii="Arial" w:hAnsi="Arial" w:cs="Arial"/>
                <w:sz w:val="20"/>
                <w:szCs w:val="20"/>
              </w:rPr>
              <w:t>&lt;0.001</w:t>
            </w:r>
          </w:p>
        </w:tc>
      </w:tr>
      <w:tr w:rsidR="00C413DE" w:rsidTr="00FA38E6">
        <w:trPr>
          <w:trHeight w:val="258"/>
          <w:jc w:val="center"/>
        </w:trPr>
        <w:tc>
          <w:tcPr>
            <w:tcW w:w="3578" w:type="dxa"/>
            <w:tcBorders>
              <w:top w:val="nil"/>
              <w:left w:val="single" w:sz="4" w:space="0" w:color="auto"/>
              <w:bottom w:val="nil"/>
              <w:right w:val="nil"/>
            </w:tcBorders>
            <w:shd w:val="clear" w:color="auto" w:fill="FFFFFF" w:themeFill="background1"/>
          </w:tcPr>
          <w:p w:rsidR="00C413DE" w:rsidRPr="0063526E" w:rsidRDefault="00C413DE" w:rsidP="00030091">
            <w:pPr>
              <w:rPr>
                <w:rFonts w:ascii="Arial" w:hAnsi="Arial" w:cs="Arial"/>
                <w:sz w:val="20"/>
                <w:szCs w:val="20"/>
              </w:rPr>
            </w:pPr>
            <w:r w:rsidRPr="0063526E">
              <w:rPr>
                <w:rFonts w:ascii="Arial" w:hAnsi="Arial" w:cs="Arial"/>
                <w:sz w:val="20"/>
                <w:szCs w:val="20"/>
              </w:rPr>
              <w:t xml:space="preserve">  Neurologic</w:t>
            </w:r>
          </w:p>
        </w:tc>
        <w:tc>
          <w:tcPr>
            <w:tcW w:w="2182" w:type="dxa"/>
            <w:tcBorders>
              <w:top w:val="nil"/>
              <w:left w:val="nil"/>
              <w:bottom w:val="nil"/>
              <w:right w:val="nil"/>
            </w:tcBorders>
            <w:shd w:val="clear" w:color="auto" w:fill="FFFFFF" w:themeFill="background1"/>
          </w:tcPr>
          <w:p w:rsidR="00C413DE" w:rsidRPr="0063526E" w:rsidRDefault="007B4CF1" w:rsidP="000428B7">
            <w:pPr>
              <w:jc w:val="right"/>
              <w:rPr>
                <w:rFonts w:ascii="Arial" w:hAnsi="Arial" w:cs="Arial"/>
                <w:sz w:val="20"/>
                <w:szCs w:val="20"/>
              </w:rPr>
            </w:pPr>
            <w:r>
              <w:rPr>
                <w:rFonts w:ascii="Arial" w:hAnsi="Arial" w:cs="Arial"/>
                <w:sz w:val="20"/>
                <w:szCs w:val="20"/>
              </w:rPr>
              <w:t>6,681 (4.5%)</w:t>
            </w:r>
          </w:p>
        </w:tc>
        <w:tc>
          <w:tcPr>
            <w:tcW w:w="1980" w:type="dxa"/>
            <w:tcBorders>
              <w:top w:val="nil"/>
              <w:left w:val="nil"/>
              <w:bottom w:val="nil"/>
              <w:right w:val="nil"/>
            </w:tcBorders>
            <w:shd w:val="clear" w:color="auto" w:fill="FFFFFF" w:themeFill="background1"/>
          </w:tcPr>
          <w:p w:rsidR="00C413DE" w:rsidRPr="0063526E" w:rsidRDefault="007B4CF1" w:rsidP="000428B7">
            <w:pPr>
              <w:jc w:val="right"/>
              <w:rPr>
                <w:rFonts w:ascii="Arial" w:hAnsi="Arial" w:cs="Arial"/>
                <w:sz w:val="20"/>
                <w:szCs w:val="20"/>
              </w:rPr>
            </w:pPr>
            <w:r>
              <w:rPr>
                <w:rFonts w:ascii="Arial" w:hAnsi="Arial" w:cs="Arial"/>
                <w:sz w:val="20"/>
                <w:szCs w:val="20"/>
              </w:rPr>
              <w:t>1,976 (4.6%)</w:t>
            </w:r>
          </w:p>
        </w:tc>
        <w:tc>
          <w:tcPr>
            <w:tcW w:w="1976" w:type="dxa"/>
            <w:tcBorders>
              <w:top w:val="nil"/>
              <w:left w:val="nil"/>
              <w:bottom w:val="nil"/>
              <w:right w:val="nil"/>
            </w:tcBorders>
            <w:shd w:val="clear" w:color="auto" w:fill="FFFFFF" w:themeFill="background1"/>
          </w:tcPr>
          <w:p w:rsidR="00C413DE" w:rsidRPr="0063526E" w:rsidRDefault="007B4CF1" w:rsidP="000428B7">
            <w:pPr>
              <w:jc w:val="right"/>
              <w:rPr>
                <w:rFonts w:ascii="Arial" w:hAnsi="Arial" w:cs="Arial"/>
                <w:sz w:val="20"/>
                <w:szCs w:val="20"/>
              </w:rPr>
            </w:pPr>
            <w:r>
              <w:rPr>
                <w:rFonts w:ascii="Arial" w:hAnsi="Arial" w:cs="Arial"/>
                <w:sz w:val="20"/>
                <w:szCs w:val="20"/>
              </w:rPr>
              <w:t>1,967 (4.6%)</w:t>
            </w:r>
          </w:p>
        </w:tc>
        <w:tc>
          <w:tcPr>
            <w:tcW w:w="894" w:type="dxa"/>
            <w:tcBorders>
              <w:top w:val="nil"/>
              <w:left w:val="nil"/>
              <w:bottom w:val="nil"/>
              <w:right w:val="single" w:sz="4" w:space="0" w:color="auto"/>
            </w:tcBorders>
            <w:shd w:val="clear" w:color="auto" w:fill="FFFFFF" w:themeFill="background1"/>
          </w:tcPr>
          <w:p w:rsidR="00C413DE" w:rsidRPr="0063526E" w:rsidRDefault="007B4CF1" w:rsidP="000428B7">
            <w:pPr>
              <w:jc w:val="right"/>
              <w:rPr>
                <w:rFonts w:ascii="Arial" w:hAnsi="Arial" w:cs="Arial"/>
                <w:sz w:val="20"/>
                <w:szCs w:val="20"/>
              </w:rPr>
            </w:pPr>
            <w:r>
              <w:rPr>
                <w:rFonts w:ascii="Arial" w:hAnsi="Arial" w:cs="Arial"/>
                <w:sz w:val="20"/>
                <w:szCs w:val="20"/>
              </w:rPr>
              <w:t>0.48</w:t>
            </w:r>
          </w:p>
        </w:tc>
      </w:tr>
      <w:tr w:rsidR="00C413DE" w:rsidTr="00FA38E6">
        <w:trPr>
          <w:trHeight w:val="258"/>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None</w:t>
            </w:r>
          </w:p>
        </w:tc>
        <w:tc>
          <w:tcPr>
            <w:tcW w:w="2182" w:type="dxa"/>
            <w:tcBorders>
              <w:top w:val="nil"/>
              <w:left w:val="nil"/>
              <w:bottom w:val="nil"/>
              <w:right w:val="nil"/>
            </w:tcBorders>
            <w:shd w:val="clear" w:color="auto" w:fill="F2F2F2" w:themeFill="background1" w:themeFillShade="F2"/>
          </w:tcPr>
          <w:p w:rsidR="00C413DE" w:rsidRPr="0063526E" w:rsidRDefault="007B4CF1" w:rsidP="000428B7">
            <w:pPr>
              <w:jc w:val="right"/>
              <w:rPr>
                <w:rFonts w:ascii="Arial" w:hAnsi="Arial" w:cs="Arial"/>
                <w:sz w:val="20"/>
                <w:szCs w:val="20"/>
              </w:rPr>
            </w:pPr>
            <w:r>
              <w:rPr>
                <w:rFonts w:ascii="Arial" w:hAnsi="Arial" w:cs="Arial"/>
                <w:sz w:val="20"/>
                <w:szCs w:val="20"/>
              </w:rPr>
              <w:t>7,854 (5.3%)</w:t>
            </w:r>
          </w:p>
        </w:tc>
        <w:tc>
          <w:tcPr>
            <w:tcW w:w="1980" w:type="dxa"/>
            <w:tcBorders>
              <w:top w:val="nil"/>
              <w:left w:val="nil"/>
              <w:bottom w:val="nil"/>
              <w:right w:val="nil"/>
            </w:tcBorders>
            <w:shd w:val="clear" w:color="auto" w:fill="F2F2F2" w:themeFill="background1" w:themeFillShade="F2"/>
          </w:tcPr>
          <w:p w:rsidR="00C413DE" w:rsidRPr="0063526E" w:rsidRDefault="007B4CF1" w:rsidP="000428B7">
            <w:pPr>
              <w:jc w:val="right"/>
              <w:rPr>
                <w:rFonts w:ascii="Arial" w:hAnsi="Arial" w:cs="Arial"/>
                <w:sz w:val="20"/>
                <w:szCs w:val="20"/>
              </w:rPr>
            </w:pPr>
            <w:r>
              <w:rPr>
                <w:rFonts w:ascii="Arial" w:hAnsi="Arial" w:cs="Arial"/>
                <w:sz w:val="20"/>
                <w:szCs w:val="20"/>
              </w:rPr>
              <w:t>1,459 (3.4%)</w:t>
            </w:r>
          </w:p>
        </w:tc>
        <w:tc>
          <w:tcPr>
            <w:tcW w:w="1976" w:type="dxa"/>
            <w:tcBorders>
              <w:top w:val="nil"/>
              <w:left w:val="nil"/>
              <w:bottom w:val="nil"/>
              <w:right w:val="nil"/>
            </w:tcBorders>
            <w:shd w:val="clear" w:color="auto" w:fill="F2F2F2" w:themeFill="background1" w:themeFillShade="F2"/>
          </w:tcPr>
          <w:p w:rsidR="00C413DE" w:rsidRPr="0063526E" w:rsidRDefault="007B4CF1" w:rsidP="000428B7">
            <w:pPr>
              <w:jc w:val="right"/>
              <w:rPr>
                <w:rFonts w:ascii="Arial" w:hAnsi="Arial" w:cs="Arial"/>
                <w:sz w:val="20"/>
                <w:szCs w:val="20"/>
              </w:rPr>
            </w:pPr>
            <w:r>
              <w:rPr>
                <w:rFonts w:ascii="Arial" w:hAnsi="Arial" w:cs="Arial"/>
                <w:sz w:val="20"/>
                <w:szCs w:val="20"/>
              </w:rPr>
              <w:t>1,861 (4.4%)</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7B4CF1" w:rsidP="000428B7">
            <w:pPr>
              <w:jc w:val="right"/>
              <w:rPr>
                <w:rFonts w:ascii="Arial" w:hAnsi="Arial" w:cs="Arial"/>
                <w:sz w:val="20"/>
                <w:szCs w:val="20"/>
              </w:rPr>
            </w:pPr>
            <w:r w:rsidRPr="0063526E">
              <w:rPr>
                <w:rFonts w:ascii="Arial" w:hAnsi="Arial" w:cs="Arial"/>
                <w:sz w:val="20"/>
                <w:szCs w:val="20"/>
              </w:rPr>
              <w:t>&lt;0.001</w:t>
            </w:r>
          </w:p>
        </w:tc>
      </w:tr>
      <w:tr w:rsidR="00C413DE" w:rsidTr="00FA38E6">
        <w:trPr>
          <w:trHeight w:val="188"/>
          <w:jc w:val="center"/>
        </w:trPr>
        <w:tc>
          <w:tcPr>
            <w:tcW w:w="3578" w:type="dxa"/>
            <w:tcBorders>
              <w:top w:val="nil"/>
              <w:left w:val="single" w:sz="4" w:space="0" w:color="auto"/>
              <w:bottom w:val="nil"/>
              <w:right w:val="nil"/>
            </w:tcBorders>
            <w:shd w:val="clear" w:color="auto" w:fill="FFFFFF" w:themeFill="background1"/>
          </w:tcPr>
          <w:p w:rsidR="00C413DE" w:rsidRPr="0063526E" w:rsidRDefault="00AD1E00" w:rsidP="00030091">
            <w:pPr>
              <w:rPr>
                <w:rFonts w:ascii="Arial" w:hAnsi="Arial" w:cs="Arial"/>
                <w:sz w:val="20"/>
                <w:szCs w:val="20"/>
              </w:rPr>
            </w:pPr>
            <w:r>
              <w:rPr>
                <w:rFonts w:ascii="Arial" w:hAnsi="Arial" w:cs="Arial"/>
                <w:sz w:val="20"/>
                <w:szCs w:val="20"/>
              </w:rPr>
              <w:t>Site</w:t>
            </w:r>
            <w:r w:rsidR="00C413DE" w:rsidRPr="0063526E">
              <w:rPr>
                <w:rFonts w:ascii="Arial" w:hAnsi="Arial" w:cs="Arial"/>
                <w:sz w:val="20"/>
                <w:szCs w:val="20"/>
              </w:rPr>
              <w:t xml:space="preserve"> of Infection, N(%) </w:t>
            </w:r>
          </w:p>
        </w:tc>
        <w:tc>
          <w:tcPr>
            <w:tcW w:w="2182" w:type="dxa"/>
            <w:tcBorders>
              <w:top w:val="nil"/>
              <w:left w:val="nil"/>
              <w:bottom w:val="nil"/>
              <w:right w:val="nil"/>
            </w:tcBorders>
            <w:shd w:val="clear" w:color="auto" w:fill="FFFFFF" w:themeFill="background1"/>
          </w:tcPr>
          <w:p w:rsidR="00C413DE" w:rsidRPr="0063526E" w:rsidRDefault="00C413DE" w:rsidP="000428B7">
            <w:pPr>
              <w:jc w:val="right"/>
              <w:rPr>
                <w:rFonts w:ascii="Arial" w:hAnsi="Arial" w:cs="Arial"/>
                <w:sz w:val="20"/>
                <w:szCs w:val="20"/>
              </w:rPr>
            </w:pPr>
          </w:p>
        </w:tc>
        <w:tc>
          <w:tcPr>
            <w:tcW w:w="1980" w:type="dxa"/>
            <w:tcBorders>
              <w:top w:val="nil"/>
              <w:left w:val="nil"/>
              <w:bottom w:val="nil"/>
              <w:right w:val="nil"/>
            </w:tcBorders>
            <w:shd w:val="clear" w:color="auto" w:fill="FFFFFF" w:themeFill="background1"/>
          </w:tcPr>
          <w:p w:rsidR="00C413DE" w:rsidRPr="0063526E" w:rsidRDefault="00C413DE" w:rsidP="000428B7">
            <w:pPr>
              <w:jc w:val="right"/>
              <w:rPr>
                <w:rFonts w:ascii="Arial" w:hAnsi="Arial" w:cs="Arial"/>
                <w:sz w:val="20"/>
                <w:szCs w:val="20"/>
              </w:rPr>
            </w:pPr>
          </w:p>
        </w:tc>
        <w:tc>
          <w:tcPr>
            <w:tcW w:w="1976" w:type="dxa"/>
            <w:tcBorders>
              <w:top w:val="nil"/>
              <w:left w:val="nil"/>
              <w:bottom w:val="nil"/>
              <w:right w:val="nil"/>
            </w:tcBorders>
            <w:shd w:val="clear" w:color="auto" w:fill="FFFFFF" w:themeFill="background1"/>
          </w:tcPr>
          <w:p w:rsidR="00C413DE" w:rsidRPr="0063526E" w:rsidRDefault="00C413DE" w:rsidP="000428B7">
            <w:pPr>
              <w:jc w:val="right"/>
              <w:rPr>
                <w:rFonts w:ascii="Arial" w:hAnsi="Arial" w:cs="Arial"/>
                <w:sz w:val="20"/>
                <w:szCs w:val="20"/>
              </w:rPr>
            </w:pPr>
          </w:p>
        </w:tc>
        <w:tc>
          <w:tcPr>
            <w:tcW w:w="894" w:type="dxa"/>
            <w:tcBorders>
              <w:top w:val="nil"/>
              <w:left w:val="nil"/>
              <w:bottom w:val="nil"/>
              <w:right w:val="single" w:sz="4" w:space="0" w:color="auto"/>
            </w:tcBorders>
            <w:shd w:val="clear" w:color="auto" w:fill="FFFFFF" w:themeFill="background1"/>
          </w:tcPr>
          <w:p w:rsidR="00C413DE" w:rsidRPr="0063526E" w:rsidRDefault="00C413DE" w:rsidP="000428B7">
            <w:pPr>
              <w:jc w:val="right"/>
              <w:rPr>
                <w:rFonts w:ascii="Arial" w:hAnsi="Arial" w:cs="Arial"/>
                <w:sz w:val="20"/>
                <w:szCs w:val="20"/>
              </w:rPr>
            </w:pPr>
            <w:r w:rsidRPr="0063526E">
              <w:rPr>
                <w:rFonts w:ascii="Arial" w:hAnsi="Arial" w:cs="Arial"/>
                <w:sz w:val="20"/>
                <w:szCs w:val="20"/>
              </w:rPr>
              <w:t>&lt;0.001</w:t>
            </w:r>
          </w:p>
        </w:tc>
      </w:tr>
      <w:tr w:rsidR="00C413DE" w:rsidTr="00FA38E6">
        <w:trPr>
          <w:trHeight w:val="281"/>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Respiratory</w:t>
            </w:r>
          </w:p>
        </w:tc>
        <w:tc>
          <w:tcPr>
            <w:tcW w:w="2182"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54,010</w:t>
            </w:r>
            <w:r w:rsidR="00DC6C2F">
              <w:rPr>
                <w:rFonts w:ascii="Arial" w:hAnsi="Arial" w:cs="Arial"/>
                <w:sz w:val="20"/>
                <w:szCs w:val="20"/>
              </w:rPr>
              <w:t xml:space="preserve"> (36.3%)</w:t>
            </w:r>
          </w:p>
        </w:tc>
        <w:tc>
          <w:tcPr>
            <w:tcW w:w="1980" w:type="dxa"/>
            <w:tcBorders>
              <w:top w:val="nil"/>
              <w:left w:val="nil"/>
              <w:bottom w:val="nil"/>
              <w:right w:val="nil"/>
            </w:tcBorders>
            <w:shd w:val="clear" w:color="auto" w:fill="F2F2F2" w:themeFill="background1" w:themeFillShade="F2"/>
          </w:tcPr>
          <w:p w:rsidR="00C413DE" w:rsidRPr="0063526E" w:rsidRDefault="00DC6C2F" w:rsidP="00772B85">
            <w:pPr>
              <w:jc w:val="right"/>
              <w:rPr>
                <w:rFonts w:ascii="Arial" w:hAnsi="Arial" w:cs="Arial"/>
                <w:sz w:val="20"/>
                <w:szCs w:val="20"/>
              </w:rPr>
            </w:pPr>
            <w:r>
              <w:rPr>
                <w:rFonts w:ascii="Arial" w:hAnsi="Arial" w:cs="Arial"/>
                <w:sz w:val="20"/>
                <w:szCs w:val="20"/>
              </w:rPr>
              <w:t>18,26</w:t>
            </w:r>
            <w:r w:rsidR="00772B85">
              <w:rPr>
                <w:rFonts w:ascii="Arial" w:hAnsi="Arial" w:cs="Arial"/>
                <w:sz w:val="20"/>
                <w:szCs w:val="20"/>
              </w:rPr>
              <w:t>0</w:t>
            </w:r>
            <w:r>
              <w:rPr>
                <w:rFonts w:ascii="Arial" w:hAnsi="Arial" w:cs="Arial"/>
                <w:sz w:val="20"/>
                <w:szCs w:val="20"/>
              </w:rPr>
              <w:t xml:space="preserve"> (42.4%)</w:t>
            </w:r>
          </w:p>
        </w:tc>
        <w:tc>
          <w:tcPr>
            <w:tcW w:w="1976" w:type="dxa"/>
            <w:tcBorders>
              <w:top w:val="nil"/>
              <w:left w:val="nil"/>
              <w:bottom w:val="nil"/>
              <w:right w:val="nil"/>
            </w:tcBorders>
            <w:shd w:val="clear" w:color="auto" w:fill="F2F2F2" w:themeFill="background1" w:themeFillShade="F2"/>
          </w:tcPr>
          <w:p w:rsidR="00C413DE" w:rsidRPr="0063526E" w:rsidRDefault="00DC6C2F" w:rsidP="00772B85">
            <w:pPr>
              <w:jc w:val="right"/>
              <w:rPr>
                <w:rFonts w:ascii="Arial" w:hAnsi="Arial" w:cs="Arial"/>
                <w:sz w:val="20"/>
                <w:szCs w:val="20"/>
              </w:rPr>
            </w:pPr>
            <w:r>
              <w:rPr>
                <w:rFonts w:ascii="Arial" w:hAnsi="Arial" w:cs="Arial"/>
                <w:sz w:val="20"/>
                <w:szCs w:val="20"/>
              </w:rPr>
              <w:t>16,28</w:t>
            </w:r>
            <w:r w:rsidR="00772B85">
              <w:rPr>
                <w:rFonts w:ascii="Arial" w:hAnsi="Arial" w:cs="Arial"/>
                <w:sz w:val="20"/>
                <w:szCs w:val="20"/>
              </w:rPr>
              <w:t>4</w:t>
            </w:r>
            <w:r>
              <w:rPr>
                <w:rFonts w:ascii="Arial" w:hAnsi="Arial" w:cs="Arial"/>
                <w:sz w:val="20"/>
                <w:szCs w:val="20"/>
              </w:rPr>
              <w:t xml:space="preserve"> (38.1%)</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C413DE" w:rsidP="000428B7">
            <w:pPr>
              <w:jc w:val="right"/>
              <w:rPr>
                <w:rFonts w:ascii="Arial" w:hAnsi="Arial" w:cs="Arial"/>
                <w:sz w:val="20"/>
                <w:szCs w:val="20"/>
              </w:rPr>
            </w:pPr>
          </w:p>
        </w:tc>
      </w:tr>
      <w:tr w:rsidR="00C413DE" w:rsidTr="00FA38E6">
        <w:trPr>
          <w:trHeight w:val="281"/>
          <w:jc w:val="center"/>
        </w:trPr>
        <w:tc>
          <w:tcPr>
            <w:tcW w:w="3578" w:type="dxa"/>
            <w:tcBorders>
              <w:top w:val="nil"/>
              <w:left w:val="single" w:sz="4" w:space="0" w:color="auto"/>
              <w:bottom w:val="nil"/>
              <w:right w:val="nil"/>
            </w:tcBorders>
            <w:shd w:val="clear" w:color="auto" w:fill="FFFFFF" w:themeFill="background1"/>
          </w:tcPr>
          <w:p w:rsidR="00C413DE" w:rsidRPr="0063526E" w:rsidRDefault="00C413DE" w:rsidP="00030091">
            <w:pPr>
              <w:rPr>
                <w:rFonts w:ascii="Arial" w:hAnsi="Arial" w:cs="Arial"/>
                <w:sz w:val="20"/>
                <w:szCs w:val="20"/>
              </w:rPr>
            </w:pPr>
            <w:r w:rsidRPr="0063526E">
              <w:rPr>
                <w:rFonts w:ascii="Arial" w:hAnsi="Arial" w:cs="Arial"/>
                <w:sz w:val="20"/>
                <w:szCs w:val="20"/>
              </w:rPr>
              <w:t xml:space="preserve">  Genitourinary</w:t>
            </w:r>
          </w:p>
        </w:tc>
        <w:tc>
          <w:tcPr>
            <w:tcW w:w="2182"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40,492 (27.2%)</w:t>
            </w:r>
          </w:p>
        </w:tc>
        <w:tc>
          <w:tcPr>
            <w:tcW w:w="1980"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6,921 (16.1%)</w:t>
            </w:r>
          </w:p>
        </w:tc>
        <w:tc>
          <w:tcPr>
            <w:tcW w:w="1976"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9,137 (21.4%)</w:t>
            </w:r>
          </w:p>
        </w:tc>
        <w:tc>
          <w:tcPr>
            <w:tcW w:w="894" w:type="dxa"/>
            <w:tcBorders>
              <w:top w:val="nil"/>
              <w:left w:val="nil"/>
              <w:bottom w:val="nil"/>
              <w:right w:val="single" w:sz="4" w:space="0" w:color="auto"/>
            </w:tcBorders>
            <w:shd w:val="clear" w:color="auto" w:fill="FFFFFF" w:themeFill="background1"/>
          </w:tcPr>
          <w:p w:rsidR="00C413DE" w:rsidRPr="0063526E" w:rsidRDefault="00C413DE" w:rsidP="000428B7">
            <w:pPr>
              <w:jc w:val="right"/>
              <w:rPr>
                <w:rFonts w:ascii="Arial" w:hAnsi="Arial" w:cs="Arial"/>
                <w:sz w:val="20"/>
                <w:szCs w:val="20"/>
              </w:rPr>
            </w:pPr>
          </w:p>
        </w:tc>
      </w:tr>
      <w:tr w:rsidR="00C413DE" w:rsidTr="00FA38E6">
        <w:trPr>
          <w:trHeight w:val="281"/>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Gastrointestinal</w:t>
            </w:r>
          </w:p>
        </w:tc>
        <w:tc>
          <w:tcPr>
            <w:tcW w:w="2182" w:type="dxa"/>
            <w:tcBorders>
              <w:top w:val="nil"/>
              <w:left w:val="nil"/>
              <w:bottom w:val="nil"/>
              <w:right w:val="nil"/>
            </w:tcBorders>
            <w:shd w:val="clear" w:color="auto" w:fill="F2F2F2" w:themeFill="background1" w:themeFillShade="F2"/>
          </w:tcPr>
          <w:p w:rsidR="00C413DE" w:rsidRPr="0063526E" w:rsidRDefault="00DC6C2F" w:rsidP="000428B7">
            <w:pPr>
              <w:jc w:val="right"/>
              <w:rPr>
                <w:rFonts w:ascii="Arial" w:hAnsi="Arial" w:cs="Arial"/>
                <w:sz w:val="20"/>
                <w:szCs w:val="20"/>
              </w:rPr>
            </w:pPr>
            <w:r>
              <w:rPr>
                <w:rFonts w:ascii="Arial" w:hAnsi="Arial" w:cs="Arial"/>
                <w:sz w:val="20"/>
                <w:szCs w:val="20"/>
              </w:rPr>
              <w:t>19,520 (13.1%)</w:t>
            </w:r>
          </w:p>
        </w:tc>
        <w:tc>
          <w:tcPr>
            <w:tcW w:w="1980"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4,373</w:t>
            </w:r>
            <w:r w:rsidR="00DC6C2F">
              <w:rPr>
                <w:rFonts w:ascii="Arial" w:hAnsi="Arial" w:cs="Arial"/>
                <w:sz w:val="20"/>
                <w:szCs w:val="20"/>
              </w:rPr>
              <w:t xml:space="preserve"> (10.2%)</w:t>
            </w:r>
          </w:p>
        </w:tc>
        <w:tc>
          <w:tcPr>
            <w:tcW w:w="1976" w:type="dxa"/>
            <w:tcBorders>
              <w:top w:val="nil"/>
              <w:left w:val="nil"/>
              <w:bottom w:val="nil"/>
              <w:right w:val="nil"/>
            </w:tcBorders>
            <w:shd w:val="clear" w:color="auto" w:fill="F2F2F2" w:themeFill="background1" w:themeFillShade="F2"/>
          </w:tcPr>
          <w:p w:rsidR="00C413DE" w:rsidRPr="0063526E" w:rsidRDefault="00DC6C2F" w:rsidP="000428B7">
            <w:pPr>
              <w:jc w:val="right"/>
              <w:rPr>
                <w:rFonts w:ascii="Arial" w:hAnsi="Arial" w:cs="Arial"/>
                <w:sz w:val="20"/>
                <w:szCs w:val="20"/>
              </w:rPr>
            </w:pPr>
            <w:r>
              <w:rPr>
                <w:rFonts w:ascii="Arial" w:hAnsi="Arial" w:cs="Arial"/>
                <w:sz w:val="20"/>
                <w:szCs w:val="20"/>
              </w:rPr>
              <w:t>5,715 (13.4%)</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C413DE" w:rsidP="000428B7">
            <w:pPr>
              <w:jc w:val="right"/>
              <w:rPr>
                <w:rFonts w:ascii="Arial" w:hAnsi="Arial" w:cs="Arial"/>
                <w:sz w:val="20"/>
                <w:szCs w:val="20"/>
              </w:rPr>
            </w:pPr>
          </w:p>
        </w:tc>
      </w:tr>
      <w:tr w:rsidR="00C413DE" w:rsidTr="00FA38E6">
        <w:trPr>
          <w:trHeight w:val="281"/>
          <w:jc w:val="center"/>
        </w:trPr>
        <w:tc>
          <w:tcPr>
            <w:tcW w:w="3578" w:type="dxa"/>
            <w:tcBorders>
              <w:top w:val="nil"/>
              <w:left w:val="single" w:sz="4" w:space="0" w:color="auto"/>
              <w:bottom w:val="nil"/>
              <w:right w:val="nil"/>
            </w:tcBorders>
            <w:shd w:val="clear" w:color="auto" w:fill="FFFFFF" w:themeFill="background1"/>
          </w:tcPr>
          <w:p w:rsidR="00C413DE" w:rsidRPr="0063526E" w:rsidRDefault="00C413DE" w:rsidP="00030091">
            <w:pPr>
              <w:rPr>
                <w:rFonts w:ascii="Arial" w:hAnsi="Arial" w:cs="Arial"/>
                <w:sz w:val="20"/>
                <w:szCs w:val="20"/>
              </w:rPr>
            </w:pPr>
            <w:r w:rsidRPr="0063526E">
              <w:rPr>
                <w:rFonts w:ascii="Arial" w:hAnsi="Arial" w:cs="Arial"/>
                <w:sz w:val="20"/>
                <w:szCs w:val="20"/>
              </w:rPr>
              <w:t xml:space="preserve">  Skin/soft tissue</w:t>
            </w:r>
          </w:p>
        </w:tc>
        <w:tc>
          <w:tcPr>
            <w:tcW w:w="2182"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7,021 (4.7%)</w:t>
            </w:r>
          </w:p>
        </w:tc>
        <w:tc>
          <w:tcPr>
            <w:tcW w:w="1980"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2,364 (5.5%)</w:t>
            </w:r>
          </w:p>
        </w:tc>
        <w:tc>
          <w:tcPr>
            <w:tcW w:w="1976"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1,505 (3.5%)</w:t>
            </w:r>
          </w:p>
        </w:tc>
        <w:tc>
          <w:tcPr>
            <w:tcW w:w="894" w:type="dxa"/>
            <w:tcBorders>
              <w:top w:val="nil"/>
              <w:left w:val="nil"/>
              <w:bottom w:val="nil"/>
              <w:right w:val="single" w:sz="4" w:space="0" w:color="auto"/>
            </w:tcBorders>
            <w:shd w:val="clear" w:color="auto" w:fill="FFFFFF" w:themeFill="background1"/>
          </w:tcPr>
          <w:p w:rsidR="00C413DE" w:rsidRPr="0063526E" w:rsidRDefault="00C413DE" w:rsidP="000428B7">
            <w:pPr>
              <w:jc w:val="right"/>
              <w:rPr>
                <w:rFonts w:ascii="Arial" w:hAnsi="Arial" w:cs="Arial"/>
                <w:sz w:val="20"/>
                <w:szCs w:val="20"/>
              </w:rPr>
            </w:pPr>
          </w:p>
        </w:tc>
      </w:tr>
      <w:tr w:rsidR="00C413DE" w:rsidTr="00FA38E6">
        <w:trPr>
          <w:trHeight w:val="281"/>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Bacteremia/</w:t>
            </w:r>
            <w:proofErr w:type="spellStart"/>
            <w:r w:rsidRPr="0063526E">
              <w:rPr>
                <w:rFonts w:ascii="Arial" w:hAnsi="Arial" w:cs="Arial"/>
                <w:sz w:val="20"/>
                <w:szCs w:val="20"/>
              </w:rPr>
              <w:t>Fungemia</w:t>
            </w:r>
            <w:proofErr w:type="spellEnd"/>
          </w:p>
        </w:tc>
        <w:tc>
          <w:tcPr>
            <w:tcW w:w="2182" w:type="dxa"/>
            <w:tcBorders>
              <w:top w:val="nil"/>
              <w:left w:val="nil"/>
              <w:bottom w:val="nil"/>
              <w:right w:val="nil"/>
            </w:tcBorders>
            <w:shd w:val="clear" w:color="auto" w:fill="F2F2F2" w:themeFill="background1" w:themeFillShade="F2"/>
          </w:tcPr>
          <w:p w:rsidR="00C413DE" w:rsidRPr="0063526E" w:rsidRDefault="00DC6C2F" w:rsidP="000428B7">
            <w:pPr>
              <w:jc w:val="right"/>
              <w:rPr>
                <w:rFonts w:ascii="Arial" w:hAnsi="Arial" w:cs="Arial"/>
                <w:sz w:val="20"/>
                <w:szCs w:val="20"/>
              </w:rPr>
            </w:pPr>
            <w:r>
              <w:rPr>
                <w:rFonts w:ascii="Arial" w:hAnsi="Arial" w:cs="Arial"/>
                <w:sz w:val="20"/>
                <w:szCs w:val="20"/>
              </w:rPr>
              <w:t>3,208 (2.2%)</w:t>
            </w:r>
          </w:p>
        </w:tc>
        <w:tc>
          <w:tcPr>
            <w:tcW w:w="1980" w:type="dxa"/>
            <w:tcBorders>
              <w:top w:val="nil"/>
              <w:left w:val="nil"/>
              <w:bottom w:val="nil"/>
              <w:right w:val="nil"/>
            </w:tcBorders>
            <w:shd w:val="clear" w:color="auto" w:fill="F2F2F2" w:themeFill="background1" w:themeFillShade="F2"/>
          </w:tcPr>
          <w:p w:rsidR="00C413DE" w:rsidRPr="0063526E" w:rsidRDefault="00DC6C2F" w:rsidP="00772B85">
            <w:pPr>
              <w:jc w:val="right"/>
              <w:rPr>
                <w:rFonts w:ascii="Arial" w:hAnsi="Arial" w:cs="Arial"/>
                <w:sz w:val="20"/>
                <w:szCs w:val="20"/>
              </w:rPr>
            </w:pPr>
            <w:r>
              <w:rPr>
                <w:rFonts w:ascii="Arial" w:hAnsi="Arial" w:cs="Arial"/>
                <w:sz w:val="20"/>
                <w:szCs w:val="20"/>
              </w:rPr>
              <w:t>1,96</w:t>
            </w:r>
            <w:r w:rsidR="00772B85">
              <w:rPr>
                <w:rFonts w:ascii="Arial" w:hAnsi="Arial" w:cs="Arial"/>
                <w:sz w:val="20"/>
                <w:szCs w:val="20"/>
              </w:rPr>
              <w:t>1</w:t>
            </w:r>
            <w:r>
              <w:rPr>
                <w:rFonts w:ascii="Arial" w:hAnsi="Arial" w:cs="Arial"/>
                <w:sz w:val="20"/>
                <w:szCs w:val="20"/>
              </w:rPr>
              <w:t xml:space="preserve"> (4.6%)</w:t>
            </w:r>
          </w:p>
        </w:tc>
        <w:tc>
          <w:tcPr>
            <w:tcW w:w="1976" w:type="dxa"/>
            <w:tcBorders>
              <w:top w:val="nil"/>
              <w:left w:val="nil"/>
              <w:bottom w:val="nil"/>
              <w:right w:val="nil"/>
            </w:tcBorders>
            <w:shd w:val="clear" w:color="auto" w:fill="F2F2F2" w:themeFill="background1" w:themeFillShade="F2"/>
          </w:tcPr>
          <w:p w:rsidR="00C413DE" w:rsidRPr="0063526E" w:rsidRDefault="00DC6C2F" w:rsidP="000428B7">
            <w:pPr>
              <w:jc w:val="right"/>
              <w:rPr>
                <w:rFonts w:ascii="Arial" w:hAnsi="Arial" w:cs="Arial"/>
                <w:sz w:val="20"/>
                <w:szCs w:val="20"/>
              </w:rPr>
            </w:pPr>
            <w:r>
              <w:rPr>
                <w:rFonts w:ascii="Arial" w:hAnsi="Arial" w:cs="Arial"/>
                <w:sz w:val="20"/>
                <w:szCs w:val="20"/>
              </w:rPr>
              <w:t>1,256 (2.9%)</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C413DE" w:rsidP="000428B7">
            <w:pPr>
              <w:jc w:val="right"/>
              <w:rPr>
                <w:rFonts w:ascii="Arial" w:hAnsi="Arial" w:cs="Arial"/>
                <w:sz w:val="20"/>
                <w:szCs w:val="20"/>
              </w:rPr>
            </w:pPr>
          </w:p>
        </w:tc>
      </w:tr>
      <w:tr w:rsidR="00C413DE" w:rsidTr="00FA38E6">
        <w:trPr>
          <w:trHeight w:val="281"/>
          <w:jc w:val="center"/>
        </w:trPr>
        <w:tc>
          <w:tcPr>
            <w:tcW w:w="3578" w:type="dxa"/>
            <w:tcBorders>
              <w:top w:val="nil"/>
              <w:left w:val="single" w:sz="4" w:space="0" w:color="auto"/>
              <w:bottom w:val="nil"/>
              <w:right w:val="nil"/>
            </w:tcBorders>
            <w:shd w:val="clear" w:color="auto" w:fill="FFFFFF" w:themeFill="background1"/>
          </w:tcPr>
          <w:p w:rsidR="00C413DE" w:rsidRPr="0063526E" w:rsidRDefault="00C413DE" w:rsidP="00030091">
            <w:pPr>
              <w:rPr>
                <w:rFonts w:ascii="Arial" w:hAnsi="Arial" w:cs="Arial"/>
                <w:sz w:val="20"/>
                <w:szCs w:val="20"/>
              </w:rPr>
            </w:pPr>
            <w:r w:rsidRPr="0063526E">
              <w:rPr>
                <w:rFonts w:ascii="Arial" w:hAnsi="Arial" w:cs="Arial"/>
                <w:sz w:val="20"/>
                <w:szCs w:val="20"/>
              </w:rPr>
              <w:t xml:space="preserve">  Joint/bone</w:t>
            </w:r>
          </w:p>
        </w:tc>
        <w:tc>
          <w:tcPr>
            <w:tcW w:w="2182"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1,182 (0.8%)</w:t>
            </w:r>
          </w:p>
        </w:tc>
        <w:tc>
          <w:tcPr>
            <w:tcW w:w="1980"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361 (0.8%)</w:t>
            </w:r>
          </w:p>
        </w:tc>
        <w:tc>
          <w:tcPr>
            <w:tcW w:w="1976"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217 (0.5%)</w:t>
            </w:r>
          </w:p>
        </w:tc>
        <w:tc>
          <w:tcPr>
            <w:tcW w:w="894" w:type="dxa"/>
            <w:tcBorders>
              <w:top w:val="nil"/>
              <w:left w:val="nil"/>
              <w:bottom w:val="nil"/>
              <w:right w:val="single" w:sz="4" w:space="0" w:color="auto"/>
            </w:tcBorders>
            <w:shd w:val="clear" w:color="auto" w:fill="FFFFFF" w:themeFill="background1"/>
          </w:tcPr>
          <w:p w:rsidR="00C413DE" w:rsidRPr="0063526E" w:rsidRDefault="00C413DE" w:rsidP="000428B7">
            <w:pPr>
              <w:jc w:val="right"/>
              <w:rPr>
                <w:rFonts w:ascii="Arial" w:hAnsi="Arial" w:cs="Arial"/>
                <w:sz w:val="20"/>
                <w:szCs w:val="20"/>
              </w:rPr>
            </w:pPr>
          </w:p>
        </w:tc>
      </w:tr>
      <w:tr w:rsidR="00C413DE" w:rsidTr="00FA38E6">
        <w:trPr>
          <w:trHeight w:val="281"/>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Central Nervous System</w:t>
            </w:r>
          </w:p>
        </w:tc>
        <w:tc>
          <w:tcPr>
            <w:tcW w:w="2182" w:type="dxa"/>
            <w:tcBorders>
              <w:top w:val="nil"/>
              <w:left w:val="nil"/>
              <w:bottom w:val="nil"/>
              <w:right w:val="nil"/>
            </w:tcBorders>
            <w:shd w:val="clear" w:color="auto" w:fill="F2F2F2" w:themeFill="background1" w:themeFillShade="F2"/>
          </w:tcPr>
          <w:p w:rsidR="00C413DE" w:rsidRPr="0063526E" w:rsidRDefault="00DC6C2F" w:rsidP="000428B7">
            <w:pPr>
              <w:jc w:val="right"/>
              <w:rPr>
                <w:rFonts w:ascii="Arial" w:hAnsi="Arial" w:cs="Arial"/>
                <w:sz w:val="20"/>
                <w:szCs w:val="20"/>
              </w:rPr>
            </w:pPr>
            <w:r>
              <w:rPr>
                <w:rFonts w:ascii="Arial" w:hAnsi="Arial" w:cs="Arial"/>
                <w:sz w:val="20"/>
                <w:szCs w:val="20"/>
              </w:rPr>
              <w:t>684 (0.5%)</w:t>
            </w:r>
          </w:p>
        </w:tc>
        <w:tc>
          <w:tcPr>
            <w:tcW w:w="1980" w:type="dxa"/>
            <w:tcBorders>
              <w:top w:val="nil"/>
              <w:left w:val="nil"/>
              <w:bottom w:val="nil"/>
              <w:right w:val="nil"/>
            </w:tcBorders>
            <w:shd w:val="clear" w:color="auto" w:fill="F2F2F2" w:themeFill="background1" w:themeFillShade="F2"/>
          </w:tcPr>
          <w:p w:rsidR="00C413DE" w:rsidRPr="0063526E" w:rsidRDefault="00DC6C2F" w:rsidP="000428B7">
            <w:pPr>
              <w:jc w:val="right"/>
              <w:rPr>
                <w:rFonts w:ascii="Arial" w:hAnsi="Arial" w:cs="Arial"/>
                <w:sz w:val="20"/>
                <w:szCs w:val="20"/>
              </w:rPr>
            </w:pPr>
            <w:r>
              <w:rPr>
                <w:rFonts w:ascii="Arial" w:hAnsi="Arial" w:cs="Arial"/>
                <w:sz w:val="20"/>
                <w:szCs w:val="20"/>
              </w:rPr>
              <w:t>378 (0.9%)</w:t>
            </w:r>
          </w:p>
        </w:tc>
        <w:tc>
          <w:tcPr>
            <w:tcW w:w="1976" w:type="dxa"/>
            <w:tcBorders>
              <w:top w:val="nil"/>
              <w:left w:val="nil"/>
              <w:bottom w:val="nil"/>
              <w:right w:val="nil"/>
            </w:tcBorders>
            <w:shd w:val="clear" w:color="auto" w:fill="F2F2F2" w:themeFill="background1" w:themeFillShade="F2"/>
          </w:tcPr>
          <w:p w:rsidR="00C413DE" w:rsidRPr="0063526E" w:rsidRDefault="00DC6C2F" w:rsidP="000428B7">
            <w:pPr>
              <w:jc w:val="right"/>
              <w:rPr>
                <w:rFonts w:ascii="Arial" w:hAnsi="Arial" w:cs="Arial"/>
                <w:sz w:val="20"/>
                <w:szCs w:val="20"/>
              </w:rPr>
            </w:pPr>
            <w:r>
              <w:rPr>
                <w:rFonts w:ascii="Arial" w:hAnsi="Arial" w:cs="Arial"/>
                <w:sz w:val="20"/>
                <w:szCs w:val="20"/>
              </w:rPr>
              <w:t>171 (0.4%)</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C413DE" w:rsidP="000428B7">
            <w:pPr>
              <w:jc w:val="right"/>
              <w:rPr>
                <w:rFonts w:ascii="Arial" w:hAnsi="Arial" w:cs="Arial"/>
                <w:sz w:val="20"/>
                <w:szCs w:val="20"/>
              </w:rPr>
            </w:pPr>
          </w:p>
        </w:tc>
      </w:tr>
      <w:tr w:rsidR="00C413DE" w:rsidTr="00FA38E6">
        <w:trPr>
          <w:trHeight w:val="281"/>
          <w:jc w:val="center"/>
        </w:trPr>
        <w:tc>
          <w:tcPr>
            <w:tcW w:w="3578" w:type="dxa"/>
            <w:tcBorders>
              <w:top w:val="nil"/>
              <w:left w:val="single" w:sz="4" w:space="0" w:color="auto"/>
              <w:bottom w:val="nil"/>
              <w:right w:val="nil"/>
            </w:tcBorders>
            <w:shd w:val="clear" w:color="auto" w:fill="FFFFFF" w:themeFill="background1"/>
          </w:tcPr>
          <w:p w:rsidR="00C413DE" w:rsidRPr="0063526E" w:rsidRDefault="0025697F" w:rsidP="00030091">
            <w:pPr>
              <w:rPr>
                <w:rFonts w:ascii="Arial" w:hAnsi="Arial" w:cs="Arial"/>
                <w:sz w:val="20"/>
                <w:szCs w:val="20"/>
              </w:rPr>
            </w:pPr>
            <w:r w:rsidRPr="0063526E">
              <w:rPr>
                <w:rFonts w:ascii="Arial" w:hAnsi="Arial" w:cs="Arial"/>
                <w:sz w:val="20"/>
                <w:szCs w:val="20"/>
              </w:rPr>
              <w:t xml:space="preserve">  Cardiovascular</w:t>
            </w:r>
          </w:p>
        </w:tc>
        <w:tc>
          <w:tcPr>
            <w:tcW w:w="2182"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232 (0.2%)</w:t>
            </w:r>
          </w:p>
        </w:tc>
        <w:tc>
          <w:tcPr>
            <w:tcW w:w="1980"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76 (0.2%)</w:t>
            </w:r>
          </w:p>
        </w:tc>
        <w:tc>
          <w:tcPr>
            <w:tcW w:w="1976" w:type="dxa"/>
            <w:tcBorders>
              <w:top w:val="nil"/>
              <w:left w:val="nil"/>
              <w:bottom w:val="nil"/>
              <w:right w:val="nil"/>
            </w:tcBorders>
            <w:shd w:val="clear" w:color="auto" w:fill="FFFFFF" w:themeFill="background1"/>
          </w:tcPr>
          <w:p w:rsidR="00C413DE" w:rsidRPr="0063526E" w:rsidRDefault="00DC6C2F" w:rsidP="000428B7">
            <w:pPr>
              <w:jc w:val="right"/>
              <w:rPr>
                <w:rFonts w:ascii="Arial" w:hAnsi="Arial" w:cs="Arial"/>
                <w:sz w:val="20"/>
                <w:szCs w:val="20"/>
              </w:rPr>
            </w:pPr>
            <w:r>
              <w:rPr>
                <w:rFonts w:ascii="Arial" w:hAnsi="Arial" w:cs="Arial"/>
                <w:sz w:val="20"/>
                <w:szCs w:val="20"/>
              </w:rPr>
              <w:t>48 (0.1%)</w:t>
            </w:r>
          </w:p>
        </w:tc>
        <w:tc>
          <w:tcPr>
            <w:tcW w:w="894" w:type="dxa"/>
            <w:tcBorders>
              <w:top w:val="nil"/>
              <w:left w:val="nil"/>
              <w:bottom w:val="nil"/>
              <w:right w:val="single" w:sz="4" w:space="0" w:color="auto"/>
            </w:tcBorders>
            <w:shd w:val="clear" w:color="auto" w:fill="FFFFFF" w:themeFill="background1"/>
          </w:tcPr>
          <w:p w:rsidR="00C413DE" w:rsidRPr="0063526E" w:rsidRDefault="00C413DE" w:rsidP="000428B7">
            <w:pPr>
              <w:jc w:val="right"/>
              <w:rPr>
                <w:rFonts w:ascii="Arial" w:hAnsi="Arial" w:cs="Arial"/>
                <w:sz w:val="20"/>
                <w:szCs w:val="20"/>
              </w:rPr>
            </w:pPr>
          </w:p>
        </w:tc>
      </w:tr>
      <w:tr w:rsidR="00C413DE" w:rsidTr="00FA38E6">
        <w:trPr>
          <w:trHeight w:val="281"/>
          <w:jc w:val="center"/>
        </w:trPr>
        <w:tc>
          <w:tcPr>
            <w:tcW w:w="3578" w:type="dxa"/>
            <w:tcBorders>
              <w:top w:val="nil"/>
              <w:left w:val="single" w:sz="4" w:space="0" w:color="auto"/>
              <w:bottom w:val="nil"/>
              <w:right w:val="nil"/>
            </w:tcBorders>
            <w:shd w:val="clear" w:color="auto" w:fill="F2F2F2" w:themeFill="background1" w:themeFillShade="F2"/>
          </w:tcPr>
          <w:p w:rsidR="00C413DE" w:rsidRPr="0063526E" w:rsidRDefault="00C413DE" w:rsidP="00030091">
            <w:pPr>
              <w:rPr>
                <w:rFonts w:ascii="Arial" w:hAnsi="Arial" w:cs="Arial"/>
                <w:sz w:val="20"/>
                <w:szCs w:val="20"/>
              </w:rPr>
            </w:pPr>
            <w:r w:rsidRPr="0063526E">
              <w:rPr>
                <w:rFonts w:ascii="Arial" w:hAnsi="Arial" w:cs="Arial"/>
                <w:sz w:val="20"/>
                <w:szCs w:val="20"/>
              </w:rPr>
              <w:t xml:space="preserve">  Missing or Unknown</w:t>
            </w:r>
          </w:p>
        </w:tc>
        <w:tc>
          <w:tcPr>
            <w:tcW w:w="2182"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22,496</w:t>
            </w:r>
            <w:r w:rsidR="00DC6C2F">
              <w:rPr>
                <w:rFonts w:ascii="Arial" w:hAnsi="Arial" w:cs="Arial"/>
                <w:sz w:val="20"/>
                <w:szCs w:val="20"/>
              </w:rPr>
              <w:t xml:space="preserve"> (15.1%)</w:t>
            </w:r>
          </w:p>
        </w:tc>
        <w:tc>
          <w:tcPr>
            <w:tcW w:w="1980" w:type="dxa"/>
            <w:tcBorders>
              <w:top w:val="nil"/>
              <w:left w:val="nil"/>
              <w:bottom w:val="nil"/>
              <w:right w:val="nil"/>
            </w:tcBorders>
            <w:shd w:val="clear" w:color="auto" w:fill="F2F2F2" w:themeFill="background1" w:themeFillShade="F2"/>
          </w:tcPr>
          <w:p w:rsidR="00C413DE" w:rsidRPr="0063526E" w:rsidRDefault="00772B85" w:rsidP="000428B7">
            <w:pPr>
              <w:jc w:val="right"/>
              <w:rPr>
                <w:rFonts w:ascii="Arial" w:hAnsi="Arial" w:cs="Arial"/>
                <w:sz w:val="20"/>
                <w:szCs w:val="20"/>
              </w:rPr>
            </w:pPr>
            <w:r>
              <w:rPr>
                <w:rFonts w:ascii="Arial" w:hAnsi="Arial" w:cs="Arial"/>
                <w:sz w:val="20"/>
                <w:szCs w:val="20"/>
              </w:rPr>
              <w:t>8,380</w:t>
            </w:r>
            <w:r w:rsidR="00DC6C2F">
              <w:rPr>
                <w:rFonts w:ascii="Arial" w:hAnsi="Arial" w:cs="Arial"/>
                <w:sz w:val="20"/>
                <w:szCs w:val="20"/>
              </w:rPr>
              <w:t xml:space="preserve"> (19.5%)</w:t>
            </w:r>
          </w:p>
        </w:tc>
        <w:tc>
          <w:tcPr>
            <w:tcW w:w="1976" w:type="dxa"/>
            <w:tcBorders>
              <w:top w:val="nil"/>
              <w:left w:val="nil"/>
              <w:bottom w:val="nil"/>
              <w:right w:val="nil"/>
            </w:tcBorders>
            <w:shd w:val="clear" w:color="auto" w:fill="F2F2F2" w:themeFill="background1" w:themeFillShade="F2"/>
          </w:tcPr>
          <w:p w:rsidR="00C413DE" w:rsidRPr="0063526E" w:rsidRDefault="00772B85" w:rsidP="00772B85">
            <w:pPr>
              <w:jc w:val="right"/>
              <w:rPr>
                <w:rFonts w:ascii="Arial" w:hAnsi="Arial" w:cs="Arial"/>
                <w:sz w:val="20"/>
                <w:szCs w:val="20"/>
              </w:rPr>
            </w:pPr>
            <w:r>
              <w:rPr>
                <w:rFonts w:ascii="Arial" w:hAnsi="Arial" w:cs="Arial"/>
                <w:sz w:val="20"/>
                <w:szCs w:val="20"/>
              </w:rPr>
              <w:t>8,389</w:t>
            </w:r>
            <w:r w:rsidR="00DC6C2F">
              <w:rPr>
                <w:rFonts w:ascii="Arial" w:hAnsi="Arial" w:cs="Arial"/>
                <w:sz w:val="20"/>
                <w:szCs w:val="20"/>
              </w:rPr>
              <w:t xml:space="preserve"> (19.6%)</w:t>
            </w:r>
          </w:p>
        </w:tc>
        <w:tc>
          <w:tcPr>
            <w:tcW w:w="894" w:type="dxa"/>
            <w:tcBorders>
              <w:top w:val="nil"/>
              <w:left w:val="nil"/>
              <w:bottom w:val="nil"/>
              <w:right w:val="single" w:sz="4" w:space="0" w:color="auto"/>
            </w:tcBorders>
            <w:shd w:val="clear" w:color="auto" w:fill="F2F2F2" w:themeFill="background1" w:themeFillShade="F2"/>
          </w:tcPr>
          <w:p w:rsidR="00C413DE" w:rsidRPr="0063526E" w:rsidRDefault="00C413DE" w:rsidP="000428B7">
            <w:pPr>
              <w:jc w:val="right"/>
              <w:rPr>
                <w:rFonts w:ascii="Arial" w:hAnsi="Arial" w:cs="Arial"/>
                <w:sz w:val="20"/>
                <w:szCs w:val="20"/>
              </w:rPr>
            </w:pPr>
          </w:p>
        </w:tc>
      </w:tr>
      <w:tr w:rsidR="00C413DE" w:rsidTr="00FA38E6">
        <w:trPr>
          <w:trHeight w:val="422"/>
          <w:jc w:val="center"/>
        </w:trPr>
        <w:tc>
          <w:tcPr>
            <w:tcW w:w="3578" w:type="dxa"/>
            <w:tcBorders>
              <w:top w:val="nil"/>
              <w:left w:val="single" w:sz="4" w:space="0" w:color="auto"/>
              <w:bottom w:val="single" w:sz="4" w:space="0" w:color="auto"/>
              <w:right w:val="nil"/>
            </w:tcBorders>
            <w:shd w:val="clear" w:color="auto" w:fill="FFFFFF" w:themeFill="background1"/>
          </w:tcPr>
          <w:p w:rsidR="00C413DE" w:rsidRPr="0063526E" w:rsidRDefault="006C3F84" w:rsidP="00030091">
            <w:pPr>
              <w:rPr>
                <w:rFonts w:ascii="Arial" w:hAnsi="Arial" w:cs="Arial"/>
                <w:sz w:val="20"/>
                <w:szCs w:val="20"/>
              </w:rPr>
            </w:pPr>
            <w:r>
              <w:rPr>
                <w:rFonts w:ascii="Arial" w:hAnsi="Arial" w:cs="Arial"/>
                <w:sz w:val="20"/>
                <w:szCs w:val="20"/>
              </w:rPr>
              <w:t xml:space="preserve">Hospital </w:t>
            </w:r>
            <w:r w:rsidR="00C413DE" w:rsidRPr="0063526E">
              <w:rPr>
                <w:rFonts w:ascii="Arial" w:hAnsi="Arial" w:cs="Arial"/>
                <w:sz w:val="20"/>
                <w:szCs w:val="20"/>
              </w:rPr>
              <w:t>Length of Stay (days), med (IQR)</w:t>
            </w:r>
          </w:p>
        </w:tc>
        <w:tc>
          <w:tcPr>
            <w:tcW w:w="2182" w:type="dxa"/>
            <w:tcBorders>
              <w:top w:val="nil"/>
              <w:left w:val="nil"/>
              <w:bottom w:val="single" w:sz="4" w:space="0" w:color="auto"/>
              <w:right w:val="nil"/>
            </w:tcBorders>
            <w:shd w:val="clear" w:color="auto" w:fill="FFFFFF" w:themeFill="background1"/>
          </w:tcPr>
          <w:p w:rsidR="00C413DE" w:rsidRPr="0063526E" w:rsidRDefault="00C91F9B" w:rsidP="00030091">
            <w:pPr>
              <w:jc w:val="center"/>
              <w:rPr>
                <w:rFonts w:ascii="Arial" w:hAnsi="Arial" w:cs="Arial"/>
                <w:sz w:val="20"/>
                <w:szCs w:val="20"/>
              </w:rPr>
            </w:pPr>
            <w:r w:rsidRPr="0063526E">
              <w:rPr>
                <w:rFonts w:ascii="Arial" w:hAnsi="Arial" w:cs="Arial"/>
                <w:sz w:val="20"/>
                <w:szCs w:val="20"/>
              </w:rPr>
              <w:t>7 (4-13)</w:t>
            </w:r>
          </w:p>
        </w:tc>
        <w:tc>
          <w:tcPr>
            <w:tcW w:w="1980" w:type="dxa"/>
            <w:tcBorders>
              <w:top w:val="nil"/>
              <w:left w:val="nil"/>
              <w:bottom w:val="single" w:sz="4" w:space="0" w:color="auto"/>
              <w:right w:val="nil"/>
            </w:tcBorders>
            <w:shd w:val="clear" w:color="auto" w:fill="FFFFFF" w:themeFill="background1"/>
          </w:tcPr>
          <w:p w:rsidR="00C413DE" w:rsidRPr="0063526E" w:rsidRDefault="0025697F" w:rsidP="00030091">
            <w:pPr>
              <w:jc w:val="center"/>
              <w:rPr>
                <w:rFonts w:ascii="Arial" w:hAnsi="Arial" w:cs="Arial"/>
                <w:sz w:val="20"/>
                <w:szCs w:val="20"/>
              </w:rPr>
            </w:pPr>
            <w:r w:rsidRPr="0063526E">
              <w:rPr>
                <w:rFonts w:ascii="Arial" w:hAnsi="Arial" w:cs="Arial"/>
                <w:sz w:val="20"/>
                <w:szCs w:val="20"/>
              </w:rPr>
              <w:t>9 (5-19</w:t>
            </w:r>
            <w:r w:rsidR="00C91F9B" w:rsidRPr="0063526E">
              <w:rPr>
                <w:rFonts w:ascii="Arial" w:hAnsi="Arial" w:cs="Arial"/>
                <w:sz w:val="20"/>
                <w:szCs w:val="20"/>
              </w:rPr>
              <w:t>)</w:t>
            </w:r>
          </w:p>
        </w:tc>
        <w:tc>
          <w:tcPr>
            <w:tcW w:w="1976" w:type="dxa"/>
            <w:tcBorders>
              <w:top w:val="nil"/>
              <w:left w:val="nil"/>
              <w:bottom w:val="single" w:sz="4" w:space="0" w:color="auto"/>
              <w:right w:val="nil"/>
            </w:tcBorders>
            <w:shd w:val="clear" w:color="auto" w:fill="FFFFFF" w:themeFill="background1"/>
          </w:tcPr>
          <w:p w:rsidR="00C413DE" w:rsidRPr="0063526E" w:rsidRDefault="0025697F" w:rsidP="00030091">
            <w:pPr>
              <w:jc w:val="center"/>
              <w:rPr>
                <w:rFonts w:ascii="Arial" w:hAnsi="Arial" w:cs="Arial"/>
                <w:sz w:val="20"/>
                <w:szCs w:val="20"/>
              </w:rPr>
            </w:pPr>
            <w:r w:rsidRPr="0063526E">
              <w:rPr>
                <w:rFonts w:ascii="Arial" w:hAnsi="Arial" w:cs="Arial"/>
                <w:sz w:val="20"/>
                <w:szCs w:val="20"/>
              </w:rPr>
              <w:t>7 (4-13</w:t>
            </w:r>
            <w:r w:rsidR="00C91F9B" w:rsidRPr="0063526E">
              <w:rPr>
                <w:rFonts w:ascii="Arial" w:hAnsi="Arial" w:cs="Arial"/>
                <w:sz w:val="20"/>
                <w:szCs w:val="20"/>
              </w:rPr>
              <w:t>)</w:t>
            </w:r>
          </w:p>
        </w:tc>
        <w:tc>
          <w:tcPr>
            <w:tcW w:w="894" w:type="dxa"/>
            <w:tcBorders>
              <w:top w:val="nil"/>
              <w:left w:val="nil"/>
              <w:bottom w:val="single" w:sz="4" w:space="0" w:color="auto"/>
              <w:right w:val="single" w:sz="4" w:space="0" w:color="auto"/>
            </w:tcBorders>
            <w:shd w:val="clear" w:color="auto" w:fill="FFFFFF" w:themeFill="background1"/>
          </w:tcPr>
          <w:p w:rsidR="00C413DE" w:rsidRPr="0063526E" w:rsidRDefault="00C413DE" w:rsidP="000428B7">
            <w:pPr>
              <w:jc w:val="right"/>
              <w:rPr>
                <w:rFonts w:ascii="Arial" w:hAnsi="Arial" w:cs="Arial"/>
                <w:sz w:val="20"/>
                <w:szCs w:val="20"/>
              </w:rPr>
            </w:pPr>
            <w:r w:rsidRPr="0063526E">
              <w:rPr>
                <w:rFonts w:ascii="Arial" w:hAnsi="Arial" w:cs="Arial"/>
                <w:sz w:val="20"/>
                <w:szCs w:val="20"/>
              </w:rPr>
              <w:t>&lt;0.001</w:t>
            </w:r>
          </w:p>
        </w:tc>
      </w:tr>
    </w:tbl>
    <w:p w:rsidR="00F97495" w:rsidRDefault="00F97495"/>
    <w:p w:rsidR="005576EC" w:rsidRDefault="005576EC">
      <w:r>
        <w:br w:type="page"/>
      </w:r>
    </w:p>
    <w:tbl>
      <w:tblPr>
        <w:tblStyle w:val="TableGrid"/>
        <w:tblW w:w="10250"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F97495" w:rsidTr="00531438">
        <w:tc>
          <w:tcPr>
            <w:tcW w:w="10250" w:type="dxa"/>
            <w:shd w:val="clear" w:color="auto" w:fill="FFFFFF" w:themeFill="background1"/>
          </w:tcPr>
          <w:tbl>
            <w:tblPr>
              <w:tblStyle w:val="TableGrid"/>
              <w:tblW w:w="9234" w:type="dxa"/>
              <w:tblLook w:val="04A0" w:firstRow="1" w:lastRow="0" w:firstColumn="1" w:lastColumn="0" w:noHBand="0" w:noVBand="1"/>
            </w:tblPr>
            <w:tblGrid>
              <w:gridCol w:w="3806"/>
              <w:gridCol w:w="2364"/>
              <w:gridCol w:w="3064"/>
            </w:tblGrid>
            <w:tr w:rsidR="00030091" w:rsidTr="005576EC">
              <w:trPr>
                <w:trHeight w:val="200"/>
              </w:trPr>
              <w:tc>
                <w:tcPr>
                  <w:tcW w:w="9234" w:type="dxa"/>
                  <w:gridSpan w:val="3"/>
                  <w:tcBorders>
                    <w:top w:val="nil"/>
                    <w:left w:val="nil"/>
                    <w:bottom w:val="single" w:sz="4" w:space="0" w:color="auto"/>
                    <w:right w:val="nil"/>
                  </w:tcBorders>
                  <w:shd w:val="clear" w:color="auto" w:fill="FFFFFF" w:themeFill="background1"/>
                </w:tcPr>
                <w:p w:rsidR="00030091" w:rsidRDefault="00531438" w:rsidP="00030091">
                  <w:pPr>
                    <w:rPr>
                      <w:rFonts w:ascii="Arial" w:hAnsi="Arial" w:cs="Arial"/>
                      <w:sz w:val="20"/>
                      <w:szCs w:val="20"/>
                    </w:rPr>
                  </w:pPr>
                  <w:r>
                    <w:lastRenderedPageBreak/>
                    <w:br w:type="page"/>
                  </w:r>
                  <w:r w:rsidR="00F97495">
                    <w:br w:type="page"/>
                  </w:r>
                  <w:r w:rsidR="00030091">
                    <w:br w:type="page"/>
                  </w:r>
                  <w:r w:rsidR="00030091">
                    <w:rPr>
                      <w:rFonts w:ascii="Arial" w:hAnsi="Arial" w:cs="Arial"/>
                      <w:b/>
                      <w:sz w:val="20"/>
                      <w:szCs w:val="20"/>
                    </w:rPr>
                    <w:t xml:space="preserve">Supplemental </w:t>
                  </w:r>
                  <w:r w:rsidR="003F65DB">
                    <w:rPr>
                      <w:rFonts w:ascii="Arial" w:hAnsi="Arial" w:cs="Arial"/>
                      <w:b/>
                      <w:sz w:val="20"/>
                      <w:szCs w:val="20"/>
                    </w:rPr>
                    <w:t>Table 8</w:t>
                  </w:r>
                  <w:r w:rsidR="00030091" w:rsidRPr="00077F90">
                    <w:rPr>
                      <w:rFonts w:ascii="Arial" w:hAnsi="Arial" w:cs="Arial"/>
                      <w:b/>
                      <w:sz w:val="20"/>
                      <w:szCs w:val="20"/>
                    </w:rPr>
                    <w:t>.</w:t>
                  </w:r>
                  <w:r w:rsidR="00030091">
                    <w:rPr>
                      <w:rFonts w:ascii="Arial" w:hAnsi="Arial" w:cs="Arial"/>
                      <w:sz w:val="20"/>
                      <w:szCs w:val="20"/>
                    </w:rPr>
                    <w:t xml:space="preserve"> Unadjusted In-hospital Sepsis Mortality by Cancer Type</w:t>
                  </w:r>
                </w:p>
              </w:tc>
            </w:tr>
            <w:tr w:rsidR="00030091" w:rsidTr="005576EC">
              <w:trPr>
                <w:trHeight w:val="200"/>
              </w:trPr>
              <w:tc>
                <w:tcPr>
                  <w:tcW w:w="3806" w:type="dxa"/>
                  <w:tcBorders>
                    <w:top w:val="single" w:sz="4" w:space="0" w:color="auto"/>
                    <w:bottom w:val="single" w:sz="4" w:space="0" w:color="auto"/>
                  </w:tcBorders>
                  <w:shd w:val="clear" w:color="auto" w:fill="FFFFFF" w:themeFill="background1"/>
                </w:tcPr>
                <w:p w:rsidR="00030091" w:rsidRDefault="00030091" w:rsidP="00030091">
                  <w:pPr>
                    <w:jc w:val="center"/>
                    <w:rPr>
                      <w:rFonts w:ascii="Arial" w:hAnsi="Arial" w:cs="Arial"/>
                      <w:sz w:val="20"/>
                      <w:szCs w:val="20"/>
                    </w:rPr>
                  </w:pPr>
                </w:p>
              </w:tc>
              <w:tc>
                <w:tcPr>
                  <w:tcW w:w="2364" w:type="dxa"/>
                  <w:tcBorders>
                    <w:top w:val="single" w:sz="4" w:space="0" w:color="auto"/>
                    <w:bottom w:val="single" w:sz="4" w:space="0" w:color="auto"/>
                  </w:tcBorders>
                  <w:shd w:val="clear" w:color="auto" w:fill="FFFFFF" w:themeFill="background1"/>
                </w:tcPr>
                <w:p w:rsidR="00030091" w:rsidRDefault="00030091" w:rsidP="00030091">
                  <w:pPr>
                    <w:jc w:val="center"/>
                    <w:rPr>
                      <w:rFonts w:ascii="Arial" w:hAnsi="Arial" w:cs="Arial"/>
                      <w:sz w:val="20"/>
                      <w:szCs w:val="20"/>
                    </w:rPr>
                  </w:pPr>
                  <w:r>
                    <w:rPr>
                      <w:rFonts w:ascii="Arial" w:hAnsi="Arial" w:cs="Arial"/>
                      <w:sz w:val="20"/>
                      <w:szCs w:val="20"/>
                    </w:rPr>
                    <w:t>Mortality</w:t>
                  </w:r>
                </w:p>
              </w:tc>
              <w:tc>
                <w:tcPr>
                  <w:tcW w:w="3064" w:type="dxa"/>
                  <w:tcBorders>
                    <w:top w:val="single" w:sz="4" w:space="0" w:color="auto"/>
                    <w:bottom w:val="single" w:sz="4" w:space="0" w:color="auto"/>
                  </w:tcBorders>
                  <w:shd w:val="clear" w:color="auto" w:fill="FFFFFF" w:themeFill="background1"/>
                </w:tcPr>
                <w:p w:rsidR="00030091" w:rsidRDefault="00030091" w:rsidP="00030091">
                  <w:pPr>
                    <w:jc w:val="center"/>
                    <w:rPr>
                      <w:rFonts w:ascii="Arial" w:hAnsi="Arial" w:cs="Arial"/>
                      <w:sz w:val="20"/>
                      <w:szCs w:val="20"/>
                    </w:rPr>
                  </w:pPr>
                  <w:r>
                    <w:rPr>
                      <w:rFonts w:ascii="Arial" w:hAnsi="Arial" w:cs="Arial"/>
                      <w:sz w:val="20"/>
                      <w:szCs w:val="20"/>
                    </w:rPr>
                    <w:t>O</w:t>
                  </w:r>
                  <w:r w:rsidR="00D7351C">
                    <w:rPr>
                      <w:rFonts w:ascii="Arial" w:hAnsi="Arial" w:cs="Arial"/>
                      <w:sz w:val="20"/>
                      <w:szCs w:val="20"/>
                    </w:rPr>
                    <w:t xml:space="preserve">dds </w:t>
                  </w:r>
                  <w:r>
                    <w:rPr>
                      <w:rFonts w:ascii="Arial" w:hAnsi="Arial" w:cs="Arial"/>
                      <w:sz w:val="20"/>
                      <w:szCs w:val="20"/>
                    </w:rPr>
                    <w:t>R</w:t>
                  </w:r>
                  <w:r w:rsidR="00D7351C">
                    <w:rPr>
                      <w:rFonts w:ascii="Arial" w:hAnsi="Arial" w:cs="Arial"/>
                      <w:sz w:val="20"/>
                      <w:szCs w:val="20"/>
                    </w:rPr>
                    <w:t>atio</w:t>
                  </w:r>
                  <w:r>
                    <w:rPr>
                      <w:rFonts w:ascii="Arial" w:hAnsi="Arial" w:cs="Arial"/>
                      <w:sz w:val="20"/>
                      <w:szCs w:val="20"/>
                    </w:rPr>
                    <w:t xml:space="preserve"> (95% CI)</w:t>
                  </w:r>
                </w:p>
              </w:tc>
            </w:tr>
            <w:tr w:rsidR="00030091" w:rsidTr="00062D82">
              <w:trPr>
                <w:trHeight w:val="401"/>
              </w:trPr>
              <w:tc>
                <w:tcPr>
                  <w:tcW w:w="3806" w:type="dxa"/>
                  <w:tcBorders>
                    <w:top w:val="nil"/>
                    <w:left w:val="single" w:sz="4" w:space="0" w:color="auto"/>
                    <w:bottom w:val="nil"/>
                    <w:right w:val="nil"/>
                  </w:tcBorders>
                  <w:shd w:val="clear" w:color="auto" w:fill="F2F2F2" w:themeFill="background1" w:themeFillShade="F2"/>
                </w:tcPr>
                <w:p w:rsidR="00030091" w:rsidRDefault="00030091" w:rsidP="00FA6A6F">
                  <w:pPr>
                    <w:spacing w:line="480" w:lineRule="auto"/>
                    <w:rPr>
                      <w:rFonts w:ascii="Arial" w:hAnsi="Arial" w:cs="Arial"/>
                      <w:sz w:val="20"/>
                      <w:szCs w:val="20"/>
                    </w:rPr>
                  </w:pPr>
                  <w:r>
                    <w:rPr>
                      <w:rFonts w:ascii="Arial" w:hAnsi="Arial" w:cs="Arial"/>
                      <w:sz w:val="20"/>
                      <w:szCs w:val="20"/>
                    </w:rPr>
                    <w:t>Cancer Types</w:t>
                  </w:r>
                </w:p>
              </w:tc>
              <w:tc>
                <w:tcPr>
                  <w:tcW w:w="2364" w:type="dxa"/>
                  <w:tcBorders>
                    <w:top w:val="nil"/>
                    <w:left w:val="nil"/>
                    <w:bottom w:val="nil"/>
                    <w:right w:val="nil"/>
                  </w:tcBorders>
                  <w:shd w:val="clear" w:color="auto" w:fill="F2F2F2" w:themeFill="background1" w:themeFillShade="F2"/>
                </w:tcPr>
                <w:p w:rsidR="00030091" w:rsidRDefault="00030091" w:rsidP="00FA6A6F">
                  <w:pPr>
                    <w:spacing w:line="480" w:lineRule="auto"/>
                    <w:jc w:val="center"/>
                    <w:rPr>
                      <w:rFonts w:ascii="Arial" w:hAnsi="Arial" w:cs="Arial"/>
                      <w:sz w:val="20"/>
                      <w:szCs w:val="20"/>
                    </w:rPr>
                  </w:pPr>
                </w:p>
              </w:tc>
              <w:tc>
                <w:tcPr>
                  <w:tcW w:w="3064" w:type="dxa"/>
                  <w:tcBorders>
                    <w:top w:val="nil"/>
                    <w:left w:val="nil"/>
                    <w:bottom w:val="nil"/>
                    <w:right w:val="single" w:sz="4" w:space="0" w:color="auto"/>
                  </w:tcBorders>
                  <w:shd w:val="clear" w:color="auto" w:fill="F2F2F2" w:themeFill="background1" w:themeFillShade="F2"/>
                </w:tcPr>
                <w:p w:rsidR="00030091" w:rsidRDefault="00030091" w:rsidP="00FA6A6F">
                  <w:pPr>
                    <w:spacing w:line="480" w:lineRule="auto"/>
                    <w:jc w:val="center"/>
                    <w:rPr>
                      <w:rFonts w:ascii="Arial" w:hAnsi="Arial" w:cs="Arial"/>
                      <w:sz w:val="20"/>
                      <w:szCs w:val="20"/>
                    </w:rPr>
                  </w:pPr>
                </w:p>
              </w:tc>
            </w:tr>
            <w:tr w:rsidR="00030091" w:rsidTr="00062D82">
              <w:trPr>
                <w:trHeight w:val="414"/>
              </w:trPr>
              <w:tc>
                <w:tcPr>
                  <w:tcW w:w="3806" w:type="dxa"/>
                  <w:tcBorders>
                    <w:top w:val="nil"/>
                    <w:left w:val="single" w:sz="4" w:space="0" w:color="auto"/>
                    <w:bottom w:val="nil"/>
                    <w:right w:val="nil"/>
                  </w:tcBorders>
                  <w:shd w:val="clear" w:color="auto" w:fill="FFFFFF" w:themeFill="background1"/>
                </w:tcPr>
                <w:p w:rsidR="00030091" w:rsidRDefault="00030091" w:rsidP="00FA6A6F">
                  <w:pPr>
                    <w:spacing w:line="480" w:lineRule="auto"/>
                    <w:rPr>
                      <w:rFonts w:ascii="Arial" w:hAnsi="Arial" w:cs="Arial"/>
                      <w:sz w:val="20"/>
                      <w:szCs w:val="20"/>
                    </w:rPr>
                  </w:pPr>
                  <w:r>
                    <w:rPr>
                      <w:rFonts w:ascii="Arial" w:hAnsi="Arial" w:cs="Arial"/>
                      <w:sz w:val="20"/>
                      <w:szCs w:val="20"/>
                    </w:rPr>
                    <w:t xml:space="preserve">  Solid Tumor</w:t>
                  </w:r>
                </w:p>
              </w:tc>
              <w:tc>
                <w:tcPr>
                  <w:tcW w:w="2364" w:type="dxa"/>
                  <w:tcBorders>
                    <w:top w:val="nil"/>
                    <w:left w:val="nil"/>
                    <w:bottom w:val="nil"/>
                    <w:right w:val="nil"/>
                  </w:tcBorders>
                  <w:shd w:val="clear" w:color="auto" w:fill="FFFFFF" w:themeFill="background1"/>
                </w:tcPr>
                <w:p w:rsidR="00030091" w:rsidRDefault="00062D82" w:rsidP="0011208B">
                  <w:pPr>
                    <w:spacing w:line="480" w:lineRule="auto"/>
                    <w:jc w:val="center"/>
                    <w:rPr>
                      <w:rFonts w:ascii="Arial" w:hAnsi="Arial" w:cs="Arial"/>
                      <w:sz w:val="20"/>
                      <w:szCs w:val="20"/>
                    </w:rPr>
                  </w:pPr>
                  <w:r>
                    <w:rPr>
                      <w:rFonts w:ascii="Arial" w:hAnsi="Arial" w:cs="Arial"/>
                      <w:sz w:val="20"/>
                      <w:szCs w:val="20"/>
                    </w:rPr>
                    <w:t>36,38</w:t>
                  </w:r>
                  <w:r w:rsidR="0011208B">
                    <w:rPr>
                      <w:rFonts w:ascii="Arial" w:hAnsi="Arial" w:cs="Arial"/>
                      <w:sz w:val="20"/>
                      <w:szCs w:val="20"/>
                    </w:rPr>
                    <w:t>6</w:t>
                  </w:r>
                  <w:r w:rsidR="00030091">
                    <w:rPr>
                      <w:rFonts w:ascii="Arial" w:hAnsi="Arial" w:cs="Arial"/>
                      <w:sz w:val="20"/>
                      <w:szCs w:val="20"/>
                    </w:rPr>
                    <w:t xml:space="preserve"> (24.</w:t>
                  </w:r>
                  <w:r>
                    <w:rPr>
                      <w:rFonts w:ascii="Arial" w:hAnsi="Arial" w:cs="Arial"/>
                      <w:sz w:val="20"/>
                      <w:szCs w:val="20"/>
                    </w:rPr>
                    <w:t>5</w:t>
                  </w:r>
                  <w:r w:rsidR="00030091">
                    <w:rPr>
                      <w:rFonts w:ascii="Arial" w:hAnsi="Arial" w:cs="Arial"/>
                      <w:sz w:val="20"/>
                      <w:szCs w:val="20"/>
                    </w:rPr>
                    <w:t>%)</w:t>
                  </w:r>
                </w:p>
              </w:tc>
              <w:tc>
                <w:tcPr>
                  <w:tcW w:w="3064" w:type="dxa"/>
                  <w:tcBorders>
                    <w:top w:val="nil"/>
                    <w:left w:val="nil"/>
                    <w:bottom w:val="nil"/>
                    <w:right w:val="single" w:sz="4" w:space="0" w:color="auto"/>
                  </w:tcBorders>
                  <w:shd w:val="clear" w:color="auto" w:fill="FFFFFF" w:themeFill="background1"/>
                </w:tcPr>
                <w:p w:rsidR="00030091" w:rsidRDefault="00062D82" w:rsidP="00FA6A6F">
                  <w:pPr>
                    <w:spacing w:line="480" w:lineRule="auto"/>
                    <w:jc w:val="center"/>
                    <w:rPr>
                      <w:rFonts w:ascii="Arial" w:hAnsi="Arial" w:cs="Arial"/>
                      <w:sz w:val="20"/>
                      <w:szCs w:val="20"/>
                    </w:rPr>
                  </w:pPr>
                  <w:r>
                    <w:rPr>
                      <w:rFonts w:ascii="Arial" w:hAnsi="Arial" w:cs="Arial"/>
                      <w:sz w:val="20"/>
                      <w:szCs w:val="20"/>
                    </w:rPr>
                    <w:t>ref</w:t>
                  </w:r>
                </w:p>
              </w:tc>
            </w:tr>
            <w:tr w:rsidR="00030091" w:rsidTr="00062D82">
              <w:trPr>
                <w:trHeight w:val="414"/>
              </w:trPr>
              <w:tc>
                <w:tcPr>
                  <w:tcW w:w="3806" w:type="dxa"/>
                  <w:tcBorders>
                    <w:top w:val="nil"/>
                    <w:left w:val="single" w:sz="4" w:space="0" w:color="auto"/>
                    <w:bottom w:val="nil"/>
                    <w:right w:val="nil"/>
                  </w:tcBorders>
                  <w:shd w:val="clear" w:color="auto" w:fill="F2F2F2" w:themeFill="background1" w:themeFillShade="F2"/>
                </w:tcPr>
                <w:p w:rsidR="00030091" w:rsidRDefault="00030091" w:rsidP="00FA6A6F">
                  <w:pPr>
                    <w:spacing w:line="480" w:lineRule="auto"/>
                    <w:rPr>
                      <w:rFonts w:ascii="Arial" w:hAnsi="Arial" w:cs="Arial"/>
                      <w:sz w:val="20"/>
                      <w:szCs w:val="20"/>
                    </w:rPr>
                  </w:pPr>
                  <w:r>
                    <w:rPr>
                      <w:rFonts w:ascii="Arial" w:hAnsi="Arial" w:cs="Arial"/>
                      <w:sz w:val="20"/>
                      <w:szCs w:val="20"/>
                    </w:rPr>
                    <w:t xml:space="preserve">  Hematologic Tumor</w:t>
                  </w:r>
                </w:p>
              </w:tc>
              <w:tc>
                <w:tcPr>
                  <w:tcW w:w="2364" w:type="dxa"/>
                  <w:tcBorders>
                    <w:top w:val="nil"/>
                    <w:left w:val="nil"/>
                    <w:bottom w:val="nil"/>
                    <w:right w:val="nil"/>
                  </w:tcBorders>
                  <w:shd w:val="clear" w:color="auto" w:fill="F2F2F2" w:themeFill="background1" w:themeFillShade="F2"/>
                </w:tcPr>
                <w:p w:rsidR="00030091" w:rsidRDefault="00030091" w:rsidP="00062D82">
                  <w:pPr>
                    <w:spacing w:line="480" w:lineRule="auto"/>
                    <w:jc w:val="center"/>
                    <w:rPr>
                      <w:rFonts w:ascii="Arial" w:hAnsi="Arial" w:cs="Arial"/>
                      <w:sz w:val="20"/>
                      <w:szCs w:val="20"/>
                    </w:rPr>
                  </w:pPr>
                  <w:r>
                    <w:rPr>
                      <w:rFonts w:ascii="Arial" w:hAnsi="Arial" w:cs="Arial"/>
                      <w:sz w:val="20"/>
                      <w:szCs w:val="20"/>
                    </w:rPr>
                    <w:t>13,</w:t>
                  </w:r>
                  <w:r w:rsidR="00062D82">
                    <w:rPr>
                      <w:rFonts w:ascii="Arial" w:hAnsi="Arial" w:cs="Arial"/>
                      <w:sz w:val="20"/>
                      <w:szCs w:val="20"/>
                    </w:rPr>
                    <w:t>1</w:t>
                  </w:r>
                  <w:r w:rsidR="0011208B">
                    <w:rPr>
                      <w:rFonts w:ascii="Arial" w:hAnsi="Arial" w:cs="Arial"/>
                      <w:sz w:val="20"/>
                      <w:szCs w:val="20"/>
                    </w:rPr>
                    <w:t>72</w:t>
                  </w:r>
                  <w:r>
                    <w:rPr>
                      <w:rFonts w:ascii="Arial" w:hAnsi="Arial" w:cs="Arial"/>
                      <w:sz w:val="20"/>
                      <w:szCs w:val="20"/>
                    </w:rPr>
                    <w:t xml:space="preserve"> (30.6%)</w:t>
                  </w:r>
                </w:p>
              </w:tc>
              <w:tc>
                <w:tcPr>
                  <w:tcW w:w="3064" w:type="dxa"/>
                  <w:tcBorders>
                    <w:top w:val="nil"/>
                    <w:left w:val="nil"/>
                    <w:bottom w:val="nil"/>
                    <w:right w:val="single" w:sz="4" w:space="0" w:color="auto"/>
                  </w:tcBorders>
                  <w:shd w:val="clear" w:color="auto" w:fill="F2F2F2" w:themeFill="background1" w:themeFillShade="F2"/>
                </w:tcPr>
                <w:p w:rsidR="00030091" w:rsidRDefault="00030091" w:rsidP="00062D82">
                  <w:pPr>
                    <w:spacing w:line="480" w:lineRule="auto"/>
                    <w:jc w:val="center"/>
                    <w:rPr>
                      <w:rFonts w:ascii="Arial" w:hAnsi="Arial" w:cs="Arial"/>
                      <w:sz w:val="20"/>
                      <w:szCs w:val="20"/>
                    </w:rPr>
                  </w:pPr>
                  <w:r>
                    <w:rPr>
                      <w:rFonts w:ascii="Arial" w:hAnsi="Arial" w:cs="Arial"/>
                      <w:sz w:val="20"/>
                      <w:szCs w:val="20"/>
                    </w:rPr>
                    <w:t>1.</w:t>
                  </w:r>
                  <w:r w:rsidR="00062D82">
                    <w:rPr>
                      <w:rFonts w:ascii="Arial" w:hAnsi="Arial" w:cs="Arial"/>
                      <w:sz w:val="20"/>
                      <w:szCs w:val="20"/>
                    </w:rPr>
                    <w:t>4 (1.3-1.4</w:t>
                  </w:r>
                  <w:r>
                    <w:rPr>
                      <w:rFonts w:ascii="Arial" w:hAnsi="Arial" w:cs="Arial"/>
                      <w:sz w:val="20"/>
                      <w:szCs w:val="20"/>
                    </w:rPr>
                    <w:t>)</w:t>
                  </w:r>
                </w:p>
              </w:tc>
            </w:tr>
            <w:tr w:rsidR="00030091" w:rsidTr="00062D82">
              <w:trPr>
                <w:trHeight w:val="401"/>
              </w:trPr>
              <w:tc>
                <w:tcPr>
                  <w:tcW w:w="3806" w:type="dxa"/>
                  <w:tcBorders>
                    <w:top w:val="nil"/>
                    <w:left w:val="single" w:sz="4" w:space="0" w:color="auto"/>
                    <w:bottom w:val="single" w:sz="4" w:space="0" w:color="auto"/>
                    <w:right w:val="nil"/>
                  </w:tcBorders>
                  <w:shd w:val="clear" w:color="auto" w:fill="FFFFFF" w:themeFill="background1"/>
                </w:tcPr>
                <w:p w:rsidR="00030091" w:rsidRDefault="00030091" w:rsidP="00FA6A6F">
                  <w:pPr>
                    <w:spacing w:line="480" w:lineRule="auto"/>
                    <w:rPr>
                      <w:rFonts w:ascii="Arial" w:hAnsi="Arial" w:cs="Arial"/>
                      <w:sz w:val="20"/>
                      <w:szCs w:val="20"/>
                    </w:rPr>
                  </w:pPr>
                  <w:r>
                    <w:rPr>
                      <w:rFonts w:ascii="Arial" w:hAnsi="Arial" w:cs="Arial"/>
                      <w:sz w:val="20"/>
                      <w:szCs w:val="20"/>
                    </w:rPr>
                    <w:t xml:space="preserve">  Other (not specified)</w:t>
                  </w:r>
                </w:p>
              </w:tc>
              <w:tc>
                <w:tcPr>
                  <w:tcW w:w="2364" w:type="dxa"/>
                  <w:tcBorders>
                    <w:top w:val="nil"/>
                    <w:left w:val="nil"/>
                    <w:bottom w:val="single" w:sz="4" w:space="0" w:color="auto"/>
                    <w:right w:val="nil"/>
                  </w:tcBorders>
                  <w:shd w:val="clear" w:color="auto" w:fill="FFFFFF" w:themeFill="background1"/>
                </w:tcPr>
                <w:p w:rsidR="00030091" w:rsidRDefault="00062D82" w:rsidP="00062D82">
                  <w:pPr>
                    <w:spacing w:line="480" w:lineRule="auto"/>
                    <w:jc w:val="center"/>
                    <w:rPr>
                      <w:rFonts w:ascii="Arial" w:hAnsi="Arial" w:cs="Arial"/>
                      <w:sz w:val="20"/>
                      <w:szCs w:val="20"/>
                    </w:rPr>
                  </w:pPr>
                  <w:r>
                    <w:rPr>
                      <w:rFonts w:ascii="Arial" w:hAnsi="Arial" w:cs="Arial"/>
                      <w:sz w:val="20"/>
                      <w:szCs w:val="20"/>
                    </w:rPr>
                    <w:t>15,861</w:t>
                  </w:r>
                  <w:r w:rsidR="00030091">
                    <w:rPr>
                      <w:rFonts w:ascii="Arial" w:hAnsi="Arial" w:cs="Arial"/>
                      <w:sz w:val="20"/>
                      <w:szCs w:val="20"/>
                    </w:rPr>
                    <w:t xml:space="preserve"> (37.</w:t>
                  </w:r>
                  <w:r>
                    <w:rPr>
                      <w:rFonts w:ascii="Arial" w:hAnsi="Arial" w:cs="Arial"/>
                      <w:sz w:val="20"/>
                      <w:szCs w:val="20"/>
                    </w:rPr>
                    <w:t>1</w:t>
                  </w:r>
                  <w:r w:rsidR="00030091">
                    <w:rPr>
                      <w:rFonts w:ascii="Arial" w:hAnsi="Arial" w:cs="Arial"/>
                      <w:sz w:val="20"/>
                      <w:szCs w:val="20"/>
                    </w:rPr>
                    <w:t>%)</w:t>
                  </w:r>
                </w:p>
              </w:tc>
              <w:tc>
                <w:tcPr>
                  <w:tcW w:w="3064" w:type="dxa"/>
                  <w:tcBorders>
                    <w:top w:val="nil"/>
                    <w:left w:val="nil"/>
                    <w:bottom w:val="single" w:sz="4" w:space="0" w:color="auto"/>
                    <w:right w:val="single" w:sz="4" w:space="0" w:color="auto"/>
                  </w:tcBorders>
                  <w:shd w:val="clear" w:color="auto" w:fill="FFFFFF" w:themeFill="background1"/>
                </w:tcPr>
                <w:p w:rsidR="00030091" w:rsidRDefault="00062D82" w:rsidP="00FA6A6F">
                  <w:pPr>
                    <w:spacing w:line="480" w:lineRule="auto"/>
                    <w:jc w:val="center"/>
                    <w:rPr>
                      <w:rFonts w:ascii="Arial" w:hAnsi="Arial" w:cs="Arial"/>
                      <w:sz w:val="20"/>
                      <w:szCs w:val="20"/>
                    </w:rPr>
                  </w:pPr>
                  <w:r>
                    <w:rPr>
                      <w:rFonts w:ascii="Arial" w:hAnsi="Arial" w:cs="Arial"/>
                      <w:sz w:val="20"/>
                      <w:szCs w:val="20"/>
                    </w:rPr>
                    <w:t>1.8 (1.8-1.9)</w:t>
                  </w:r>
                </w:p>
              </w:tc>
            </w:tr>
          </w:tbl>
          <w:p w:rsidR="005576EC" w:rsidRDefault="005576EC" w:rsidP="00030091">
            <w:pPr>
              <w:rPr>
                <w:rFonts w:ascii="Arial" w:hAnsi="Arial" w:cs="Arial"/>
                <w:sz w:val="20"/>
                <w:szCs w:val="20"/>
              </w:rPr>
            </w:pPr>
          </w:p>
        </w:tc>
      </w:tr>
    </w:tbl>
    <w:p w:rsidR="00030091" w:rsidRDefault="00030091" w:rsidP="003029DF"/>
    <w:p w:rsidR="00531438" w:rsidRDefault="00531438">
      <w:r>
        <w:br w:type="page"/>
      </w:r>
    </w:p>
    <w:tbl>
      <w:tblPr>
        <w:tblStyle w:val="TableGrid"/>
        <w:tblpPr w:leftFromText="180" w:rightFromText="180" w:vertAnchor="text" w:horzAnchor="margin" w:tblpXSpec="center" w:tblpY="256"/>
        <w:tblW w:w="10250" w:type="dxa"/>
        <w:tblLook w:val="04A0" w:firstRow="1" w:lastRow="0" w:firstColumn="1" w:lastColumn="0" w:noHBand="0" w:noVBand="1"/>
      </w:tblPr>
      <w:tblGrid>
        <w:gridCol w:w="3847"/>
        <w:gridCol w:w="3546"/>
        <w:gridCol w:w="2857"/>
      </w:tblGrid>
      <w:tr w:rsidR="00531438" w:rsidRPr="002F60AC" w:rsidTr="00531438">
        <w:trPr>
          <w:trHeight w:val="386"/>
        </w:trPr>
        <w:tc>
          <w:tcPr>
            <w:tcW w:w="10250" w:type="dxa"/>
            <w:gridSpan w:val="3"/>
            <w:tcBorders>
              <w:top w:val="nil"/>
              <w:left w:val="nil"/>
              <w:bottom w:val="single" w:sz="4" w:space="0" w:color="auto"/>
              <w:right w:val="nil"/>
            </w:tcBorders>
            <w:shd w:val="clear" w:color="auto" w:fill="FFFFFF" w:themeFill="background1"/>
            <w:vAlign w:val="center"/>
          </w:tcPr>
          <w:p w:rsidR="00531438" w:rsidRPr="002F60AC" w:rsidRDefault="00531438" w:rsidP="003F65DB">
            <w:pPr>
              <w:rPr>
                <w:rFonts w:ascii="Arial" w:hAnsi="Arial" w:cs="Arial"/>
                <w:b/>
                <w:sz w:val="20"/>
                <w:szCs w:val="20"/>
              </w:rPr>
            </w:pPr>
            <w:r>
              <w:rPr>
                <w:rFonts w:ascii="Arial" w:hAnsi="Arial" w:cs="Arial"/>
                <w:sz w:val="20"/>
                <w:szCs w:val="20"/>
              </w:rPr>
              <w:lastRenderedPageBreak/>
              <w:br w:type="page"/>
            </w:r>
            <w:r w:rsidRPr="00531438">
              <w:rPr>
                <w:rFonts w:ascii="Arial" w:hAnsi="Arial" w:cs="Arial"/>
                <w:b/>
                <w:sz w:val="20"/>
                <w:szCs w:val="20"/>
              </w:rPr>
              <w:t>Supplemental</w:t>
            </w:r>
            <w:r>
              <w:rPr>
                <w:rFonts w:ascii="Arial" w:hAnsi="Arial" w:cs="Arial"/>
                <w:sz w:val="20"/>
                <w:szCs w:val="20"/>
              </w:rPr>
              <w:t xml:space="preserve"> </w:t>
            </w:r>
            <w:r w:rsidR="00A42687">
              <w:rPr>
                <w:rFonts w:ascii="Arial" w:hAnsi="Arial" w:cs="Arial"/>
                <w:b/>
                <w:sz w:val="20"/>
                <w:szCs w:val="20"/>
              </w:rPr>
              <w:t xml:space="preserve">Table </w:t>
            </w:r>
            <w:r w:rsidR="003F65DB">
              <w:rPr>
                <w:rFonts w:ascii="Arial" w:hAnsi="Arial" w:cs="Arial"/>
                <w:b/>
                <w:sz w:val="20"/>
                <w:szCs w:val="20"/>
              </w:rPr>
              <w:t>9</w:t>
            </w:r>
            <w:r w:rsidRPr="002F60AC">
              <w:rPr>
                <w:rFonts w:ascii="Arial" w:hAnsi="Arial" w:cs="Arial"/>
                <w:b/>
                <w:sz w:val="20"/>
                <w:szCs w:val="20"/>
              </w:rPr>
              <w:t xml:space="preserve">. </w:t>
            </w:r>
            <w:r w:rsidRPr="002F60AC">
              <w:rPr>
                <w:rFonts w:ascii="Arial" w:hAnsi="Arial" w:cs="Arial"/>
                <w:sz w:val="20"/>
                <w:szCs w:val="20"/>
              </w:rPr>
              <w:t>Adjusted In-hospital Sepsis Mortality by Cancer Type**</w:t>
            </w:r>
          </w:p>
        </w:tc>
      </w:tr>
      <w:tr w:rsidR="00531438" w:rsidRPr="002F60AC" w:rsidTr="00531438">
        <w:trPr>
          <w:trHeight w:val="798"/>
        </w:trPr>
        <w:tc>
          <w:tcPr>
            <w:tcW w:w="3847" w:type="dxa"/>
            <w:tcBorders>
              <w:top w:val="single" w:sz="4" w:space="0" w:color="auto"/>
            </w:tcBorders>
            <w:shd w:val="clear" w:color="auto" w:fill="auto"/>
            <w:vAlign w:val="center"/>
          </w:tcPr>
          <w:p w:rsidR="00531438" w:rsidRPr="002F60AC" w:rsidRDefault="00531438" w:rsidP="00531438">
            <w:pPr>
              <w:jc w:val="center"/>
              <w:rPr>
                <w:rFonts w:ascii="Arial" w:hAnsi="Arial" w:cs="Arial"/>
                <w:sz w:val="20"/>
                <w:szCs w:val="20"/>
              </w:rPr>
            </w:pPr>
            <w:r w:rsidRPr="00253C4D">
              <w:rPr>
                <w:rFonts w:ascii="Arial" w:hAnsi="Arial" w:cs="Arial"/>
                <w:sz w:val="20"/>
                <w:szCs w:val="20"/>
              </w:rPr>
              <w:t>Tumor Types</w:t>
            </w:r>
          </w:p>
        </w:tc>
        <w:tc>
          <w:tcPr>
            <w:tcW w:w="3546" w:type="dxa"/>
            <w:tcBorders>
              <w:top w:val="single" w:sz="4" w:space="0" w:color="auto"/>
            </w:tcBorders>
            <w:shd w:val="clear" w:color="auto" w:fill="auto"/>
            <w:vAlign w:val="center"/>
          </w:tcPr>
          <w:p w:rsidR="00531438" w:rsidRPr="002F60AC" w:rsidRDefault="00531438" w:rsidP="00531438">
            <w:pPr>
              <w:jc w:val="center"/>
              <w:rPr>
                <w:rFonts w:ascii="Arial" w:hAnsi="Arial" w:cs="Arial"/>
                <w:sz w:val="20"/>
                <w:szCs w:val="20"/>
              </w:rPr>
            </w:pPr>
            <w:r>
              <w:rPr>
                <w:rFonts w:ascii="Arial" w:hAnsi="Arial" w:cs="Arial"/>
                <w:sz w:val="20"/>
                <w:szCs w:val="20"/>
              </w:rPr>
              <w:t>Odds Ratio</w:t>
            </w:r>
            <w:r w:rsidRPr="002F60AC">
              <w:rPr>
                <w:rFonts w:ascii="Arial" w:hAnsi="Arial" w:cs="Arial"/>
                <w:sz w:val="20"/>
                <w:szCs w:val="20"/>
              </w:rPr>
              <w:t xml:space="preserve"> (95% CI)</w:t>
            </w:r>
          </w:p>
        </w:tc>
        <w:tc>
          <w:tcPr>
            <w:tcW w:w="2857" w:type="dxa"/>
            <w:tcBorders>
              <w:top w:val="single" w:sz="4" w:space="0" w:color="auto"/>
            </w:tcBorders>
            <w:shd w:val="clear" w:color="auto" w:fill="auto"/>
            <w:vAlign w:val="center"/>
          </w:tcPr>
          <w:p w:rsidR="00531438" w:rsidRPr="002F60AC" w:rsidRDefault="00531438" w:rsidP="00531438">
            <w:pPr>
              <w:jc w:val="center"/>
              <w:rPr>
                <w:rFonts w:ascii="Arial" w:hAnsi="Arial" w:cs="Arial"/>
                <w:sz w:val="20"/>
                <w:szCs w:val="20"/>
              </w:rPr>
            </w:pPr>
            <w:r w:rsidRPr="002F60AC">
              <w:rPr>
                <w:rFonts w:ascii="Arial" w:hAnsi="Arial" w:cs="Arial"/>
                <w:sz w:val="20"/>
                <w:szCs w:val="20"/>
              </w:rPr>
              <w:t>Adjusted</w:t>
            </w:r>
            <w:r>
              <w:rPr>
                <w:rFonts w:ascii="Arial" w:hAnsi="Arial" w:cs="Arial"/>
                <w:sz w:val="20"/>
                <w:szCs w:val="20"/>
              </w:rPr>
              <w:t xml:space="preserve"> Difference in</w:t>
            </w:r>
            <w:r w:rsidRPr="002F60AC">
              <w:rPr>
                <w:rFonts w:ascii="Arial" w:hAnsi="Arial" w:cs="Arial"/>
                <w:sz w:val="20"/>
                <w:szCs w:val="20"/>
              </w:rPr>
              <w:t xml:space="preserve"> </w:t>
            </w:r>
            <w:r>
              <w:rPr>
                <w:rFonts w:ascii="Arial" w:hAnsi="Arial" w:cs="Arial"/>
                <w:sz w:val="20"/>
                <w:szCs w:val="20"/>
              </w:rPr>
              <w:t>P</w:t>
            </w:r>
            <w:r w:rsidRPr="002F60AC">
              <w:rPr>
                <w:rFonts w:ascii="Arial" w:hAnsi="Arial" w:cs="Arial"/>
                <w:sz w:val="20"/>
                <w:szCs w:val="20"/>
              </w:rPr>
              <w:t>robability (95% CI)</w:t>
            </w:r>
          </w:p>
        </w:tc>
      </w:tr>
      <w:tr w:rsidR="00531438" w:rsidRPr="002F60AC" w:rsidTr="00531438">
        <w:trPr>
          <w:trHeight w:val="386"/>
        </w:trPr>
        <w:tc>
          <w:tcPr>
            <w:tcW w:w="3847" w:type="dxa"/>
            <w:shd w:val="clear" w:color="auto" w:fill="F2F2F2" w:themeFill="background1" w:themeFillShade="F2"/>
            <w:vAlign w:val="center"/>
          </w:tcPr>
          <w:p w:rsidR="00531438" w:rsidRPr="002F60AC" w:rsidRDefault="00531438" w:rsidP="00531438">
            <w:pPr>
              <w:rPr>
                <w:rFonts w:ascii="Arial" w:hAnsi="Arial" w:cs="Arial"/>
                <w:sz w:val="20"/>
                <w:szCs w:val="20"/>
              </w:rPr>
            </w:pPr>
            <w:r w:rsidRPr="002F60AC">
              <w:rPr>
                <w:rFonts w:ascii="Arial" w:hAnsi="Arial" w:cs="Arial"/>
                <w:sz w:val="20"/>
                <w:szCs w:val="20"/>
              </w:rPr>
              <w:t xml:space="preserve">  Solid Primary</w:t>
            </w:r>
          </w:p>
        </w:tc>
        <w:tc>
          <w:tcPr>
            <w:tcW w:w="3546" w:type="dxa"/>
            <w:shd w:val="clear" w:color="auto" w:fill="F2F2F2" w:themeFill="background1" w:themeFillShade="F2"/>
            <w:vAlign w:val="center"/>
          </w:tcPr>
          <w:p w:rsidR="00531438" w:rsidRPr="002F60AC" w:rsidRDefault="00531438" w:rsidP="00531438">
            <w:pPr>
              <w:jc w:val="center"/>
              <w:rPr>
                <w:rFonts w:ascii="Arial" w:hAnsi="Arial" w:cs="Arial"/>
                <w:sz w:val="20"/>
                <w:szCs w:val="20"/>
              </w:rPr>
            </w:pPr>
            <w:r>
              <w:rPr>
                <w:rFonts w:ascii="Arial" w:hAnsi="Arial" w:cs="Arial"/>
                <w:sz w:val="20"/>
                <w:szCs w:val="20"/>
              </w:rPr>
              <w:t>ref</w:t>
            </w:r>
          </w:p>
        </w:tc>
        <w:tc>
          <w:tcPr>
            <w:tcW w:w="2857" w:type="dxa"/>
            <w:shd w:val="clear" w:color="auto" w:fill="F2F2F2" w:themeFill="background1" w:themeFillShade="F2"/>
            <w:vAlign w:val="center"/>
          </w:tcPr>
          <w:p w:rsidR="00531438" w:rsidRPr="002F60AC" w:rsidRDefault="00531438" w:rsidP="00531438">
            <w:pPr>
              <w:jc w:val="center"/>
              <w:rPr>
                <w:rFonts w:ascii="Arial" w:hAnsi="Arial" w:cs="Arial"/>
                <w:sz w:val="20"/>
                <w:szCs w:val="20"/>
              </w:rPr>
            </w:pPr>
            <w:r>
              <w:rPr>
                <w:rFonts w:ascii="Arial" w:hAnsi="Arial" w:cs="Arial"/>
                <w:sz w:val="20"/>
                <w:szCs w:val="20"/>
              </w:rPr>
              <w:t>ref</w:t>
            </w:r>
          </w:p>
        </w:tc>
      </w:tr>
      <w:tr w:rsidR="00531438" w:rsidRPr="002F60AC" w:rsidTr="00531438">
        <w:trPr>
          <w:trHeight w:val="386"/>
        </w:trPr>
        <w:tc>
          <w:tcPr>
            <w:tcW w:w="3847" w:type="dxa"/>
            <w:shd w:val="clear" w:color="auto" w:fill="FFFFFF" w:themeFill="background1"/>
            <w:vAlign w:val="center"/>
          </w:tcPr>
          <w:p w:rsidR="00531438" w:rsidRPr="002F60AC" w:rsidRDefault="00531438" w:rsidP="00531438">
            <w:pPr>
              <w:rPr>
                <w:rFonts w:ascii="Arial" w:hAnsi="Arial" w:cs="Arial"/>
                <w:sz w:val="20"/>
                <w:szCs w:val="20"/>
              </w:rPr>
            </w:pPr>
            <w:r w:rsidRPr="002F60AC">
              <w:rPr>
                <w:rFonts w:ascii="Arial" w:hAnsi="Arial" w:cs="Arial"/>
                <w:sz w:val="20"/>
                <w:szCs w:val="20"/>
              </w:rPr>
              <w:t xml:space="preserve">  Hematologic Primary</w:t>
            </w:r>
          </w:p>
        </w:tc>
        <w:tc>
          <w:tcPr>
            <w:tcW w:w="3546" w:type="dxa"/>
            <w:shd w:val="clear" w:color="auto" w:fill="FFFFFF" w:themeFill="background1"/>
            <w:vAlign w:val="center"/>
          </w:tcPr>
          <w:p w:rsidR="00531438" w:rsidRPr="002F60AC" w:rsidRDefault="00531438" w:rsidP="00531438">
            <w:pPr>
              <w:jc w:val="center"/>
              <w:rPr>
                <w:rFonts w:ascii="Arial" w:hAnsi="Arial" w:cs="Arial"/>
                <w:sz w:val="20"/>
                <w:szCs w:val="20"/>
              </w:rPr>
            </w:pPr>
            <w:r>
              <w:rPr>
                <w:rFonts w:ascii="Arial" w:hAnsi="Arial" w:cs="Arial"/>
                <w:sz w:val="20"/>
                <w:szCs w:val="20"/>
              </w:rPr>
              <w:t>1.4 (1.3-1.4</w:t>
            </w:r>
            <w:r w:rsidRPr="002F60AC">
              <w:rPr>
                <w:rFonts w:ascii="Arial" w:hAnsi="Arial" w:cs="Arial"/>
                <w:sz w:val="20"/>
                <w:szCs w:val="20"/>
              </w:rPr>
              <w:t>)</w:t>
            </w:r>
          </w:p>
        </w:tc>
        <w:tc>
          <w:tcPr>
            <w:tcW w:w="2857" w:type="dxa"/>
            <w:shd w:val="clear" w:color="auto" w:fill="FFFFFF" w:themeFill="background1"/>
            <w:vAlign w:val="center"/>
          </w:tcPr>
          <w:p w:rsidR="00531438" w:rsidRPr="002F60AC" w:rsidRDefault="0011208B" w:rsidP="0011208B">
            <w:pPr>
              <w:jc w:val="center"/>
              <w:rPr>
                <w:rFonts w:ascii="Arial" w:hAnsi="Arial" w:cs="Arial"/>
                <w:sz w:val="20"/>
                <w:szCs w:val="20"/>
              </w:rPr>
            </w:pPr>
            <w:r>
              <w:rPr>
                <w:rFonts w:ascii="Arial" w:hAnsi="Arial" w:cs="Arial"/>
                <w:sz w:val="20"/>
                <w:szCs w:val="20"/>
              </w:rPr>
              <w:t>6.3</w:t>
            </w:r>
            <w:r w:rsidR="00531438">
              <w:rPr>
                <w:rFonts w:ascii="Arial" w:hAnsi="Arial" w:cs="Arial"/>
                <w:sz w:val="20"/>
                <w:szCs w:val="20"/>
              </w:rPr>
              <w:t>% (</w:t>
            </w:r>
            <w:r>
              <w:rPr>
                <w:rFonts w:ascii="Arial" w:hAnsi="Arial" w:cs="Arial"/>
                <w:sz w:val="20"/>
                <w:szCs w:val="20"/>
              </w:rPr>
              <w:t>5.8%-6.8</w:t>
            </w:r>
            <w:r w:rsidR="00531438">
              <w:rPr>
                <w:rFonts w:ascii="Arial" w:hAnsi="Arial" w:cs="Arial"/>
                <w:sz w:val="20"/>
                <w:szCs w:val="20"/>
              </w:rPr>
              <w:t>%)</w:t>
            </w:r>
          </w:p>
        </w:tc>
      </w:tr>
      <w:tr w:rsidR="00531438" w:rsidRPr="002F60AC" w:rsidTr="00284B62">
        <w:trPr>
          <w:trHeight w:val="386"/>
        </w:trPr>
        <w:tc>
          <w:tcPr>
            <w:tcW w:w="3847" w:type="dxa"/>
            <w:tcBorders>
              <w:bottom w:val="single" w:sz="4" w:space="0" w:color="auto"/>
            </w:tcBorders>
            <w:shd w:val="clear" w:color="auto" w:fill="F2F2F2" w:themeFill="background1" w:themeFillShade="F2"/>
            <w:vAlign w:val="center"/>
          </w:tcPr>
          <w:p w:rsidR="00531438" w:rsidRPr="002F60AC" w:rsidRDefault="00531438" w:rsidP="00531438">
            <w:pPr>
              <w:rPr>
                <w:rFonts w:ascii="Arial" w:hAnsi="Arial" w:cs="Arial"/>
                <w:sz w:val="20"/>
                <w:szCs w:val="20"/>
              </w:rPr>
            </w:pPr>
            <w:r w:rsidRPr="002F60AC">
              <w:rPr>
                <w:rFonts w:ascii="Arial" w:hAnsi="Arial" w:cs="Arial"/>
                <w:sz w:val="20"/>
                <w:szCs w:val="20"/>
              </w:rPr>
              <w:t xml:space="preserve">  Other (not specified)</w:t>
            </w:r>
          </w:p>
        </w:tc>
        <w:tc>
          <w:tcPr>
            <w:tcW w:w="3546" w:type="dxa"/>
            <w:tcBorders>
              <w:bottom w:val="single" w:sz="4" w:space="0" w:color="auto"/>
            </w:tcBorders>
            <w:shd w:val="clear" w:color="auto" w:fill="F2F2F2" w:themeFill="background1" w:themeFillShade="F2"/>
            <w:vAlign w:val="center"/>
          </w:tcPr>
          <w:p w:rsidR="00531438" w:rsidRPr="002F60AC" w:rsidRDefault="0011208B" w:rsidP="00531438">
            <w:pPr>
              <w:jc w:val="center"/>
              <w:rPr>
                <w:rFonts w:ascii="Arial" w:hAnsi="Arial" w:cs="Arial"/>
                <w:sz w:val="20"/>
                <w:szCs w:val="20"/>
              </w:rPr>
            </w:pPr>
            <w:r>
              <w:rPr>
                <w:rFonts w:ascii="Arial" w:hAnsi="Arial" w:cs="Arial"/>
                <w:sz w:val="20"/>
                <w:szCs w:val="20"/>
              </w:rPr>
              <w:t>1.8</w:t>
            </w:r>
            <w:r w:rsidR="00531438" w:rsidRPr="002F60AC">
              <w:rPr>
                <w:rFonts w:ascii="Arial" w:hAnsi="Arial" w:cs="Arial"/>
                <w:sz w:val="20"/>
                <w:szCs w:val="20"/>
              </w:rPr>
              <w:t xml:space="preserve"> (</w:t>
            </w:r>
            <w:r>
              <w:rPr>
                <w:rFonts w:ascii="Arial" w:hAnsi="Arial" w:cs="Arial"/>
                <w:sz w:val="20"/>
                <w:szCs w:val="20"/>
              </w:rPr>
              <w:t>1.8-1.9</w:t>
            </w:r>
            <w:r w:rsidR="00531438" w:rsidRPr="002F60AC">
              <w:rPr>
                <w:rFonts w:ascii="Arial" w:hAnsi="Arial" w:cs="Arial"/>
                <w:sz w:val="20"/>
                <w:szCs w:val="20"/>
              </w:rPr>
              <w:t>)</w:t>
            </w:r>
          </w:p>
        </w:tc>
        <w:tc>
          <w:tcPr>
            <w:tcW w:w="2857" w:type="dxa"/>
            <w:tcBorders>
              <w:bottom w:val="single" w:sz="4" w:space="0" w:color="auto"/>
            </w:tcBorders>
            <w:shd w:val="clear" w:color="auto" w:fill="F2F2F2" w:themeFill="background1" w:themeFillShade="F2"/>
            <w:vAlign w:val="center"/>
          </w:tcPr>
          <w:p w:rsidR="00531438" w:rsidRPr="002F60AC" w:rsidRDefault="005105BB" w:rsidP="005105BB">
            <w:pPr>
              <w:jc w:val="center"/>
              <w:rPr>
                <w:rFonts w:ascii="Arial" w:hAnsi="Arial" w:cs="Arial"/>
                <w:sz w:val="20"/>
                <w:szCs w:val="20"/>
              </w:rPr>
            </w:pPr>
            <w:r>
              <w:rPr>
                <w:rFonts w:ascii="Arial" w:hAnsi="Arial" w:cs="Arial"/>
                <w:sz w:val="20"/>
                <w:szCs w:val="20"/>
              </w:rPr>
              <w:t>12.2</w:t>
            </w:r>
            <w:r w:rsidR="00531438">
              <w:rPr>
                <w:rFonts w:ascii="Arial" w:hAnsi="Arial" w:cs="Arial"/>
                <w:sz w:val="20"/>
                <w:szCs w:val="20"/>
              </w:rPr>
              <w:t>% (</w:t>
            </w:r>
            <w:r w:rsidR="0011208B">
              <w:rPr>
                <w:rFonts w:ascii="Arial" w:hAnsi="Arial" w:cs="Arial"/>
                <w:sz w:val="20"/>
                <w:szCs w:val="20"/>
              </w:rPr>
              <w:t>11.</w:t>
            </w:r>
            <w:r>
              <w:rPr>
                <w:rFonts w:ascii="Arial" w:hAnsi="Arial" w:cs="Arial"/>
                <w:sz w:val="20"/>
                <w:szCs w:val="20"/>
              </w:rPr>
              <w:t>7</w:t>
            </w:r>
            <w:r w:rsidR="00531438">
              <w:rPr>
                <w:rFonts w:ascii="Arial" w:hAnsi="Arial" w:cs="Arial"/>
                <w:sz w:val="20"/>
                <w:szCs w:val="20"/>
              </w:rPr>
              <w:t>%-</w:t>
            </w:r>
            <w:r w:rsidR="0011208B">
              <w:rPr>
                <w:rFonts w:ascii="Arial" w:hAnsi="Arial" w:cs="Arial"/>
                <w:sz w:val="20"/>
                <w:szCs w:val="20"/>
              </w:rPr>
              <w:t>12.</w:t>
            </w:r>
            <w:r>
              <w:rPr>
                <w:rFonts w:ascii="Arial" w:hAnsi="Arial" w:cs="Arial"/>
                <w:sz w:val="20"/>
                <w:szCs w:val="20"/>
              </w:rPr>
              <w:t>7</w:t>
            </w:r>
            <w:r w:rsidR="00531438">
              <w:rPr>
                <w:rFonts w:ascii="Arial" w:hAnsi="Arial" w:cs="Arial"/>
                <w:sz w:val="20"/>
                <w:szCs w:val="20"/>
              </w:rPr>
              <w:t>%</w:t>
            </w:r>
          </w:p>
        </w:tc>
      </w:tr>
      <w:tr w:rsidR="00284B62" w:rsidRPr="002F60AC" w:rsidTr="00284B62">
        <w:trPr>
          <w:trHeight w:val="386"/>
        </w:trPr>
        <w:tc>
          <w:tcPr>
            <w:tcW w:w="10250" w:type="dxa"/>
            <w:gridSpan w:val="3"/>
            <w:tcBorders>
              <w:top w:val="single" w:sz="4" w:space="0" w:color="auto"/>
              <w:left w:val="nil"/>
              <w:bottom w:val="nil"/>
              <w:right w:val="nil"/>
            </w:tcBorders>
            <w:shd w:val="clear" w:color="auto" w:fill="FFFFFF" w:themeFill="background1"/>
            <w:vAlign w:val="center"/>
          </w:tcPr>
          <w:p w:rsidR="00284B62" w:rsidRPr="00284B62" w:rsidRDefault="00284B62" w:rsidP="0011208B">
            <w:pPr>
              <w:rPr>
                <w:rFonts w:ascii="Arial" w:hAnsi="Arial" w:cs="Arial"/>
                <w:sz w:val="16"/>
                <w:szCs w:val="16"/>
              </w:rPr>
            </w:pPr>
            <w:r>
              <w:rPr>
                <w:rFonts w:ascii="Arial" w:hAnsi="Arial" w:cs="Arial"/>
                <w:sz w:val="16"/>
                <w:szCs w:val="16"/>
              </w:rPr>
              <w:t>** adjusted</w:t>
            </w:r>
            <w:r w:rsidR="0011208B">
              <w:rPr>
                <w:rFonts w:ascii="Arial" w:hAnsi="Arial" w:cs="Arial"/>
                <w:sz w:val="16"/>
                <w:szCs w:val="16"/>
              </w:rPr>
              <w:t xml:space="preserve"> for payer type, </w:t>
            </w:r>
            <w:r w:rsidRPr="00284B62">
              <w:rPr>
                <w:rFonts w:ascii="Arial" w:hAnsi="Arial" w:cs="Arial"/>
                <w:sz w:val="16"/>
                <w:szCs w:val="16"/>
              </w:rPr>
              <w:t xml:space="preserve">gender, </w:t>
            </w:r>
            <w:r w:rsidR="0011208B">
              <w:rPr>
                <w:rFonts w:ascii="Arial" w:hAnsi="Arial" w:cs="Arial"/>
                <w:sz w:val="16"/>
                <w:szCs w:val="16"/>
              </w:rPr>
              <w:t xml:space="preserve">age, income, </w:t>
            </w:r>
            <w:r w:rsidR="00AD1E00">
              <w:rPr>
                <w:rFonts w:ascii="Arial" w:hAnsi="Arial" w:cs="Arial"/>
                <w:sz w:val="16"/>
                <w:szCs w:val="16"/>
              </w:rPr>
              <w:t>site</w:t>
            </w:r>
            <w:r w:rsidRPr="00284B62">
              <w:rPr>
                <w:rFonts w:ascii="Arial" w:hAnsi="Arial" w:cs="Arial"/>
                <w:sz w:val="16"/>
                <w:szCs w:val="16"/>
              </w:rPr>
              <w:t xml:space="preserve"> of infect</w:t>
            </w:r>
            <w:r w:rsidR="0011208B">
              <w:rPr>
                <w:rFonts w:ascii="Arial" w:hAnsi="Arial" w:cs="Arial"/>
                <w:sz w:val="16"/>
                <w:szCs w:val="16"/>
              </w:rPr>
              <w:t>ion, complicated diabetes, severe liver disease, cerebrovascular disease, myocardial infarction, congestive heart failure, chronic kidney disease, and chronic respiratory disease</w:t>
            </w:r>
          </w:p>
        </w:tc>
      </w:tr>
    </w:tbl>
    <w:p w:rsidR="00531438" w:rsidRDefault="00030091">
      <w:r>
        <w:br w:type="page"/>
      </w:r>
    </w:p>
    <w:tbl>
      <w:tblPr>
        <w:tblStyle w:val="TableGrid"/>
        <w:tblpPr w:leftFromText="180" w:rightFromText="180" w:vertAnchor="text" w:horzAnchor="margin" w:tblpY="-899"/>
        <w:tblOverlap w:val="never"/>
        <w:tblW w:w="9355" w:type="dxa"/>
        <w:tblBorders>
          <w:insideH w:val="none" w:sz="0" w:space="0" w:color="auto"/>
          <w:insideV w:val="none" w:sz="0" w:space="0" w:color="auto"/>
        </w:tblBorders>
        <w:tblLook w:val="04A0" w:firstRow="1" w:lastRow="0" w:firstColumn="1" w:lastColumn="0" w:noHBand="0" w:noVBand="1"/>
      </w:tblPr>
      <w:tblGrid>
        <w:gridCol w:w="4590"/>
        <w:gridCol w:w="1643"/>
        <w:gridCol w:w="3122"/>
      </w:tblGrid>
      <w:tr w:rsidR="00531438" w:rsidTr="00772B85">
        <w:tc>
          <w:tcPr>
            <w:tcW w:w="9355" w:type="dxa"/>
            <w:gridSpan w:val="3"/>
            <w:tcBorders>
              <w:top w:val="nil"/>
              <w:left w:val="nil"/>
              <w:bottom w:val="single" w:sz="4" w:space="0" w:color="auto"/>
              <w:right w:val="nil"/>
            </w:tcBorders>
          </w:tcPr>
          <w:p w:rsidR="00531438" w:rsidRDefault="00531438" w:rsidP="003F65DB">
            <w:r>
              <w:rPr>
                <w:rFonts w:ascii="Arial" w:hAnsi="Arial" w:cs="Arial"/>
                <w:b/>
                <w:sz w:val="20"/>
                <w:szCs w:val="20"/>
              </w:rPr>
              <w:lastRenderedPageBreak/>
              <w:t xml:space="preserve">Supplemental Table </w:t>
            </w:r>
            <w:r w:rsidR="003F65DB">
              <w:rPr>
                <w:rFonts w:ascii="Arial" w:hAnsi="Arial" w:cs="Arial"/>
                <w:b/>
                <w:sz w:val="20"/>
                <w:szCs w:val="20"/>
              </w:rPr>
              <w:t>10</w:t>
            </w:r>
            <w:r w:rsidRPr="004375F7">
              <w:rPr>
                <w:rFonts w:ascii="Arial" w:hAnsi="Arial" w:cs="Arial"/>
                <w:b/>
                <w:sz w:val="20"/>
                <w:szCs w:val="20"/>
              </w:rPr>
              <w:t>.</w:t>
            </w:r>
            <w:r w:rsidRPr="004375F7">
              <w:rPr>
                <w:rFonts w:ascii="Arial" w:hAnsi="Arial" w:cs="Arial"/>
                <w:sz w:val="20"/>
                <w:szCs w:val="20"/>
              </w:rPr>
              <w:t xml:space="preserve"> Unadjusted Sepsis Mortality by Tumor Type</w:t>
            </w:r>
          </w:p>
        </w:tc>
      </w:tr>
      <w:tr w:rsidR="00531438" w:rsidTr="00772B85">
        <w:tc>
          <w:tcPr>
            <w:tcW w:w="4590" w:type="dxa"/>
            <w:tcBorders>
              <w:top w:val="single" w:sz="4" w:space="0" w:color="auto"/>
              <w:bottom w:val="single" w:sz="4" w:space="0" w:color="auto"/>
              <w:right w:val="single" w:sz="4" w:space="0" w:color="auto"/>
            </w:tcBorders>
            <w:shd w:val="clear" w:color="auto" w:fill="FFFFFF" w:themeFill="background1"/>
          </w:tcPr>
          <w:p w:rsidR="00531438" w:rsidRDefault="00531438" w:rsidP="00772B85">
            <w:pPr>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tcPr>
          <w:p w:rsidR="00531438" w:rsidRDefault="00531438" w:rsidP="00772B85">
            <w:pPr>
              <w:jc w:val="center"/>
              <w:rPr>
                <w:rFonts w:ascii="Arial" w:hAnsi="Arial" w:cs="Arial"/>
                <w:sz w:val="20"/>
                <w:szCs w:val="20"/>
              </w:rPr>
            </w:pPr>
            <w:r>
              <w:rPr>
                <w:rFonts w:ascii="Arial" w:hAnsi="Arial" w:cs="Arial"/>
                <w:sz w:val="20"/>
                <w:szCs w:val="20"/>
              </w:rPr>
              <w:t>Mortality</w:t>
            </w:r>
          </w:p>
        </w:tc>
        <w:tc>
          <w:tcPr>
            <w:tcW w:w="3122" w:type="dxa"/>
            <w:tcBorders>
              <w:top w:val="single" w:sz="4" w:space="0" w:color="auto"/>
              <w:left w:val="single" w:sz="4" w:space="0" w:color="auto"/>
              <w:bottom w:val="single" w:sz="4" w:space="0" w:color="auto"/>
            </w:tcBorders>
            <w:shd w:val="clear" w:color="auto" w:fill="FFFFFF" w:themeFill="background1"/>
          </w:tcPr>
          <w:p w:rsidR="00531438" w:rsidRDefault="00531438" w:rsidP="00772B85">
            <w:pPr>
              <w:jc w:val="center"/>
              <w:rPr>
                <w:rFonts w:ascii="Arial" w:hAnsi="Arial" w:cs="Arial"/>
                <w:sz w:val="20"/>
                <w:szCs w:val="20"/>
              </w:rPr>
            </w:pPr>
            <w:r>
              <w:rPr>
                <w:rFonts w:ascii="Arial" w:hAnsi="Arial" w:cs="Arial"/>
                <w:sz w:val="20"/>
                <w:szCs w:val="20"/>
              </w:rPr>
              <w:t>Odds Ratio (95% CI)</w:t>
            </w:r>
          </w:p>
        </w:tc>
      </w:tr>
      <w:tr w:rsidR="00531438" w:rsidTr="00772B85">
        <w:tc>
          <w:tcPr>
            <w:tcW w:w="4590" w:type="dxa"/>
            <w:tcBorders>
              <w:top w:val="single" w:sz="4" w:space="0" w:color="auto"/>
            </w:tcBorders>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Head and Neck</w:t>
            </w:r>
          </w:p>
        </w:tc>
        <w:tc>
          <w:tcPr>
            <w:tcW w:w="1643" w:type="dxa"/>
            <w:tcBorders>
              <w:top w:val="single" w:sz="4" w:space="0" w:color="auto"/>
            </w:tcBorders>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1,871 (24.3%)</w:t>
            </w:r>
          </w:p>
        </w:tc>
        <w:tc>
          <w:tcPr>
            <w:tcW w:w="3122" w:type="dxa"/>
            <w:tcBorders>
              <w:top w:val="single" w:sz="4" w:space="0" w:color="auto"/>
            </w:tcBorders>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1.2 (1.1-1.3)</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Esophagus</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1,291 (35.6%)</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2.1 (1.9-2.2)</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Stomach</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1,348 (36.2%)</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2.1 (2.0-2.2)</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Colon</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5,718 (26.3%)</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1.3 (1.3-1.4)</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Rectum and Anus</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1,511 (23.9%)</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1.1 (1.1-1.2)</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Liver and bile duct</w:t>
            </w:r>
          </w:p>
        </w:tc>
        <w:tc>
          <w:tcPr>
            <w:tcW w:w="1643" w:type="dxa"/>
            <w:shd w:val="clear" w:color="auto" w:fill="FFFFFF" w:themeFill="background1"/>
          </w:tcPr>
          <w:p w:rsidR="00531438" w:rsidRDefault="00531438" w:rsidP="00507552">
            <w:pPr>
              <w:spacing w:line="360" w:lineRule="auto"/>
              <w:jc w:val="right"/>
              <w:rPr>
                <w:rFonts w:ascii="Arial" w:hAnsi="Arial" w:cs="Arial"/>
                <w:sz w:val="20"/>
                <w:szCs w:val="20"/>
              </w:rPr>
            </w:pPr>
            <w:r>
              <w:rPr>
                <w:rFonts w:ascii="Arial" w:hAnsi="Arial" w:cs="Arial"/>
                <w:sz w:val="20"/>
                <w:szCs w:val="20"/>
              </w:rPr>
              <w:t>2,56</w:t>
            </w:r>
            <w:r w:rsidR="00507552">
              <w:rPr>
                <w:rFonts w:ascii="Arial" w:hAnsi="Arial" w:cs="Arial"/>
                <w:sz w:val="20"/>
                <w:szCs w:val="20"/>
              </w:rPr>
              <w:t>5</w:t>
            </w:r>
            <w:r>
              <w:rPr>
                <w:rFonts w:ascii="Arial" w:hAnsi="Arial" w:cs="Arial"/>
                <w:sz w:val="20"/>
                <w:szCs w:val="20"/>
              </w:rPr>
              <w:t xml:space="preserve"> (38.0%)</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2.3 (2.2-2.4)</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Pancreas</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2,531 (33.7%)</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1.9 (1.8-2.0)</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Other GI organs, peritoneum</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1,178 (26.0%)</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1.3 (1.2-1.4)</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Bronchus, Lung</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11,262 (37.1%)</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2.2 (2.2-2.3)</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Other respiratory and intrathoracic</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119 (35.4%)</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2.0 (1.6-2.5)</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Bone and connective tissue</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537 (30.7%)</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1.6 (1.5-1.8)</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Melanoma</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874 (21.3%)</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1.0 (0.9-1.1)</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Non-epithelial skin cancer</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1,872 (18.2%)</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0.8 (0.8-0.9)</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Breast</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6,507 (24.8%)</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1.2 (1.2-1.3)</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Uterus</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1,304 (25.4%)</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1.3 (1.2-1.3)</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Cervix</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640 (17.0%)</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0.8 (0.7-0.8)</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Ovary</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1,335 (28.6%)</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1.5 (1.4-1.6)</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Other female genital organs</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250 (20.8%)</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1.0 (0.8-1.1)</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Prostate</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6,168 (21.2%)</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1.0 (0.9-1.0)</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Testis</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165 (20.6%)</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1.0 (0.8-1.1)</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Other male genital organs</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63 (18.9%)</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0.9 (0.6-1.1)</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Bladder</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2,557 (18.2%)</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0.8 (0.8-0.9)</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Kidney and renal pelvis</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1,673 (22.2%)</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1.1 (1.0-1.1)</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Other urinary organs</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117 (19.2%)</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0.9 (0.7-1.1)</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Brain and nervous system</w:t>
            </w:r>
          </w:p>
        </w:tc>
        <w:tc>
          <w:tcPr>
            <w:tcW w:w="1643" w:type="dxa"/>
            <w:shd w:val="clear" w:color="auto" w:fill="F2F2F2" w:themeFill="background1" w:themeFillShade="F2"/>
          </w:tcPr>
          <w:p w:rsidR="00531438" w:rsidRDefault="00D51D85" w:rsidP="005E753A">
            <w:pPr>
              <w:spacing w:line="360" w:lineRule="auto"/>
              <w:jc w:val="right"/>
              <w:rPr>
                <w:rFonts w:ascii="Arial" w:hAnsi="Arial" w:cs="Arial"/>
                <w:sz w:val="20"/>
                <w:szCs w:val="20"/>
              </w:rPr>
            </w:pPr>
            <w:r>
              <w:rPr>
                <w:rFonts w:ascii="Arial" w:hAnsi="Arial" w:cs="Arial"/>
                <w:sz w:val="20"/>
                <w:szCs w:val="20"/>
              </w:rPr>
              <w:t>663</w:t>
            </w:r>
            <w:r w:rsidR="00531438">
              <w:rPr>
                <w:rFonts w:ascii="Arial" w:hAnsi="Arial" w:cs="Arial"/>
                <w:sz w:val="20"/>
                <w:szCs w:val="20"/>
              </w:rPr>
              <w:t xml:space="preserve"> (29.0%)</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1.5 (1.4-1.7)</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Thyroid</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406 (20.8%)</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1.0 (0.9-1.1)</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Hodgkin’s lymphoma</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565 (29.4%)</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1.5 (1.4-1.7)</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Non-Hodgkin’s lymphoma</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5,433 (30.2%)</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1.6 (1.6-1.7)</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proofErr w:type="spellStart"/>
            <w:r>
              <w:rPr>
                <w:rFonts w:ascii="Arial" w:hAnsi="Arial" w:cs="Arial"/>
                <w:sz w:val="20"/>
                <w:szCs w:val="20"/>
              </w:rPr>
              <w:t>Leukemias</w:t>
            </w:r>
            <w:proofErr w:type="spellEnd"/>
          </w:p>
        </w:tc>
        <w:tc>
          <w:tcPr>
            <w:tcW w:w="1643" w:type="dxa"/>
            <w:shd w:val="clear" w:color="auto" w:fill="F2F2F2" w:themeFill="background1" w:themeFillShade="F2"/>
          </w:tcPr>
          <w:p w:rsidR="00531438" w:rsidRDefault="00D51D85" w:rsidP="005E753A">
            <w:pPr>
              <w:spacing w:line="360" w:lineRule="auto"/>
              <w:jc w:val="right"/>
              <w:rPr>
                <w:rFonts w:ascii="Arial" w:hAnsi="Arial" w:cs="Arial"/>
                <w:sz w:val="20"/>
                <w:szCs w:val="20"/>
              </w:rPr>
            </w:pPr>
            <w:r>
              <w:rPr>
                <w:rFonts w:ascii="Arial" w:hAnsi="Arial" w:cs="Arial"/>
                <w:sz w:val="20"/>
                <w:szCs w:val="20"/>
              </w:rPr>
              <w:t>6,686</w:t>
            </w:r>
            <w:r w:rsidR="00531438">
              <w:rPr>
                <w:rFonts w:ascii="Arial" w:hAnsi="Arial" w:cs="Arial"/>
                <w:sz w:val="20"/>
                <w:szCs w:val="20"/>
              </w:rPr>
              <w:t xml:space="preserve"> (33.1%)</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1.8 (1.8-1.9)</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Multiple myeloma</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2,398 (27.4%)</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1.4 (1.3-1.5)</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Cancer, other and unspecified primary</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930 (25.0%)</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1.2 (1.1-1.3)</w:t>
            </w:r>
          </w:p>
        </w:tc>
      </w:tr>
      <w:tr w:rsidR="00531438" w:rsidTr="00772B85">
        <w:tc>
          <w:tcPr>
            <w:tcW w:w="4590" w:type="dxa"/>
            <w:shd w:val="clear" w:color="auto" w:fill="FFFFFF" w:themeFill="background1"/>
          </w:tcPr>
          <w:p w:rsidR="00531438" w:rsidRDefault="00531438" w:rsidP="00772B85">
            <w:pPr>
              <w:spacing w:line="360" w:lineRule="auto"/>
              <w:rPr>
                <w:rFonts w:ascii="Arial" w:hAnsi="Arial" w:cs="Arial"/>
                <w:sz w:val="20"/>
                <w:szCs w:val="20"/>
              </w:rPr>
            </w:pPr>
            <w:r>
              <w:rPr>
                <w:rFonts w:ascii="Arial" w:hAnsi="Arial" w:cs="Arial"/>
                <w:sz w:val="20"/>
                <w:szCs w:val="20"/>
              </w:rPr>
              <w:t>Secondary malignancies</w:t>
            </w:r>
          </w:p>
        </w:tc>
        <w:tc>
          <w:tcPr>
            <w:tcW w:w="1643"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24,101 (37.9%)</w:t>
            </w:r>
          </w:p>
        </w:tc>
        <w:tc>
          <w:tcPr>
            <w:tcW w:w="3122" w:type="dxa"/>
            <w:shd w:val="clear" w:color="auto" w:fill="FFFFFF" w:themeFill="background1"/>
          </w:tcPr>
          <w:p w:rsidR="00531438" w:rsidRDefault="00531438" w:rsidP="005E753A">
            <w:pPr>
              <w:spacing w:line="360" w:lineRule="auto"/>
              <w:jc w:val="right"/>
              <w:rPr>
                <w:rFonts w:ascii="Arial" w:hAnsi="Arial" w:cs="Arial"/>
                <w:sz w:val="20"/>
                <w:szCs w:val="20"/>
              </w:rPr>
            </w:pPr>
            <w:r>
              <w:rPr>
                <w:rFonts w:ascii="Arial" w:hAnsi="Arial" w:cs="Arial"/>
                <w:sz w:val="20"/>
                <w:szCs w:val="20"/>
              </w:rPr>
              <w:t>2.4 (2.3-2.4)</w:t>
            </w:r>
          </w:p>
        </w:tc>
      </w:tr>
      <w:tr w:rsidR="00531438" w:rsidTr="00772B85">
        <w:tc>
          <w:tcPr>
            <w:tcW w:w="4590" w:type="dxa"/>
            <w:shd w:val="clear" w:color="auto" w:fill="F2F2F2" w:themeFill="background1" w:themeFillShade="F2"/>
          </w:tcPr>
          <w:p w:rsidR="00531438" w:rsidRDefault="00531438" w:rsidP="00772B85">
            <w:pPr>
              <w:spacing w:line="360" w:lineRule="auto"/>
              <w:rPr>
                <w:rFonts w:ascii="Arial" w:hAnsi="Arial" w:cs="Arial"/>
                <w:sz w:val="20"/>
                <w:szCs w:val="20"/>
              </w:rPr>
            </w:pPr>
            <w:r>
              <w:rPr>
                <w:rFonts w:ascii="Arial" w:hAnsi="Arial" w:cs="Arial"/>
                <w:sz w:val="20"/>
                <w:szCs w:val="20"/>
              </w:rPr>
              <w:t>Malignant neoplasm without specification of site</w:t>
            </w:r>
          </w:p>
        </w:tc>
        <w:tc>
          <w:tcPr>
            <w:tcW w:w="1643"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3,397 (42.4%)</w:t>
            </w:r>
          </w:p>
        </w:tc>
        <w:tc>
          <w:tcPr>
            <w:tcW w:w="3122" w:type="dxa"/>
            <w:shd w:val="clear" w:color="auto" w:fill="F2F2F2" w:themeFill="background1" w:themeFillShade="F2"/>
          </w:tcPr>
          <w:p w:rsidR="00531438" w:rsidRDefault="00531438" w:rsidP="005E753A">
            <w:pPr>
              <w:spacing w:line="360" w:lineRule="auto"/>
              <w:jc w:val="right"/>
              <w:rPr>
                <w:rFonts w:ascii="Arial" w:hAnsi="Arial" w:cs="Arial"/>
                <w:sz w:val="20"/>
                <w:szCs w:val="20"/>
              </w:rPr>
            </w:pPr>
            <w:r>
              <w:rPr>
                <w:rFonts w:ascii="Arial" w:hAnsi="Arial" w:cs="Arial"/>
                <w:sz w:val="20"/>
                <w:szCs w:val="20"/>
              </w:rPr>
              <w:t>2.7 (2.6-2.9)</w:t>
            </w:r>
          </w:p>
        </w:tc>
      </w:tr>
    </w:tbl>
    <w:p w:rsidR="00166A06" w:rsidRDefault="00531438">
      <w:r>
        <w:br w:type="page"/>
      </w:r>
    </w:p>
    <w:p w:rsidR="0030610D" w:rsidRPr="0030610D" w:rsidRDefault="00A42687" w:rsidP="0030610D">
      <w:pPr>
        <w:spacing w:line="240" w:lineRule="auto"/>
        <w:rPr>
          <w:rFonts w:ascii="Arial" w:hAnsi="Arial" w:cs="Arial"/>
          <w:sz w:val="24"/>
        </w:rPr>
      </w:pPr>
      <w:r w:rsidRPr="00237DD2">
        <w:rPr>
          <w:rFonts w:ascii="Arial" w:hAnsi="Arial" w:cs="Arial"/>
          <w:b/>
          <w:sz w:val="24"/>
          <w:szCs w:val="24"/>
        </w:rPr>
        <w:lastRenderedPageBreak/>
        <w:t xml:space="preserve">Supplemental Figure Title </w:t>
      </w:r>
      <w:r>
        <w:rPr>
          <w:rFonts w:ascii="Arial" w:hAnsi="Arial" w:cs="Arial"/>
          <w:b/>
          <w:sz w:val="24"/>
          <w:szCs w:val="24"/>
        </w:rPr>
        <w:t>1</w:t>
      </w:r>
      <w:r w:rsidR="0030610D">
        <w:rPr>
          <w:rFonts w:ascii="Arial" w:hAnsi="Arial" w:cs="Arial"/>
          <w:sz w:val="24"/>
          <w:szCs w:val="24"/>
        </w:rPr>
        <w:t xml:space="preserve">: </w:t>
      </w:r>
      <w:r w:rsidR="0030610D" w:rsidRPr="0030610D">
        <w:rPr>
          <w:rFonts w:ascii="Arial" w:hAnsi="Arial" w:cs="Arial"/>
          <w:sz w:val="24"/>
        </w:rPr>
        <w:t>Cancer-Related versus Non-Cancer-Related Sepsis Relative</w:t>
      </w:r>
      <w:r w:rsidR="0030610D" w:rsidRPr="0030610D">
        <w:rPr>
          <w:rFonts w:ascii="Arial" w:hAnsi="Arial" w:cs="Arial"/>
          <w:sz w:val="24"/>
        </w:rPr>
        <w:t xml:space="preserve"> </w:t>
      </w:r>
      <w:r w:rsidR="0030610D" w:rsidRPr="0030610D">
        <w:rPr>
          <w:rFonts w:ascii="Arial" w:hAnsi="Arial" w:cs="Arial"/>
          <w:sz w:val="24"/>
        </w:rPr>
        <w:t>Risk of Mortality in the Pediatric &amp; Adolescent Population</w:t>
      </w:r>
    </w:p>
    <w:p w:rsidR="00A42687" w:rsidRPr="00964D74" w:rsidRDefault="00A42687" w:rsidP="00A42687">
      <w:pPr>
        <w:rPr>
          <w:rFonts w:ascii="Arial" w:hAnsi="Arial" w:cs="Arial"/>
          <w:sz w:val="24"/>
          <w:szCs w:val="24"/>
        </w:rPr>
      </w:pPr>
    </w:p>
    <w:p w:rsidR="00A42687" w:rsidRPr="00964D74" w:rsidRDefault="00A42687" w:rsidP="00A42687">
      <w:pPr>
        <w:rPr>
          <w:rFonts w:ascii="Arial" w:hAnsi="Arial" w:cs="Arial"/>
          <w:sz w:val="24"/>
          <w:szCs w:val="24"/>
        </w:rPr>
      </w:pPr>
    </w:p>
    <w:p w:rsidR="00A42687" w:rsidRDefault="00A42687" w:rsidP="00A42687">
      <w:pPr>
        <w:pStyle w:val="Default"/>
      </w:pPr>
      <w:r w:rsidRPr="00237DD2">
        <w:rPr>
          <w:b/>
        </w:rPr>
        <w:t xml:space="preserve">Supplemental Figure Legend </w:t>
      </w:r>
      <w:r>
        <w:rPr>
          <w:b/>
        </w:rPr>
        <w:t>1</w:t>
      </w:r>
      <w:r>
        <w:t xml:space="preserve">: Solid black line indicates relative risk of mortality. Dashed lines indicate 95% confidence limits. </w:t>
      </w:r>
      <w:r w:rsidR="003105AB">
        <w:t>Grey</w:t>
      </w:r>
      <w:r>
        <w:t xml:space="preserve"> bars indicate the distribution of sepsis hospitalizations by age.</w:t>
      </w:r>
    </w:p>
    <w:p w:rsidR="00A42687" w:rsidRDefault="00A42687" w:rsidP="00A42687">
      <w:pPr>
        <w:pStyle w:val="Default"/>
      </w:pPr>
    </w:p>
    <w:p w:rsidR="00A42687" w:rsidRPr="00237DD2" w:rsidRDefault="00A42687" w:rsidP="00A42687">
      <w:pPr>
        <w:rPr>
          <w:rFonts w:ascii="Arial" w:hAnsi="Arial" w:cs="Arial"/>
          <w:color w:val="000000"/>
          <w:sz w:val="24"/>
          <w:szCs w:val="24"/>
        </w:rPr>
      </w:pPr>
      <w:r w:rsidRPr="00237DD2">
        <w:rPr>
          <w:rFonts w:ascii="Arial" w:hAnsi="Arial" w:cs="Arial"/>
          <w:color w:val="000000"/>
          <w:sz w:val="24"/>
          <w:szCs w:val="24"/>
        </w:rPr>
        <w:t>Adjusted for: gender, payer type, income quartile, si</w:t>
      </w:r>
      <w:r>
        <w:rPr>
          <w:rFonts w:ascii="Arial" w:hAnsi="Arial" w:cs="Arial"/>
          <w:color w:val="000000"/>
          <w:sz w:val="24"/>
          <w:szCs w:val="24"/>
        </w:rPr>
        <w:t xml:space="preserve">te of infection, comorbidities: </w:t>
      </w:r>
      <w:r w:rsidRPr="00237DD2">
        <w:rPr>
          <w:rFonts w:ascii="Arial" w:hAnsi="Arial" w:cs="Arial"/>
          <w:color w:val="000000"/>
          <w:sz w:val="24"/>
          <w:szCs w:val="24"/>
        </w:rPr>
        <w:t>neuromuscular, cardiovascular, respiratory, gastrointestinal, renal, hematologic/immunologic, transplan</w:t>
      </w:r>
      <w:r>
        <w:rPr>
          <w:rFonts w:ascii="Arial" w:hAnsi="Arial" w:cs="Arial"/>
          <w:color w:val="000000"/>
          <w:sz w:val="24"/>
          <w:szCs w:val="24"/>
        </w:rPr>
        <w:t>t, tech dependent and metabolic.</w:t>
      </w:r>
    </w:p>
    <w:p w:rsidR="00A42687" w:rsidRDefault="00A42687" w:rsidP="00237DD2">
      <w:pPr>
        <w:spacing w:line="240" w:lineRule="auto"/>
        <w:rPr>
          <w:rFonts w:ascii="Arial" w:hAnsi="Arial" w:cs="Arial"/>
          <w:b/>
          <w:sz w:val="24"/>
          <w:szCs w:val="24"/>
        </w:rPr>
      </w:pPr>
    </w:p>
    <w:p w:rsidR="00A42687" w:rsidRDefault="00A42687" w:rsidP="00237DD2">
      <w:pPr>
        <w:spacing w:line="240" w:lineRule="auto"/>
        <w:rPr>
          <w:rFonts w:ascii="Arial" w:hAnsi="Arial" w:cs="Arial"/>
          <w:b/>
          <w:sz w:val="24"/>
          <w:szCs w:val="24"/>
        </w:rPr>
      </w:pPr>
    </w:p>
    <w:p w:rsidR="00237DD2" w:rsidRDefault="00237DD2">
      <w:r>
        <w:br w:type="page"/>
      </w:r>
    </w:p>
    <w:p w:rsidR="0030610D" w:rsidRPr="0030610D" w:rsidRDefault="00A42687" w:rsidP="0030610D">
      <w:pPr>
        <w:spacing w:line="240" w:lineRule="auto"/>
        <w:rPr>
          <w:rFonts w:ascii="Arial" w:hAnsi="Arial" w:cs="Arial"/>
          <w:sz w:val="24"/>
        </w:rPr>
      </w:pPr>
      <w:r w:rsidRPr="00237DD2">
        <w:rPr>
          <w:rFonts w:ascii="Arial" w:hAnsi="Arial" w:cs="Arial"/>
          <w:b/>
          <w:sz w:val="24"/>
          <w:szCs w:val="24"/>
        </w:rPr>
        <w:lastRenderedPageBreak/>
        <w:t xml:space="preserve">Supplemental Figure Title </w:t>
      </w:r>
      <w:r>
        <w:rPr>
          <w:rFonts w:ascii="Arial" w:hAnsi="Arial" w:cs="Arial"/>
          <w:b/>
          <w:sz w:val="24"/>
          <w:szCs w:val="24"/>
        </w:rPr>
        <w:t>2</w:t>
      </w:r>
      <w:r>
        <w:rPr>
          <w:rFonts w:ascii="Arial" w:hAnsi="Arial" w:cs="Arial"/>
          <w:sz w:val="24"/>
          <w:szCs w:val="24"/>
        </w:rPr>
        <w:t xml:space="preserve">: </w:t>
      </w:r>
      <w:r w:rsidR="0030610D">
        <w:rPr>
          <w:rFonts w:ascii="Arial" w:hAnsi="Arial" w:cs="Arial"/>
          <w:sz w:val="24"/>
          <w:szCs w:val="24"/>
        </w:rPr>
        <w:t>C</w:t>
      </w:r>
      <w:bookmarkStart w:id="0" w:name="_GoBack"/>
      <w:bookmarkEnd w:id="0"/>
      <w:r w:rsidR="0030610D" w:rsidRPr="0030610D">
        <w:rPr>
          <w:rFonts w:ascii="Arial" w:hAnsi="Arial" w:cs="Arial"/>
          <w:sz w:val="24"/>
        </w:rPr>
        <w:t>ancer-Related versus Non-Cancer-Related Sepsis Mortality</w:t>
      </w:r>
      <w:r w:rsidR="0030610D" w:rsidRPr="0030610D">
        <w:rPr>
          <w:rFonts w:ascii="Arial" w:hAnsi="Arial" w:cs="Arial"/>
          <w:sz w:val="24"/>
        </w:rPr>
        <w:t xml:space="preserve"> </w:t>
      </w:r>
      <w:r w:rsidR="0030610D" w:rsidRPr="0030610D">
        <w:rPr>
          <w:rFonts w:ascii="Arial" w:hAnsi="Arial" w:cs="Arial"/>
          <w:sz w:val="24"/>
        </w:rPr>
        <w:t>Risk Difference</w:t>
      </w:r>
      <w:r w:rsidR="0030610D" w:rsidRPr="0030610D">
        <w:rPr>
          <w:rFonts w:ascii="Arial" w:hAnsi="Arial" w:cs="Arial"/>
          <w:b/>
          <w:sz w:val="24"/>
        </w:rPr>
        <w:t xml:space="preserve"> </w:t>
      </w:r>
      <w:r w:rsidR="0030610D" w:rsidRPr="0030610D">
        <w:rPr>
          <w:rFonts w:ascii="Arial" w:hAnsi="Arial" w:cs="Arial"/>
          <w:sz w:val="24"/>
        </w:rPr>
        <w:t>in the Pediatric and Adolescent Population</w:t>
      </w:r>
    </w:p>
    <w:p w:rsidR="00A42687" w:rsidRPr="00964D74" w:rsidRDefault="00A42687" w:rsidP="00A42687">
      <w:pPr>
        <w:rPr>
          <w:rFonts w:ascii="Arial" w:hAnsi="Arial" w:cs="Arial"/>
          <w:sz w:val="24"/>
          <w:szCs w:val="24"/>
        </w:rPr>
      </w:pPr>
    </w:p>
    <w:p w:rsidR="00A42687" w:rsidRPr="00964D74" w:rsidRDefault="00A42687" w:rsidP="00A42687">
      <w:pPr>
        <w:rPr>
          <w:rFonts w:ascii="Arial" w:hAnsi="Arial" w:cs="Arial"/>
          <w:sz w:val="24"/>
          <w:szCs w:val="24"/>
        </w:rPr>
      </w:pPr>
    </w:p>
    <w:p w:rsidR="00A42687" w:rsidRDefault="00A42687" w:rsidP="00A42687">
      <w:pPr>
        <w:pStyle w:val="Default"/>
      </w:pPr>
      <w:r w:rsidRPr="00237DD2">
        <w:rPr>
          <w:b/>
        </w:rPr>
        <w:t xml:space="preserve">Supplemental Figure Legend </w:t>
      </w:r>
      <w:r>
        <w:rPr>
          <w:b/>
        </w:rPr>
        <w:t>2</w:t>
      </w:r>
      <w:r>
        <w:t xml:space="preserve">: Solid black line indicates risk difference in mortality. Dashed lines </w:t>
      </w:r>
      <w:r w:rsidR="009906DC">
        <w:t>indi</w:t>
      </w:r>
      <w:r w:rsidR="003105AB">
        <w:t>cate 95% confidence limits. Grey</w:t>
      </w:r>
      <w:r>
        <w:t xml:space="preserve"> bars indicate the distribution of sepsis hospitalizations by age. </w:t>
      </w:r>
    </w:p>
    <w:p w:rsidR="00A42687" w:rsidRDefault="00A42687" w:rsidP="00A42687">
      <w:pPr>
        <w:pStyle w:val="Default"/>
      </w:pPr>
    </w:p>
    <w:p w:rsidR="00A42687" w:rsidRPr="00237DD2" w:rsidRDefault="00A42687" w:rsidP="00A42687">
      <w:pPr>
        <w:rPr>
          <w:rFonts w:ascii="Arial" w:hAnsi="Arial" w:cs="Arial"/>
          <w:color w:val="000000"/>
          <w:sz w:val="24"/>
          <w:szCs w:val="24"/>
        </w:rPr>
      </w:pPr>
      <w:r w:rsidRPr="00237DD2">
        <w:rPr>
          <w:rFonts w:ascii="Arial" w:hAnsi="Arial" w:cs="Arial"/>
          <w:color w:val="000000"/>
          <w:sz w:val="24"/>
          <w:szCs w:val="24"/>
        </w:rPr>
        <w:t>Adjusted for: gender, payer type, income quartile, si</w:t>
      </w:r>
      <w:r>
        <w:rPr>
          <w:rFonts w:ascii="Arial" w:hAnsi="Arial" w:cs="Arial"/>
          <w:color w:val="000000"/>
          <w:sz w:val="24"/>
          <w:szCs w:val="24"/>
        </w:rPr>
        <w:t xml:space="preserve">te of infection, comorbidities: </w:t>
      </w:r>
      <w:r w:rsidRPr="00237DD2">
        <w:rPr>
          <w:rFonts w:ascii="Arial" w:hAnsi="Arial" w:cs="Arial"/>
          <w:color w:val="000000"/>
          <w:sz w:val="24"/>
          <w:szCs w:val="24"/>
        </w:rPr>
        <w:t>neuromuscular, cardiovascular, respiratory, gastrointestinal, renal, hematologic/immunologic, transplan</w:t>
      </w:r>
      <w:r>
        <w:rPr>
          <w:rFonts w:ascii="Arial" w:hAnsi="Arial" w:cs="Arial"/>
          <w:color w:val="000000"/>
          <w:sz w:val="24"/>
          <w:szCs w:val="24"/>
        </w:rPr>
        <w:t>t, tech dependent and metabolic.</w:t>
      </w:r>
    </w:p>
    <w:p w:rsidR="00531438" w:rsidRDefault="00531438" w:rsidP="005930D0"/>
    <w:sectPr w:rsidR="005314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02" w:rsidRDefault="00D77A02" w:rsidP="00463F5C">
      <w:pPr>
        <w:spacing w:after="0" w:line="240" w:lineRule="auto"/>
      </w:pPr>
      <w:r>
        <w:separator/>
      </w:r>
    </w:p>
  </w:endnote>
  <w:endnote w:type="continuationSeparator" w:id="0">
    <w:p w:rsidR="00D77A02" w:rsidRDefault="00D77A02" w:rsidP="0046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89103"/>
      <w:docPartObj>
        <w:docPartGallery w:val="Page Numbers (Bottom of Page)"/>
        <w:docPartUnique/>
      </w:docPartObj>
    </w:sdtPr>
    <w:sdtEndPr>
      <w:rPr>
        <w:noProof/>
      </w:rPr>
    </w:sdtEndPr>
    <w:sdtContent>
      <w:p w:rsidR="00A42687" w:rsidRDefault="00A42687">
        <w:pPr>
          <w:pStyle w:val="Footer"/>
          <w:jc w:val="right"/>
        </w:pPr>
        <w:r>
          <w:fldChar w:fldCharType="begin"/>
        </w:r>
        <w:r>
          <w:instrText xml:space="preserve"> PAGE   \* MERGEFORMAT </w:instrText>
        </w:r>
        <w:r>
          <w:fldChar w:fldCharType="separate"/>
        </w:r>
        <w:r w:rsidR="0030610D">
          <w:rPr>
            <w:noProof/>
          </w:rPr>
          <w:t>14</w:t>
        </w:r>
        <w:r>
          <w:rPr>
            <w:noProof/>
          </w:rPr>
          <w:fldChar w:fldCharType="end"/>
        </w:r>
      </w:p>
    </w:sdtContent>
  </w:sdt>
  <w:p w:rsidR="00A42687" w:rsidRDefault="00A42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02" w:rsidRDefault="00D77A02" w:rsidP="00463F5C">
      <w:pPr>
        <w:spacing w:after="0" w:line="240" w:lineRule="auto"/>
      </w:pPr>
      <w:r>
        <w:separator/>
      </w:r>
    </w:p>
  </w:footnote>
  <w:footnote w:type="continuationSeparator" w:id="0">
    <w:p w:rsidR="00D77A02" w:rsidRDefault="00D77A02" w:rsidP="00463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E8"/>
    <w:rsid w:val="00001093"/>
    <w:rsid w:val="000251B3"/>
    <w:rsid w:val="0002660F"/>
    <w:rsid w:val="00027312"/>
    <w:rsid w:val="00030091"/>
    <w:rsid w:val="000428B7"/>
    <w:rsid w:val="00054EBE"/>
    <w:rsid w:val="00062D82"/>
    <w:rsid w:val="00075532"/>
    <w:rsid w:val="00087413"/>
    <w:rsid w:val="0011208B"/>
    <w:rsid w:val="00145C9C"/>
    <w:rsid w:val="00166A06"/>
    <w:rsid w:val="001810EE"/>
    <w:rsid w:val="00183346"/>
    <w:rsid w:val="00184594"/>
    <w:rsid w:val="00193E21"/>
    <w:rsid w:val="001B2F95"/>
    <w:rsid w:val="001C3358"/>
    <w:rsid w:val="001F3AEE"/>
    <w:rsid w:val="002050E8"/>
    <w:rsid w:val="00237DD2"/>
    <w:rsid w:val="0025697F"/>
    <w:rsid w:val="00261738"/>
    <w:rsid w:val="002633ED"/>
    <w:rsid w:val="00284B62"/>
    <w:rsid w:val="002C421C"/>
    <w:rsid w:val="002C6715"/>
    <w:rsid w:val="003004B1"/>
    <w:rsid w:val="003029DF"/>
    <w:rsid w:val="0030610D"/>
    <w:rsid w:val="0030698B"/>
    <w:rsid w:val="003105AB"/>
    <w:rsid w:val="00341055"/>
    <w:rsid w:val="003571C5"/>
    <w:rsid w:val="00367158"/>
    <w:rsid w:val="0037357E"/>
    <w:rsid w:val="003B192F"/>
    <w:rsid w:val="003C0F6F"/>
    <w:rsid w:val="003C2F7F"/>
    <w:rsid w:val="003F65DB"/>
    <w:rsid w:val="00411262"/>
    <w:rsid w:val="004377C1"/>
    <w:rsid w:val="00462438"/>
    <w:rsid w:val="004634E9"/>
    <w:rsid w:val="00463F5C"/>
    <w:rsid w:val="0048417C"/>
    <w:rsid w:val="00486859"/>
    <w:rsid w:val="004A29C2"/>
    <w:rsid w:val="004A302C"/>
    <w:rsid w:val="004A7D24"/>
    <w:rsid w:val="004B709A"/>
    <w:rsid w:val="004C14F8"/>
    <w:rsid w:val="004D0206"/>
    <w:rsid w:val="004E0050"/>
    <w:rsid w:val="004E5CAF"/>
    <w:rsid w:val="004E603B"/>
    <w:rsid w:val="00507552"/>
    <w:rsid w:val="005105BB"/>
    <w:rsid w:val="00527BA7"/>
    <w:rsid w:val="00531438"/>
    <w:rsid w:val="00534186"/>
    <w:rsid w:val="00535FF7"/>
    <w:rsid w:val="00537977"/>
    <w:rsid w:val="005467F6"/>
    <w:rsid w:val="00550794"/>
    <w:rsid w:val="005576EC"/>
    <w:rsid w:val="005678E9"/>
    <w:rsid w:val="005930D0"/>
    <w:rsid w:val="005D4437"/>
    <w:rsid w:val="005D59B9"/>
    <w:rsid w:val="005E753A"/>
    <w:rsid w:val="006306BA"/>
    <w:rsid w:val="00633653"/>
    <w:rsid w:val="0063526E"/>
    <w:rsid w:val="006404C0"/>
    <w:rsid w:val="00681C9A"/>
    <w:rsid w:val="00694665"/>
    <w:rsid w:val="006B7539"/>
    <w:rsid w:val="006C3F84"/>
    <w:rsid w:val="006D1984"/>
    <w:rsid w:val="006E3844"/>
    <w:rsid w:val="00713E22"/>
    <w:rsid w:val="007205B2"/>
    <w:rsid w:val="0072175B"/>
    <w:rsid w:val="00736F41"/>
    <w:rsid w:val="00772B85"/>
    <w:rsid w:val="0077516C"/>
    <w:rsid w:val="00782D7B"/>
    <w:rsid w:val="00791B3E"/>
    <w:rsid w:val="007B22B8"/>
    <w:rsid w:val="007B4CF1"/>
    <w:rsid w:val="00811EC7"/>
    <w:rsid w:val="0081515A"/>
    <w:rsid w:val="00856A77"/>
    <w:rsid w:val="008A6E69"/>
    <w:rsid w:val="008A7EFC"/>
    <w:rsid w:val="008A7F3E"/>
    <w:rsid w:val="009230F4"/>
    <w:rsid w:val="0095564F"/>
    <w:rsid w:val="00957915"/>
    <w:rsid w:val="00964D1D"/>
    <w:rsid w:val="009906DC"/>
    <w:rsid w:val="009E48CE"/>
    <w:rsid w:val="009E5913"/>
    <w:rsid w:val="009F19C4"/>
    <w:rsid w:val="00A42687"/>
    <w:rsid w:val="00A4335B"/>
    <w:rsid w:val="00A459EA"/>
    <w:rsid w:val="00A75512"/>
    <w:rsid w:val="00AC671F"/>
    <w:rsid w:val="00AD1E00"/>
    <w:rsid w:val="00AE7073"/>
    <w:rsid w:val="00AF30BE"/>
    <w:rsid w:val="00B4345D"/>
    <w:rsid w:val="00B43469"/>
    <w:rsid w:val="00B52CF5"/>
    <w:rsid w:val="00B57CD4"/>
    <w:rsid w:val="00B9470A"/>
    <w:rsid w:val="00B9632B"/>
    <w:rsid w:val="00BC2222"/>
    <w:rsid w:val="00BD0217"/>
    <w:rsid w:val="00C05C55"/>
    <w:rsid w:val="00C413DE"/>
    <w:rsid w:val="00C73AF6"/>
    <w:rsid w:val="00C759DD"/>
    <w:rsid w:val="00C76A3B"/>
    <w:rsid w:val="00C91F9B"/>
    <w:rsid w:val="00CC7AD9"/>
    <w:rsid w:val="00CD5894"/>
    <w:rsid w:val="00CE0D8A"/>
    <w:rsid w:val="00CE6813"/>
    <w:rsid w:val="00D51D85"/>
    <w:rsid w:val="00D6040A"/>
    <w:rsid w:val="00D7351C"/>
    <w:rsid w:val="00D77A02"/>
    <w:rsid w:val="00D945FC"/>
    <w:rsid w:val="00D96987"/>
    <w:rsid w:val="00DB3F00"/>
    <w:rsid w:val="00DC678E"/>
    <w:rsid w:val="00DC6C2F"/>
    <w:rsid w:val="00DE3015"/>
    <w:rsid w:val="00E02A4B"/>
    <w:rsid w:val="00E340AB"/>
    <w:rsid w:val="00E50F2E"/>
    <w:rsid w:val="00E86B10"/>
    <w:rsid w:val="00E90BF8"/>
    <w:rsid w:val="00ED078F"/>
    <w:rsid w:val="00EE78C7"/>
    <w:rsid w:val="00EF0367"/>
    <w:rsid w:val="00EF1DFA"/>
    <w:rsid w:val="00EF3A17"/>
    <w:rsid w:val="00F14311"/>
    <w:rsid w:val="00F50EEF"/>
    <w:rsid w:val="00F97495"/>
    <w:rsid w:val="00FA38E6"/>
    <w:rsid w:val="00FA6A6F"/>
    <w:rsid w:val="00FC0FBD"/>
    <w:rsid w:val="00FD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F908"/>
  <w15:chartTrackingRefBased/>
  <w15:docId w15:val="{858B132C-C04C-4052-A4B4-23F784EA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9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F30BE"/>
    <w:pPr>
      <w:ind w:left="720"/>
      <w:contextualSpacing/>
    </w:pPr>
  </w:style>
  <w:style w:type="paragraph" w:styleId="Header">
    <w:name w:val="header"/>
    <w:basedOn w:val="Normal"/>
    <w:link w:val="HeaderChar"/>
    <w:uiPriority w:val="99"/>
    <w:unhideWhenUsed/>
    <w:rsid w:val="00463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5C"/>
  </w:style>
  <w:style w:type="paragraph" w:styleId="Footer">
    <w:name w:val="footer"/>
    <w:basedOn w:val="Normal"/>
    <w:link w:val="FooterChar"/>
    <w:uiPriority w:val="99"/>
    <w:unhideWhenUsed/>
    <w:rsid w:val="00463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5C"/>
  </w:style>
  <w:style w:type="paragraph" w:styleId="Bibliography">
    <w:name w:val="Bibliography"/>
    <w:basedOn w:val="Normal"/>
    <w:next w:val="Normal"/>
    <w:uiPriority w:val="37"/>
    <w:unhideWhenUsed/>
    <w:rsid w:val="00713E22"/>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1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5FA4-5535-4E2B-9DCF-7D0237B9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Matthew</dc:creator>
  <cp:keywords/>
  <dc:description/>
  <cp:lastModifiedBy>Hensley, Matthew</cp:lastModifiedBy>
  <cp:revision>42</cp:revision>
  <dcterms:created xsi:type="dcterms:W3CDTF">2018-12-14T14:11:00Z</dcterms:created>
  <dcterms:modified xsi:type="dcterms:W3CDTF">2019-04-15T21:22:00Z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id="FdC1EdGI"/&gt;&lt;style id="http://www.zotero.org/styles/american-medical-association" hasBibliography="1" bibliographyStyleHasBeenSet="1"/&gt;&lt;prefs&gt;&lt;pref name="fieldType" value="Field"/&gt;&lt;/prefs&gt;&lt;/data&gt;</vt:lpwstr>
  </property>
</Properties>
</file>