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93" w:rsidRPr="00CC4A13" w:rsidRDefault="00F37B93" w:rsidP="00F37B93">
      <w:pPr>
        <w:ind w:firstLine="720"/>
        <w:rPr>
          <w:rFonts w:ascii="Arial" w:hAnsi="Arial" w:cs="Arial"/>
          <w:bCs/>
          <w:sz w:val="22"/>
          <w:szCs w:val="22"/>
        </w:rPr>
      </w:pPr>
      <w:r w:rsidRPr="00CC4A13">
        <w:rPr>
          <w:rFonts w:ascii="Arial" w:hAnsi="Arial" w:cs="Arial"/>
          <w:b/>
          <w:sz w:val="22"/>
          <w:szCs w:val="22"/>
        </w:rPr>
        <w:t xml:space="preserve">Supplementary </w:t>
      </w:r>
      <w:r w:rsidRPr="00CC4A13">
        <w:rPr>
          <w:rFonts w:ascii="Arial" w:hAnsi="Arial" w:cs="Arial"/>
          <w:b/>
          <w:sz w:val="22"/>
          <w:szCs w:val="22"/>
        </w:rPr>
        <w:t xml:space="preserve">Table </w:t>
      </w:r>
      <w:r w:rsidRPr="00CC4A13">
        <w:rPr>
          <w:rFonts w:ascii="Arial" w:hAnsi="Arial" w:cs="Arial"/>
          <w:b/>
          <w:sz w:val="22"/>
          <w:szCs w:val="22"/>
        </w:rPr>
        <w:fldChar w:fldCharType="begin"/>
      </w:r>
      <w:r w:rsidRPr="00CC4A13">
        <w:rPr>
          <w:rFonts w:ascii="Arial" w:hAnsi="Arial" w:cs="Arial"/>
          <w:b/>
          <w:sz w:val="22"/>
          <w:szCs w:val="22"/>
        </w:rPr>
        <w:instrText xml:space="preserve"> SEQ Table \* ARABIC </w:instrText>
      </w:r>
      <w:r w:rsidRPr="00CC4A13">
        <w:rPr>
          <w:rFonts w:ascii="Arial" w:hAnsi="Arial" w:cs="Arial"/>
          <w:b/>
          <w:sz w:val="22"/>
          <w:szCs w:val="22"/>
        </w:rPr>
        <w:fldChar w:fldCharType="separate"/>
      </w:r>
      <w:r w:rsidRPr="00CC4A13">
        <w:rPr>
          <w:rFonts w:ascii="Arial" w:hAnsi="Arial" w:cs="Arial"/>
          <w:b/>
          <w:noProof/>
          <w:sz w:val="22"/>
          <w:szCs w:val="22"/>
        </w:rPr>
        <w:t>1</w:t>
      </w:r>
      <w:r w:rsidRPr="00CC4A13">
        <w:rPr>
          <w:rFonts w:ascii="Arial" w:hAnsi="Arial" w:cs="Arial"/>
          <w:b/>
          <w:sz w:val="22"/>
          <w:szCs w:val="22"/>
        </w:rPr>
        <w:fldChar w:fldCharType="end"/>
      </w:r>
      <w:r w:rsidRPr="00CC4A13">
        <w:rPr>
          <w:rFonts w:ascii="Arial" w:hAnsi="Arial" w:cs="Arial"/>
          <w:b/>
          <w:sz w:val="22"/>
          <w:szCs w:val="22"/>
        </w:rPr>
        <w:t xml:space="preserve">. </w:t>
      </w:r>
      <w:r w:rsidRPr="00CC4A13">
        <w:rPr>
          <w:rFonts w:ascii="Arial" w:hAnsi="Arial" w:cs="Arial"/>
          <w:sz w:val="22"/>
          <w:szCs w:val="22"/>
        </w:rPr>
        <w:t>Characteristics of reviewed guidelines and consensus statements</w:t>
      </w:r>
    </w:p>
    <w:tbl>
      <w:tblPr>
        <w:tblStyle w:val="TableGrid"/>
        <w:tblW w:w="14647" w:type="dxa"/>
        <w:tblInd w:w="-792" w:type="dxa"/>
        <w:tblLook w:val="04A0" w:firstRow="1" w:lastRow="0" w:firstColumn="1" w:lastColumn="0" w:noHBand="0" w:noVBand="1"/>
      </w:tblPr>
      <w:tblGrid>
        <w:gridCol w:w="1147"/>
        <w:gridCol w:w="661"/>
        <w:gridCol w:w="983"/>
        <w:gridCol w:w="3126"/>
        <w:gridCol w:w="1260"/>
        <w:gridCol w:w="3330"/>
        <w:gridCol w:w="4140"/>
      </w:tblGrid>
      <w:tr w:rsidR="00F37B93" w:rsidRPr="00CC4A13" w:rsidTr="00AA220B">
        <w:tc>
          <w:tcPr>
            <w:tcW w:w="1147" w:type="dxa"/>
          </w:tcPr>
          <w:p w:rsidR="00F37B93" w:rsidRPr="00CC4A13" w:rsidRDefault="00F37B93" w:rsidP="00AA220B">
            <w:pPr>
              <w:contextualSpacing/>
              <w:rPr>
                <w:rFonts w:ascii="Arial" w:hAnsi="Arial" w:cs="Arial"/>
                <w:sz w:val="18"/>
                <w:szCs w:val="20"/>
                <w:lang w:val="en-US"/>
              </w:rPr>
            </w:pPr>
            <w:r w:rsidRPr="00CC4A13">
              <w:rPr>
                <w:rFonts w:ascii="Arial" w:hAnsi="Arial" w:cs="Arial"/>
                <w:b/>
                <w:sz w:val="18"/>
                <w:szCs w:val="20"/>
                <w:lang w:val="en-US"/>
              </w:rPr>
              <w:t>Authors</w:t>
            </w:r>
          </w:p>
        </w:tc>
        <w:tc>
          <w:tcPr>
            <w:tcW w:w="661" w:type="dxa"/>
          </w:tcPr>
          <w:p w:rsidR="00F37B93" w:rsidRPr="00CC4A13" w:rsidRDefault="00F37B93" w:rsidP="00AA220B">
            <w:pPr>
              <w:contextualSpacing/>
              <w:rPr>
                <w:rFonts w:ascii="Arial" w:hAnsi="Arial" w:cs="Arial"/>
                <w:sz w:val="18"/>
                <w:szCs w:val="20"/>
                <w:lang w:val="en-US"/>
              </w:rPr>
            </w:pPr>
            <w:r w:rsidRPr="00CC4A13">
              <w:rPr>
                <w:rFonts w:ascii="Arial" w:hAnsi="Arial" w:cs="Arial"/>
                <w:b/>
                <w:sz w:val="18"/>
                <w:szCs w:val="20"/>
                <w:lang w:val="en-US"/>
              </w:rPr>
              <w:t xml:space="preserve">Year </w:t>
            </w:r>
          </w:p>
        </w:tc>
        <w:tc>
          <w:tcPr>
            <w:tcW w:w="983" w:type="dxa"/>
          </w:tcPr>
          <w:p w:rsidR="00F37B93" w:rsidRPr="00CC4A13" w:rsidRDefault="00F37B93" w:rsidP="00AA220B">
            <w:pPr>
              <w:contextualSpacing/>
              <w:rPr>
                <w:rFonts w:ascii="Arial" w:hAnsi="Arial" w:cs="Arial"/>
                <w:sz w:val="18"/>
                <w:szCs w:val="20"/>
                <w:lang w:val="en-US"/>
              </w:rPr>
            </w:pPr>
            <w:r w:rsidRPr="00CC4A13">
              <w:rPr>
                <w:rFonts w:ascii="Arial" w:hAnsi="Arial" w:cs="Arial"/>
                <w:b/>
                <w:sz w:val="18"/>
                <w:szCs w:val="20"/>
                <w:lang w:val="en-US"/>
              </w:rPr>
              <w:t>Country</w:t>
            </w:r>
          </w:p>
        </w:tc>
        <w:tc>
          <w:tcPr>
            <w:tcW w:w="3126" w:type="dxa"/>
          </w:tcPr>
          <w:p w:rsidR="00F37B93" w:rsidRPr="00CC4A13" w:rsidRDefault="00F37B93" w:rsidP="00AA220B">
            <w:pPr>
              <w:contextualSpacing/>
              <w:rPr>
                <w:rFonts w:ascii="Arial" w:hAnsi="Arial" w:cs="Arial"/>
                <w:sz w:val="18"/>
                <w:szCs w:val="20"/>
                <w:lang w:val="en-US"/>
              </w:rPr>
            </w:pPr>
            <w:r w:rsidRPr="00CC4A13">
              <w:rPr>
                <w:rFonts w:ascii="Arial" w:hAnsi="Arial" w:cs="Arial"/>
                <w:b/>
                <w:sz w:val="18"/>
                <w:szCs w:val="20"/>
                <w:lang w:val="en-US"/>
              </w:rPr>
              <w:t>Society</w:t>
            </w:r>
          </w:p>
        </w:tc>
        <w:tc>
          <w:tcPr>
            <w:tcW w:w="1260" w:type="dxa"/>
          </w:tcPr>
          <w:p w:rsidR="00F37B93" w:rsidRPr="00CC4A13" w:rsidRDefault="00F37B93" w:rsidP="00AA220B">
            <w:pPr>
              <w:contextualSpacing/>
              <w:rPr>
                <w:rFonts w:ascii="Arial" w:hAnsi="Arial" w:cs="Arial"/>
                <w:sz w:val="18"/>
                <w:szCs w:val="20"/>
                <w:lang w:val="en-US"/>
              </w:rPr>
            </w:pPr>
            <w:r w:rsidRPr="00CC4A13">
              <w:rPr>
                <w:rFonts w:ascii="Arial" w:hAnsi="Arial" w:cs="Arial"/>
                <w:b/>
                <w:sz w:val="18"/>
                <w:szCs w:val="20"/>
                <w:lang w:val="en-US"/>
              </w:rPr>
              <w:t>Funding</w:t>
            </w:r>
          </w:p>
        </w:tc>
        <w:tc>
          <w:tcPr>
            <w:tcW w:w="3330" w:type="dxa"/>
          </w:tcPr>
          <w:p w:rsidR="00F37B93" w:rsidRPr="00CC4A13" w:rsidRDefault="00F37B93" w:rsidP="00AA220B">
            <w:pPr>
              <w:contextualSpacing/>
              <w:rPr>
                <w:rFonts w:ascii="Arial" w:hAnsi="Arial" w:cs="Arial"/>
                <w:sz w:val="18"/>
                <w:szCs w:val="20"/>
                <w:lang w:val="en-US"/>
              </w:rPr>
            </w:pPr>
            <w:r w:rsidRPr="00CC4A13">
              <w:rPr>
                <w:rFonts w:ascii="Arial" w:hAnsi="Arial" w:cs="Arial"/>
                <w:b/>
                <w:sz w:val="18"/>
                <w:szCs w:val="20"/>
                <w:lang w:val="en-US"/>
              </w:rPr>
              <w:t>Targeting audience</w:t>
            </w:r>
          </w:p>
        </w:tc>
        <w:tc>
          <w:tcPr>
            <w:tcW w:w="4140" w:type="dxa"/>
          </w:tcPr>
          <w:p w:rsidR="00F37B93" w:rsidRPr="00CC4A13" w:rsidRDefault="00F37B93" w:rsidP="00AA220B">
            <w:pPr>
              <w:contextualSpacing/>
              <w:rPr>
                <w:rFonts w:ascii="Arial" w:hAnsi="Arial" w:cs="Arial"/>
                <w:sz w:val="18"/>
                <w:szCs w:val="20"/>
                <w:lang w:val="en-US"/>
              </w:rPr>
            </w:pPr>
            <w:r w:rsidRPr="00CC4A13">
              <w:rPr>
                <w:rFonts w:ascii="Arial" w:hAnsi="Arial" w:cs="Arial"/>
                <w:b/>
                <w:sz w:val="18"/>
                <w:szCs w:val="20"/>
                <w:lang w:val="en-US"/>
              </w:rPr>
              <w:t>Methods</w:t>
            </w:r>
          </w:p>
        </w:tc>
      </w:tr>
      <w:tr w:rsidR="00F37B93" w:rsidRPr="00CC4A13" w:rsidTr="00AA220B">
        <w:tc>
          <w:tcPr>
            <w:tcW w:w="1147" w:type="dxa"/>
          </w:tcPr>
          <w:p w:rsidR="00F37B93" w:rsidRPr="00CC4A13" w:rsidRDefault="00F37B93" w:rsidP="00AA220B">
            <w:pPr>
              <w:contextualSpacing/>
              <w:rPr>
                <w:rFonts w:ascii="Arial" w:hAnsi="Arial" w:cs="Arial"/>
                <w:sz w:val="18"/>
                <w:szCs w:val="20"/>
                <w:lang w:val="en-US"/>
              </w:rPr>
            </w:pPr>
            <w:proofErr w:type="spellStart"/>
            <w:r w:rsidRPr="00CC4A13">
              <w:rPr>
                <w:rFonts w:ascii="Arial" w:eastAsia="Times New Roman" w:hAnsi="Arial" w:cs="Arial"/>
                <w:color w:val="000000"/>
                <w:sz w:val="18"/>
                <w:szCs w:val="20"/>
                <w:lang w:val="en-US"/>
              </w:rPr>
              <w:t>Hawryluck</w:t>
            </w:r>
            <w:proofErr w:type="spellEnd"/>
            <w:r w:rsidRPr="00CC4A13">
              <w:rPr>
                <w:rFonts w:ascii="Arial" w:eastAsia="Times New Roman" w:hAnsi="Arial" w:cs="Arial"/>
                <w:color w:val="000000"/>
                <w:sz w:val="18"/>
                <w:szCs w:val="20"/>
                <w:lang w:val="en-US"/>
              </w:rPr>
              <w:t xml:space="preserve"> et al </w:t>
            </w:r>
            <w:r w:rsidRPr="00CC4A13">
              <w:rPr>
                <w:rFonts w:ascii="Arial" w:eastAsia="Times New Roman" w:hAnsi="Arial" w:cs="Arial"/>
                <w:color w:val="000000"/>
                <w:sz w:val="18"/>
                <w:szCs w:val="20"/>
                <w:lang w:val="en-US"/>
              </w:rPr>
              <w:fldChar w:fldCharType="begin" w:fldLock="1"/>
            </w:r>
            <w:r w:rsidRPr="00CC4A13">
              <w:rPr>
                <w:rFonts w:ascii="Arial" w:eastAsia="Times New Roman" w:hAnsi="Arial" w:cs="Arial"/>
                <w:color w:val="000000"/>
                <w:sz w:val="18"/>
                <w:szCs w:val="20"/>
                <w:lang w:val="en-US"/>
              </w:rPr>
              <w:instrText>ADDIN CSL_CITATION { "citationItems" : [ { "id" : "ITEM-1", "itemData" : { "DOI" : "10.1186/1472-6939-3-1", "ISSN" : "1472-6939", "abstract" : "Background: Intensivists must provide enough analgesia and sedation to ensure dying patients receive good palliative care. However, if it is perceived that too much is given, they risk prosecution for committing euthanasia. The goal of this study is to develop consensus guidelines on analgesia and sedation in dying intensive care unit patients that help distinguish palliative care from euthanasia. Methods: Using the Delphi technique, panelists rated levels of agreement with statements describing how analgesics and sedatives should be given to dying ICU patients and how palliative care should be distinguished from euthanasia. Participants were drawn from 3 panels: 1) Canadian Academic Adult Intensive Care Fellowship program directors and Intensive Care division chiefs (N = 9); 2) Deputy chief provincial coroners (N = 5); 3) Validation panel of Intensivists attending the Canadian Critical Care Trials Group meeting (N = 12). Results: After three Delphi rounds, consensus was achieved on 16 statements encompassing the role of palliative care in the intensive care unit, the management of pain and suffering, current areas of controversy, and ways of improving palliative care in the ICU. Conclusion: Consensus guidelines were developed to guide the administration of analgesics and sedatives to dying ICU patients and to help distinguish palliative care from euthanasia.", "author" : [ { "dropping-particle" : "", "family" : "Hawryluck", "given" : "Laura A.", "non-dropping-particle" : "", "parse-names" : false, "suffix" : "" }, { "dropping-particle" : "", "family" : "Harvey", "given" : "William R.C.", "non-dropping-particle" : "", "parse-names" : false, "suffix" : "" }, { "dropping-particle" : "", "family" : "Lemieux-Charles", "given" : "Louise", "non-dropping-particle" : "", "parse-names" : false, "suffix" : "" }, { "dropping-particle" : "", "family" : "Singer", "given" : "Peter A.", "non-dropping-particle" : "", "parse-names" : false, "suffix" : "" } ], "container-title" : "BMC Medical Ethics", "id" : "ITEM-1", "issued" : { "date-parts" : [ [ "2002" ] ] }, "language" : "English", "page" : "1-9", "publisher-place" : "L.A. Hawryluck, I. A. Cont. Educ. Prog. End Life C., Toronto, Ont., Canada", "title" : "Consensus guidelines on analgesia and sedation in dying intensive careunitpatients", "type" : "article-journal", "volume" : "3" }, "uris" : [ "http://www.mendeley.com/documents/?uuid=bc86a809-ee0c-431e-8753-58c586f624a7" ] } ], "mendeley" : { "formattedCitation" : "(20)", "plainTextFormattedCitation" : "(20)", "previouslyFormattedCitation" : "(20)" }, "properties" : { "noteIndex" : 0 }, "schema" : "https://github.com/citation-style-language/schema/raw/master/csl-citation.json" }</w:instrText>
            </w:r>
            <w:r w:rsidRPr="00CC4A13">
              <w:rPr>
                <w:rFonts w:ascii="Arial" w:eastAsia="Times New Roman" w:hAnsi="Arial" w:cs="Arial"/>
                <w:color w:val="000000"/>
                <w:sz w:val="18"/>
                <w:szCs w:val="20"/>
                <w:lang w:val="en-US"/>
              </w:rPr>
              <w:fldChar w:fldCharType="separate"/>
            </w:r>
            <w:r w:rsidRPr="00CC4A13">
              <w:rPr>
                <w:rFonts w:ascii="Arial" w:eastAsia="Times New Roman" w:hAnsi="Arial" w:cs="Arial"/>
                <w:noProof/>
                <w:color w:val="000000"/>
                <w:sz w:val="18"/>
                <w:szCs w:val="20"/>
                <w:lang w:val="en-US"/>
              </w:rPr>
              <w:t>(20)</w:t>
            </w:r>
            <w:r w:rsidRPr="00CC4A13">
              <w:rPr>
                <w:rFonts w:ascii="Arial" w:eastAsia="Times New Roman" w:hAnsi="Arial" w:cs="Arial"/>
                <w:color w:val="000000"/>
                <w:sz w:val="18"/>
                <w:szCs w:val="20"/>
                <w:lang w:val="en-US"/>
              </w:rPr>
              <w:fldChar w:fldCharType="end"/>
            </w:r>
          </w:p>
        </w:tc>
        <w:tc>
          <w:tcPr>
            <w:tcW w:w="661" w:type="dxa"/>
          </w:tcPr>
          <w:p w:rsidR="00F37B93" w:rsidRPr="00CC4A13" w:rsidRDefault="00F37B93" w:rsidP="00AA220B">
            <w:pPr>
              <w:contextualSpacing/>
              <w:rPr>
                <w:rFonts w:ascii="Arial" w:eastAsia="Times New Roman" w:hAnsi="Arial" w:cs="Arial"/>
                <w:color w:val="000000"/>
                <w:sz w:val="18"/>
                <w:szCs w:val="20"/>
                <w:lang w:val="en-US"/>
              </w:rPr>
            </w:pPr>
            <w:r w:rsidRPr="00CC4A13">
              <w:rPr>
                <w:rFonts w:ascii="Arial" w:eastAsia="Times New Roman" w:hAnsi="Arial" w:cs="Arial"/>
                <w:color w:val="000000"/>
                <w:sz w:val="18"/>
                <w:szCs w:val="20"/>
                <w:lang w:val="en-US"/>
              </w:rPr>
              <w:t>2002</w:t>
            </w:r>
          </w:p>
          <w:p w:rsidR="00F37B93" w:rsidRPr="00CC4A13" w:rsidRDefault="00F37B93" w:rsidP="00AA220B">
            <w:pPr>
              <w:contextualSpacing/>
              <w:rPr>
                <w:rFonts w:ascii="Arial" w:hAnsi="Arial" w:cs="Arial"/>
                <w:sz w:val="18"/>
                <w:szCs w:val="20"/>
                <w:lang w:val="en-US"/>
              </w:rPr>
            </w:pPr>
          </w:p>
        </w:tc>
        <w:tc>
          <w:tcPr>
            <w:tcW w:w="983"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Canada </w:t>
            </w:r>
          </w:p>
        </w:tc>
        <w:tc>
          <w:tcPr>
            <w:tcW w:w="3126"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Not reported </w:t>
            </w:r>
          </w:p>
        </w:tc>
        <w:tc>
          <w:tcPr>
            <w:tcW w:w="126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Not mentioned</w:t>
            </w:r>
          </w:p>
        </w:tc>
        <w:tc>
          <w:tcPr>
            <w:tcW w:w="3330" w:type="dxa"/>
          </w:tcPr>
          <w:p w:rsidR="00F37B93" w:rsidRPr="00CC4A13" w:rsidRDefault="00F37B93" w:rsidP="00AA220B">
            <w:pPr>
              <w:contextualSpacing/>
              <w:rPr>
                <w:rFonts w:ascii="Arial" w:hAnsi="Arial" w:cs="Arial"/>
                <w:sz w:val="18"/>
                <w:szCs w:val="20"/>
                <w:lang w:val="en-US"/>
              </w:rPr>
            </w:pPr>
            <w:r w:rsidRPr="00CC4A13">
              <w:rPr>
                <w:rFonts w:ascii="Arial" w:hAnsi="Arial" w:cs="Arial"/>
                <w:color w:val="000000"/>
                <w:sz w:val="18"/>
                <w:szCs w:val="20"/>
                <w:lang w:val="en-US"/>
              </w:rPr>
              <w:t>ICU health care professionals administering analgesics and sedatives to dying ICU patients</w:t>
            </w:r>
          </w:p>
        </w:tc>
        <w:tc>
          <w:tcPr>
            <w:tcW w:w="414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Delphi technique</w:t>
            </w:r>
          </w:p>
        </w:tc>
      </w:tr>
      <w:tr w:rsidR="00F37B93" w:rsidRPr="00CC4A13" w:rsidTr="00AA220B">
        <w:tc>
          <w:tcPr>
            <w:tcW w:w="1147" w:type="dxa"/>
          </w:tcPr>
          <w:p w:rsidR="00F37B93" w:rsidRPr="00CC4A13" w:rsidRDefault="00F37B93" w:rsidP="00AA220B">
            <w:pPr>
              <w:contextualSpacing/>
              <w:rPr>
                <w:rFonts w:ascii="Arial" w:hAnsi="Arial" w:cs="Arial"/>
                <w:sz w:val="18"/>
                <w:szCs w:val="20"/>
                <w:lang w:val="en-US"/>
              </w:rPr>
            </w:pPr>
            <w:proofErr w:type="spellStart"/>
            <w:r w:rsidRPr="00CC4A13">
              <w:rPr>
                <w:rFonts w:ascii="Arial" w:hAnsi="Arial" w:cs="Arial"/>
                <w:color w:val="000000"/>
                <w:sz w:val="18"/>
                <w:szCs w:val="20"/>
                <w:lang w:val="en-US"/>
              </w:rPr>
              <w:t>Carlet</w:t>
            </w:r>
            <w:proofErr w:type="spellEnd"/>
            <w:r w:rsidRPr="00CC4A13">
              <w:rPr>
                <w:rFonts w:ascii="Arial" w:hAnsi="Arial" w:cs="Arial"/>
                <w:color w:val="000000"/>
                <w:sz w:val="18"/>
                <w:szCs w:val="20"/>
                <w:lang w:val="en-US"/>
              </w:rPr>
              <w:t xml:space="preserve"> et al </w:t>
            </w:r>
            <w:r w:rsidRPr="00CC4A13">
              <w:rPr>
                <w:rFonts w:ascii="Arial" w:hAnsi="Arial" w:cs="Arial"/>
                <w:color w:val="000000"/>
                <w:sz w:val="18"/>
                <w:szCs w:val="20"/>
                <w:lang w:val="en-US"/>
              </w:rPr>
              <w:fldChar w:fldCharType="begin" w:fldLock="1"/>
            </w:r>
            <w:r w:rsidRPr="00CC4A13">
              <w:rPr>
                <w:rFonts w:ascii="Arial" w:hAnsi="Arial" w:cs="Arial"/>
                <w:color w:val="000000"/>
                <w:sz w:val="18"/>
                <w:szCs w:val="20"/>
                <w:lang w:val="en-US"/>
              </w:rPr>
              <w:instrText>ADDIN CSL_CITATION { "citationItems" : [ { "id" : "ITEM-1", "itemData" : { "DOI" : "10.1007/s00134-004-2241-5", "ISSN" : "0342-4642", "PMID" : "15098087", "abstract" : "The jurors identified numerous problems with end of life in the ICU including variability in practice, inadequate predictive models for death, elusive knowledge of patient preferences, poor communication between staff and surrogates, insufficient or absent training of health-care providers, the use of imprecise and insensitive terminology, and incomplete documentation in the medical records. The jury strongly recommends that research be conducted to improve end-of-life care. The jury advocates a \"shared\" approach to end-of-life decision-making involving the caregiver team and patient surrogates. Respect for patient autonomy and the intention to honour decisions to decline unwanted treatments should be conveyed to the family. The process is one of negotiation, and the outcome will be determined by the personalities and beliefs of the participants. Ultimately, it is the attending physician's responsibility, as leader of the health-care team, to decide on the reasonableness of the planned action. In the event of conflict, the ICU team may agree to continue support for a predetermined time. Most conflicts can be resolved. If the conflict persists, however, an ethics consultation may be helpful. Nurses must be involved in the process. The patient must be assured of a pain-free death. The jury of the Consensus Conference subscribes to the moral and legal principles that prohibit administering treatments specifically designed to hasten death. The patient must be given sufficient analgesia to alleviate pain and distress; if such analgesia hastens death, this \"double effect\" should not detract from the primary aim to ensure comfort.", "author" : [ { "dropping-particle" : "", "family" : "Carlet", "given" : "Jean", "non-dropping-particle" : "", "parse-names" : false, "suffix" : "" }, { "dropping-particle" : "", "family" : "Thijs", "given" : "Lambertus G", "non-dropping-particle" : "", "parse-names" : false, "suffix" : "" }, { "dropping-particle" : "", "family" : "Antonelli", "given" : "Massimo", "non-dropping-particle" : "", "parse-names" : false, "suffix" : "" }, { "dropping-particle" : "", "family" : "Cassell", "given" : "Joan", "non-dropping-particle" : "", "parse-names" : false, "suffix" : "" }, { "dropping-particle" : "", "family" : "Cox", "given" : "Peter", "non-dropping-particle" : "", "parse-names" : false, "suffix" : "" }, { "dropping-particle" : "", "family" : "Hill", "given" : "Nicholas", "non-dropping-particle" : "", "parse-names" : false, "suffix" : "" }, { "dropping-particle" : "", "family" : "Hinds", "given" : "Charles", "non-dropping-particle" : "", "parse-names" : false, "suffix" : "" }, { "dropping-particle" : "", "family" : "Pimentel", "given" : "Jorge Manuel", "non-dropping-particle" : "", "parse-names" : false, "suffix" : "" }, { "dropping-particle" : "", "family" : "Reinhart", "given" : "Konrad", "non-dropping-particle" : "", "parse-names" : false, "suffix" : "" }, { "dropping-particle" : "", "family" : "Thompson", "given" : "Boyd Taylor", "non-dropping-particle" : "", "parse-names" : false, "suffix" : "" } ], "container-title" : "Intensive care medicine", "id" : "ITEM-1", "issue" : "5", "issued" : { "date-parts" : [ [ "2004", "5" ] ] }, "language" : "eng", "page" : "770-84", "publisher-place" : "United States", "title" : "Challenges in end-of-life care in the ICU. Statement of the 5th International Consensus Conference in Critical Care: Brussels, Belgium, April 2003.", "type" : "article-journal", "volume" : "30" }, "uris" : [ "http://www.mendeley.com/documents/?uuid=8cecfb88-5351-47b7-af0e-579001cde8ba" ] } ], "mendeley" : { "formattedCitation" : "(21)", "plainTextFormattedCitation" : "(21)", "previouslyFormattedCitation" : "(21)" }, "properties" : { "noteIndex" : 0 }, "schema" : "https://github.com/citation-style-language/schema/raw/master/csl-citation.json" }</w:instrText>
            </w:r>
            <w:r w:rsidRPr="00CC4A13">
              <w:rPr>
                <w:rFonts w:ascii="Arial" w:hAnsi="Arial" w:cs="Arial"/>
                <w:color w:val="000000"/>
                <w:sz w:val="18"/>
                <w:szCs w:val="20"/>
                <w:lang w:val="en-US"/>
              </w:rPr>
              <w:fldChar w:fldCharType="separate"/>
            </w:r>
            <w:r w:rsidRPr="00CC4A13">
              <w:rPr>
                <w:rFonts w:ascii="Arial" w:hAnsi="Arial" w:cs="Arial"/>
                <w:noProof/>
                <w:color w:val="000000"/>
                <w:sz w:val="18"/>
                <w:szCs w:val="20"/>
                <w:lang w:val="en-US"/>
              </w:rPr>
              <w:t>(21)</w:t>
            </w:r>
            <w:r w:rsidRPr="00CC4A13">
              <w:rPr>
                <w:rFonts w:ascii="Arial" w:hAnsi="Arial" w:cs="Arial"/>
                <w:color w:val="000000"/>
                <w:sz w:val="18"/>
                <w:szCs w:val="20"/>
                <w:lang w:val="en-US"/>
              </w:rPr>
              <w:fldChar w:fldCharType="end"/>
            </w:r>
          </w:p>
        </w:tc>
        <w:tc>
          <w:tcPr>
            <w:tcW w:w="661" w:type="dxa"/>
          </w:tcPr>
          <w:p w:rsidR="00F37B93" w:rsidRPr="00CC4A13" w:rsidRDefault="00F37B93" w:rsidP="00AA220B">
            <w:pPr>
              <w:contextualSpacing/>
              <w:rPr>
                <w:rFonts w:ascii="Arial" w:eastAsia="Times New Roman" w:hAnsi="Arial" w:cs="Arial"/>
                <w:color w:val="000000"/>
                <w:sz w:val="18"/>
                <w:szCs w:val="20"/>
                <w:lang w:val="en-US"/>
              </w:rPr>
            </w:pPr>
            <w:r w:rsidRPr="00CC4A13">
              <w:rPr>
                <w:rFonts w:ascii="Arial" w:eastAsia="Times New Roman" w:hAnsi="Arial" w:cs="Arial"/>
                <w:color w:val="000000"/>
                <w:sz w:val="18"/>
                <w:szCs w:val="20"/>
                <w:lang w:val="en-US"/>
              </w:rPr>
              <w:t>2003</w:t>
            </w:r>
          </w:p>
          <w:p w:rsidR="00F37B93" w:rsidRPr="00CC4A13" w:rsidRDefault="00F37B93" w:rsidP="00AA220B">
            <w:pPr>
              <w:contextualSpacing/>
              <w:rPr>
                <w:rFonts w:ascii="Arial" w:hAnsi="Arial" w:cs="Arial"/>
                <w:sz w:val="18"/>
                <w:szCs w:val="20"/>
                <w:lang w:val="en-US"/>
              </w:rPr>
            </w:pPr>
          </w:p>
        </w:tc>
        <w:tc>
          <w:tcPr>
            <w:tcW w:w="983"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Belgium </w:t>
            </w:r>
          </w:p>
        </w:tc>
        <w:tc>
          <w:tcPr>
            <w:tcW w:w="3126"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5th International Consensus Conference in Critical Care: Brussels, Belgium, April 2003</w:t>
            </w:r>
          </w:p>
        </w:tc>
        <w:tc>
          <w:tcPr>
            <w:tcW w:w="126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ATS, ERS, ESICM, SCCM, SRLF</w:t>
            </w:r>
          </w:p>
        </w:tc>
        <w:tc>
          <w:tcPr>
            <w:tcW w:w="3330" w:type="dxa"/>
          </w:tcPr>
          <w:p w:rsidR="00F37B93" w:rsidRPr="00CC4A13" w:rsidRDefault="00F37B93" w:rsidP="00AA220B">
            <w:pPr>
              <w:contextualSpacing/>
              <w:rPr>
                <w:rFonts w:ascii="Arial" w:hAnsi="Arial" w:cs="Arial"/>
                <w:sz w:val="18"/>
                <w:szCs w:val="20"/>
                <w:lang w:val="en-US"/>
              </w:rPr>
            </w:pPr>
            <w:r w:rsidRPr="00CC4A13">
              <w:rPr>
                <w:rFonts w:ascii="Arial" w:hAnsi="Arial" w:cs="Arial"/>
                <w:color w:val="000000"/>
                <w:sz w:val="18"/>
                <w:szCs w:val="20"/>
                <w:lang w:val="en-US"/>
              </w:rPr>
              <w:t>End-of-life care health care professionals in the ICU</w:t>
            </w:r>
          </w:p>
        </w:tc>
        <w:tc>
          <w:tcPr>
            <w:tcW w:w="414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Two-day conference; 10 jurors, including 1 anthropologist and 9 intensivists; presentations by 30 experts and subsequent discussions to answer 5 predetermined questions </w:t>
            </w:r>
          </w:p>
        </w:tc>
      </w:tr>
      <w:tr w:rsidR="00F37B93" w:rsidRPr="00CC4A13" w:rsidTr="00AA220B">
        <w:tc>
          <w:tcPr>
            <w:tcW w:w="1147" w:type="dxa"/>
          </w:tcPr>
          <w:p w:rsidR="00F37B93" w:rsidRPr="00CC4A13" w:rsidRDefault="00F37B93" w:rsidP="00AA220B">
            <w:pPr>
              <w:contextualSpacing/>
              <w:rPr>
                <w:rFonts w:ascii="Arial" w:hAnsi="Arial" w:cs="Arial"/>
                <w:sz w:val="18"/>
                <w:szCs w:val="20"/>
                <w:lang w:val="en-US"/>
              </w:rPr>
            </w:pPr>
            <w:r w:rsidRPr="00CC4A13">
              <w:rPr>
                <w:rFonts w:ascii="Arial" w:hAnsi="Arial" w:cs="Arial"/>
                <w:color w:val="000000"/>
                <w:sz w:val="18"/>
                <w:szCs w:val="20"/>
                <w:lang w:val="en-US"/>
              </w:rPr>
              <w:t xml:space="preserve">Clarke et al </w:t>
            </w:r>
            <w:r w:rsidRPr="00CC4A13">
              <w:rPr>
                <w:rFonts w:ascii="Arial" w:hAnsi="Arial" w:cs="Arial"/>
                <w:color w:val="000000"/>
                <w:sz w:val="18"/>
                <w:szCs w:val="20"/>
                <w:lang w:val="en-US"/>
              </w:rPr>
              <w:fldChar w:fldCharType="begin" w:fldLock="1"/>
            </w:r>
            <w:r w:rsidRPr="00CC4A13">
              <w:rPr>
                <w:rFonts w:ascii="Arial" w:hAnsi="Arial" w:cs="Arial"/>
                <w:color w:val="000000"/>
                <w:sz w:val="18"/>
                <w:szCs w:val="20"/>
                <w:lang w:val="en-US"/>
              </w:rPr>
              <w:instrText>ADDIN CSL_CITATION { "citationItems" : [ { "id" : "ITEM-1", "itemData" : { "DOI" : "10.1097/01.CCM.0000084849.96385.85", "ISBN" : "0090-3493 (Print)\\r0090-3493 (Linking)", "ISSN" : "00903493", "PMID" : "14501954", "abstract" : "OBJECTIVE: The primary goal of this study was to address the documented deficiencies in end-of-life care (EOLC) in intensive care unit settings by identifying key EOLC domains and related quality indicators for use in the intensive care unit through a consensus process. A second goal was to propose specific clinician and organizational behaviors and interventions that might be used to improve these EOLC quality indicators. PARTICIPANTS: Participants were the 36 members of the Robert Wood Johnson Foundation (RWJF) Critical Care End-of-Life Peer Workgroup and 15 nurse-physician teams from 15 intensive care units affiliated with the work group members. Fourteen adult medical, surgical, and mixed intensive care units from 13 states and the District of Columbia in the United States and one mixed intensive care unit in Canada were represented. METHODS: An in-depth literature review was conducted to identify articles that assessed the domains of quality of EOLC in the intensive care unit and general health care. Consensus regarding the key EOLC domains in the intensive care unit and quality performance indicators within each domain was established based on the review of the literature and an iterative process involving the authors and members of the RWJF Critical Care End-of-Life Peer Workgroup. Specific clinician and organizational behaviors and interventions to address the proposed EOLC quality indicators within the domains were identified through a collaborative process with the nurse-physician teams in 15 intensive care units. MEASUREMENTS AND MAIN RESULTS: Seven EOLC domains were identified for use in the intensive care unit: a) patient- and family-centered decision making; b) communication; c) continuity of care; d) emotional and practical support; e) symptom management and comfort care; f) spiritual support; and g) emotional and organizational support for intensive care unit clinicians. Fifty-three EOLC quality indicators within the seven domains were proposed. More than 100 examples of clinician and organizational behaviors and interventions that could address the EOLC quality indicators in the intensive care unit setting were identified. CONCLUSIONS: These EOLC domains and the associated quality indicators, developed through a consensus process, provide clinicians and researchers with a framework for understanding quality of EOLC in the intensive care unit. Once validated, these indicators might be used to improve the quality of EOLC by serving as the\u2026", "author" : [ { "dropping-particle" : "", "family" : "Clarke", "given" : "Ellen B.", "non-dropping-particle" : "", "parse-names" : false, "suffix" : "" }, { "dropping-particle" : "", "family" : "Curtis", "given" : "J. Randall", "non-dropping-particle" : "", "parse-names" : false, "suffix" : "" }, { "dropping-particle" : "", "family" : "Luce", "given" : "John M.", "non-dropping-particle" : "", "parse-names" : false, "suffix" : "" }, { "dropping-particle" : "", "family" : "Levy", "given" : "Mitchell", "non-dropping-particle" : "", "parse-names" : false, "suffix" : "" }, { "dropping-particle" : "", "family" : "Danis", "given" : "Marion", "non-dropping-particle" : "", "parse-names" : false, "suffix" : "" }, { "dropping-particle" : "", "family" : "Nelson", "given" : "Judith", "non-dropping-particle" : "", "parse-names" : false, "suffix" : "" }, { "dropping-particle" : "", "family" : "Solomon", "given" : "Mildred Z.", "non-dropping-particle" : "", "parse-names" : false, "suffix" : "" } ], "container-title" : "Critical Care Medicine", "id" : "ITEM-1", "issue" : "9", "issued" : { "date-parts" : [ [ "2003" ] ] }, "page" : "2255-2262", "title" : "Quality indicators for end-of-life care in the intensive care unit", "type" : "article", "volume" : "31" }, "uris" : [ "http://www.mendeley.com/documents/?uuid=a37a79d6-5f73-4b30-bbc1-dee078dcee1f" ] } ], "mendeley" : { "formattedCitation" : "(5)", "plainTextFormattedCitation" : "(5)", "previouslyFormattedCitation" : "(5)" }, "properties" : { "noteIndex" : 0 }, "schema" : "https://github.com/citation-style-language/schema/raw/master/csl-citation.json" }</w:instrText>
            </w:r>
            <w:r w:rsidRPr="00CC4A13">
              <w:rPr>
                <w:rFonts w:ascii="Arial" w:hAnsi="Arial" w:cs="Arial"/>
                <w:color w:val="000000"/>
                <w:sz w:val="18"/>
                <w:szCs w:val="20"/>
                <w:lang w:val="en-US"/>
              </w:rPr>
              <w:fldChar w:fldCharType="separate"/>
            </w:r>
            <w:r w:rsidRPr="00CC4A13">
              <w:rPr>
                <w:rFonts w:ascii="Arial" w:hAnsi="Arial" w:cs="Arial"/>
                <w:noProof/>
                <w:color w:val="000000"/>
                <w:sz w:val="18"/>
                <w:szCs w:val="20"/>
                <w:lang w:val="en-US"/>
              </w:rPr>
              <w:t>(5)</w:t>
            </w:r>
            <w:r w:rsidRPr="00CC4A13">
              <w:rPr>
                <w:rFonts w:ascii="Arial" w:hAnsi="Arial" w:cs="Arial"/>
                <w:color w:val="000000"/>
                <w:sz w:val="18"/>
                <w:szCs w:val="20"/>
                <w:lang w:val="en-US"/>
              </w:rPr>
              <w:fldChar w:fldCharType="end"/>
            </w:r>
          </w:p>
        </w:tc>
        <w:tc>
          <w:tcPr>
            <w:tcW w:w="661" w:type="dxa"/>
          </w:tcPr>
          <w:p w:rsidR="00F37B93" w:rsidRPr="00CC4A13" w:rsidRDefault="00F37B93" w:rsidP="00AA220B">
            <w:pPr>
              <w:contextualSpacing/>
              <w:rPr>
                <w:rFonts w:ascii="Arial" w:hAnsi="Arial" w:cs="Arial"/>
                <w:sz w:val="18"/>
                <w:szCs w:val="20"/>
                <w:lang w:val="en-US"/>
              </w:rPr>
            </w:pPr>
            <w:r w:rsidRPr="00CC4A13">
              <w:rPr>
                <w:rFonts w:ascii="Arial" w:eastAsia="Times New Roman" w:hAnsi="Arial" w:cs="Arial"/>
                <w:color w:val="000000"/>
                <w:sz w:val="18"/>
                <w:szCs w:val="20"/>
                <w:lang w:val="en-US"/>
              </w:rPr>
              <w:t>2003</w:t>
            </w:r>
          </w:p>
        </w:tc>
        <w:tc>
          <w:tcPr>
            <w:tcW w:w="983"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USA</w:t>
            </w:r>
          </w:p>
        </w:tc>
        <w:tc>
          <w:tcPr>
            <w:tcW w:w="3126"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Robert Wood Johnson Foundation Critical Care End-of-Life Peer Workgroup</w:t>
            </w:r>
          </w:p>
        </w:tc>
        <w:tc>
          <w:tcPr>
            <w:tcW w:w="126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The Robert Wood Johnson Foundation</w:t>
            </w:r>
          </w:p>
        </w:tc>
        <w:tc>
          <w:tcPr>
            <w:tcW w:w="3330" w:type="dxa"/>
          </w:tcPr>
          <w:p w:rsidR="00F37B93" w:rsidRPr="00CC4A13" w:rsidRDefault="00F37B93" w:rsidP="00AA220B">
            <w:pPr>
              <w:contextualSpacing/>
              <w:rPr>
                <w:rFonts w:ascii="Arial" w:hAnsi="Arial" w:cs="Arial"/>
                <w:sz w:val="18"/>
                <w:szCs w:val="20"/>
                <w:lang w:val="en-US"/>
              </w:rPr>
            </w:pPr>
            <w:r w:rsidRPr="00CC4A13">
              <w:rPr>
                <w:rFonts w:ascii="Arial" w:hAnsi="Arial" w:cs="Arial"/>
                <w:color w:val="000000"/>
                <w:sz w:val="18"/>
                <w:szCs w:val="20"/>
                <w:lang w:val="en-US"/>
              </w:rPr>
              <w:t>Clinicians and researchers working in the ICU</w:t>
            </w:r>
          </w:p>
        </w:tc>
        <w:tc>
          <w:tcPr>
            <w:tcW w:w="4140" w:type="dxa"/>
          </w:tcPr>
          <w:p w:rsidR="00F37B93" w:rsidRPr="00CC4A13" w:rsidRDefault="00F37B93" w:rsidP="00AA220B">
            <w:pPr>
              <w:contextualSpacing/>
              <w:rPr>
                <w:rFonts w:ascii="Arial" w:hAnsi="Arial" w:cs="Arial"/>
                <w:color w:val="000000"/>
                <w:sz w:val="18"/>
                <w:szCs w:val="20"/>
                <w:lang w:val="en-US"/>
              </w:rPr>
            </w:pPr>
            <w:r w:rsidRPr="00CC4A13">
              <w:rPr>
                <w:rFonts w:ascii="Arial" w:hAnsi="Arial" w:cs="Arial"/>
                <w:color w:val="000000"/>
                <w:sz w:val="18"/>
                <w:szCs w:val="20"/>
                <w:lang w:val="en-US"/>
              </w:rPr>
              <w:t>In-depth literature review; consensus regarding key EOLC domains in the ICU and quality performance indicators within each domain; iterative process</w:t>
            </w:r>
          </w:p>
        </w:tc>
      </w:tr>
      <w:tr w:rsidR="00F37B93" w:rsidRPr="00CC4A13" w:rsidTr="00AA220B">
        <w:tc>
          <w:tcPr>
            <w:tcW w:w="1147" w:type="dxa"/>
          </w:tcPr>
          <w:p w:rsidR="00F37B93" w:rsidRPr="00CC4A13" w:rsidRDefault="00F37B93" w:rsidP="00AA220B">
            <w:pPr>
              <w:contextualSpacing/>
              <w:rPr>
                <w:rFonts w:ascii="Arial" w:hAnsi="Arial" w:cs="Arial"/>
                <w:sz w:val="18"/>
                <w:szCs w:val="20"/>
                <w:lang w:val="en-US"/>
              </w:rPr>
            </w:pPr>
            <w:r w:rsidRPr="00CC4A13">
              <w:rPr>
                <w:rFonts w:ascii="Arial" w:hAnsi="Arial" w:cs="Arial"/>
                <w:color w:val="000000"/>
                <w:sz w:val="18"/>
                <w:szCs w:val="20"/>
                <w:lang w:val="en-US"/>
              </w:rPr>
              <w:t xml:space="preserve">SIAARTI </w:t>
            </w:r>
            <w:r w:rsidRPr="00CC4A13">
              <w:rPr>
                <w:rFonts w:ascii="Arial" w:hAnsi="Arial" w:cs="Arial"/>
                <w:color w:val="000000"/>
                <w:sz w:val="18"/>
                <w:szCs w:val="20"/>
                <w:lang w:val="en-US"/>
              </w:rPr>
              <w:fldChar w:fldCharType="begin" w:fldLock="1"/>
            </w:r>
            <w:r w:rsidRPr="00CC4A13">
              <w:rPr>
                <w:rFonts w:ascii="Arial" w:hAnsi="Arial" w:cs="Arial"/>
                <w:color w:val="000000"/>
                <w:sz w:val="18"/>
                <w:szCs w:val="20"/>
                <w:lang w:val="en-US"/>
              </w:rPr>
              <w:instrText>ADDIN CSL_CITATION { "citationItems" : [ { "id" : "ITEM-1", "itemData" : { "ISSN" : "0375-9393 (Print)", "PMID" : "17235263", "container-title" : "Minerva anestesiologica", "id" : "ITEM-1", "issue" : "12", "issued" : { "date-parts" : [ [ "2006", "12" ] ] }, "language" : "eng", "page" : "927-963", "publisher-place" : "Italy", "title" : "End-of-life care and the intensivist: SIAARTI recommendations on the management of the dying patient.", "type" : "article-journal", "volume" : "72" }, "uris" : [ "http://www.mendeley.com/documents/?uuid=6a76eb43-37e8-4f93-bfb6-eb0e6cb4b235" ] } ], "mendeley" : { "formattedCitation" : "(17)", "plainTextFormattedCitation" : "(17)", "previouslyFormattedCitation" : "(17)" }, "properties" : { "noteIndex" : 0 }, "schema" : "https://github.com/citation-style-language/schema/raw/master/csl-citation.json" }</w:instrText>
            </w:r>
            <w:r w:rsidRPr="00CC4A13">
              <w:rPr>
                <w:rFonts w:ascii="Arial" w:hAnsi="Arial" w:cs="Arial"/>
                <w:color w:val="000000"/>
                <w:sz w:val="18"/>
                <w:szCs w:val="20"/>
                <w:lang w:val="en-US"/>
              </w:rPr>
              <w:fldChar w:fldCharType="separate"/>
            </w:r>
            <w:r w:rsidRPr="00CC4A13">
              <w:rPr>
                <w:rFonts w:ascii="Arial" w:hAnsi="Arial" w:cs="Arial"/>
                <w:noProof/>
                <w:color w:val="000000"/>
                <w:sz w:val="18"/>
                <w:szCs w:val="20"/>
                <w:lang w:val="en-US"/>
              </w:rPr>
              <w:t>(17)</w:t>
            </w:r>
            <w:r w:rsidRPr="00CC4A13">
              <w:rPr>
                <w:rFonts w:ascii="Arial" w:hAnsi="Arial" w:cs="Arial"/>
                <w:color w:val="000000"/>
                <w:sz w:val="18"/>
                <w:szCs w:val="20"/>
                <w:lang w:val="en-US"/>
              </w:rPr>
              <w:fldChar w:fldCharType="end"/>
            </w:r>
          </w:p>
        </w:tc>
        <w:tc>
          <w:tcPr>
            <w:tcW w:w="661" w:type="dxa"/>
          </w:tcPr>
          <w:p w:rsidR="00F37B93" w:rsidRPr="00CC4A13" w:rsidRDefault="00F37B93" w:rsidP="00AA220B">
            <w:pPr>
              <w:contextualSpacing/>
              <w:rPr>
                <w:rFonts w:ascii="Arial" w:eastAsia="Times New Roman" w:hAnsi="Arial" w:cs="Arial"/>
                <w:color w:val="000000"/>
                <w:sz w:val="18"/>
                <w:szCs w:val="20"/>
                <w:lang w:val="en-US"/>
              </w:rPr>
            </w:pPr>
            <w:r w:rsidRPr="00CC4A13">
              <w:rPr>
                <w:rFonts w:ascii="Arial" w:eastAsia="Times New Roman" w:hAnsi="Arial" w:cs="Arial"/>
                <w:color w:val="000000"/>
                <w:sz w:val="18"/>
                <w:szCs w:val="20"/>
                <w:lang w:val="en-US"/>
              </w:rPr>
              <w:t>2006</w:t>
            </w:r>
          </w:p>
        </w:tc>
        <w:tc>
          <w:tcPr>
            <w:tcW w:w="983"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Italy </w:t>
            </w:r>
          </w:p>
        </w:tc>
        <w:tc>
          <w:tcPr>
            <w:tcW w:w="3126"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SIAARTI Bioethical Board</w:t>
            </w:r>
          </w:p>
        </w:tc>
        <w:tc>
          <w:tcPr>
            <w:tcW w:w="126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Not mentioned</w:t>
            </w:r>
          </w:p>
        </w:tc>
        <w:tc>
          <w:tcPr>
            <w:tcW w:w="333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Critica</w:t>
            </w:r>
            <w:bookmarkStart w:id="0" w:name="_GoBack"/>
            <w:bookmarkEnd w:id="0"/>
            <w:r w:rsidRPr="00CC4A13">
              <w:rPr>
                <w:rFonts w:ascii="Arial" w:hAnsi="Arial" w:cs="Arial"/>
                <w:sz w:val="18"/>
                <w:szCs w:val="20"/>
                <w:lang w:val="en-US"/>
              </w:rPr>
              <w:t>l care specialists</w:t>
            </w:r>
          </w:p>
        </w:tc>
        <w:tc>
          <w:tcPr>
            <w:tcW w:w="414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Individuation of the objectives of the final article; literature review by team of experts, including 4 intensivists, 1 bioethical theorist, and 1 clinical psychologist; review of article draft by 39 reviewers; collecting and debating on reviewers comments; document subdivision; reviewer approval and publication (iterative group process)</w:t>
            </w:r>
          </w:p>
        </w:tc>
      </w:tr>
      <w:tr w:rsidR="00F37B93" w:rsidRPr="00CC4A13" w:rsidTr="00AA220B">
        <w:tc>
          <w:tcPr>
            <w:tcW w:w="1147" w:type="dxa"/>
          </w:tcPr>
          <w:p w:rsidR="00F37B93" w:rsidRPr="00CC4A13" w:rsidRDefault="00F37B93" w:rsidP="00AA220B">
            <w:pPr>
              <w:contextualSpacing/>
              <w:rPr>
                <w:rFonts w:ascii="Arial" w:hAnsi="Arial" w:cs="Arial"/>
                <w:sz w:val="18"/>
                <w:szCs w:val="20"/>
                <w:lang w:val="en-US"/>
              </w:rPr>
            </w:pPr>
            <w:proofErr w:type="spellStart"/>
            <w:r w:rsidRPr="00CC4A13">
              <w:rPr>
                <w:rFonts w:ascii="Arial" w:hAnsi="Arial" w:cs="Arial"/>
                <w:color w:val="000000"/>
                <w:sz w:val="18"/>
                <w:szCs w:val="20"/>
                <w:lang w:val="en-US"/>
              </w:rPr>
              <w:t>Mularski</w:t>
            </w:r>
            <w:proofErr w:type="spellEnd"/>
            <w:r w:rsidRPr="00CC4A13">
              <w:rPr>
                <w:rFonts w:ascii="Arial" w:hAnsi="Arial" w:cs="Arial"/>
                <w:color w:val="000000"/>
                <w:sz w:val="18"/>
                <w:szCs w:val="20"/>
                <w:lang w:val="en-US"/>
              </w:rPr>
              <w:t xml:space="preserve"> et al. </w:t>
            </w:r>
            <w:r w:rsidRPr="00CC4A13">
              <w:rPr>
                <w:rFonts w:ascii="Arial" w:hAnsi="Arial" w:cs="Arial"/>
                <w:color w:val="000000"/>
                <w:sz w:val="18"/>
                <w:szCs w:val="20"/>
                <w:lang w:val="en-US"/>
              </w:rPr>
              <w:fldChar w:fldCharType="begin" w:fldLock="1"/>
            </w:r>
            <w:r w:rsidRPr="00CC4A13">
              <w:rPr>
                <w:rFonts w:ascii="Arial" w:hAnsi="Arial" w:cs="Arial"/>
                <w:color w:val="000000"/>
                <w:sz w:val="18"/>
                <w:szCs w:val="20"/>
                <w:lang w:val="en-US"/>
              </w:rPr>
              <w:instrText>ADDIN CSL_CITATION { "citationItems" : [ { "id" : "ITEM-1", "itemData" : { "DOI" : "10.1097/01.CCM.0000242910.00801.53", "ISSN" : "0090-3493", "abstract" : "For critically ill patients and their loved ones, high-quality health care includes the provision of excellent palliative care. To achieve this goal, the healthcare system needs to identify, measure, and report specific targets for quality palliative care for critically ill or injured patients. Our objective was to use a consensus process to develop a preliminary set of quality measures to assess palliative care in the critically ill.We built on earlier and ongoing efforts of the Robert Wood Johnson Foundation Critical Care End-of-Life Peer Workgroup to propose specific measures of the structure and process of palliative care. We used an informal iterative consensus process to identify and refine a set of candidate quality measures. These candidate measures were developed by reviewing previous literature reviews, supplementing the evidence base with recently published systematic reviews and consensus statements, identifying existing indicators and measures, and adapting indicators from related fields for our objective. Among our primary sources, we identified existing measures from the Voluntary Hospital Association's Transformation of the ICU program and a government-sponsored systematic review performed by RAND Health to identify palliative care quality measures for cancer care.Our consensus group proposes 18 quality measures to assess the quality of palliative care for the critically ill and injured. A total of 14 of the proposed measures assess processes of care at the patient level, and four measures explore structural aspects of critical care delivery. Future research is needed to assess the relationship of these measures to desired health outcomes. Subsequent measure sets should also attempt to include outcome measures, such as patient or surrogate satisfaction, as the field develops the means to rigorously measure such outcomes. The proposed measures are intended to stimulate further discussion, testing, and refinement for quality of care measurement and enhancement. \u00a9 2006 Lippincott Williams &amp; Wilkins, Inc.", "author" : [ { "dropping-particle" : "", "family" : "Mularski", "given" : "Richard A.", "non-dropping-particle" : "", "parse-names" : false, "suffix" : "" }, { "dropping-particle" : "", "family" : "Curtis", "given" : "J. Randall", "non-dropping-particle" : "", "parse-names" : false, "suffix" : "" }, { "dropping-particle" : "", "family" : "Billings", "given" : "J. Andrew", "non-dropping-particle" : "", "parse-names" : false, "suffix" : "" }, { "dropping-particle" : "", "family" : "Burt", "given" : "Robert", "non-dropping-particle" : "", "parse-names" : false, "suffix" : "" }, { "dropping-particle" : "", "family" : "Byock", "given" : "Ira", "non-dropping-particle" : "", "parse-names" : false, "suffix" : "" }, { "dropping-particle" : "", "family" : "Fuhrman", "given" : "Cathy", "non-dropping-particle" : "", "parse-names" : false, "suffix" : "" }, { "dropping-particle" : "", "family" : "Mosenthal", "given" : "Anne C.", "non-dropping-particle" : "", "parse-names" : false, "suffix" : "" }, { "dropping-particle" : "", "family" : "Medina", "given" : "Justine", "non-dropping-particle" : "", "parse-names" : false, "suffix" : "" }, { "dropping-particle" : "", "family" : "Ray", "given" : "Daniel E.", "non-dropping-particle" : "", "parse-names" : false, "suffix" : "" }, { "dropping-particle" : "", "family" : "Rubenfeld", "given" : "Gordon D.", "non-dropping-particle" : "", "parse-names" : false, "suffix" : "" }, { "dropping-particle" : "", "family" : "Schneiderman", "given" : "Lawrence J.", "non-dropping-particle" : "", "parse-names" : false, "suffix" : "" }, { "dropping-particle" : "", "family" : "Treece", "given" : "Patsy D.", "non-dropping-particle" : "", "parse-names" : false, "suffix" : "" }, { "dropping-particle" : "", "family" : "Truog", "given" : "Robert D.", "non-dropping-particle" : "", "parse-names" : false, "suffix" : "" }, { "dropping-particle" : "", "family" : "Levy", "given" : "Mitchell M.", "non-dropping-particle" : "", "parse-names" : false, "suffix" : "" } ], "container-title" : "Critical Care Medicine", "id" : "ITEM-1", "issue" : "11 SUPPL.", "issued" : { "date-parts" : [ [ "2006" ] ] }, "language" : "English", "page" : "S404-S411", "publisher-place" : "R.A. Mularski, Center for Health Research, Kaiser Permanente Northwest, Portland, OR, United States", "title" : "Proposed quality measures for palliative care in the critically ill: A consensus from the Robert Wood Johnson foundation critical care workgroup", "type" : "article-journal", "volume" : "34" }, "uris" : [ "http://www.mendeley.com/documents/?uuid=d77ae66b-e23c-4dae-91d1-5953539bcc1b" ] } ], "mendeley" : { "formattedCitation" : "(14)", "plainTextFormattedCitation" : "(14)", "previouslyFormattedCitation" : "(14)" }, "properties" : { "noteIndex" : 0 }, "schema" : "https://github.com/citation-style-language/schema/raw/master/csl-citation.json" }</w:instrText>
            </w:r>
            <w:r w:rsidRPr="00CC4A13">
              <w:rPr>
                <w:rFonts w:ascii="Arial" w:hAnsi="Arial" w:cs="Arial"/>
                <w:color w:val="000000"/>
                <w:sz w:val="18"/>
                <w:szCs w:val="20"/>
                <w:lang w:val="en-US"/>
              </w:rPr>
              <w:fldChar w:fldCharType="separate"/>
            </w:r>
            <w:r w:rsidRPr="00CC4A13">
              <w:rPr>
                <w:rFonts w:ascii="Arial" w:hAnsi="Arial" w:cs="Arial"/>
                <w:noProof/>
                <w:color w:val="000000"/>
                <w:sz w:val="18"/>
                <w:szCs w:val="20"/>
                <w:lang w:val="en-US"/>
              </w:rPr>
              <w:t>(14)</w:t>
            </w:r>
            <w:r w:rsidRPr="00CC4A13">
              <w:rPr>
                <w:rFonts w:ascii="Arial" w:hAnsi="Arial" w:cs="Arial"/>
                <w:color w:val="000000"/>
                <w:sz w:val="18"/>
                <w:szCs w:val="20"/>
                <w:lang w:val="en-US"/>
              </w:rPr>
              <w:fldChar w:fldCharType="end"/>
            </w:r>
          </w:p>
        </w:tc>
        <w:tc>
          <w:tcPr>
            <w:tcW w:w="661" w:type="dxa"/>
          </w:tcPr>
          <w:p w:rsidR="00F37B93" w:rsidRPr="00CC4A13" w:rsidRDefault="00F37B93" w:rsidP="00AA220B">
            <w:pPr>
              <w:contextualSpacing/>
              <w:rPr>
                <w:rFonts w:ascii="Arial" w:hAnsi="Arial" w:cs="Arial"/>
                <w:sz w:val="18"/>
                <w:szCs w:val="20"/>
                <w:lang w:val="en-US"/>
              </w:rPr>
            </w:pPr>
            <w:r w:rsidRPr="00CC4A13">
              <w:rPr>
                <w:rFonts w:ascii="Arial" w:eastAsia="Times New Roman" w:hAnsi="Arial" w:cs="Arial"/>
                <w:color w:val="000000"/>
                <w:sz w:val="18"/>
                <w:szCs w:val="20"/>
                <w:lang w:val="en-US"/>
              </w:rPr>
              <w:t>2006</w:t>
            </w:r>
          </w:p>
        </w:tc>
        <w:tc>
          <w:tcPr>
            <w:tcW w:w="983"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USA</w:t>
            </w:r>
          </w:p>
        </w:tc>
        <w:tc>
          <w:tcPr>
            <w:tcW w:w="3126"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Robert Wood Johnson Foundation Critical Care End-of-Life Peer Workgroup</w:t>
            </w:r>
          </w:p>
        </w:tc>
        <w:tc>
          <w:tcPr>
            <w:tcW w:w="126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The Robert Wood Johnson Foundation</w:t>
            </w:r>
          </w:p>
        </w:tc>
        <w:tc>
          <w:tcPr>
            <w:tcW w:w="3330" w:type="dxa"/>
          </w:tcPr>
          <w:p w:rsidR="00F37B93" w:rsidRPr="00CC4A13" w:rsidRDefault="00F37B93" w:rsidP="00AA220B">
            <w:pPr>
              <w:contextualSpacing/>
              <w:rPr>
                <w:rFonts w:ascii="Arial" w:hAnsi="Arial" w:cs="Arial"/>
                <w:sz w:val="18"/>
                <w:szCs w:val="20"/>
                <w:lang w:val="en-US"/>
              </w:rPr>
            </w:pPr>
            <w:r w:rsidRPr="00CC4A13">
              <w:rPr>
                <w:rFonts w:ascii="Arial" w:hAnsi="Arial" w:cs="Arial"/>
                <w:color w:val="000000"/>
                <w:sz w:val="18"/>
                <w:szCs w:val="20"/>
                <w:lang w:val="en-US"/>
              </w:rPr>
              <w:t>Health care professionals involved in palliative care of the critically ill</w:t>
            </w:r>
          </w:p>
        </w:tc>
        <w:tc>
          <w:tcPr>
            <w:tcW w:w="414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Informal iterative consensus process </w:t>
            </w:r>
          </w:p>
        </w:tc>
      </w:tr>
      <w:tr w:rsidR="00F37B93" w:rsidRPr="00CC4A13" w:rsidTr="00AA220B">
        <w:tc>
          <w:tcPr>
            <w:tcW w:w="1147" w:type="dxa"/>
          </w:tcPr>
          <w:p w:rsidR="00F37B93" w:rsidRPr="00CC4A13" w:rsidRDefault="00F37B93" w:rsidP="00AA220B">
            <w:pPr>
              <w:contextualSpacing/>
              <w:rPr>
                <w:rFonts w:ascii="Arial" w:hAnsi="Arial" w:cs="Arial"/>
                <w:sz w:val="18"/>
                <w:szCs w:val="20"/>
                <w:lang w:val="en-US"/>
              </w:rPr>
            </w:pPr>
            <w:proofErr w:type="spellStart"/>
            <w:r w:rsidRPr="00CC4A13">
              <w:rPr>
                <w:rFonts w:ascii="Arial" w:hAnsi="Arial" w:cs="Arial"/>
                <w:sz w:val="18"/>
                <w:szCs w:val="20"/>
                <w:lang w:val="en-US"/>
              </w:rPr>
              <w:t>Monzón</w:t>
            </w:r>
            <w:proofErr w:type="spellEnd"/>
            <w:r w:rsidRPr="00CC4A13">
              <w:rPr>
                <w:rFonts w:ascii="Arial" w:hAnsi="Arial" w:cs="Arial"/>
                <w:sz w:val="18"/>
                <w:szCs w:val="20"/>
                <w:lang w:val="en-US"/>
              </w:rPr>
              <w:t xml:space="preserve"> </w:t>
            </w:r>
            <w:proofErr w:type="spellStart"/>
            <w:r w:rsidRPr="00CC4A13">
              <w:rPr>
                <w:rFonts w:ascii="Arial" w:hAnsi="Arial" w:cs="Arial"/>
                <w:sz w:val="18"/>
                <w:szCs w:val="20"/>
                <w:lang w:val="en-US"/>
              </w:rPr>
              <w:t>Marín</w:t>
            </w:r>
            <w:proofErr w:type="spellEnd"/>
            <w:r w:rsidRPr="00CC4A13">
              <w:rPr>
                <w:rFonts w:ascii="Arial" w:hAnsi="Arial" w:cs="Arial"/>
                <w:sz w:val="18"/>
                <w:szCs w:val="20"/>
                <w:lang w:val="en-US"/>
              </w:rPr>
              <w:t xml:space="preserve"> et al </w:t>
            </w:r>
            <w:r w:rsidRPr="00CC4A13">
              <w:rPr>
                <w:rFonts w:ascii="Arial" w:hAnsi="Arial" w:cs="Arial"/>
                <w:sz w:val="18"/>
                <w:szCs w:val="20"/>
                <w:lang w:val="en-US"/>
              </w:rPr>
              <w:fldChar w:fldCharType="begin" w:fldLock="1"/>
            </w:r>
            <w:r w:rsidRPr="00CC4A13">
              <w:rPr>
                <w:rFonts w:ascii="Arial" w:hAnsi="Arial" w:cs="Arial"/>
                <w:sz w:val="18"/>
                <w:szCs w:val="20"/>
                <w:lang w:val="en-US"/>
              </w:rPr>
              <w:instrText>ADDIN CSL_CITATION { "citationItems" : [ { "id" : "ITEM-1", "itemData" : { "DOI" : "10.1016/S0210-5691(08)70922-7", "ISSN" : "02105691", "author" : [ { "dropping-particle" : "", "family" : "Monz\u00f3n Mar\u00edn", "given" : "J.L.", "non-dropping-particle" : "", "parse-names" : false, "suffix" : "" }, { "dropping-particle" : "", "family" : "Saralegui Reta", "given" : "I.", "non-dropping-particle" : "", "parse-names" : false, "suffix" : "" }, { "dropping-particle" : "", "family" : "Abizanda I Campos", "given" : "R.", "non-dropping-particle" : "", "parse-names" : false, "suffix" : "" }, { "dropping-particle" : "", "family" : "Cabr\u00e9 Pericas", "given" : "L.", "non-dropping-particle" : "", "parse-names" : false, "suffix" : "" }, { "dropping-particle" : "", "family" : "Iribarren Diarasarri", "given" : "S.", "non-dropping-particle" : "", "parse-names" : false, "suffix" : "" }, { "dropping-particle" : "", "family" : "Mart\u00edn Delgado", "given" : "M.C.", "non-dropping-particle" : "", "parse-names" : false, "suffix" : "" }, { "dropping-particle" : "", "family" : "Mart\u00ednez Urionabarrenetxea", "given" : "K.", "non-dropping-particle" : "", "parse-names" : false, "suffix" : "" } ], "container-title" : "Medicina Intensiva", "id" : "ITEM-1", "issue" : "3", "issued" : { "date-parts" : [ [ "2008", "3" ] ] }, "page" : "121-133", "publisher" : "Elsevier", "title" : "Recomendaciones de tratamiento al final de la vida del paciente cr\u00edtico", "type" : "article-journal", "volume" : "32" }, "uris" : [ "http://www.mendeley.com/documents/?uuid=07559c94-9464-4499-862d-2d9169bdf52f" ] } ], "mendeley" : { "formattedCitation" : "(19)", "plainTextFormattedCitation" : "(19)", "previouslyFormattedCitation" : "(19)" }, "properties" : { "noteIndex" : 0 }, "schema" : "https://github.com/citation-style-language/schema/raw/master/csl-citation.json" }</w:instrText>
            </w:r>
            <w:r w:rsidRPr="00CC4A13">
              <w:rPr>
                <w:rFonts w:ascii="Arial" w:hAnsi="Arial" w:cs="Arial"/>
                <w:sz w:val="18"/>
                <w:szCs w:val="20"/>
                <w:lang w:val="en-US"/>
              </w:rPr>
              <w:fldChar w:fldCharType="separate"/>
            </w:r>
            <w:r w:rsidRPr="00CC4A13">
              <w:rPr>
                <w:rFonts w:ascii="Arial" w:hAnsi="Arial" w:cs="Arial"/>
                <w:noProof/>
                <w:sz w:val="18"/>
                <w:szCs w:val="20"/>
                <w:lang w:val="en-US"/>
              </w:rPr>
              <w:t>(19)</w:t>
            </w:r>
            <w:r w:rsidRPr="00CC4A13">
              <w:rPr>
                <w:rFonts w:ascii="Arial" w:hAnsi="Arial" w:cs="Arial"/>
                <w:sz w:val="18"/>
                <w:szCs w:val="20"/>
                <w:lang w:val="en-US"/>
              </w:rPr>
              <w:fldChar w:fldCharType="end"/>
            </w:r>
          </w:p>
        </w:tc>
        <w:tc>
          <w:tcPr>
            <w:tcW w:w="661"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2008</w:t>
            </w:r>
          </w:p>
        </w:tc>
        <w:tc>
          <w:tcPr>
            <w:tcW w:w="983"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Spain</w:t>
            </w:r>
          </w:p>
        </w:tc>
        <w:tc>
          <w:tcPr>
            <w:tcW w:w="3126"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SEMICYUC </w:t>
            </w:r>
          </w:p>
        </w:tc>
        <w:tc>
          <w:tcPr>
            <w:tcW w:w="126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Not mentioned</w:t>
            </w:r>
          </w:p>
        </w:tc>
        <w:tc>
          <w:tcPr>
            <w:tcW w:w="3330" w:type="dxa"/>
          </w:tcPr>
          <w:p w:rsidR="00F37B93" w:rsidRPr="00CC4A13" w:rsidRDefault="00F37B93" w:rsidP="00AA220B">
            <w:pPr>
              <w:contextualSpacing/>
              <w:rPr>
                <w:rFonts w:ascii="Arial" w:hAnsi="Arial" w:cs="Arial"/>
                <w:sz w:val="18"/>
                <w:szCs w:val="20"/>
                <w:lang w:val="en-US"/>
              </w:rPr>
            </w:pPr>
            <w:r w:rsidRPr="00CC4A13">
              <w:rPr>
                <w:rFonts w:ascii="Arial" w:hAnsi="Arial" w:cs="Arial"/>
                <w:color w:val="000000"/>
                <w:sz w:val="18"/>
                <w:szCs w:val="20"/>
                <w:lang w:val="en-US"/>
              </w:rPr>
              <w:t>Health care professionals involved in palliative care of the critically ill</w:t>
            </w:r>
          </w:p>
        </w:tc>
        <w:tc>
          <w:tcPr>
            <w:tcW w:w="414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Not mentioned</w:t>
            </w:r>
          </w:p>
        </w:tc>
      </w:tr>
      <w:tr w:rsidR="00F37B93" w:rsidRPr="00CC4A13" w:rsidTr="00AA220B">
        <w:tc>
          <w:tcPr>
            <w:tcW w:w="1147" w:type="dxa"/>
          </w:tcPr>
          <w:p w:rsidR="00F37B93" w:rsidRPr="00CC4A13" w:rsidRDefault="00F37B93" w:rsidP="00AA220B">
            <w:pPr>
              <w:contextualSpacing/>
              <w:rPr>
                <w:rFonts w:ascii="Arial" w:hAnsi="Arial" w:cs="Arial"/>
                <w:sz w:val="18"/>
                <w:szCs w:val="20"/>
                <w:lang w:val="en-US"/>
              </w:rPr>
            </w:pPr>
            <w:proofErr w:type="spellStart"/>
            <w:r w:rsidRPr="00CC4A13">
              <w:rPr>
                <w:rFonts w:ascii="Arial" w:hAnsi="Arial" w:cs="Arial"/>
                <w:color w:val="000000"/>
                <w:sz w:val="18"/>
                <w:szCs w:val="20"/>
                <w:lang w:val="en-US"/>
              </w:rPr>
              <w:t>Lanken</w:t>
            </w:r>
            <w:proofErr w:type="spellEnd"/>
            <w:r w:rsidRPr="00CC4A13">
              <w:rPr>
                <w:rFonts w:ascii="Arial" w:hAnsi="Arial" w:cs="Arial"/>
                <w:color w:val="000000"/>
                <w:sz w:val="18"/>
                <w:szCs w:val="20"/>
                <w:lang w:val="en-US"/>
              </w:rPr>
              <w:t xml:space="preserve"> et al </w:t>
            </w:r>
            <w:r w:rsidRPr="00CC4A13">
              <w:rPr>
                <w:rFonts w:ascii="Arial" w:hAnsi="Arial" w:cs="Arial"/>
                <w:color w:val="000000"/>
                <w:sz w:val="18"/>
                <w:szCs w:val="20"/>
                <w:lang w:val="en-US"/>
              </w:rPr>
              <w:fldChar w:fldCharType="begin" w:fldLock="1"/>
            </w:r>
            <w:r w:rsidRPr="00CC4A13">
              <w:rPr>
                <w:rFonts w:ascii="Arial" w:hAnsi="Arial" w:cs="Arial"/>
                <w:color w:val="000000"/>
                <w:sz w:val="18"/>
                <w:szCs w:val="20"/>
                <w:lang w:val="en-US"/>
              </w:rPr>
              <w:instrText>ADDIN CSL_CITATION { "citationItems" : [ { "id" : "ITEM-1", "itemData" : { "DOI" : "10.1164/rccm.200605-587ST", "ISSN" : "1535-4970 (Electronic)", "PMID" : "18390964", "author" : [ { "dropping-particle" : "", "family" : "Lanken", "given" : "Paul N", "non-dropping-particle" : "", "parse-names" : false, "suffix" : "" }, { "dropping-particle" : "", "family" : "Terry", "given" : "Peter B", "non-dropping-particle" : "", "parse-names" : false, "suffix" : "" }, { "dropping-particle" : "", "family" : "Delisser", "given" : "Horace M", "non-dropping-particle" : "", "parse-names" : false, "suffix" : "" }, { "dropping-particle" : "", "family" : "Fahy", "given" : "Bonnie F", "non-dropping-particle" : "", "parse-names" : false, "suffix" : "" }, { "dropping-particle" : "", "family" : "Hansen-Flaschen", "given" : "John", "non-dropping-particle" : "", "parse-names" : false, "suffix" : "" }, { "dropping-particle" : "", "family" : "Heffner", "given" : "John E", "non-dropping-particle" : "", "parse-names" : false, "suffix" : "" }, { "dropping-particle" : "", "family" : "Levy", "given" : "Mitchell", "non-dropping-particle" : "", "parse-names" : false, "suffix" : "" }, { "dropping-particle" : "", "family" : "Mularski", "given" : "Richard A", "non-dropping-particle" : "", "parse-names" : false, "suffix" : "" }, { "dropping-particle" : "", "family" : "Osborne", "given" : "Molly L", "non-dropping-particle" : "", "parse-names" : false, "suffix" : "" }, { "dropping-particle" : "", "family" : "Prendergast", "given" : "Thomas J", "non-dropping-particle" : "", "parse-names" : false, "suffix" : "" }, { "dropping-particle" : "", "family" : "Rocker", "given" : "Graeme", "non-dropping-particle" : "", "parse-names" : false, "suffix" : "" }, { "dropping-particle" : "", "family" : "Sibbald", "given" : "William J", "non-dropping-particle" : "", "parse-names" : false, "suffix" : "" }, { "dropping-particle" : "", "family" : "Wilfond", "given" : "Benjamin", "non-dropping-particle" : "", "parse-names" : false, "suffix" : "" }, { "dropping-particle" : "", "family" : "Yankaskas", "given" : "James R", "non-dropping-particle" : "", "parse-names" : false, "suffix" : "" } ], "container-title" : "American journal of respiratory and critical care medicine", "id" : "ITEM-1", "issue" : "8", "issued" : { "date-parts" : [ [ "2008", "4" ] ] }, "language" : "eng", "page" : "912-927", "publisher-place" : "United States", "title" : "An official American Thoracic Society clinical policy statement: palliative care  for patients with respiratory diseases and critical illnesses.", "type" : "article-journal", "volume" : "177" }, "uris" : [ "http://www.mendeley.com/documents/?uuid=b36ab440-df31-4062-80d5-cde4f71efd2c" ] } ], "mendeley" : { "formattedCitation" : "(15)", "plainTextFormattedCitation" : "(15)", "previouslyFormattedCitation" : "(15)" }, "properties" : { "noteIndex" : 0 }, "schema" : "https://github.com/citation-style-language/schema/raw/master/csl-citation.json" }</w:instrText>
            </w:r>
            <w:r w:rsidRPr="00CC4A13">
              <w:rPr>
                <w:rFonts w:ascii="Arial" w:hAnsi="Arial" w:cs="Arial"/>
                <w:color w:val="000000"/>
                <w:sz w:val="18"/>
                <w:szCs w:val="20"/>
                <w:lang w:val="en-US"/>
              </w:rPr>
              <w:fldChar w:fldCharType="separate"/>
            </w:r>
            <w:r w:rsidRPr="00CC4A13">
              <w:rPr>
                <w:rFonts w:ascii="Arial" w:hAnsi="Arial" w:cs="Arial"/>
                <w:noProof/>
                <w:color w:val="000000"/>
                <w:sz w:val="18"/>
                <w:szCs w:val="20"/>
                <w:lang w:val="en-US"/>
              </w:rPr>
              <w:t>(15)</w:t>
            </w:r>
            <w:r w:rsidRPr="00CC4A13">
              <w:rPr>
                <w:rFonts w:ascii="Arial" w:hAnsi="Arial" w:cs="Arial"/>
                <w:color w:val="000000"/>
                <w:sz w:val="18"/>
                <w:szCs w:val="20"/>
                <w:lang w:val="en-US"/>
              </w:rPr>
              <w:fldChar w:fldCharType="end"/>
            </w:r>
          </w:p>
        </w:tc>
        <w:tc>
          <w:tcPr>
            <w:tcW w:w="661"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2008</w:t>
            </w:r>
          </w:p>
        </w:tc>
        <w:tc>
          <w:tcPr>
            <w:tcW w:w="983"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USA </w:t>
            </w:r>
          </w:p>
        </w:tc>
        <w:tc>
          <w:tcPr>
            <w:tcW w:w="3126"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ATS</w:t>
            </w:r>
          </w:p>
        </w:tc>
        <w:tc>
          <w:tcPr>
            <w:tcW w:w="126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Not mentioned</w:t>
            </w:r>
          </w:p>
        </w:tc>
        <w:tc>
          <w:tcPr>
            <w:tcW w:w="3330" w:type="dxa"/>
          </w:tcPr>
          <w:p w:rsidR="00F37B93" w:rsidRPr="00CC4A13" w:rsidRDefault="00F37B93" w:rsidP="00AA220B">
            <w:pPr>
              <w:contextualSpacing/>
              <w:rPr>
                <w:rFonts w:ascii="Arial" w:hAnsi="Arial" w:cs="Arial"/>
                <w:sz w:val="18"/>
                <w:szCs w:val="20"/>
                <w:lang w:val="en-US"/>
              </w:rPr>
            </w:pPr>
            <w:r w:rsidRPr="00CC4A13">
              <w:rPr>
                <w:rFonts w:ascii="Arial" w:hAnsi="Arial" w:cs="Arial"/>
                <w:color w:val="000000"/>
                <w:sz w:val="18"/>
                <w:szCs w:val="20"/>
                <w:lang w:val="en-US"/>
              </w:rPr>
              <w:t>Members of the ATS: physicians, researchers, advanced practice nurses, respiratory therapists, and other health care professionals</w:t>
            </w:r>
          </w:p>
        </w:tc>
        <w:tc>
          <w:tcPr>
            <w:tcW w:w="4140" w:type="dxa"/>
          </w:tcPr>
          <w:p w:rsidR="00F37B93" w:rsidRPr="00CC4A13" w:rsidRDefault="00F37B93" w:rsidP="00AA220B">
            <w:pPr>
              <w:contextualSpacing/>
              <w:rPr>
                <w:rFonts w:ascii="Arial" w:hAnsi="Arial" w:cs="Arial"/>
                <w:sz w:val="18"/>
                <w:szCs w:val="20"/>
                <w:lang w:val="en-US"/>
              </w:rPr>
            </w:pPr>
            <w:r w:rsidRPr="00CC4A13">
              <w:rPr>
                <w:rFonts w:ascii="Arial" w:hAnsi="Arial" w:cs="Arial"/>
                <w:color w:val="000000"/>
                <w:sz w:val="18"/>
                <w:szCs w:val="20"/>
                <w:lang w:val="en-US"/>
              </w:rPr>
              <w:t>Principle- and values-based approach</w:t>
            </w:r>
            <w:r w:rsidRPr="00CC4A13">
              <w:rPr>
                <w:rFonts w:ascii="Arial" w:hAnsi="Arial" w:cs="Arial"/>
                <w:sz w:val="18"/>
                <w:szCs w:val="20"/>
                <w:lang w:val="en-US"/>
              </w:rPr>
              <w:t>; iterative modified group process</w:t>
            </w:r>
          </w:p>
        </w:tc>
      </w:tr>
      <w:tr w:rsidR="00F37B93" w:rsidRPr="00CC4A13" w:rsidTr="00AA220B">
        <w:tc>
          <w:tcPr>
            <w:tcW w:w="1147" w:type="dxa"/>
          </w:tcPr>
          <w:p w:rsidR="00F37B93" w:rsidRPr="00CC4A13" w:rsidRDefault="00F37B93" w:rsidP="00AA220B">
            <w:pPr>
              <w:contextualSpacing/>
              <w:rPr>
                <w:rFonts w:ascii="Arial" w:hAnsi="Arial" w:cs="Arial"/>
                <w:sz w:val="18"/>
                <w:szCs w:val="20"/>
                <w:lang w:val="en-US"/>
              </w:rPr>
            </w:pPr>
            <w:proofErr w:type="spellStart"/>
            <w:r w:rsidRPr="00CC4A13">
              <w:rPr>
                <w:rFonts w:ascii="Arial" w:hAnsi="Arial" w:cs="Arial"/>
                <w:color w:val="000000"/>
                <w:sz w:val="18"/>
                <w:szCs w:val="20"/>
                <w:lang w:val="en-US"/>
              </w:rPr>
              <w:t>Truog</w:t>
            </w:r>
            <w:proofErr w:type="spellEnd"/>
            <w:r w:rsidRPr="00CC4A13">
              <w:rPr>
                <w:rFonts w:ascii="Arial" w:hAnsi="Arial" w:cs="Arial"/>
                <w:color w:val="000000"/>
                <w:sz w:val="18"/>
                <w:szCs w:val="20"/>
                <w:lang w:val="en-US"/>
              </w:rPr>
              <w:t xml:space="preserve"> et al </w:t>
            </w:r>
            <w:r w:rsidRPr="00CC4A13">
              <w:rPr>
                <w:rFonts w:ascii="Arial" w:hAnsi="Arial" w:cs="Arial"/>
                <w:color w:val="000000"/>
                <w:sz w:val="18"/>
                <w:szCs w:val="20"/>
                <w:lang w:val="en-US"/>
              </w:rPr>
              <w:fldChar w:fldCharType="begin" w:fldLock="1"/>
            </w:r>
            <w:r w:rsidRPr="00CC4A13">
              <w:rPr>
                <w:rFonts w:ascii="Arial" w:hAnsi="Arial" w:cs="Arial"/>
                <w:color w:val="000000"/>
                <w:sz w:val="18"/>
                <w:szCs w:val="20"/>
                <w:lang w:val="en-US"/>
              </w:rPr>
              <w:instrText>ADDIN CSL_CITATION { "citationItems" : [ { "id" : "ITEM-1", "itemData" : { "DOI" : "10.1097/CCM.0B013E3181659096", "ISSN" : "1530-0293", "PMID" : "18431285", "abstract" : "BACKGROUND These recommendations have been developed to improve the care of intensive care unit (ICU) patients during the dying process. The recommendations build on those published in 2003 and highlight recent developments in the field from a U.S. perspective. They do not use an evidence grading system because most of the recommendations are based on ethical and legal principles that are not derived from empirically based evidence. PRINCIPAL FINDINGS Family-centered care, which emphasizes the importance of the social structure within which patients are embedded, has emerged as a comprehensive ideal for managing end-of-life care in the ICU. ICU clinicians should be competent in all aspects of this care, including the practical and ethical aspects of withdrawing different modalities of life-sustaining treatment and the use of sedatives, analgesics, and nonpharmacologic approaches to easing the suffering of the dying process. Several key ethical concepts play a foundational role in guiding end-of-life care, including the distinctions between withholding and withdrawing treatments, between actions of killing and allowing to die, and between consequences that are intended vs. those that are merely foreseen (the doctrine of double effect). Improved communication with the family has been shown to improve patient care and family outcomes. Other knowledge unique to end-of-life care includes principles for notifying families of a patient's death and compassionate approaches to discussing options for organ donation. End-of-life care continues even after the death of the patient, and ICUs should consider developing comprehensive bereavement programs to support both families and the needs of the clinical staff. Finally, a comprehensive agenda for improving end-of-life care in the ICU has been developed to guide research, quality improvement efforts, and educational curricula. CONCLUSIONS End-of-life care is emerging as a comprehensive area of expertise in the ICU and demands the same high level of knowledge and competence as all other areas of ICU practice.", "author" : [ { "dropping-particle" : "", "family" : "Truog", "given" : "Robert D", "non-dropping-particle" : "", "parse-names" : false, "suffix" : "" }, { "dropping-particle" : "", "family" : "Campbell", "given" : "Margaret L", "non-dropping-particle" : "", "parse-names" : false, "suffix" : "" }, { "dropping-particle" : "", "family" : "Curtis", "given" : "J Randall", "non-dropping-particle" : "", "parse-names" : false, "suffix" : "" }, { "dropping-particle" : "", "family" : "Haas", "given" : "Curtis E", "non-dropping-particle" : "", "parse-names" : false, "suffix" : "" }, { "dropping-particle" : "", "family" : "Luce", "given" : "John M", "non-dropping-particle" : "", "parse-names" : false, "suffix" : "" }, { "dropping-particle" : "", "family" : "Rubenfeld", "given" : "Gordon D", "non-dropping-particle" : "", "parse-names" : false, "suffix" : "" }, { "dropping-particle" : "", "family" : "Rushton", "given" : "Cynda Hylton", "non-dropping-particle" : "", "parse-names" : false, "suffix" : "" }, { "dropping-particle" : "", "family" : "Kaufman", "given" : "David C", "non-dropping-particle" : "", "parse-names" : false, "suffix" : "" }, { "dropping-particle" : "", "family" : "American Academy of Critical Care Medicine", "given" : "", "non-dropping-particle" : "", "parse-names" : false, "suffix" : "" } ], "container-title" : "Critical care medicine", "id" : "ITEM-1", "issue" : "3", "issued" : { "date-parts" : [ [ "2008", "3" ] ] }, "page" : "953-63", "title" : "Recommendations for end-of-life care in the intensive care unit: a consensus statement by the American College [corrected] of Critical Care Medicine.", "type" : "article-journal", "volume" : "36" }, "uris" : [ "http://www.mendeley.com/documents/?uuid=959ea311-ed8d-4067-b0ba-e4abb015d364" ] } ], "mendeley" : { "formattedCitation" : "(16)", "plainTextFormattedCitation" : "(16)", "previouslyFormattedCitation" : "(16)" }, "properties" : { "noteIndex" : 0 }, "schema" : "https://github.com/citation-style-language/schema/raw/master/csl-citation.json" }</w:instrText>
            </w:r>
            <w:r w:rsidRPr="00CC4A13">
              <w:rPr>
                <w:rFonts w:ascii="Arial" w:hAnsi="Arial" w:cs="Arial"/>
                <w:color w:val="000000"/>
                <w:sz w:val="18"/>
                <w:szCs w:val="20"/>
                <w:lang w:val="en-US"/>
              </w:rPr>
              <w:fldChar w:fldCharType="separate"/>
            </w:r>
            <w:r w:rsidRPr="00CC4A13">
              <w:rPr>
                <w:rFonts w:ascii="Arial" w:hAnsi="Arial" w:cs="Arial"/>
                <w:noProof/>
                <w:color w:val="000000"/>
                <w:sz w:val="18"/>
                <w:szCs w:val="20"/>
                <w:lang w:val="en-US"/>
              </w:rPr>
              <w:t>(16)</w:t>
            </w:r>
            <w:r w:rsidRPr="00CC4A13">
              <w:rPr>
                <w:rFonts w:ascii="Arial" w:hAnsi="Arial" w:cs="Arial"/>
                <w:color w:val="000000"/>
                <w:sz w:val="18"/>
                <w:szCs w:val="20"/>
                <w:lang w:val="en-US"/>
              </w:rPr>
              <w:fldChar w:fldCharType="end"/>
            </w:r>
          </w:p>
        </w:tc>
        <w:tc>
          <w:tcPr>
            <w:tcW w:w="661" w:type="dxa"/>
          </w:tcPr>
          <w:p w:rsidR="00F37B93" w:rsidRPr="00CC4A13" w:rsidRDefault="00F37B93" w:rsidP="00AA220B">
            <w:pPr>
              <w:contextualSpacing/>
              <w:rPr>
                <w:rFonts w:ascii="Arial" w:hAnsi="Arial" w:cs="Arial"/>
                <w:sz w:val="18"/>
                <w:szCs w:val="20"/>
                <w:lang w:val="en-US"/>
              </w:rPr>
            </w:pPr>
            <w:r w:rsidRPr="00CC4A13">
              <w:rPr>
                <w:rFonts w:ascii="Arial" w:eastAsia="Times New Roman" w:hAnsi="Arial" w:cs="Arial"/>
                <w:color w:val="000000"/>
                <w:sz w:val="18"/>
                <w:szCs w:val="20"/>
                <w:lang w:val="en-US"/>
              </w:rPr>
              <w:t>2008</w:t>
            </w:r>
          </w:p>
        </w:tc>
        <w:tc>
          <w:tcPr>
            <w:tcW w:w="983"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USA</w:t>
            </w:r>
          </w:p>
        </w:tc>
        <w:tc>
          <w:tcPr>
            <w:tcW w:w="3126"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American College of Critical Care Medicine</w:t>
            </w:r>
          </w:p>
        </w:tc>
        <w:tc>
          <w:tcPr>
            <w:tcW w:w="126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Not mentioned </w:t>
            </w:r>
          </w:p>
        </w:tc>
        <w:tc>
          <w:tcPr>
            <w:tcW w:w="3330" w:type="dxa"/>
          </w:tcPr>
          <w:p w:rsidR="00F37B93" w:rsidRPr="00CC4A13" w:rsidRDefault="00F37B93" w:rsidP="00AA220B">
            <w:pPr>
              <w:contextualSpacing/>
              <w:rPr>
                <w:rFonts w:ascii="Arial" w:hAnsi="Arial" w:cs="Arial"/>
                <w:sz w:val="18"/>
                <w:szCs w:val="20"/>
                <w:lang w:val="en-US"/>
              </w:rPr>
            </w:pPr>
            <w:r w:rsidRPr="00CC4A13">
              <w:rPr>
                <w:rFonts w:ascii="Arial" w:hAnsi="Arial" w:cs="Arial"/>
                <w:color w:val="000000"/>
                <w:sz w:val="18"/>
                <w:szCs w:val="20"/>
                <w:lang w:val="en-US"/>
              </w:rPr>
              <w:t>Health care professionals involved in end-of-life care in the ICU</w:t>
            </w:r>
          </w:p>
        </w:tc>
        <w:tc>
          <w:tcPr>
            <w:tcW w:w="414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Not mentioned</w:t>
            </w:r>
          </w:p>
        </w:tc>
      </w:tr>
      <w:tr w:rsidR="00F37B93" w:rsidRPr="00CC4A13" w:rsidTr="00AA220B">
        <w:tc>
          <w:tcPr>
            <w:tcW w:w="1147" w:type="dxa"/>
          </w:tcPr>
          <w:p w:rsidR="00F37B93" w:rsidRPr="00CC4A13" w:rsidRDefault="00F37B93" w:rsidP="00AA220B">
            <w:pPr>
              <w:contextualSpacing/>
              <w:rPr>
                <w:rFonts w:ascii="Arial" w:hAnsi="Arial" w:cs="Arial"/>
                <w:color w:val="000000"/>
                <w:sz w:val="18"/>
                <w:szCs w:val="20"/>
                <w:lang w:val="en-US"/>
              </w:rPr>
            </w:pPr>
            <w:proofErr w:type="spellStart"/>
            <w:r w:rsidRPr="00CC4A13">
              <w:rPr>
                <w:rFonts w:ascii="Arial" w:hAnsi="Arial" w:cs="Arial"/>
                <w:color w:val="000000"/>
                <w:sz w:val="18"/>
                <w:szCs w:val="20"/>
                <w:lang w:val="en-US"/>
              </w:rPr>
              <w:t>Myatra</w:t>
            </w:r>
            <w:proofErr w:type="spellEnd"/>
            <w:r w:rsidRPr="00CC4A13">
              <w:rPr>
                <w:rFonts w:ascii="Arial" w:hAnsi="Arial" w:cs="Arial"/>
                <w:color w:val="000000"/>
                <w:sz w:val="18"/>
                <w:szCs w:val="20"/>
                <w:lang w:val="en-US"/>
              </w:rPr>
              <w:t xml:space="preserve"> et al </w:t>
            </w:r>
            <w:r w:rsidRPr="00CC4A13">
              <w:rPr>
                <w:rFonts w:ascii="Arial" w:hAnsi="Arial" w:cs="Arial"/>
                <w:color w:val="000000"/>
                <w:sz w:val="18"/>
                <w:szCs w:val="20"/>
                <w:lang w:val="en-US"/>
              </w:rPr>
              <w:fldChar w:fldCharType="begin" w:fldLock="1"/>
            </w:r>
            <w:r w:rsidRPr="00CC4A13">
              <w:rPr>
                <w:rFonts w:ascii="Arial" w:hAnsi="Arial" w:cs="Arial"/>
                <w:color w:val="000000"/>
                <w:sz w:val="18"/>
                <w:szCs w:val="20"/>
                <w:lang w:val="en-US"/>
              </w:rPr>
              <w:instrText>ADDIN CSL_CITATION { "citationItems" : [ { "id" : "ITEM-1", "itemData" : { "DOI" : "10.4103/0972-5229.140155", "ISSN" : "0972-5229 (Print)", "PMID" : "25249748", "abstract" : "PURPOSE: The purpose was to develop an end-of-life care (EOLC) policy for patients who are dying with an advanced life limiting illness and to develop practical procedural guidelines for limiting inappropriate therapeutic medical interventions and improve the quality of care of the dying within an ethical framework and through a professional and family/patient consensus process. EVIDENCE: The Indian Society of Critical Care Medicine (ISCCM) published its first guidelines on EOLC in 2005 [1] which was later revised in 2012.[2] Since these publications, there has been an exponential increase in empirical information and discussion on the subject. The literature reviewed observational studies, surveys, randomized controlled studies, as well as guidelines and recommendations, for education and quality improvement published across the world. The search terms were: EOLC; do not resuscitate directives; withdrawal and withholding; intensive care; terminal care; medical futility; ethical issues; palliative care; EOLC in India; cultural variations. Indian Association of Palliative Care (IAPC) also recently published its consensus position statement on EOLC policy for the dying.[3]. METHOD: An expert committee of members of the ISCCM and IAPC was formed to make a joint EOLC policy for the dying patients. Proposals from the chair were discussed, debated, and recommendations were formulated through a consensus process. The members extensively reviewed national and international established ethical principles and current procedural practices. This joint EOLC policy has incorporated the sociocultural, ethical, and legal perspectives, while taking into account the needs and situation unique to India.", "author" : [ { "dropping-particle" : "", "family" : "Myatra", "given" : "Sheila Nainan", "non-dropping-particle" : "", "parse-names" : false, "suffix" : "" }, { "dropping-particle" : "", "family" : "Salins", "given" : "Naveen", "non-dropping-particle" : "", "parse-names" : false, "suffix" : "" }, { "dropping-particle" : "", "family" : "Iyer", "given" : "Shivakumar", "non-dropping-particle" : "", "parse-names" : false, "suffix" : "" }, { "dropping-particle" : "", "family" : "Macaden", "given" : "Stanley C", "non-dropping-particle" : "", "parse-names" : false, "suffix" : "" }, { "dropping-particle" : "V", "family" : "Divatia", "given" : "Jigeeshu", "non-dropping-particle" : "", "parse-names" : false, "suffix" : "" }, { "dropping-particle" : "", "family" : "Muckaden", "given" : "Maryann", "non-dropping-particle" : "", "parse-names" : false, "suffix" : "" }, { "dropping-particle" : "", "family" : "Kulkarni", "given" : "Priyadarshini", "non-dropping-particle" : "", "parse-names" : false, "suffix" : "" }, { "dropping-particle" : "", "family" : "Simha", "given" : "Srinagesh", "non-dropping-particle" : "", "parse-names" : false, "suffix" : "" }, { "dropping-particle" : "", "family" : "Mani", "given" : "Raj Kumar", "non-dropping-particle" : "", "parse-names" : false, "suffix" : "" } ], "container-title" : "Indian journal of critical care medicine : peer-reviewed, official publication of Indian Society of Critical Care Medicine", "id" : "ITEM-1", "issue" : "9", "issued" : { "date-parts" : [ [ "2014", "9" ] ] }, "language" : "eng", "page" : "615-635", "publisher-place" : "India", "title" : "End-of-life care policy: An integrated care plan for the dying: A Joint Position  Statement of the Indian Society of Critical Care Medicine (ISCCM) and the Indian Association of Palliative Care (IAPC).", "type" : "article-journal", "volume" : "18" }, "uris" : [ "http://www.mendeley.com/documents/?uuid=d807a90a-abe5-437c-a766-d2e2e69ed03f" ] } ], "mendeley" : { "formattedCitation" : "(22)", "plainTextFormattedCitation" : "(22)", "previouslyFormattedCitation" : "(22)" }, "properties" : { "noteIndex" : 0 }, "schema" : "https://github.com/citation-style-language/schema/raw/master/csl-citation.json" }</w:instrText>
            </w:r>
            <w:r w:rsidRPr="00CC4A13">
              <w:rPr>
                <w:rFonts w:ascii="Arial" w:hAnsi="Arial" w:cs="Arial"/>
                <w:color w:val="000000"/>
                <w:sz w:val="18"/>
                <w:szCs w:val="20"/>
                <w:lang w:val="en-US"/>
              </w:rPr>
              <w:fldChar w:fldCharType="separate"/>
            </w:r>
            <w:r w:rsidRPr="00CC4A13">
              <w:rPr>
                <w:rFonts w:ascii="Arial" w:hAnsi="Arial" w:cs="Arial"/>
                <w:noProof/>
                <w:color w:val="000000"/>
                <w:sz w:val="18"/>
                <w:szCs w:val="20"/>
                <w:lang w:val="en-US"/>
              </w:rPr>
              <w:t>(22)</w:t>
            </w:r>
            <w:r w:rsidRPr="00CC4A13">
              <w:rPr>
                <w:rFonts w:ascii="Arial" w:hAnsi="Arial" w:cs="Arial"/>
                <w:color w:val="000000"/>
                <w:sz w:val="18"/>
                <w:szCs w:val="20"/>
                <w:lang w:val="en-US"/>
              </w:rPr>
              <w:fldChar w:fldCharType="end"/>
            </w:r>
          </w:p>
        </w:tc>
        <w:tc>
          <w:tcPr>
            <w:tcW w:w="661" w:type="dxa"/>
          </w:tcPr>
          <w:p w:rsidR="00F37B93" w:rsidRPr="00CC4A13" w:rsidRDefault="00F37B93" w:rsidP="00AA220B">
            <w:pPr>
              <w:contextualSpacing/>
              <w:rPr>
                <w:rFonts w:ascii="Arial" w:eastAsia="Times New Roman" w:hAnsi="Arial" w:cs="Arial"/>
                <w:color w:val="000000"/>
                <w:sz w:val="18"/>
                <w:szCs w:val="20"/>
                <w:lang w:val="en-US"/>
              </w:rPr>
            </w:pPr>
            <w:r w:rsidRPr="00CC4A13">
              <w:rPr>
                <w:rFonts w:ascii="Arial" w:eastAsia="Times New Roman" w:hAnsi="Arial" w:cs="Arial"/>
                <w:color w:val="000000"/>
                <w:sz w:val="18"/>
                <w:szCs w:val="20"/>
                <w:lang w:val="en-US"/>
              </w:rPr>
              <w:t>2014</w:t>
            </w:r>
          </w:p>
        </w:tc>
        <w:tc>
          <w:tcPr>
            <w:tcW w:w="983"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India </w:t>
            </w:r>
          </w:p>
        </w:tc>
        <w:tc>
          <w:tcPr>
            <w:tcW w:w="3126"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Indian Society of Critical Care </w:t>
            </w:r>
            <w:proofErr w:type="spellStart"/>
            <w:r w:rsidRPr="00CC4A13">
              <w:rPr>
                <w:rFonts w:ascii="Arial" w:hAnsi="Arial" w:cs="Arial"/>
                <w:sz w:val="18"/>
                <w:szCs w:val="20"/>
                <w:lang w:val="en-US"/>
              </w:rPr>
              <w:t>Medicnie</w:t>
            </w:r>
            <w:proofErr w:type="spellEnd"/>
            <w:r w:rsidRPr="00CC4A13">
              <w:rPr>
                <w:rFonts w:ascii="Arial" w:hAnsi="Arial" w:cs="Arial"/>
                <w:sz w:val="18"/>
                <w:szCs w:val="20"/>
                <w:lang w:val="en-US"/>
              </w:rPr>
              <w:t xml:space="preserve"> and Indian Association of Palliative Care</w:t>
            </w:r>
          </w:p>
        </w:tc>
        <w:tc>
          <w:tcPr>
            <w:tcW w:w="126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Not reported </w:t>
            </w:r>
          </w:p>
        </w:tc>
        <w:tc>
          <w:tcPr>
            <w:tcW w:w="3330" w:type="dxa"/>
          </w:tcPr>
          <w:p w:rsidR="00F37B93" w:rsidRPr="00CC4A13" w:rsidRDefault="00F37B93" w:rsidP="00AA220B">
            <w:pPr>
              <w:contextualSpacing/>
              <w:rPr>
                <w:rFonts w:ascii="Arial" w:hAnsi="Arial" w:cs="Arial"/>
                <w:color w:val="000000"/>
                <w:sz w:val="18"/>
                <w:szCs w:val="20"/>
                <w:lang w:val="en-US"/>
              </w:rPr>
            </w:pPr>
            <w:r w:rsidRPr="00CC4A13">
              <w:rPr>
                <w:rFonts w:ascii="Arial" w:hAnsi="Arial" w:cs="Arial"/>
                <w:color w:val="000000"/>
                <w:sz w:val="18"/>
                <w:szCs w:val="20"/>
                <w:lang w:val="en-US"/>
              </w:rPr>
              <w:t>Health care professionals involved in end-of-life care in the ICU</w:t>
            </w:r>
          </w:p>
        </w:tc>
        <w:tc>
          <w:tcPr>
            <w:tcW w:w="414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Expert committee of members of the ISCCM and IAPC was formed</w:t>
            </w:r>
          </w:p>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to make a joint EOLC policy for the dying patients. Recommendations were formulated through a consensus</w:t>
            </w:r>
          </w:p>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process</w:t>
            </w:r>
          </w:p>
        </w:tc>
      </w:tr>
      <w:tr w:rsidR="00F37B93" w:rsidRPr="00CC4A13" w:rsidTr="00AA220B">
        <w:tc>
          <w:tcPr>
            <w:tcW w:w="1147" w:type="dxa"/>
          </w:tcPr>
          <w:p w:rsidR="00F37B93" w:rsidRPr="00CC4A13" w:rsidRDefault="00F37B93" w:rsidP="00AA220B">
            <w:pPr>
              <w:contextualSpacing/>
              <w:rPr>
                <w:rFonts w:ascii="Arial" w:hAnsi="Arial" w:cs="Arial"/>
                <w:sz w:val="18"/>
                <w:szCs w:val="20"/>
                <w:lang w:val="en-US"/>
              </w:rPr>
            </w:pPr>
            <w:proofErr w:type="spellStart"/>
            <w:r w:rsidRPr="00CC4A13">
              <w:rPr>
                <w:rFonts w:ascii="Arial" w:hAnsi="Arial" w:cs="Arial"/>
                <w:color w:val="000000"/>
                <w:sz w:val="18"/>
                <w:szCs w:val="20"/>
                <w:lang w:val="en-US"/>
              </w:rPr>
              <w:t>Orsi</w:t>
            </w:r>
            <w:proofErr w:type="spellEnd"/>
            <w:r w:rsidRPr="00CC4A13">
              <w:rPr>
                <w:rFonts w:ascii="Arial" w:hAnsi="Arial" w:cs="Arial"/>
                <w:color w:val="000000"/>
                <w:sz w:val="18"/>
                <w:szCs w:val="20"/>
                <w:lang w:val="en-US"/>
              </w:rPr>
              <w:t xml:space="preserve"> and </w:t>
            </w:r>
            <w:proofErr w:type="spellStart"/>
            <w:r w:rsidRPr="00CC4A13">
              <w:rPr>
                <w:rFonts w:ascii="Arial" w:hAnsi="Arial" w:cs="Arial"/>
                <w:color w:val="000000"/>
                <w:sz w:val="18"/>
                <w:szCs w:val="20"/>
                <w:lang w:val="en-US"/>
              </w:rPr>
              <w:t>Gristina</w:t>
            </w:r>
            <w:proofErr w:type="spellEnd"/>
            <w:r w:rsidRPr="00CC4A13">
              <w:rPr>
                <w:rFonts w:ascii="Arial" w:hAnsi="Arial" w:cs="Arial"/>
                <w:color w:val="000000"/>
                <w:sz w:val="18"/>
                <w:szCs w:val="20"/>
                <w:lang w:val="en-US"/>
              </w:rPr>
              <w:t xml:space="preserve"> </w:t>
            </w:r>
            <w:r w:rsidRPr="00CC4A13">
              <w:rPr>
                <w:rFonts w:ascii="Arial" w:hAnsi="Arial" w:cs="Arial"/>
                <w:color w:val="000000"/>
                <w:sz w:val="18"/>
                <w:szCs w:val="20"/>
                <w:lang w:val="en-US"/>
              </w:rPr>
              <w:fldChar w:fldCharType="begin" w:fldLock="1"/>
            </w:r>
            <w:r w:rsidRPr="00CC4A13">
              <w:rPr>
                <w:rFonts w:ascii="Arial" w:hAnsi="Arial" w:cs="Arial"/>
                <w:color w:val="000000"/>
                <w:sz w:val="18"/>
                <w:szCs w:val="20"/>
                <w:lang w:val="en-US"/>
              </w:rPr>
              <w:instrText>ADDIN CSL_CITATION { "citationItems" : [ { "id" : "ITEM-1", "itemData" : { "DOI" : "10.23736/S0375-9393.16.11736-5", "ISSN" : "1827-1596", "PMID" : "28006887", "abstract" : "In January 2016 the Italian National Bioethics Committee (NBC) published a position statement entitled Deep and continuous palliative sedation in the imminence of death, related to the use of sedation and analgesia for relief from pain and psychological distress in dying patients. In this statement the Committee points out the clinical and ethical appropriateness of palliative sedation as a therapeutic procedure. As a result, today palliative sedation has to be considered useful, scientifically safe and reliable, and acknowledged as an integral part of good clinical practice. At the same time, the position statement, once and for all, makes clear that palliative sedation cannot and must not be equated with the practice of euthanasia. Thus, this document should be known by health professionals caring for dying patients not only in palliative as well as in intensive care settings, but it should be also considered as a milestone aimed to encourage and ease a widespread implementation of this procedure in all health care settings.", "author" : [ { "dropping-particle" : "", "family" : "Orsi", "given" : "Luciano", "non-dropping-particle" : "", "parse-names" : false, "suffix" : "" }, { "dropping-particle" : "", "family" : "Gristina", "given" : "Giuseppe R", "non-dropping-particle" : "", "parse-names" : false, "suffix" : "" } ], "container-title" : "Minerva anestesiologica", "id" : "ITEM-1", "issue" : "5", "issued" : { "date-parts" : [ [ "2017", "5" ] ] }, "language" : "English", "page" : "524-528", "publisher-place" : "L. Orsi, Private Practitioner, Societ\u00e0 Italiana di Cure Palliative (SICP), Milan, Italy", "title" : "Palliative sedation: the position statement of the Italian National Committee for Bioethics.", "type" : "article-journal", "volume" : "83" }, "uris" : [ "http://www.mendeley.com/documents/?uuid=7ed4e838-102d-476e-8a16-c9c8ef1b06a0", "http://www.mendeley.com/documents/?uuid=48a4b460-307d-4265-9e4c-67642dd23d0a", "http://www.mendeley.com/documents/?uuid=05c38e28-f5e6-4036-8af3-35a700df7284" ] } ], "mendeley" : { "formattedCitation" : "(18)", "plainTextFormattedCitation" : "(18)", "previouslyFormattedCitation" : "(18)" }, "properties" : { "noteIndex" : 0 }, "schema" : "https://github.com/citation-style-language/schema/raw/master/csl-citation.json" }</w:instrText>
            </w:r>
            <w:r w:rsidRPr="00CC4A13">
              <w:rPr>
                <w:rFonts w:ascii="Arial" w:hAnsi="Arial" w:cs="Arial"/>
                <w:color w:val="000000"/>
                <w:sz w:val="18"/>
                <w:szCs w:val="20"/>
                <w:lang w:val="en-US"/>
              </w:rPr>
              <w:fldChar w:fldCharType="separate"/>
            </w:r>
            <w:r w:rsidRPr="00CC4A13">
              <w:rPr>
                <w:rFonts w:ascii="Arial" w:hAnsi="Arial" w:cs="Arial"/>
                <w:noProof/>
                <w:color w:val="000000"/>
                <w:sz w:val="18"/>
                <w:szCs w:val="20"/>
                <w:lang w:val="en-US"/>
              </w:rPr>
              <w:t>(18)</w:t>
            </w:r>
            <w:r w:rsidRPr="00CC4A13">
              <w:rPr>
                <w:rFonts w:ascii="Arial" w:hAnsi="Arial" w:cs="Arial"/>
                <w:color w:val="000000"/>
                <w:sz w:val="18"/>
                <w:szCs w:val="20"/>
                <w:lang w:val="en-US"/>
              </w:rPr>
              <w:fldChar w:fldCharType="end"/>
            </w:r>
          </w:p>
        </w:tc>
        <w:tc>
          <w:tcPr>
            <w:tcW w:w="661" w:type="dxa"/>
          </w:tcPr>
          <w:p w:rsidR="00F37B93" w:rsidRPr="00CC4A13" w:rsidRDefault="00F37B93" w:rsidP="00AA220B">
            <w:pPr>
              <w:contextualSpacing/>
              <w:rPr>
                <w:rFonts w:ascii="Arial" w:hAnsi="Arial" w:cs="Arial"/>
                <w:sz w:val="18"/>
                <w:szCs w:val="20"/>
                <w:lang w:val="en-US"/>
              </w:rPr>
            </w:pPr>
            <w:r w:rsidRPr="00CC4A13">
              <w:rPr>
                <w:rFonts w:ascii="Arial" w:eastAsia="Times New Roman" w:hAnsi="Arial" w:cs="Arial"/>
                <w:color w:val="000000"/>
                <w:sz w:val="18"/>
                <w:szCs w:val="20"/>
                <w:lang w:val="en-US"/>
              </w:rPr>
              <w:t>2017</w:t>
            </w:r>
          </w:p>
        </w:tc>
        <w:tc>
          <w:tcPr>
            <w:tcW w:w="983"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Italy </w:t>
            </w:r>
          </w:p>
        </w:tc>
        <w:tc>
          <w:tcPr>
            <w:tcW w:w="3126"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SIAARTI Bioethical Board</w:t>
            </w:r>
          </w:p>
        </w:tc>
        <w:tc>
          <w:tcPr>
            <w:tcW w:w="126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Not mentioned</w:t>
            </w:r>
          </w:p>
        </w:tc>
        <w:tc>
          <w:tcPr>
            <w:tcW w:w="3330" w:type="dxa"/>
          </w:tcPr>
          <w:p w:rsidR="00F37B93" w:rsidRPr="00CC4A13" w:rsidRDefault="00F37B93" w:rsidP="00AA220B">
            <w:pPr>
              <w:contextualSpacing/>
              <w:rPr>
                <w:rFonts w:ascii="Arial" w:hAnsi="Arial" w:cs="Arial"/>
                <w:sz w:val="18"/>
                <w:szCs w:val="20"/>
                <w:lang w:val="en-US"/>
              </w:rPr>
            </w:pPr>
            <w:r w:rsidRPr="00CC4A13">
              <w:rPr>
                <w:rFonts w:ascii="Arial" w:hAnsi="Arial" w:cs="Arial"/>
                <w:color w:val="000000"/>
                <w:sz w:val="18"/>
                <w:szCs w:val="20"/>
                <w:lang w:val="en-US"/>
              </w:rPr>
              <w:t>Health professionals caring for dying patients in palliative and intensive care settings</w:t>
            </w:r>
          </w:p>
        </w:tc>
        <w:tc>
          <w:tcPr>
            <w:tcW w:w="4140" w:type="dxa"/>
          </w:tcPr>
          <w:p w:rsidR="00F37B93" w:rsidRPr="00CC4A13" w:rsidRDefault="00F37B93" w:rsidP="00AA220B">
            <w:pPr>
              <w:contextualSpacing/>
              <w:rPr>
                <w:rFonts w:ascii="Arial" w:hAnsi="Arial" w:cs="Arial"/>
                <w:sz w:val="18"/>
                <w:szCs w:val="20"/>
                <w:lang w:val="en-US"/>
              </w:rPr>
            </w:pPr>
            <w:r w:rsidRPr="00CC4A13">
              <w:rPr>
                <w:rFonts w:ascii="Arial" w:hAnsi="Arial" w:cs="Arial"/>
                <w:sz w:val="18"/>
                <w:szCs w:val="20"/>
                <w:lang w:val="en-US"/>
              </w:rPr>
              <w:t xml:space="preserve">Experts’ opinion </w:t>
            </w:r>
          </w:p>
        </w:tc>
      </w:tr>
    </w:tbl>
    <w:p w:rsidR="00F37B93" w:rsidRPr="00CC4A13" w:rsidRDefault="00F37B93" w:rsidP="00F37B93">
      <w:pPr>
        <w:contextualSpacing/>
        <w:rPr>
          <w:rFonts w:ascii="Arial" w:hAnsi="Arial" w:cs="Arial"/>
          <w:sz w:val="18"/>
          <w:szCs w:val="22"/>
        </w:rPr>
      </w:pPr>
      <w:r w:rsidRPr="00CC4A13">
        <w:rPr>
          <w:rFonts w:ascii="Arial" w:hAnsi="Arial" w:cs="Arial"/>
          <w:sz w:val="18"/>
          <w:szCs w:val="22"/>
        </w:rPr>
        <w:t xml:space="preserve">ATS: American Thoracic Society; EOLC: end-of-life care; ERS: European Respiratory Society; ESICM: European Society of Intensive Care Medicine; ICU: intensive care unit; SEMICYUC: Spanish Society of Intensive, Critical Medicine and Coronary Units; SCCM: Society of Critical Care Medicine; SIAARTI: </w:t>
      </w:r>
      <w:proofErr w:type="spellStart"/>
      <w:r w:rsidRPr="00CC4A13">
        <w:rPr>
          <w:rFonts w:ascii="Arial" w:eastAsia="Times New Roman" w:hAnsi="Arial" w:cs="Arial"/>
          <w:sz w:val="18"/>
          <w:szCs w:val="22"/>
          <w:shd w:val="clear" w:color="auto" w:fill="FFFFFF"/>
        </w:rPr>
        <w:t>Società</w:t>
      </w:r>
      <w:proofErr w:type="spellEnd"/>
      <w:r w:rsidRPr="00CC4A13">
        <w:rPr>
          <w:rFonts w:ascii="Arial" w:eastAsia="Times New Roman" w:hAnsi="Arial" w:cs="Arial"/>
          <w:sz w:val="18"/>
          <w:szCs w:val="22"/>
          <w:shd w:val="clear" w:color="auto" w:fill="FFFFFF"/>
        </w:rPr>
        <w:t xml:space="preserve"> </w:t>
      </w:r>
      <w:proofErr w:type="spellStart"/>
      <w:r w:rsidRPr="00CC4A13">
        <w:rPr>
          <w:rFonts w:ascii="Arial" w:eastAsia="Times New Roman" w:hAnsi="Arial" w:cs="Arial"/>
          <w:sz w:val="18"/>
          <w:szCs w:val="22"/>
          <w:shd w:val="clear" w:color="auto" w:fill="FFFFFF"/>
        </w:rPr>
        <w:t>Italiana</w:t>
      </w:r>
      <w:proofErr w:type="spellEnd"/>
      <w:r w:rsidRPr="00CC4A13">
        <w:rPr>
          <w:rFonts w:ascii="Arial" w:eastAsia="Times New Roman" w:hAnsi="Arial" w:cs="Arial"/>
          <w:sz w:val="18"/>
          <w:szCs w:val="22"/>
          <w:shd w:val="clear" w:color="auto" w:fill="FFFFFF"/>
        </w:rPr>
        <w:t xml:space="preserve"> di </w:t>
      </w:r>
      <w:proofErr w:type="spellStart"/>
      <w:r w:rsidRPr="00CC4A13">
        <w:rPr>
          <w:rFonts w:ascii="Arial" w:eastAsia="Times New Roman" w:hAnsi="Arial" w:cs="Arial"/>
          <w:sz w:val="18"/>
          <w:szCs w:val="22"/>
          <w:shd w:val="clear" w:color="auto" w:fill="FFFFFF"/>
        </w:rPr>
        <w:t>Anestesia</w:t>
      </w:r>
      <w:proofErr w:type="spellEnd"/>
      <w:r w:rsidRPr="00CC4A13">
        <w:rPr>
          <w:rFonts w:ascii="Arial" w:eastAsia="Times New Roman" w:hAnsi="Arial" w:cs="Arial"/>
          <w:sz w:val="18"/>
          <w:szCs w:val="22"/>
          <w:shd w:val="clear" w:color="auto" w:fill="FFFFFF"/>
        </w:rPr>
        <w:t xml:space="preserve"> Analgesia </w:t>
      </w:r>
      <w:proofErr w:type="spellStart"/>
      <w:r w:rsidRPr="00CC4A13">
        <w:rPr>
          <w:rFonts w:ascii="Arial" w:eastAsia="Times New Roman" w:hAnsi="Arial" w:cs="Arial"/>
          <w:sz w:val="18"/>
          <w:szCs w:val="22"/>
          <w:shd w:val="clear" w:color="auto" w:fill="FFFFFF"/>
        </w:rPr>
        <w:t>Rianimazione</w:t>
      </w:r>
      <w:proofErr w:type="spellEnd"/>
      <w:r w:rsidRPr="00CC4A13">
        <w:rPr>
          <w:rFonts w:ascii="Arial" w:eastAsia="Times New Roman" w:hAnsi="Arial" w:cs="Arial"/>
          <w:sz w:val="18"/>
          <w:szCs w:val="22"/>
          <w:shd w:val="clear" w:color="auto" w:fill="FFFFFF"/>
        </w:rPr>
        <w:t xml:space="preserve"> e </w:t>
      </w:r>
      <w:proofErr w:type="spellStart"/>
      <w:r w:rsidRPr="00CC4A13">
        <w:rPr>
          <w:rFonts w:ascii="Arial" w:eastAsia="Times New Roman" w:hAnsi="Arial" w:cs="Arial"/>
          <w:sz w:val="18"/>
          <w:szCs w:val="22"/>
          <w:shd w:val="clear" w:color="auto" w:fill="FFFFFF"/>
        </w:rPr>
        <w:t>Terapia</w:t>
      </w:r>
      <w:proofErr w:type="spellEnd"/>
      <w:r w:rsidRPr="00CC4A13">
        <w:rPr>
          <w:rFonts w:ascii="Arial" w:eastAsia="Times New Roman" w:hAnsi="Arial" w:cs="Arial"/>
          <w:sz w:val="18"/>
          <w:szCs w:val="22"/>
          <w:shd w:val="clear" w:color="auto" w:fill="FFFFFF"/>
        </w:rPr>
        <w:t xml:space="preserve"> </w:t>
      </w:r>
      <w:proofErr w:type="spellStart"/>
      <w:r w:rsidRPr="00CC4A13">
        <w:rPr>
          <w:rFonts w:ascii="Arial" w:eastAsia="Times New Roman" w:hAnsi="Arial" w:cs="Arial"/>
          <w:sz w:val="18"/>
          <w:szCs w:val="22"/>
          <w:shd w:val="clear" w:color="auto" w:fill="FFFFFF"/>
        </w:rPr>
        <w:t>Intensiva</w:t>
      </w:r>
      <w:proofErr w:type="spellEnd"/>
      <w:r w:rsidRPr="00CC4A13">
        <w:rPr>
          <w:rFonts w:ascii="Arial" w:eastAsia="Times New Roman" w:hAnsi="Arial" w:cs="Arial"/>
          <w:sz w:val="18"/>
          <w:szCs w:val="22"/>
          <w:shd w:val="clear" w:color="auto" w:fill="FFFFFF"/>
        </w:rPr>
        <w:t>;</w:t>
      </w:r>
      <w:r w:rsidRPr="00CC4A13">
        <w:rPr>
          <w:rFonts w:ascii="Arial" w:hAnsi="Arial" w:cs="Arial"/>
          <w:sz w:val="18"/>
          <w:szCs w:val="22"/>
        </w:rPr>
        <w:t xml:space="preserve"> SRLF: </w:t>
      </w:r>
      <w:proofErr w:type="spellStart"/>
      <w:r w:rsidRPr="00CC4A13">
        <w:rPr>
          <w:rFonts w:ascii="Arial" w:eastAsia="Times New Roman" w:hAnsi="Arial" w:cs="Arial"/>
          <w:sz w:val="18"/>
          <w:szCs w:val="22"/>
          <w:shd w:val="clear" w:color="auto" w:fill="FFFFFF"/>
        </w:rPr>
        <w:t>Société</w:t>
      </w:r>
      <w:proofErr w:type="spellEnd"/>
      <w:r w:rsidRPr="00CC4A13">
        <w:rPr>
          <w:rFonts w:ascii="Arial" w:eastAsia="Times New Roman" w:hAnsi="Arial" w:cs="Arial"/>
          <w:sz w:val="18"/>
          <w:szCs w:val="22"/>
          <w:shd w:val="clear" w:color="auto" w:fill="FFFFFF"/>
        </w:rPr>
        <w:t xml:space="preserve"> de </w:t>
      </w:r>
      <w:proofErr w:type="spellStart"/>
      <w:r w:rsidRPr="00CC4A13">
        <w:rPr>
          <w:rFonts w:ascii="Arial" w:eastAsia="Times New Roman" w:hAnsi="Arial" w:cs="Arial"/>
          <w:sz w:val="18"/>
          <w:szCs w:val="22"/>
          <w:shd w:val="clear" w:color="auto" w:fill="FFFFFF"/>
        </w:rPr>
        <w:t>Réanimation</w:t>
      </w:r>
      <w:proofErr w:type="spellEnd"/>
      <w:r w:rsidRPr="00CC4A13">
        <w:rPr>
          <w:rFonts w:ascii="Arial" w:eastAsia="Times New Roman" w:hAnsi="Arial" w:cs="Arial"/>
          <w:sz w:val="18"/>
          <w:szCs w:val="22"/>
          <w:shd w:val="clear" w:color="auto" w:fill="FFFFFF"/>
        </w:rPr>
        <w:t xml:space="preserve"> de Langue </w:t>
      </w:r>
      <w:proofErr w:type="spellStart"/>
      <w:r w:rsidRPr="00CC4A13">
        <w:rPr>
          <w:rFonts w:ascii="Arial" w:eastAsia="Times New Roman" w:hAnsi="Arial" w:cs="Arial"/>
          <w:sz w:val="18"/>
          <w:szCs w:val="22"/>
          <w:shd w:val="clear" w:color="auto" w:fill="FFFFFF"/>
        </w:rPr>
        <w:t>Française</w:t>
      </w:r>
      <w:proofErr w:type="spellEnd"/>
      <w:r w:rsidRPr="00CC4A13">
        <w:rPr>
          <w:rFonts w:ascii="Arial" w:eastAsia="Times New Roman" w:hAnsi="Arial" w:cs="Arial"/>
          <w:sz w:val="18"/>
          <w:szCs w:val="22"/>
          <w:shd w:val="clear" w:color="auto" w:fill="FFFFFF"/>
        </w:rPr>
        <w:t xml:space="preserve">; </w:t>
      </w:r>
      <w:r w:rsidRPr="00CC4A13">
        <w:rPr>
          <w:rFonts w:ascii="Arial" w:hAnsi="Arial" w:cs="Arial"/>
          <w:sz w:val="18"/>
          <w:szCs w:val="22"/>
        </w:rPr>
        <w:t>USA: United States of America.</w:t>
      </w:r>
    </w:p>
    <w:p w:rsidR="00EE4D45" w:rsidRPr="00CC4A13" w:rsidRDefault="00EE4D45" w:rsidP="00EE4D45"/>
    <w:p w:rsidR="00F37B93" w:rsidRPr="00CC4A13" w:rsidRDefault="00F37B93" w:rsidP="00EE4D45"/>
    <w:p w:rsidR="00EE4D45" w:rsidRPr="00CC4A13" w:rsidRDefault="00EE4D45" w:rsidP="00EE4D45">
      <w:pPr>
        <w:pStyle w:val="Caption"/>
        <w:keepNext/>
        <w:spacing w:after="0"/>
        <w:ind w:firstLine="900"/>
        <w:contextualSpacing/>
        <w:rPr>
          <w:rFonts w:ascii="Arial" w:hAnsi="Arial" w:cs="Arial"/>
          <w:b w:val="0"/>
          <w:color w:val="auto"/>
          <w:sz w:val="22"/>
          <w:szCs w:val="22"/>
        </w:rPr>
      </w:pPr>
      <w:r w:rsidRPr="00CC4A13">
        <w:rPr>
          <w:rFonts w:ascii="Arial" w:hAnsi="Arial" w:cs="Arial"/>
          <w:color w:val="auto"/>
          <w:sz w:val="22"/>
          <w:szCs w:val="22"/>
        </w:rPr>
        <w:t xml:space="preserve">Supplementary Table </w:t>
      </w:r>
      <w:r w:rsidR="00F37B93" w:rsidRPr="00CC4A13">
        <w:rPr>
          <w:rFonts w:ascii="Arial" w:hAnsi="Arial" w:cs="Arial"/>
          <w:color w:val="auto"/>
          <w:sz w:val="22"/>
          <w:szCs w:val="22"/>
        </w:rPr>
        <w:t>2</w:t>
      </w:r>
      <w:r w:rsidRPr="00CC4A13">
        <w:rPr>
          <w:rFonts w:ascii="Arial" w:hAnsi="Arial" w:cs="Arial"/>
          <w:color w:val="auto"/>
          <w:sz w:val="22"/>
          <w:szCs w:val="22"/>
        </w:rPr>
        <w:t xml:space="preserve">. </w:t>
      </w:r>
      <w:r w:rsidRPr="00CC4A13">
        <w:rPr>
          <w:rFonts w:ascii="Arial" w:hAnsi="Arial" w:cs="Arial"/>
          <w:b w:val="0"/>
          <w:color w:val="auto"/>
          <w:sz w:val="22"/>
          <w:szCs w:val="22"/>
        </w:rPr>
        <w:t>Recommended quality indicators and measures for pain management at the end-of-life in the ICU</w:t>
      </w:r>
    </w:p>
    <w:p w:rsidR="00EE4D45" w:rsidRPr="00CC4A13" w:rsidRDefault="00EE4D45" w:rsidP="00EE4D45"/>
    <w:tbl>
      <w:tblPr>
        <w:tblStyle w:val="TableGrid"/>
        <w:tblW w:w="10705" w:type="dxa"/>
        <w:tblInd w:w="-95" w:type="dxa"/>
        <w:tblLook w:val="04A0" w:firstRow="1" w:lastRow="0" w:firstColumn="1" w:lastColumn="0" w:noHBand="0" w:noVBand="1"/>
      </w:tblPr>
      <w:tblGrid>
        <w:gridCol w:w="4675"/>
        <w:gridCol w:w="6030"/>
      </w:tblGrid>
      <w:tr w:rsidR="00EE4D45" w:rsidRPr="00CC4A13" w:rsidTr="00634E81">
        <w:tc>
          <w:tcPr>
            <w:tcW w:w="4675" w:type="dxa"/>
          </w:tcPr>
          <w:p w:rsidR="00EE4D45" w:rsidRPr="00CC4A13" w:rsidRDefault="00EE4D45" w:rsidP="00634E81">
            <w:pPr>
              <w:contextualSpacing/>
              <w:rPr>
                <w:rFonts w:ascii="Arial" w:hAnsi="Arial" w:cs="Arial"/>
                <w:b/>
                <w:color w:val="000000"/>
                <w:sz w:val="22"/>
                <w:szCs w:val="22"/>
                <w:lang w:val="en-US"/>
              </w:rPr>
            </w:pPr>
            <w:r w:rsidRPr="00CC4A13">
              <w:rPr>
                <w:rFonts w:ascii="Arial" w:hAnsi="Arial" w:cs="Arial"/>
                <w:b/>
                <w:color w:val="000000"/>
                <w:sz w:val="22"/>
                <w:szCs w:val="22"/>
                <w:lang w:val="en-US"/>
              </w:rPr>
              <w:t xml:space="preserve">Suggested quality indicators </w:t>
            </w:r>
            <w:r w:rsidRPr="00CC4A13">
              <w:rPr>
                <w:rFonts w:ascii="Arial" w:hAnsi="Arial" w:cs="Arial"/>
                <w:b/>
                <w:color w:val="000000"/>
                <w:sz w:val="22"/>
                <w:szCs w:val="22"/>
                <w:lang w:val="en-US"/>
              </w:rPr>
              <w:fldChar w:fldCharType="begin" w:fldLock="1"/>
            </w:r>
            <w:r w:rsidRPr="00CC4A13">
              <w:rPr>
                <w:rFonts w:ascii="Arial" w:hAnsi="Arial" w:cs="Arial"/>
                <w:b/>
                <w:color w:val="000000"/>
                <w:sz w:val="22"/>
                <w:szCs w:val="22"/>
                <w:lang w:val="en-US"/>
              </w:rPr>
              <w:instrText>ADDIN CSL_CITATION { "citationItems" : [ { "id" : "ITEM-1", "itemData" : { "DOI" : "10.1097/01.CCM.0000084849.96385.85", "ISBN" : "0090-3493 (Print)\\r0090-3493 (Linking)", "ISSN" : "00903493", "PMID" : "14501954", "abstract" : "OBJECTIVE: The primary goal of this study was to address the documented deficiencies in end-of-life care (EOLC) in intensive care unit settings by identifying key EOLC domains and related quality indicators for use in the intensive care unit through a consensus process. A second goal was to propose specific clinician and organizational behaviors and interventions that might be used to improve these EOLC quality indicators. PARTICIPANTS: Participants were the 36 members of the Robert Wood Johnson Foundation (RWJF) Critical Care End-of-Life Peer Workgroup and 15 nurse-physician teams from 15 intensive care units affiliated with the work group members. Fourteen adult medical, surgical, and mixed intensive care units from 13 states and the District of Columbia in the United States and one mixed intensive care unit in Canada were represented. METHODS: An in-depth literature review was conducted to identify articles that assessed the domains of quality of EOLC in the intensive care unit and general health care. Consensus regarding the key EOLC domains in the intensive care unit and quality performance indicators within each domain was established based on the review of the literature and an iterative process involving the authors and members of the RWJF Critical Care End-of-Life Peer Workgroup. Specific clinician and organizational behaviors and interventions to address the proposed EOLC quality indicators within the domains were identified through a collaborative process with the nurse-physician teams in 15 intensive care units. MEASUREMENTS AND MAIN RESULTS: Seven EOLC domains were identified for use in the intensive care unit: a) patient- and family-centered decision making; b) communication; c) continuity of care; d) emotional and practical support; e) symptom management and comfort care; f) spiritual support; and g) emotional and organizational support for intensive care unit clinicians. Fifty-three EOLC quality indicators within the seven domains were proposed. More than 100 examples of clinician and organizational behaviors and interventions that could address the EOLC quality indicators in the intensive care unit setting were identified. CONCLUSIONS: These EOLC domains and the associated quality indicators, developed through a consensus process, provide clinicians and researchers with a framework for understanding quality of EOLC in the intensive care unit. Once validated, these indicators might be used to improve the quality of EOLC by serving as the\u2026", "author" : [ { "dropping-particle" : "", "family" : "Clarke", "given" : "Ellen B.", "non-dropping-particle" : "", "parse-names" : false, "suffix" : "" }, { "dropping-particle" : "", "family" : "Curtis", "given" : "J. Randall", "non-dropping-particle" : "", "parse-names" : false, "suffix" : "" }, { "dropping-particle" : "", "family" : "Luce", "given" : "John M.", "non-dropping-particle" : "", "parse-names" : false, "suffix" : "" }, { "dropping-particle" : "", "family" : "Levy", "given" : "Mitchell", "non-dropping-particle" : "", "parse-names" : false, "suffix" : "" }, { "dropping-particle" : "", "family" : "Danis", "given" : "Marion", "non-dropping-particle" : "", "parse-names" : false, "suffix" : "" }, { "dropping-particle" : "", "family" : "Nelson", "given" : "Judith", "non-dropping-particle" : "", "parse-names" : false, "suffix" : "" }, { "dropping-particle" : "", "family" : "Solomon", "given" : "Mildred Z.", "non-dropping-particle" : "", "parse-names" : false, "suffix" : "" } ], "container-title" : "Critical Care Medicine", "id" : "ITEM-1", "issue" : "9", "issued" : { "date-parts" : [ [ "2003" ] ] }, "page" : "2255-2262", "title" : "Quality indicators for end-of-life care in the intensive care unit", "type" : "article", "volume" : "31" }, "uris" : [ "http://www.mendeley.com/documents/?uuid=a37a79d6-5f73-4b30-bbc1-dee078dcee1f" ] } ], "mendeley" : { "formattedCitation" : "(5)", "plainTextFormattedCitation" : "(5)", "previouslyFormattedCitation" : "(5)" }, "properties" : { "noteIndex" : 0 }, "schema" : "https://github.com/citation-style-language/schema/raw/master/csl-citation.json" }</w:instrText>
            </w:r>
            <w:r w:rsidRPr="00CC4A13">
              <w:rPr>
                <w:rFonts w:ascii="Arial" w:hAnsi="Arial" w:cs="Arial"/>
                <w:b/>
                <w:color w:val="000000"/>
                <w:sz w:val="22"/>
                <w:szCs w:val="22"/>
                <w:lang w:val="en-US"/>
              </w:rPr>
              <w:fldChar w:fldCharType="separate"/>
            </w:r>
            <w:r w:rsidRPr="00CC4A13">
              <w:rPr>
                <w:rFonts w:ascii="Arial" w:hAnsi="Arial" w:cs="Arial"/>
                <w:noProof/>
                <w:color w:val="000000"/>
                <w:sz w:val="22"/>
                <w:szCs w:val="22"/>
                <w:lang w:val="en-US"/>
              </w:rPr>
              <w:t>(5)</w:t>
            </w:r>
            <w:r w:rsidRPr="00CC4A13">
              <w:rPr>
                <w:rFonts w:ascii="Arial" w:hAnsi="Arial" w:cs="Arial"/>
                <w:b/>
                <w:color w:val="000000"/>
                <w:sz w:val="22"/>
                <w:szCs w:val="22"/>
                <w:lang w:val="en-US"/>
              </w:rPr>
              <w:fldChar w:fldCharType="end"/>
            </w:r>
          </w:p>
        </w:tc>
        <w:tc>
          <w:tcPr>
            <w:tcW w:w="6030" w:type="dxa"/>
          </w:tcPr>
          <w:p w:rsidR="00EE4D45" w:rsidRPr="00CC4A13" w:rsidRDefault="00EE4D45" w:rsidP="00634E81">
            <w:pPr>
              <w:contextualSpacing/>
              <w:rPr>
                <w:rFonts w:ascii="Arial" w:hAnsi="Arial" w:cs="Arial"/>
                <w:b/>
                <w:color w:val="000000"/>
                <w:sz w:val="22"/>
                <w:szCs w:val="22"/>
                <w:lang w:val="en-US"/>
              </w:rPr>
            </w:pPr>
            <w:r w:rsidRPr="00CC4A13">
              <w:rPr>
                <w:rFonts w:ascii="Arial" w:hAnsi="Arial" w:cs="Arial"/>
                <w:b/>
                <w:color w:val="000000"/>
                <w:sz w:val="22"/>
                <w:szCs w:val="22"/>
                <w:lang w:val="en-US"/>
              </w:rPr>
              <w:t xml:space="preserve">Suggested quality measures </w:t>
            </w:r>
            <w:r w:rsidRPr="00CC4A13">
              <w:rPr>
                <w:rFonts w:ascii="Arial" w:hAnsi="Arial" w:cs="Arial"/>
                <w:b/>
                <w:color w:val="000000"/>
                <w:sz w:val="22"/>
                <w:szCs w:val="22"/>
                <w:lang w:val="en-US"/>
              </w:rPr>
              <w:fldChar w:fldCharType="begin" w:fldLock="1"/>
            </w:r>
            <w:r w:rsidRPr="00CC4A13">
              <w:rPr>
                <w:rFonts w:ascii="Arial" w:hAnsi="Arial" w:cs="Arial"/>
                <w:b/>
                <w:color w:val="000000"/>
                <w:sz w:val="22"/>
                <w:szCs w:val="22"/>
                <w:lang w:val="en-US"/>
              </w:rPr>
              <w:instrText>ADDIN CSL_CITATION { "citationItems" : [ { "id" : "ITEM-1", "itemData" : { "DOI" : "10.1097/01.CCM.0000242910.00801.53", "ISSN" : "0090-3493", "abstract" : "For critically ill patients and their loved ones, high-quality health care includes the provision of excellent palliative care. To achieve this goal, the healthcare system needs to identify, measure, and report specific targets for quality palliative care for critically ill or injured patients. Our objective was to use a consensus process to develop a preliminary set of quality measures to assess palliative care in the critically ill.We built on earlier and ongoing efforts of the Robert Wood Johnson Foundation Critical Care End-of-Life Peer Workgroup to propose specific measures of the structure and process of palliative care. We used an informal iterative consensus process to identify and refine a set of candidate quality measures. These candidate measures were developed by reviewing previous literature reviews, supplementing the evidence base with recently published systematic reviews and consensus statements, identifying existing indicators and measures, and adapting indicators from related fields for our objective. Among our primary sources, we identified existing measures from the Voluntary Hospital Association's Transformation of the ICU program and a government-sponsored systematic review performed by RAND Health to identify palliative care quality measures for cancer care.Our consensus group proposes 18 quality measures to assess the quality of palliative care for the critically ill and injured. A total of 14 of the proposed measures assess processes of care at the patient level, and four measures explore structural aspects of critical care delivery. Future research is needed to assess the relationship of these measures to desired health outcomes. Subsequent measure sets should also attempt to include outcome measures, such as patient or surrogate satisfaction, as the field develops the means to rigorously measure such outcomes. The proposed measures are intended to stimulate further discussion, testing, and refinement for quality of care measurement and enhancement. \u00a9 2006 Lippincott Williams &amp; Wilkins, Inc.", "author" : [ { "dropping-particle" : "", "family" : "Mularski", "given" : "Richard A.", "non-dropping-particle" : "", "parse-names" : false, "suffix" : "" }, { "dropping-particle" : "", "family" : "Curtis", "given" : "J. Randall", "non-dropping-particle" : "", "parse-names" : false, "suffix" : "" }, { "dropping-particle" : "", "family" : "Billings", "given" : "J. Andrew", "non-dropping-particle" : "", "parse-names" : false, "suffix" : "" }, { "dropping-particle" : "", "family" : "Burt", "given" : "Robert", "non-dropping-particle" : "", "parse-names" : false, "suffix" : "" }, { "dropping-particle" : "", "family" : "Byock", "given" : "Ira", "non-dropping-particle" : "", "parse-names" : false, "suffix" : "" }, { "dropping-particle" : "", "family" : "Fuhrman", "given" : "Cathy", "non-dropping-particle" : "", "parse-names" : false, "suffix" : "" }, { "dropping-particle" : "", "family" : "Mosenthal", "given" : "Anne C.", "non-dropping-particle" : "", "parse-names" : false, "suffix" : "" }, { "dropping-particle" : "", "family" : "Medina", "given" : "Justine", "non-dropping-particle" : "", "parse-names" : false, "suffix" : "" }, { "dropping-particle" : "", "family" : "Ray", "given" : "Daniel E.", "non-dropping-particle" : "", "parse-names" : false, "suffix" : "" }, { "dropping-particle" : "", "family" : "Rubenfeld", "given" : "Gordon D.", "non-dropping-particle" : "", "parse-names" : false, "suffix" : "" }, { "dropping-particle" : "", "family" : "Schneiderman", "given" : "Lawrence J.", "non-dropping-particle" : "", "parse-names" : false, "suffix" : "" }, { "dropping-particle" : "", "family" : "Treece", "given" : "Patsy D.", "non-dropping-particle" : "", "parse-names" : false, "suffix" : "" }, { "dropping-particle" : "", "family" : "Truog", "given" : "Robert D.", "non-dropping-particle" : "", "parse-names" : false, "suffix" : "" }, { "dropping-particle" : "", "family" : "Levy", "given" : "Mitchell M.", "non-dropping-particle" : "", "parse-names" : false, "suffix" : "" } ], "container-title" : "Critical Care Medicine", "id" : "ITEM-1", "issue" : "11 SUPPL.", "issued" : { "date-parts" : [ [ "2006" ] ] }, "language" : "English", "page" : "S404-S411", "publisher-place" : "R.A. Mularski, Center for Health Research, Kaiser Permanente Northwest, Portland, OR, United States", "title" : "Proposed quality measures for palliative care in the critically ill: A consensus from the Robert Wood Johnson foundation critical care workgroup", "type" : "article-journal", "volume" : "34" }, "uris" : [ "http://www.mendeley.com/documents/?uuid=d77ae66b-e23c-4dae-91d1-5953539bcc1b" ] } ], "mendeley" : { "formattedCitation" : "(14)", "plainTextFormattedCitation" : "(14)", "previouslyFormattedCitation" : "(14)" }, "properties" : { "noteIndex" : 27 }, "schema" : "https://github.com/citation-style-language/schema/raw/master/csl-citation.json" }</w:instrText>
            </w:r>
            <w:r w:rsidRPr="00CC4A13">
              <w:rPr>
                <w:rFonts w:ascii="Arial" w:hAnsi="Arial" w:cs="Arial"/>
                <w:b/>
                <w:color w:val="000000"/>
                <w:sz w:val="22"/>
                <w:szCs w:val="22"/>
                <w:lang w:val="en-US"/>
              </w:rPr>
              <w:fldChar w:fldCharType="separate"/>
            </w:r>
            <w:r w:rsidRPr="00CC4A13">
              <w:rPr>
                <w:rFonts w:ascii="Arial" w:hAnsi="Arial" w:cs="Arial"/>
                <w:noProof/>
                <w:color w:val="000000"/>
                <w:sz w:val="22"/>
                <w:szCs w:val="22"/>
                <w:lang w:val="en-US"/>
              </w:rPr>
              <w:t>(14)</w:t>
            </w:r>
            <w:r w:rsidRPr="00CC4A13">
              <w:rPr>
                <w:rFonts w:ascii="Arial" w:hAnsi="Arial" w:cs="Arial"/>
                <w:b/>
                <w:color w:val="000000"/>
                <w:sz w:val="22"/>
                <w:szCs w:val="22"/>
                <w:lang w:val="en-US"/>
              </w:rPr>
              <w:fldChar w:fldCharType="end"/>
            </w:r>
          </w:p>
        </w:tc>
      </w:tr>
      <w:tr w:rsidR="00EE4D45" w:rsidRPr="00CC4A13" w:rsidTr="00634E81">
        <w:trPr>
          <w:trHeight w:val="2940"/>
        </w:trPr>
        <w:tc>
          <w:tcPr>
            <w:tcW w:w="4675" w:type="dxa"/>
            <w:vMerge w:val="restart"/>
            <w:tcBorders>
              <w:bottom w:val="single" w:sz="4" w:space="0" w:color="auto"/>
            </w:tcBorders>
          </w:tcPr>
          <w:p w:rsidR="00EE4D45" w:rsidRPr="00CC4A13" w:rsidRDefault="00EE4D45" w:rsidP="00EE4D45">
            <w:pPr>
              <w:pStyle w:val="ListParagraph"/>
              <w:numPr>
                <w:ilvl w:val="0"/>
                <w:numId w:val="1"/>
              </w:numPr>
              <w:ind w:left="426" w:hanging="284"/>
              <w:rPr>
                <w:rFonts w:ascii="Arial" w:hAnsi="Arial" w:cs="Arial"/>
                <w:color w:val="000000"/>
                <w:sz w:val="22"/>
                <w:szCs w:val="22"/>
                <w:lang w:val="en-US"/>
              </w:rPr>
            </w:pPr>
            <w:r w:rsidRPr="00CC4A13">
              <w:rPr>
                <w:rFonts w:ascii="Arial" w:hAnsi="Arial" w:cs="Arial"/>
                <w:color w:val="000000"/>
                <w:sz w:val="22"/>
                <w:szCs w:val="22"/>
                <w:lang w:val="en-US"/>
              </w:rPr>
              <w:t>Emphasizing comprehensive comfort care that is provided to the patient rather than removal of life-sustaining treatments</w:t>
            </w:r>
          </w:p>
          <w:p w:rsidR="00EE4D45" w:rsidRPr="00CC4A13" w:rsidRDefault="00EE4D45" w:rsidP="00EE4D45">
            <w:pPr>
              <w:pStyle w:val="ListParagraph"/>
              <w:numPr>
                <w:ilvl w:val="0"/>
                <w:numId w:val="1"/>
              </w:numPr>
              <w:ind w:left="426" w:hanging="284"/>
              <w:rPr>
                <w:rFonts w:ascii="Arial" w:hAnsi="Arial" w:cs="Arial"/>
                <w:color w:val="000000"/>
                <w:sz w:val="22"/>
                <w:szCs w:val="22"/>
                <w:lang w:val="en-US"/>
              </w:rPr>
            </w:pPr>
            <w:r w:rsidRPr="00CC4A13">
              <w:rPr>
                <w:rFonts w:ascii="Arial" w:hAnsi="Arial" w:cs="Arial"/>
                <w:color w:val="000000"/>
                <w:sz w:val="22"/>
                <w:szCs w:val="22"/>
                <w:lang w:val="en-US"/>
              </w:rPr>
              <w:t>Instituting the use of uniform quantitative symptom assessment scales that are appropriate for communicative and non-communicative patients on a routine basis</w:t>
            </w:r>
          </w:p>
          <w:p w:rsidR="00EE4D45" w:rsidRPr="00CC4A13" w:rsidRDefault="00EE4D45" w:rsidP="00EE4D45">
            <w:pPr>
              <w:pStyle w:val="ListParagraph"/>
              <w:numPr>
                <w:ilvl w:val="0"/>
                <w:numId w:val="1"/>
              </w:numPr>
              <w:ind w:left="426" w:hanging="284"/>
              <w:rPr>
                <w:rFonts w:ascii="Arial" w:hAnsi="Arial" w:cs="Arial"/>
                <w:color w:val="000000"/>
                <w:sz w:val="22"/>
                <w:szCs w:val="22"/>
                <w:lang w:val="en-US"/>
              </w:rPr>
            </w:pPr>
            <w:r w:rsidRPr="00CC4A13">
              <w:rPr>
                <w:rFonts w:ascii="Arial" w:hAnsi="Arial" w:cs="Arial"/>
                <w:color w:val="000000"/>
                <w:sz w:val="22"/>
                <w:szCs w:val="22"/>
                <w:lang w:val="en-US"/>
              </w:rPr>
              <w:t>Standardizing and following best clinical practices for symptom management; using pharmacologic and non-pharmacologic measures to maximize comfort according to patient and family preferences</w:t>
            </w:r>
          </w:p>
          <w:p w:rsidR="00EE4D45" w:rsidRPr="00CC4A13" w:rsidRDefault="00EE4D45" w:rsidP="00EE4D45">
            <w:pPr>
              <w:pStyle w:val="ListParagraph"/>
              <w:numPr>
                <w:ilvl w:val="0"/>
                <w:numId w:val="1"/>
              </w:numPr>
              <w:ind w:left="426" w:hanging="284"/>
              <w:rPr>
                <w:rFonts w:ascii="Arial" w:hAnsi="Arial" w:cs="Arial"/>
                <w:color w:val="000000"/>
                <w:sz w:val="22"/>
                <w:szCs w:val="22"/>
                <w:lang w:val="en-US"/>
              </w:rPr>
            </w:pPr>
            <w:r w:rsidRPr="00CC4A13">
              <w:rPr>
                <w:rFonts w:ascii="Arial" w:hAnsi="Arial" w:cs="Arial"/>
                <w:color w:val="000000"/>
                <w:sz w:val="22"/>
                <w:szCs w:val="22"/>
                <w:lang w:val="en-US"/>
              </w:rPr>
              <w:t xml:space="preserve">Knowing and following best clinical practices for </w:t>
            </w:r>
            <w:r w:rsidRPr="00CC4A13">
              <w:rPr>
                <w:rFonts w:ascii="Arial" w:hAnsi="Arial" w:cs="Arial"/>
                <w:sz w:val="22"/>
                <w:szCs w:val="22"/>
                <w:lang w:val="en-US"/>
              </w:rPr>
              <w:t>withdrawal of life support</w:t>
            </w:r>
          </w:p>
          <w:p w:rsidR="00EE4D45" w:rsidRPr="00CC4A13" w:rsidRDefault="00EE4D45" w:rsidP="00EE4D45">
            <w:pPr>
              <w:pStyle w:val="ListParagraph"/>
              <w:numPr>
                <w:ilvl w:val="0"/>
                <w:numId w:val="1"/>
              </w:numPr>
              <w:ind w:left="426" w:hanging="284"/>
              <w:rPr>
                <w:rFonts w:ascii="Arial" w:hAnsi="Arial" w:cs="Arial"/>
                <w:color w:val="000000"/>
                <w:sz w:val="22"/>
                <w:szCs w:val="22"/>
                <w:lang w:val="en-US"/>
              </w:rPr>
            </w:pPr>
            <w:r w:rsidRPr="00CC4A13">
              <w:rPr>
                <w:rFonts w:ascii="Arial" w:hAnsi="Arial" w:cs="Arial"/>
                <w:color w:val="000000"/>
                <w:sz w:val="22"/>
                <w:szCs w:val="22"/>
                <w:lang w:val="en-US"/>
              </w:rPr>
              <w:t>Eliminating unnecessary tests and procedures, maintaining only intravenous catheters for symptom management when life support is being withdrawn</w:t>
            </w:r>
          </w:p>
          <w:p w:rsidR="00EE4D45" w:rsidRPr="00CC4A13" w:rsidRDefault="00EE4D45" w:rsidP="00EE4D45">
            <w:pPr>
              <w:pStyle w:val="ListParagraph"/>
              <w:numPr>
                <w:ilvl w:val="0"/>
                <w:numId w:val="1"/>
              </w:numPr>
              <w:ind w:left="426" w:hanging="284"/>
              <w:rPr>
                <w:rFonts w:ascii="Arial" w:hAnsi="Arial" w:cs="Arial"/>
                <w:color w:val="000000"/>
                <w:sz w:val="22"/>
                <w:szCs w:val="22"/>
                <w:lang w:val="en-US"/>
              </w:rPr>
            </w:pPr>
            <w:r w:rsidRPr="00CC4A13">
              <w:rPr>
                <w:rFonts w:ascii="Arial" w:hAnsi="Arial" w:cs="Arial"/>
                <w:color w:val="000000"/>
                <w:sz w:val="22"/>
                <w:szCs w:val="22"/>
                <w:lang w:val="en-US"/>
              </w:rPr>
              <w:t>Minimizing noxious stimuli, such as monitors or strong lights</w:t>
            </w:r>
          </w:p>
        </w:tc>
        <w:tc>
          <w:tcPr>
            <w:tcW w:w="6030" w:type="dxa"/>
            <w:tcBorders>
              <w:bottom w:val="single" w:sz="4" w:space="0" w:color="auto"/>
            </w:tcBorders>
          </w:tcPr>
          <w:p w:rsidR="00EE4D45" w:rsidRPr="00CC4A13" w:rsidRDefault="00EE4D45" w:rsidP="00634E81">
            <w:pPr>
              <w:contextualSpacing/>
              <w:rPr>
                <w:rFonts w:ascii="Arial" w:hAnsi="Arial" w:cs="Arial"/>
                <w:color w:val="000000"/>
                <w:sz w:val="22"/>
                <w:szCs w:val="22"/>
                <w:lang w:val="en-US"/>
              </w:rPr>
            </w:pPr>
            <w:r w:rsidRPr="00CC4A13">
              <w:rPr>
                <w:rFonts w:ascii="Arial" w:hAnsi="Arial" w:cs="Arial"/>
                <w:i/>
                <w:sz w:val="22"/>
                <w:szCs w:val="22"/>
                <w:lang w:val="en-US"/>
              </w:rPr>
              <w:t>Indicator definition</w:t>
            </w:r>
            <w:r w:rsidRPr="00CC4A13">
              <w:rPr>
                <w:rFonts w:ascii="Arial" w:hAnsi="Arial" w:cs="Arial"/>
                <w:i/>
                <w:color w:val="000000"/>
                <w:sz w:val="22"/>
                <w:szCs w:val="22"/>
                <w:lang w:val="en-US"/>
              </w:rPr>
              <w:t>:</w:t>
            </w:r>
            <w:r w:rsidRPr="00CC4A13">
              <w:rPr>
                <w:rFonts w:ascii="Arial" w:hAnsi="Arial" w:cs="Arial"/>
                <w:color w:val="000000"/>
                <w:sz w:val="22"/>
                <w:szCs w:val="22"/>
                <w:lang w:val="en-US"/>
              </w:rPr>
              <w:t xml:space="preserve"> Documentation of pain assessment every 4 </w:t>
            </w:r>
            <w:proofErr w:type="spellStart"/>
            <w:r w:rsidRPr="00CC4A13">
              <w:rPr>
                <w:rFonts w:ascii="Arial" w:hAnsi="Arial" w:cs="Arial"/>
                <w:color w:val="000000"/>
                <w:sz w:val="22"/>
                <w:szCs w:val="22"/>
                <w:lang w:val="en-US"/>
              </w:rPr>
              <w:t>hrs</w:t>
            </w:r>
            <w:proofErr w:type="spellEnd"/>
          </w:p>
          <w:p w:rsidR="00EE4D45" w:rsidRPr="00CC4A13" w:rsidRDefault="00EE4D45" w:rsidP="00634E81">
            <w:pPr>
              <w:contextualSpacing/>
              <w:rPr>
                <w:rFonts w:ascii="Arial" w:hAnsi="Arial" w:cs="Arial"/>
                <w:color w:val="000000"/>
                <w:sz w:val="22"/>
                <w:szCs w:val="22"/>
                <w:lang w:val="en-US"/>
              </w:rPr>
            </w:pPr>
            <w:r w:rsidRPr="00CC4A13">
              <w:rPr>
                <w:rFonts w:ascii="Arial" w:hAnsi="Arial" w:cs="Arial"/>
                <w:i/>
                <w:color w:val="000000"/>
                <w:sz w:val="22"/>
                <w:szCs w:val="22"/>
                <w:lang w:val="en-US"/>
              </w:rPr>
              <w:t>Numerator:</w:t>
            </w:r>
            <w:r w:rsidRPr="00CC4A13">
              <w:rPr>
                <w:rFonts w:ascii="Arial" w:hAnsi="Arial" w:cs="Arial"/>
                <w:color w:val="000000"/>
                <w:sz w:val="22"/>
                <w:szCs w:val="22"/>
                <w:lang w:val="en-US"/>
              </w:rPr>
              <w:t xml:space="preserve"> Total number of 4-hr periods during the portion of the 4-hr day that a patient is in the ICU for which pain is assessed and recorded using a quantitative rating scale </w:t>
            </w:r>
          </w:p>
          <w:p w:rsidR="00EE4D45" w:rsidRPr="00CC4A13" w:rsidRDefault="00EE4D45" w:rsidP="00634E81">
            <w:pPr>
              <w:widowControl w:val="0"/>
              <w:autoSpaceDE w:val="0"/>
              <w:autoSpaceDN w:val="0"/>
              <w:adjustRightInd w:val="0"/>
              <w:contextualSpacing/>
              <w:rPr>
                <w:rFonts w:ascii="Arial" w:hAnsi="Arial" w:cs="Arial"/>
                <w:sz w:val="22"/>
                <w:szCs w:val="22"/>
                <w:lang w:val="en-US"/>
              </w:rPr>
            </w:pPr>
            <w:r w:rsidRPr="00CC4A13">
              <w:rPr>
                <w:rFonts w:ascii="Arial" w:hAnsi="Arial" w:cs="Arial"/>
                <w:i/>
                <w:sz w:val="22"/>
                <w:szCs w:val="22"/>
                <w:lang w:val="en-US"/>
              </w:rPr>
              <w:t>Denominator:</w:t>
            </w:r>
            <w:r w:rsidRPr="00CC4A13">
              <w:rPr>
                <w:rFonts w:ascii="Arial" w:hAnsi="Arial" w:cs="Arial"/>
                <w:sz w:val="22"/>
                <w:szCs w:val="22"/>
                <w:lang w:val="en-US"/>
              </w:rPr>
              <w:t xml:space="preserve"> Total number of 4-hr periods that a patient is in the ICU during the portion of the 24-hr day that the patient is in the ICU or under the care of the ICU nurse (unit of analysis: ICU patient days) </w:t>
            </w:r>
            <w:r w:rsidRPr="00CC4A13">
              <w:rPr>
                <w:rFonts w:ascii="Arial" w:hAnsi="Arial" w:cs="Arial"/>
                <w:sz w:val="22"/>
                <w:szCs w:val="22"/>
                <w:lang w:val="en-US"/>
              </w:rPr>
              <w:br/>
              <w:t xml:space="preserve">Intended sample: All patients admitted to the ICU for &gt;4 </w:t>
            </w:r>
            <w:proofErr w:type="spellStart"/>
            <w:r w:rsidRPr="00CC4A13">
              <w:rPr>
                <w:rFonts w:ascii="Arial" w:hAnsi="Arial" w:cs="Arial"/>
                <w:sz w:val="22"/>
                <w:szCs w:val="22"/>
                <w:lang w:val="en-US"/>
              </w:rPr>
              <w:t>hrs</w:t>
            </w:r>
            <w:proofErr w:type="spellEnd"/>
          </w:p>
        </w:tc>
      </w:tr>
      <w:tr w:rsidR="00EE4D45" w:rsidRPr="00CC4A13" w:rsidTr="00634E81">
        <w:trPr>
          <w:trHeight w:val="3906"/>
        </w:trPr>
        <w:tc>
          <w:tcPr>
            <w:tcW w:w="4675" w:type="dxa"/>
            <w:vMerge/>
            <w:tcBorders>
              <w:bottom w:val="single" w:sz="4" w:space="0" w:color="auto"/>
            </w:tcBorders>
          </w:tcPr>
          <w:p w:rsidR="00EE4D45" w:rsidRPr="00CC4A13" w:rsidRDefault="00EE4D45" w:rsidP="00634E81">
            <w:pPr>
              <w:contextualSpacing/>
              <w:rPr>
                <w:rFonts w:ascii="Arial" w:hAnsi="Arial" w:cs="Arial"/>
                <w:color w:val="000000"/>
                <w:sz w:val="22"/>
                <w:szCs w:val="22"/>
                <w:lang w:val="en-US"/>
              </w:rPr>
            </w:pPr>
          </w:p>
        </w:tc>
        <w:tc>
          <w:tcPr>
            <w:tcW w:w="6030" w:type="dxa"/>
            <w:tcBorders>
              <w:bottom w:val="single" w:sz="4" w:space="0" w:color="auto"/>
            </w:tcBorders>
          </w:tcPr>
          <w:p w:rsidR="00EE4D45" w:rsidRPr="00CC4A13" w:rsidRDefault="00EE4D45" w:rsidP="00634E81">
            <w:pPr>
              <w:widowControl w:val="0"/>
              <w:autoSpaceDE w:val="0"/>
              <w:autoSpaceDN w:val="0"/>
              <w:adjustRightInd w:val="0"/>
              <w:contextualSpacing/>
              <w:rPr>
                <w:rFonts w:ascii="Arial" w:hAnsi="Arial" w:cs="Arial"/>
                <w:sz w:val="22"/>
                <w:szCs w:val="22"/>
                <w:lang w:val="en-US"/>
              </w:rPr>
            </w:pPr>
            <w:r w:rsidRPr="00CC4A13">
              <w:rPr>
                <w:rFonts w:ascii="Arial" w:hAnsi="Arial" w:cs="Arial"/>
                <w:i/>
                <w:sz w:val="22"/>
                <w:szCs w:val="22"/>
                <w:lang w:val="en-US"/>
              </w:rPr>
              <w:t>Indicator definition</w:t>
            </w:r>
            <w:r w:rsidRPr="00CC4A13">
              <w:rPr>
                <w:rFonts w:ascii="Arial" w:hAnsi="Arial" w:cs="Arial"/>
                <w:sz w:val="22"/>
                <w:szCs w:val="22"/>
                <w:lang w:val="en-US"/>
              </w:rPr>
              <w:t>: Treatment of pain that is assessed as &gt;3 on a 0–10 scale or greater than mild on other scales, with reassessment after treatment</w:t>
            </w:r>
          </w:p>
          <w:p w:rsidR="00EE4D45" w:rsidRPr="00CC4A13" w:rsidRDefault="00EE4D45" w:rsidP="00634E81">
            <w:pPr>
              <w:widowControl w:val="0"/>
              <w:autoSpaceDE w:val="0"/>
              <w:autoSpaceDN w:val="0"/>
              <w:adjustRightInd w:val="0"/>
              <w:contextualSpacing/>
              <w:rPr>
                <w:rFonts w:ascii="Arial" w:hAnsi="Arial" w:cs="Arial"/>
                <w:sz w:val="22"/>
                <w:szCs w:val="22"/>
                <w:lang w:val="en-US"/>
              </w:rPr>
            </w:pPr>
            <w:r w:rsidRPr="00CC4A13">
              <w:rPr>
                <w:rFonts w:ascii="Arial" w:hAnsi="Arial" w:cs="Arial"/>
                <w:i/>
                <w:sz w:val="22"/>
                <w:szCs w:val="22"/>
                <w:lang w:val="en-US"/>
              </w:rPr>
              <w:t>Numerator:</w:t>
            </w:r>
            <w:r w:rsidRPr="00CC4A13">
              <w:rPr>
                <w:rFonts w:ascii="Arial" w:hAnsi="Arial" w:cs="Arial"/>
                <w:sz w:val="22"/>
                <w:szCs w:val="22"/>
                <w:lang w:val="en-US"/>
              </w:rPr>
              <w:t xml:space="preserve"> Total number of 4-hr periods during the portion of the 24-hr day that a patient is in the ICU for which pain is assessed as &gt;3 (or greater than mild) and there is a documented treatment provided and documented reassessment within 2 </w:t>
            </w:r>
            <w:proofErr w:type="spellStart"/>
            <w:r w:rsidRPr="00CC4A13">
              <w:rPr>
                <w:rFonts w:ascii="Arial" w:hAnsi="Arial" w:cs="Arial"/>
                <w:sz w:val="22"/>
                <w:szCs w:val="22"/>
                <w:lang w:val="en-US"/>
              </w:rPr>
              <w:t>hrs</w:t>
            </w:r>
            <w:proofErr w:type="spellEnd"/>
            <w:r w:rsidRPr="00CC4A13">
              <w:rPr>
                <w:rFonts w:ascii="Arial" w:hAnsi="Arial" w:cs="Arial"/>
                <w:sz w:val="22"/>
                <w:szCs w:val="22"/>
                <w:lang w:val="en-US"/>
              </w:rPr>
              <w:t xml:space="preserve"> after treatment</w:t>
            </w:r>
          </w:p>
          <w:p w:rsidR="00EE4D45" w:rsidRPr="00CC4A13" w:rsidRDefault="00EE4D45" w:rsidP="00634E81">
            <w:pPr>
              <w:widowControl w:val="0"/>
              <w:autoSpaceDE w:val="0"/>
              <w:autoSpaceDN w:val="0"/>
              <w:adjustRightInd w:val="0"/>
              <w:contextualSpacing/>
              <w:rPr>
                <w:rFonts w:ascii="Arial" w:hAnsi="Arial" w:cs="Arial"/>
                <w:sz w:val="22"/>
                <w:szCs w:val="22"/>
                <w:lang w:val="en-US"/>
              </w:rPr>
            </w:pPr>
            <w:r w:rsidRPr="00CC4A13">
              <w:rPr>
                <w:rFonts w:ascii="Arial" w:hAnsi="Arial" w:cs="Arial"/>
                <w:i/>
                <w:sz w:val="22"/>
                <w:szCs w:val="22"/>
                <w:lang w:val="en-US"/>
              </w:rPr>
              <w:t>Denominator:</w:t>
            </w:r>
            <w:r w:rsidRPr="00CC4A13">
              <w:rPr>
                <w:rFonts w:ascii="Arial" w:hAnsi="Arial" w:cs="Arial"/>
                <w:sz w:val="22"/>
                <w:szCs w:val="22"/>
                <w:lang w:val="en-US"/>
              </w:rPr>
              <w:t xml:space="preserve"> Total number of 4-hr periods during the portion of the 24-hr day that a patient in the ICU or under the care of the ICU nurse for which pain is assessed as &gt;3 (or greater than mild)</w:t>
            </w:r>
          </w:p>
          <w:p w:rsidR="00EE4D45" w:rsidRPr="00CC4A13" w:rsidRDefault="00EE4D45" w:rsidP="00634E81">
            <w:pPr>
              <w:widowControl w:val="0"/>
              <w:autoSpaceDE w:val="0"/>
              <w:autoSpaceDN w:val="0"/>
              <w:adjustRightInd w:val="0"/>
              <w:contextualSpacing/>
              <w:rPr>
                <w:rFonts w:ascii="Arial" w:hAnsi="Arial" w:cs="Arial"/>
                <w:sz w:val="22"/>
                <w:szCs w:val="22"/>
                <w:lang w:val="en-US"/>
              </w:rPr>
            </w:pPr>
            <w:r w:rsidRPr="00CC4A13">
              <w:rPr>
                <w:rFonts w:ascii="Arial" w:hAnsi="Arial" w:cs="Arial"/>
                <w:i/>
                <w:sz w:val="22"/>
                <w:szCs w:val="22"/>
                <w:lang w:val="en-US"/>
              </w:rPr>
              <w:t>Unit of analysis:</w:t>
            </w:r>
            <w:r w:rsidRPr="00CC4A13">
              <w:rPr>
                <w:rFonts w:ascii="Arial" w:hAnsi="Arial" w:cs="Arial"/>
                <w:sz w:val="22"/>
                <w:szCs w:val="22"/>
                <w:lang w:val="en-US"/>
              </w:rPr>
              <w:t xml:space="preserve"> ICU patient days</w:t>
            </w:r>
          </w:p>
          <w:p w:rsidR="00EE4D45" w:rsidRPr="00CC4A13" w:rsidRDefault="00EE4D45" w:rsidP="00634E81">
            <w:pPr>
              <w:widowControl w:val="0"/>
              <w:autoSpaceDE w:val="0"/>
              <w:autoSpaceDN w:val="0"/>
              <w:adjustRightInd w:val="0"/>
              <w:contextualSpacing/>
              <w:rPr>
                <w:rFonts w:ascii="Arial" w:hAnsi="Arial" w:cs="Arial"/>
                <w:color w:val="000000"/>
                <w:sz w:val="22"/>
                <w:szCs w:val="22"/>
                <w:lang w:val="en-US"/>
              </w:rPr>
            </w:pPr>
            <w:r w:rsidRPr="00CC4A13">
              <w:rPr>
                <w:rFonts w:ascii="Arial" w:hAnsi="Arial" w:cs="Arial"/>
                <w:i/>
                <w:sz w:val="22"/>
                <w:szCs w:val="22"/>
                <w:lang w:val="en-US"/>
              </w:rPr>
              <w:t>Intended sample</w:t>
            </w:r>
            <w:r w:rsidRPr="00CC4A13">
              <w:rPr>
                <w:rFonts w:ascii="Arial" w:hAnsi="Arial" w:cs="Arial"/>
                <w:sz w:val="22"/>
                <w:szCs w:val="22"/>
                <w:lang w:val="en-US"/>
              </w:rPr>
              <w:t xml:space="preserve">: All patients admitted to the ICU for &gt;4 </w:t>
            </w:r>
            <w:proofErr w:type="spellStart"/>
            <w:r w:rsidRPr="00CC4A13">
              <w:rPr>
                <w:rFonts w:ascii="Arial" w:hAnsi="Arial" w:cs="Arial"/>
                <w:sz w:val="22"/>
                <w:szCs w:val="22"/>
                <w:lang w:val="en-US"/>
              </w:rPr>
              <w:t>hrs</w:t>
            </w:r>
            <w:proofErr w:type="spellEnd"/>
          </w:p>
        </w:tc>
      </w:tr>
    </w:tbl>
    <w:p w:rsidR="00EE4D45" w:rsidRPr="00CC4A13" w:rsidRDefault="00EE4D45" w:rsidP="00EE4D45">
      <w:pPr>
        <w:ind w:firstLine="990"/>
        <w:contextualSpacing/>
        <w:rPr>
          <w:rFonts w:ascii="Arial" w:hAnsi="Arial" w:cs="Arial"/>
          <w:sz w:val="22"/>
          <w:szCs w:val="22"/>
        </w:rPr>
      </w:pPr>
      <w:r w:rsidRPr="00CC4A13">
        <w:rPr>
          <w:rFonts w:ascii="Arial" w:hAnsi="Arial" w:cs="Arial"/>
          <w:sz w:val="22"/>
          <w:szCs w:val="22"/>
        </w:rPr>
        <w:t xml:space="preserve">ICU: intensive care unit. </w:t>
      </w:r>
    </w:p>
    <w:p w:rsidR="00EE4D45" w:rsidRPr="00CC4A13" w:rsidRDefault="00EE4D45" w:rsidP="00EE4D45">
      <w:pPr>
        <w:contextualSpacing/>
        <w:rPr>
          <w:rFonts w:ascii="Arial" w:eastAsia="Times New Roman" w:hAnsi="Arial" w:cs="Arial"/>
          <w:sz w:val="22"/>
          <w:szCs w:val="22"/>
        </w:rPr>
      </w:pPr>
    </w:p>
    <w:p w:rsidR="00EE4D45" w:rsidRPr="00CC4A13" w:rsidRDefault="00EE4D45" w:rsidP="00EE4D45">
      <w:pPr>
        <w:contextualSpacing/>
        <w:rPr>
          <w:rFonts w:ascii="Arial" w:eastAsia="Times New Roman" w:hAnsi="Arial" w:cs="Arial"/>
          <w:sz w:val="22"/>
          <w:szCs w:val="22"/>
        </w:rPr>
      </w:pPr>
    </w:p>
    <w:p w:rsidR="00EE4D45" w:rsidRPr="00CC4A13" w:rsidRDefault="00EE4D45" w:rsidP="00EE4D45">
      <w:pPr>
        <w:contextualSpacing/>
        <w:rPr>
          <w:rFonts w:ascii="Arial" w:eastAsia="Times New Roman" w:hAnsi="Arial" w:cs="Arial"/>
          <w:sz w:val="22"/>
          <w:szCs w:val="22"/>
        </w:rPr>
      </w:pPr>
    </w:p>
    <w:p w:rsidR="00EE4D45" w:rsidRPr="00CC4A13" w:rsidRDefault="00EE4D45" w:rsidP="00EE4D45">
      <w:pPr>
        <w:contextualSpacing/>
        <w:rPr>
          <w:rFonts w:ascii="Arial" w:eastAsia="Times New Roman" w:hAnsi="Arial" w:cs="Arial"/>
          <w:sz w:val="22"/>
          <w:szCs w:val="22"/>
        </w:rPr>
      </w:pPr>
    </w:p>
    <w:p w:rsidR="00EE4D45" w:rsidRPr="00CC4A13" w:rsidRDefault="00EE4D45" w:rsidP="00EE4D45">
      <w:pPr>
        <w:contextualSpacing/>
        <w:rPr>
          <w:rFonts w:ascii="Arial" w:eastAsia="Times New Roman" w:hAnsi="Arial" w:cs="Arial"/>
          <w:sz w:val="22"/>
          <w:szCs w:val="22"/>
        </w:rPr>
      </w:pPr>
    </w:p>
    <w:p w:rsidR="00EE4D45" w:rsidRPr="00CC4A13" w:rsidRDefault="00EE4D45" w:rsidP="00EE4D45">
      <w:pPr>
        <w:contextualSpacing/>
        <w:rPr>
          <w:rFonts w:ascii="Arial" w:eastAsia="Times New Roman" w:hAnsi="Arial" w:cs="Arial"/>
          <w:sz w:val="22"/>
          <w:szCs w:val="22"/>
        </w:rPr>
      </w:pPr>
    </w:p>
    <w:p w:rsidR="00EE4D45" w:rsidRPr="00CC4A13" w:rsidRDefault="00EE4D45" w:rsidP="00EE4D45">
      <w:pPr>
        <w:pStyle w:val="Caption"/>
        <w:keepNext/>
        <w:spacing w:after="0"/>
        <w:contextualSpacing/>
        <w:rPr>
          <w:rFonts w:ascii="Arial" w:hAnsi="Arial" w:cs="Arial"/>
          <w:color w:val="auto"/>
          <w:sz w:val="22"/>
          <w:szCs w:val="22"/>
        </w:rPr>
      </w:pPr>
      <w:r w:rsidRPr="00CC4A13">
        <w:rPr>
          <w:rFonts w:ascii="Arial" w:hAnsi="Arial" w:cs="Arial"/>
          <w:color w:val="auto"/>
          <w:sz w:val="22"/>
          <w:szCs w:val="22"/>
        </w:rPr>
        <w:t xml:space="preserve">Supplementary Table </w:t>
      </w:r>
      <w:r w:rsidR="00F37B93" w:rsidRPr="00CC4A13">
        <w:rPr>
          <w:rFonts w:ascii="Arial" w:hAnsi="Arial" w:cs="Arial"/>
          <w:color w:val="auto"/>
          <w:sz w:val="22"/>
          <w:szCs w:val="22"/>
        </w:rPr>
        <w:t>3</w:t>
      </w:r>
      <w:r w:rsidRPr="00CC4A13">
        <w:rPr>
          <w:rFonts w:ascii="Arial" w:hAnsi="Arial" w:cs="Arial"/>
          <w:color w:val="auto"/>
          <w:sz w:val="22"/>
          <w:szCs w:val="22"/>
        </w:rPr>
        <w:t xml:space="preserve">. </w:t>
      </w:r>
      <w:r w:rsidRPr="00CC4A13">
        <w:rPr>
          <w:rFonts w:ascii="Arial" w:hAnsi="Arial" w:cs="Arial"/>
          <w:b w:val="0"/>
          <w:color w:val="auto"/>
          <w:sz w:val="22"/>
          <w:szCs w:val="22"/>
        </w:rPr>
        <w:t>AGREE-II domain scores for reviewed guidelines and consensus statements</w:t>
      </w:r>
    </w:p>
    <w:tbl>
      <w:tblPr>
        <w:tblStyle w:val="TableGrid"/>
        <w:tblpPr w:leftFromText="180" w:rightFromText="180" w:vertAnchor="text" w:tblpY="1"/>
        <w:tblOverlap w:val="never"/>
        <w:tblW w:w="13638" w:type="dxa"/>
        <w:tblLayout w:type="fixed"/>
        <w:tblLook w:val="04A0" w:firstRow="1" w:lastRow="0" w:firstColumn="1" w:lastColumn="0" w:noHBand="0" w:noVBand="1"/>
      </w:tblPr>
      <w:tblGrid>
        <w:gridCol w:w="1272"/>
        <w:gridCol w:w="810"/>
        <w:gridCol w:w="1260"/>
        <w:gridCol w:w="1440"/>
        <w:gridCol w:w="1530"/>
        <w:gridCol w:w="1440"/>
        <w:gridCol w:w="1440"/>
        <w:gridCol w:w="1620"/>
        <w:gridCol w:w="964"/>
        <w:gridCol w:w="26"/>
        <w:gridCol w:w="1817"/>
        <w:gridCol w:w="19"/>
      </w:tblGrid>
      <w:tr w:rsidR="00EE4D45" w:rsidRPr="00CC4A13" w:rsidTr="00634E81">
        <w:trPr>
          <w:gridAfter w:val="1"/>
          <w:wAfter w:w="19" w:type="dxa"/>
        </w:trPr>
        <w:tc>
          <w:tcPr>
            <w:tcW w:w="1272" w:type="dxa"/>
            <w:vMerge w:val="restart"/>
          </w:tcPr>
          <w:p w:rsidR="00EE4D45" w:rsidRPr="00CC4A13" w:rsidRDefault="00EE4D45" w:rsidP="00634E81">
            <w:pPr>
              <w:contextualSpacing/>
              <w:rPr>
                <w:rFonts w:ascii="Arial" w:hAnsi="Arial" w:cs="Arial"/>
                <w:b/>
                <w:sz w:val="22"/>
                <w:szCs w:val="22"/>
                <w:lang w:val="en-US"/>
              </w:rPr>
            </w:pPr>
            <w:r w:rsidRPr="00CC4A13">
              <w:rPr>
                <w:rFonts w:ascii="Arial" w:hAnsi="Arial" w:cs="Arial"/>
                <w:b/>
                <w:sz w:val="22"/>
                <w:szCs w:val="22"/>
                <w:lang w:val="en-US"/>
              </w:rPr>
              <w:t>Authors</w:t>
            </w:r>
          </w:p>
        </w:tc>
        <w:tc>
          <w:tcPr>
            <w:tcW w:w="810" w:type="dxa"/>
            <w:vMerge w:val="restart"/>
          </w:tcPr>
          <w:p w:rsidR="00EE4D45" w:rsidRPr="00CC4A13" w:rsidRDefault="00EE4D45" w:rsidP="00634E81">
            <w:pPr>
              <w:contextualSpacing/>
              <w:rPr>
                <w:rFonts w:ascii="Arial" w:hAnsi="Arial" w:cs="Arial"/>
                <w:b/>
                <w:sz w:val="22"/>
                <w:szCs w:val="22"/>
                <w:lang w:val="en-US"/>
              </w:rPr>
            </w:pPr>
            <w:r w:rsidRPr="00CC4A13">
              <w:rPr>
                <w:rFonts w:ascii="Arial" w:hAnsi="Arial" w:cs="Arial"/>
                <w:b/>
                <w:sz w:val="22"/>
                <w:szCs w:val="22"/>
                <w:lang w:val="en-US"/>
              </w:rPr>
              <w:t>Year</w:t>
            </w:r>
          </w:p>
        </w:tc>
        <w:tc>
          <w:tcPr>
            <w:tcW w:w="1260" w:type="dxa"/>
            <w:vMerge w:val="restart"/>
          </w:tcPr>
          <w:p w:rsidR="00EE4D45" w:rsidRPr="00CC4A13" w:rsidRDefault="00EE4D45" w:rsidP="00634E81">
            <w:pPr>
              <w:contextualSpacing/>
              <w:rPr>
                <w:rFonts w:ascii="Arial" w:hAnsi="Arial" w:cs="Arial"/>
                <w:b/>
                <w:sz w:val="22"/>
                <w:szCs w:val="22"/>
                <w:lang w:val="en-US"/>
              </w:rPr>
            </w:pPr>
            <w:r w:rsidRPr="00CC4A13">
              <w:rPr>
                <w:rFonts w:ascii="Arial" w:hAnsi="Arial" w:cs="Arial"/>
                <w:b/>
                <w:sz w:val="22"/>
                <w:szCs w:val="22"/>
                <w:lang w:val="en-US"/>
              </w:rPr>
              <w:t>Scope and purpose</w:t>
            </w:r>
          </w:p>
        </w:tc>
        <w:tc>
          <w:tcPr>
            <w:tcW w:w="1440" w:type="dxa"/>
            <w:vMerge w:val="restart"/>
          </w:tcPr>
          <w:p w:rsidR="00EE4D45" w:rsidRPr="00CC4A13" w:rsidRDefault="00EE4D45" w:rsidP="00634E81">
            <w:pPr>
              <w:contextualSpacing/>
              <w:rPr>
                <w:rFonts w:ascii="Arial" w:hAnsi="Arial" w:cs="Arial"/>
                <w:b/>
                <w:sz w:val="22"/>
                <w:szCs w:val="22"/>
                <w:lang w:val="en-US"/>
              </w:rPr>
            </w:pPr>
            <w:r w:rsidRPr="00CC4A13">
              <w:rPr>
                <w:rFonts w:ascii="Arial" w:hAnsi="Arial" w:cs="Arial"/>
                <w:b/>
                <w:sz w:val="22"/>
                <w:szCs w:val="22"/>
                <w:lang w:val="en-US"/>
              </w:rPr>
              <w:t>Stakeholder involvement</w:t>
            </w:r>
          </w:p>
        </w:tc>
        <w:tc>
          <w:tcPr>
            <w:tcW w:w="1530" w:type="dxa"/>
            <w:vMerge w:val="restart"/>
          </w:tcPr>
          <w:p w:rsidR="00EE4D45" w:rsidRPr="00CC4A13" w:rsidRDefault="00EE4D45" w:rsidP="00634E81">
            <w:pPr>
              <w:contextualSpacing/>
              <w:rPr>
                <w:rFonts w:ascii="Arial" w:eastAsia="Times New Roman" w:hAnsi="Arial" w:cs="Arial"/>
                <w:b/>
                <w:sz w:val="22"/>
                <w:szCs w:val="22"/>
                <w:lang w:val="en-US"/>
              </w:rPr>
            </w:pPr>
            <w:proofErr w:type="spellStart"/>
            <w:r w:rsidRPr="00CC4A13">
              <w:rPr>
                <w:rFonts w:ascii="Arial" w:eastAsia="Times New Roman" w:hAnsi="Arial" w:cs="Arial"/>
                <w:b/>
                <w:sz w:val="22"/>
                <w:szCs w:val="22"/>
                <w:lang w:val="en-US"/>
              </w:rPr>
              <w:t>Rigour</w:t>
            </w:r>
            <w:proofErr w:type="spellEnd"/>
            <w:r w:rsidRPr="00CC4A13">
              <w:rPr>
                <w:rFonts w:ascii="Arial" w:eastAsia="Times New Roman" w:hAnsi="Arial" w:cs="Arial"/>
                <w:b/>
                <w:sz w:val="22"/>
                <w:szCs w:val="22"/>
                <w:lang w:val="en-US"/>
              </w:rPr>
              <w:t xml:space="preserve"> of development</w:t>
            </w:r>
          </w:p>
        </w:tc>
        <w:tc>
          <w:tcPr>
            <w:tcW w:w="1440" w:type="dxa"/>
            <w:vMerge w:val="restart"/>
          </w:tcPr>
          <w:p w:rsidR="00EE4D45" w:rsidRPr="00CC4A13" w:rsidRDefault="00EE4D45" w:rsidP="00634E81">
            <w:pPr>
              <w:contextualSpacing/>
              <w:rPr>
                <w:rFonts w:ascii="Arial" w:eastAsia="Times New Roman" w:hAnsi="Arial" w:cs="Arial"/>
                <w:b/>
                <w:sz w:val="22"/>
                <w:szCs w:val="22"/>
                <w:lang w:val="en-US"/>
              </w:rPr>
            </w:pPr>
            <w:r w:rsidRPr="00CC4A13">
              <w:rPr>
                <w:rFonts w:ascii="Arial" w:eastAsia="Times New Roman" w:hAnsi="Arial" w:cs="Arial"/>
                <w:b/>
                <w:sz w:val="22"/>
                <w:szCs w:val="22"/>
                <w:lang w:val="en-US"/>
              </w:rPr>
              <w:t>Clarity of presentation</w:t>
            </w:r>
          </w:p>
        </w:tc>
        <w:tc>
          <w:tcPr>
            <w:tcW w:w="1440" w:type="dxa"/>
            <w:vMerge w:val="restart"/>
          </w:tcPr>
          <w:p w:rsidR="00EE4D45" w:rsidRPr="00CC4A13" w:rsidRDefault="00EE4D45" w:rsidP="00634E81">
            <w:pPr>
              <w:contextualSpacing/>
              <w:rPr>
                <w:rFonts w:ascii="Arial" w:eastAsia="Times New Roman" w:hAnsi="Arial" w:cs="Arial"/>
                <w:b/>
                <w:sz w:val="22"/>
                <w:szCs w:val="22"/>
                <w:lang w:val="en-US"/>
              </w:rPr>
            </w:pPr>
            <w:r w:rsidRPr="00CC4A13">
              <w:rPr>
                <w:rFonts w:ascii="Arial" w:eastAsia="Times New Roman" w:hAnsi="Arial" w:cs="Arial"/>
                <w:b/>
                <w:sz w:val="22"/>
                <w:szCs w:val="22"/>
                <w:lang w:val="en-US"/>
              </w:rPr>
              <w:t>Applicability</w:t>
            </w:r>
          </w:p>
        </w:tc>
        <w:tc>
          <w:tcPr>
            <w:tcW w:w="1620" w:type="dxa"/>
            <w:vMerge w:val="restart"/>
          </w:tcPr>
          <w:p w:rsidR="00EE4D45" w:rsidRPr="00CC4A13" w:rsidRDefault="00EE4D45" w:rsidP="00634E81">
            <w:pPr>
              <w:contextualSpacing/>
              <w:rPr>
                <w:rFonts w:ascii="Arial" w:eastAsia="Times New Roman" w:hAnsi="Arial" w:cs="Arial"/>
                <w:b/>
                <w:sz w:val="22"/>
                <w:szCs w:val="22"/>
                <w:lang w:val="en-US"/>
              </w:rPr>
            </w:pPr>
            <w:r w:rsidRPr="00CC4A13">
              <w:rPr>
                <w:rFonts w:ascii="Arial" w:eastAsia="Times New Roman" w:hAnsi="Arial" w:cs="Arial"/>
                <w:b/>
                <w:sz w:val="22"/>
                <w:szCs w:val="22"/>
                <w:lang w:val="en-US"/>
              </w:rPr>
              <w:t>Editorial independence</w:t>
            </w:r>
          </w:p>
        </w:tc>
        <w:tc>
          <w:tcPr>
            <w:tcW w:w="2807" w:type="dxa"/>
            <w:gridSpan w:val="3"/>
          </w:tcPr>
          <w:p w:rsidR="00EE4D45" w:rsidRPr="00CC4A13" w:rsidRDefault="00EE4D45" w:rsidP="00634E81">
            <w:pPr>
              <w:contextualSpacing/>
              <w:jc w:val="center"/>
              <w:rPr>
                <w:rFonts w:ascii="Arial" w:hAnsi="Arial" w:cs="Arial"/>
                <w:b/>
                <w:sz w:val="22"/>
                <w:szCs w:val="22"/>
                <w:lang w:val="en-US"/>
              </w:rPr>
            </w:pPr>
            <w:r w:rsidRPr="00CC4A13">
              <w:rPr>
                <w:rFonts w:ascii="Arial" w:hAnsi="Arial" w:cs="Arial"/>
                <w:b/>
                <w:sz w:val="22"/>
                <w:szCs w:val="22"/>
                <w:lang w:val="en-US"/>
              </w:rPr>
              <w:t>Overall assessment</w:t>
            </w:r>
          </w:p>
        </w:tc>
      </w:tr>
      <w:tr w:rsidR="00EE4D45" w:rsidRPr="00CC4A13" w:rsidTr="00634E81">
        <w:trPr>
          <w:gridAfter w:val="1"/>
          <w:wAfter w:w="19" w:type="dxa"/>
        </w:trPr>
        <w:tc>
          <w:tcPr>
            <w:tcW w:w="1272" w:type="dxa"/>
            <w:vMerge/>
          </w:tcPr>
          <w:p w:rsidR="00EE4D45" w:rsidRPr="00CC4A13" w:rsidRDefault="00EE4D45" w:rsidP="00634E81">
            <w:pPr>
              <w:contextualSpacing/>
              <w:rPr>
                <w:rFonts w:ascii="Arial" w:hAnsi="Arial" w:cs="Arial"/>
                <w:b/>
                <w:sz w:val="22"/>
                <w:szCs w:val="22"/>
                <w:lang w:val="en-US"/>
              </w:rPr>
            </w:pPr>
          </w:p>
        </w:tc>
        <w:tc>
          <w:tcPr>
            <w:tcW w:w="810" w:type="dxa"/>
            <w:vMerge/>
          </w:tcPr>
          <w:p w:rsidR="00EE4D45" w:rsidRPr="00CC4A13" w:rsidRDefault="00EE4D45" w:rsidP="00634E81">
            <w:pPr>
              <w:contextualSpacing/>
              <w:rPr>
                <w:rFonts w:ascii="Arial" w:hAnsi="Arial" w:cs="Arial"/>
                <w:b/>
                <w:sz w:val="22"/>
                <w:szCs w:val="22"/>
                <w:lang w:val="en-US"/>
              </w:rPr>
            </w:pPr>
          </w:p>
        </w:tc>
        <w:tc>
          <w:tcPr>
            <w:tcW w:w="1260" w:type="dxa"/>
            <w:vMerge/>
          </w:tcPr>
          <w:p w:rsidR="00EE4D45" w:rsidRPr="00CC4A13" w:rsidRDefault="00EE4D45" w:rsidP="00634E81">
            <w:pPr>
              <w:contextualSpacing/>
              <w:rPr>
                <w:rFonts w:ascii="Arial" w:hAnsi="Arial" w:cs="Arial"/>
                <w:b/>
                <w:sz w:val="22"/>
                <w:szCs w:val="22"/>
                <w:lang w:val="en-US"/>
              </w:rPr>
            </w:pPr>
          </w:p>
        </w:tc>
        <w:tc>
          <w:tcPr>
            <w:tcW w:w="1440" w:type="dxa"/>
            <w:vMerge/>
          </w:tcPr>
          <w:p w:rsidR="00EE4D45" w:rsidRPr="00CC4A13" w:rsidRDefault="00EE4D45" w:rsidP="00634E81">
            <w:pPr>
              <w:contextualSpacing/>
              <w:rPr>
                <w:rFonts w:ascii="Arial" w:hAnsi="Arial" w:cs="Arial"/>
                <w:b/>
                <w:sz w:val="22"/>
                <w:szCs w:val="22"/>
                <w:lang w:val="en-US"/>
              </w:rPr>
            </w:pPr>
          </w:p>
        </w:tc>
        <w:tc>
          <w:tcPr>
            <w:tcW w:w="1530" w:type="dxa"/>
            <w:vMerge/>
          </w:tcPr>
          <w:p w:rsidR="00EE4D45" w:rsidRPr="00CC4A13" w:rsidRDefault="00EE4D45" w:rsidP="00634E81">
            <w:pPr>
              <w:contextualSpacing/>
              <w:rPr>
                <w:rFonts w:ascii="Arial" w:eastAsia="Times New Roman" w:hAnsi="Arial" w:cs="Arial"/>
                <w:b/>
                <w:sz w:val="22"/>
                <w:szCs w:val="22"/>
                <w:lang w:val="en-US"/>
              </w:rPr>
            </w:pPr>
          </w:p>
        </w:tc>
        <w:tc>
          <w:tcPr>
            <w:tcW w:w="1440" w:type="dxa"/>
            <w:vMerge/>
          </w:tcPr>
          <w:p w:rsidR="00EE4D45" w:rsidRPr="00CC4A13" w:rsidRDefault="00EE4D45" w:rsidP="00634E81">
            <w:pPr>
              <w:contextualSpacing/>
              <w:rPr>
                <w:rFonts w:ascii="Arial" w:eastAsia="Times New Roman" w:hAnsi="Arial" w:cs="Arial"/>
                <w:b/>
                <w:sz w:val="22"/>
                <w:szCs w:val="22"/>
                <w:lang w:val="en-US"/>
              </w:rPr>
            </w:pPr>
          </w:p>
        </w:tc>
        <w:tc>
          <w:tcPr>
            <w:tcW w:w="1440" w:type="dxa"/>
            <w:vMerge/>
          </w:tcPr>
          <w:p w:rsidR="00EE4D45" w:rsidRPr="00CC4A13" w:rsidRDefault="00EE4D45" w:rsidP="00634E81">
            <w:pPr>
              <w:contextualSpacing/>
              <w:rPr>
                <w:rFonts w:ascii="Arial" w:eastAsia="Times New Roman" w:hAnsi="Arial" w:cs="Arial"/>
                <w:b/>
                <w:sz w:val="22"/>
                <w:szCs w:val="22"/>
                <w:lang w:val="en-US"/>
              </w:rPr>
            </w:pPr>
          </w:p>
        </w:tc>
        <w:tc>
          <w:tcPr>
            <w:tcW w:w="1620" w:type="dxa"/>
            <w:vMerge/>
          </w:tcPr>
          <w:p w:rsidR="00EE4D45" w:rsidRPr="00CC4A13" w:rsidRDefault="00EE4D45" w:rsidP="00634E81">
            <w:pPr>
              <w:contextualSpacing/>
              <w:rPr>
                <w:rFonts w:ascii="Arial" w:eastAsia="Times New Roman" w:hAnsi="Arial" w:cs="Arial"/>
                <w:b/>
                <w:sz w:val="22"/>
                <w:szCs w:val="22"/>
                <w:lang w:val="en-US"/>
              </w:rPr>
            </w:pPr>
          </w:p>
        </w:tc>
        <w:tc>
          <w:tcPr>
            <w:tcW w:w="964" w:type="dxa"/>
          </w:tcPr>
          <w:p w:rsidR="00EE4D45" w:rsidRPr="00CC4A13" w:rsidRDefault="00EE4D45" w:rsidP="00634E81">
            <w:pPr>
              <w:contextualSpacing/>
              <w:jc w:val="center"/>
              <w:rPr>
                <w:rFonts w:ascii="Arial" w:hAnsi="Arial" w:cs="Arial"/>
                <w:b/>
                <w:sz w:val="22"/>
                <w:szCs w:val="22"/>
                <w:lang w:val="en-US"/>
              </w:rPr>
            </w:pPr>
            <w:r w:rsidRPr="00CC4A13">
              <w:rPr>
                <w:rFonts w:ascii="Arial" w:hAnsi="Arial" w:cs="Arial"/>
                <w:b/>
                <w:sz w:val="22"/>
                <w:szCs w:val="22"/>
                <w:lang w:val="en-US"/>
              </w:rPr>
              <w:t>%</w:t>
            </w:r>
          </w:p>
        </w:tc>
        <w:tc>
          <w:tcPr>
            <w:tcW w:w="1843" w:type="dxa"/>
            <w:gridSpan w:val="2"/>
          </w:tcPr>
          <w:p w:rsidR="00EE4D45" w:rsidRPr="00CC4A13" w:rsidRDefault="00EE4D45" w:rsidP="00634E81">
            <w:pPr>
              <w:contextualSpacing/>
              <w:jc w:val="center"/>
              <w:rPr>
                <w:rFonts w:ascii="Arial" w:hAnsi="Arial" w:cs="Arial"/>
                <w:b/>
                <w:sz w:val="22"/>
                <w:szCs w:val="22"/>
                <w:lang w:val="en-US"/>
              </w:rPr>
            </w:pPr>
            <w:r w:rsidRPr="00CC4A13">
              <w:rPr>
                <w:rFonts w:ascii="Arial" w:hAnsi="Arial" w:cs="Arial"/>
                <w:b/>
                <w:sz w:val="22"/>
                <w:szCs w:val="22"/>
                <w:lang w:val="en-US"/>
              </w:rPr>
              <w:t>Recommended</w:t>
            </w:r>
          </w:p>
        </w:tc>
      </w:tr>
      <w:tr w:rsidR="00EE4D45" w:rsidRPr="00CC4A13" w:rsidTr="00634E81">
        <w:trPr>
          <w:gridAfter w:val="1"/>
          <w:wAfter w:w="19" w:type="dxa"/>
        </w:trPr>
        <w:tc>
          <w:tcPr>
            <w:tcW w:w="1272" w:type="dxa"/>
          </w:tcPr>
          <w:p w:rsidR="00EE4D45" w:rsidRPr="00CC4A13" w:rsidRDefault="00EE4D45" w:rsidP="00634E81">
            <w:pPr>
              <w:contextualSpacing/>
              <w:rPr>
                <w:rFonts w:ascii="Arial" w:eastAsia="Times New Roman" w:hAnsi="Arial" w:cs="Arial"/>
                <w:sz w:val="22"/>
                <w:szCs w:val="22"/>
                <w:lang w:val="en-US"/>
              </w:rPr>
            </w:pPr>
            <w:proofErr w:type="spellStart"/>
            <w:r w:rsidRPr="00CC4A13">
              <w:rPr>
                <w:rFonts w:ascii="Arial" w:eastAsia="Times New Roman" w:hAnsi="Arial" w:cs="Arial"/>
                <w:sz w:val="22"/>
                <w:szCs w:val="22"/>
                <w:lang w:val="en-US"/>
              </w:rPr>
              <w:t>Hawryluck</w:t>
            </w:r>
            <w:proofErr w:type="spellEnd"/>
            <w:r w:rsidRPr="00CC4A13">
              <w:rPr>
                <w:rFonts w:ascii="Arial" w:eastAsia="Times New Roman" w:hAnsi="Arial" w:cs="Arial"/>
                <w:sz w:val="22"/>
                <w:szCs w:val="22"/>
                <w:lang w:val="en-US"/>
              </w:rPr>
              <w:t xml:space="preserve"> et al </w:t>
            </w:r>
            <w:r w:rsidRPr="00CC4A13">
              <w:rPr>
                <w:rFonts w:ascii="Arial" w:eastAsia="Times New Roman" w:hAnsi="Arial" w:cs="Arial"/>
                <w:sz w:val="22"/>
                <w:szCs w:val="22"/>
                <w:lang w:val="en-US"/>
              </w:rPr>
              <w:fldChar w:fldCharType="begin" w:fldLock="1"/>
            </w:r>
            <w:r w:rsidRPr="00CC4A13">
              <w:rPr>
                <w:rFonts w:ascii="Arial" w:eastAsia="Times New Roman" w:hAnsi="Arial" w:cs="Arial"/>
                <w:sz w:val="22"/>
                <w:szCs w:val="22"/>
                <w:lang w:val="en-US"/>
              </w:rPr>
              <w:instrText>ADDIN CSL_CITATION { "citationItems" : [ { "id" : "ITEM-1", "itemData" : { "DOI" : "10.1186/1472-6939-3-1", "ISSN" : "1472-6939", "abstract" : "Background: Intensivists must provide enough analgesia and sedation to ensure dying patients receive good palliative care. However, if it is perceived that too much is given, they risk prosecution for committing euthanasia. The goal of this study is to develop consensus guidelines on analgesia and sedation in dying intensive care unit patients that help distinguish palliative care from euthanasia. Methods: Using the Delphi technique, panelists rated levels of agreement with statements describing how analgesics and sedatives should be given to dying ICU patients and how palliative care should be distinguished from euthanasia. Participants were drawn from 3 panels: 1) Canadian Academic Adult Intensive Care Fellowship program directors and Intensive Care division chiefs (N = 9); 2) Deputy chief provincial coroners (N = 5); 3) Validation panel of Intensivists attending the Canadian Critical Care Trials Group meeting (N = 12). Results: After three Delphi rounds, consensus was achieved on 16 statements encompassing the role of palliative care in the intensive care unit, the management of pain and suffering, current areas of controversy, and ways of improving palliative care in the ICU. Conclusion: Consensus guidelines were developed to guide the administration of analgesics and sedatives to dying ICU patients and to help distinguish palliative care from euthanasia.", "author" : [ { "dropping-particle" : "", "family" : "Hawryluck", "given" : "Laura A.", "non-dropping-particle" : "", "parse-names" : false, "suffix" : "" }, { "dropping-particle" : "", "family" : "Harvey", "given" : "William R.C.", "non-dropping-particle" : "", "parse-names" : false, "suffix" : "" }, { "dropping-particle" : "", "family" : "Lemieux-Charles", "given" : "Louise", "non-dropping-particle" : "", "parse-names" : false, "suffix" : "" }, { "dropping-particle" : "", "family" : "Singer", "given" : "Peter A.", "non-dropping-particle" : "", "parse-names" : false, "suffix" : "" } ], "container-title" : "BMC Medical Ethics", "id" : "ITEM-1", "issued" : { "date-parts" : [ [ "2002" ] ] }, "language" : "English", "page" : "1-9", "publisher-place" : "L.A. Hawryluck, I. A. Cont. Educ. Prog. End Life C., Toronto, Ont., Canada", "title" : "Consensus guidelines on analgesia and sedation in dying intensive careunitpatients", "type" : "article-journal", "volume" : "3" }, "uris" : [ "http://www.mendeley.com/documents/?uuid=bc86a809-ee0c-431e-8753-58c586f624a7" ] } ], "mendeley" : { "formattedCitation" : "(20)", "plainTextFormattedCitation" : "(20)", "previouslyFormattedCitation" : "(20)" }, "properties" : { "noteIndex" : 0 }, "schema" : "https://github.com/citation-style-language/schema/raw/master/csl-citation.json" }</w:instrText>
            </w:r>
            <w:r w:rsidRPr="00CC4A13">
              <w:rPr>
                <w:rFonts w:ascii="Arial" w:eastAsia="Times New Roman" w:hAnsi="Arial" w:cs="Arial"/>
                <w:sz w:val="22"/>
                <w:szCs w:val="22"/>
                <w:lang w:val="en-US"/>
              </w:rPr>
              <w:fldChar w:fldCharType="separate"/>
            </w:r>
            <w:r w:rsidRPr="00CC4A13">
              <w:rPr>
                <w:rFonts w:ascii="Arial" w:eastAsia="Times New Roman" w:hAnsi="Arial" w:cs="Arial"/>
                <w:noProof/>
                <w:sz w:val="22"/>
                <w:szCs w:val="22"/>
                <w:lang w:val="en-US"/>
              </w:rPr>
              <w:t>(20)</w:t>
            </w:r>
            <w:r w:rsidRPr="00CC4A13">
              <w:rPr>
                <w:rFonts w:ascii="Arial" w:eastAsia="Times New Roman" w:hAnsi="Arial" w:cs="Arial"/>
                <w:sz w:val="22"/>
                <w:szCs w:val="22"/>
                <w:lang w:val="en-US"/>
              </w:rPr>
              <w:fldChar w:fldCharType="end"/>
            </w:r>
          </w:p>
        </w:tc>
        <w:tc>
          <w:tcPr>
            <w:tcW w:w="81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2002</w:t>
            </w:r>
          </w:p>
        </w:tc>
        <w:tc>
          <w:tcPr>
            <w:tcW w:w="126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61.1%</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48.6%</w:t>
            </w:r>
          </w:p>
        </w:tc>
        <w:tc>
          <w:tcPr>
            <w:tcW w:w="153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39.6%</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79.2%</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36.5%</w:t>
            </w:r>
          </w:p>
        </w:tc>
        <w:tc>
          <w:tcPr>
            <w:tcW w:w="162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79.2%</w:t>
            </w:r>
          </w:p>
        </w:tc>
        <w:tc>
          <w:tcPr>
            <w:tcW w:w="964" w:type="dxa"/>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70.8%</w:t>
            </w:r>
          </w:p>
        </w:tc>
        <w:tc>
          <w:tcPr>
            <w:tcW w:w="1843" w:type="dxa"/>
            <w:gridSpan w:val="2"/>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Yes</w:t>
            </w:r>
          </w:p>
        </w:tc>
      </w:tr>
      <w:tr w:rsidR="00EE4D45" w:rsidRPr="00CC4A13" w:rsidTr="00634E81">
        <w:trPr>
          <w:gridAfter w:val="1"/>
          <w:wAfter w:w="19" w:type="dxa"/>
        </w:trPr>
        <w:tc>
          <w:tcPr>
            <w:tcW w:w="1272" w:type="dxa"/>
          </w:tcPr>
          <w:p w:rsidR="00EE4D45" w:rsidRPr="00CC4A13" w:rsidRDefault="00EE4D45" w:rsidP="00634E81">
            <w:pPr>
              <w:contextualSpacing/>
              <w:rPr>
                <w:rFonts w:ascii="Arial" w:hAnsi="Arial" w:cs="Arial"/>
                <w:sz w:val="22"/>
                <w:szCs w:val="22"/>
                <w:lang w:val="en-US"/>
              </w:rPr>
            </w:pPr>
            <w:proofErr w:type="spellStart"/>
            <w:r w:rsidRPr="00CC4A13">
              <w:rPr>
                <w:rFonts w:ascii="Arial" w:hAnsi="Arial" w:cs="Arial"/>
                <w:sz w:val="22"/>
                <w:szCs w:val="22"/>
                <w:lang w:val="en-US"/>
              </w:rPr>
              <w:t>Carlet</w:t>
            </w:r>
            <w:proofErr w:type="spellEnd"/>
            <w:r w:rsidRPr="00CC4A13">
              <w:rPr>
                <w:rFonts w:ascii="Arial" w:hAnsi="Arial" w:cs="Arial"/>
                <w:sz w:val="22"/>
                <w:szCs w:val="22"/>
                <w:lang w:val="en-US"/>
              </w:rPr>
              <w:t xml:space="preserve"> et al </w:t>
            </w:r>
            <w:r w:rsidRPr="00CC4A13">
              <w:rPr>
                <w:rFonts w:ascii="Arial" w:hAnsi="Arial" w:cs="Arial"/>
                <w:sz w:val="22"/>
                <w:szCs w:val="22"/>
                <w:lang w:val="en-US"/>
              </w:rPr>
              <w:fldChar w:fldCharType="begin" w:fldLock="1"/>
            </w:r>
            <w:r w:rsidRPr="00CC4A13">
              <w:rPr>
                <w:rFonts w:ascii="Arial" w:hAnsi="Arial" w:cs="Arial"/>
                <w:sz w:val="22"/>
                <w:szCs w:val="22"/>
                <w:lang w:val="en-US"/>
              </w:rPr>
              <w:instrText>ADDIN CSL_CITATION { "citationItems" : [ { "id" : "ITEM-1", "itemData" : { "DOI" : "10.1007/s00134-004-2241-5", "ISSN" : "0342-4642", "PMID" : "15098087", "abstract" : "The jurors identified numerous problems with end of life in the ICU including variability in practice, inadequate predictive models for death, elusive knowledge of patient preferences, poor communication between staff and surrogates, insufficient or absent training of health-care providers, the use of imprecise and insensitive terminology, and incomplete documentation in the medical records. The jury strongly recommends that research be conducted to improve end-of-life care. The jury advocates a \"shared\" approach to end-of-life decision-making involving the caregiver team and patient surrogates. Respect for patient autonomy and the intention to honour decisions to decline unwanted treatments should be conveyed to the family. The process is one of negotiation, and the outcome will be determined by the personalities and beliefs of the participants. Ultimately, it is the attending physician's responsibility, as leader of the health-care team, to decide on the reasonableness of the planned action. In the event of conflict, the ICU team may agree to continue support for a predetermined time. Most conflicts can be resolved. If the conflict persists, however, an ethics consultation may be helpful. Nurses must be involved in the process. The patient must be assured of a pain-free death. The jury of the Consensus Conference subscribes to the moral and legal principles that prohibit administering treatments specifically designed to hasten death. The patient must be given sufficient analgesia to alleviate pain and distress; if such analgesia hastens death, this \"double effect\" should not detract from the primary aim to ensure comfort.", "author" : [ { "dropping-particle" : "", "family" : "Carlet", "given" : "Jean", "non-dropping-particle" : "", "parse-names" : false, "suffix" : "" }, { "dropping-particle" : "", "family" : "Thijs", "given" : "Lambertus G", "non-dropping-particle" : "", "parse-names" : false, "suffix" : "" }, { "dropping-particle" : "", "family" : "Antonelli", "given" : "Massimo", "non-dropping-particle" : "", "parse-names" : false, "suffix" : "" }, { "dropping-particle" : "", "family" : "Cassell", "given" : "Joan", "non-dropping-particle" : "", "parse-names" : false, "suffix" : "" }, { "dropping-particle" : "", "family" : "Cox", "given" : "Peter", "non-dropping-particle" : "", "parse-names" : false, "suffix" : "" }, { "dropping-particle" : "", "family" : "Hill", "given" : "Nicholas", "non-dropping-particle" : "", "parse-names" : false, "suffix" : "" }, { "dropping-particle" : "", "family" : "Hinds", "given" : "Charles", "non-dropping-particle" : "", "parse-names" : false, "suffix" : "" }, { "dropping-particle" : "", "family" : "Pimentel", "given" : "Jorge Manuel", "non-dropping-particle" : "", "parse-names" : false, "suffix" : "" }, { "dropping-particle" : "", "family" : "Reinhart", "given" : "Konrad", "non-dropping-particle" : "", "parse-names" : false, "suffix" : "" }, { "dropping-particle" : "", "family" : "Thompson", "given" : "Boyd Taylor", "non-dropping-particle" : "", "parse-names" : false, "suffix" : "" } ], "container-title" : "Intensive care medicine", "id" : "ITEM-1", "issue" : "5", "issued" : { "date-parts" : [ [ "2004", "5" ] ] }, "language" : "eng", "page" : "770-84", "publisher-place" : "United States", "title" : "Challenges in end-of-life care in the ICU. Statement of the 5th International Consensus Conference in Critical Care: Brussels, Belgium, April 2003.", "type" : "article-journal", "volume" : "30" }, "uris" : [ "http://www.mendeley.com/documents/?uuid=8cecfb88-5351-47b7-af0e-579001cde8ba" ] } ], "mendeley" : { "formattedCitation" : "(21)", "plainTextFormattedCitation" : "(21)", "previouslyFormattedCitation" : "(21)" }, "properties" : { "noteIndex" : 0 }, "schema" : "https://github.com/citation-style-language/schema/raw/master/csl-citation.json" }</w:instrText>
            </w:r>
            <w:r w:rsidRPr="00CC4A13">
              <w:rPr>
                <w:rFonts w:ascii="Arial" w:hAnsi="Arial" w:cs="Arial"/>
                <w:sz w:val="22"/>
                <w:szCs w:val="22"/>
                <w:lang w:val="en-US"/>
              </w:rPr>
              <w:fldChar w:fldCharType="separate"/>
            </w:r>
            <w:r w:rsidRPr="00CC4A13">
              <w:rPr>
                <w:rFonts w:ascii="Arial" w:hAnsi="Arial" w:cs="Arial"/>
                <w:noProof/>
                <w:sz w:val="22"/>
                <w:szCs w:val="22"/>
                <w:lang w:val="en-US"/>
              </w:rPr>
              <w:t>(21)</w:t>
            </w:r>
            <w:r w:rsidRPr="00CC4A13">
              <w:rPr>
                <w:rFonts w:ascii="Arial" w:hAnsi="Arial" w:cs="Arial"/>
                <w:sz w:val="22"/>
                <w:szCs w:val="22"/>
                <w:lang w:val="en-US"/>
              </w:rPr>
              <w:fldChar w:fldCharType="end"/>
            </w:r>
          </w:p>
        </w:tc>
        <w:tc>
          <w:tcPr>
            <w:tcW w:w="81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2003</w:t>
            </w:r>
          </w:p>
        </w:tc>
        <w:tc>
          <w:tcPr>
            <w:tcW w:w="126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63.9%</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47.2%</w:t>
            </w:r>
          </w:p>
        </w:tc>
        <w:tc>
          <w:tcPr>
            <w:tcW w:w="153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31.3%</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50.0%</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30.2%</w:t>
            </w:r>
          </w:p>
        </w:tc>
        <w:tc>
          <w:tcPr>
            <w:tcW w:w="162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41.7%</w:t>
            </w:r>
          </w:p>
        </w:tc>
        <w:tc>
          <w:tcPr>
            <w:tcW w:w="964" w:type="dxa"/>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54.2%</w:t>
            </w:r>
          </w:p>
        </w:tc>
        <w:tc>
          <w:tcPr>
            <w:tcW w:w="1843" w:type="dxa"/>
            <w:gridSpan w:val="2"/>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YWM</w:t>
            </w:r>
          </w:p>
        </w:tc>
      </w:tr>
      <w:tr w:rsidR="00EE4D45" w:rsidRPr="00CC4A13" w:rsidTr="00634E81">
        <w:trPr>
          <w:gridAfter w:val="1"/>
          <w:wAfter w:w="19" w:type="dxa"/>
        </w:trPr>
        <w:tc>
          <w:tcPr>
            <w:tcW w:w="1272"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Clarke et al </w:t>
            </w:r>
            <w:r w:rsidRPr="00CC4A13">
              <w:rPr>
                <w:rFonts w:ascii="Arial" w:hAnsi="Arial" w:cs="Arial"/>
                <w:sz w:val="22"/>
                <w:szCs w:val="22"/>
                <w:lang w:val="en-US"/>
              </w:rPr>
              <w:fldChar w:fldCharType="begin" w:fldLock="1"/>
            </w:r>
            <w:r w:rsidRPr="00CC4A13">
              <w:rPr>
                <w:rFonts w:ascii="Arial" w:hAnsi="Arial" w:cs="Arial"/>
                <w:sz w:val="22"/>
                <w:szCs w:val="22"/>
                <w:lang w:val="en-US"/>
              </w:rPr>
              <w:instrText>ADDIN CSL_CITATION { "citationItems" : [ { "id" : "ITEM-1", "itemData" : { "DOI" : "10.1097/01.CCM.0000084849.96385.85", "ISBN" : "0090-3493 (Print)\\r0090-3493 (Linking)", "ISSN" : "00903493", "PMID" : "14501954", "abstract" : "OBJECTIVE: The primary goal of this study was to address the documented deficiencies in end-of-life care (EOLC) in intensive care unit settings by identifying key EOLC domains and related quality indicators for use in the intensive care unit through a consensus process. A second goal was to propose specific clinician and organizational behaviors and interventions that might be used to improve these EOLC quality indicators. PARTICIPANTS: Participants were the 36 members of the Robert Wood Johnson Foundation (RWJF) Critical Care End-of-Life Peer Workgroup and 15 nurse-physician teams from 15 intensive care units affiliated with the work group members. Fourteen adult medical, surgical, and mixed intensive care units from 13 states and the District of Columbia in the United States and one mixed intensive care unit in Canada were represented. METHODS: An in-depth literature review was conducted to identify articles that assessed the domains of quality of EOLC in the intensive care unit and general health care. Consensus regarding the key EOLC domains in the intensive care unit and quality performance indicators within each domain was established based on the review of the literature and an iterative process involving the authors and members of the RWJF Critical Care End-of-Life Peer Workgroup. Specific clinician and organizational behaviors and interventions to address the proposed EOLC quality indicators within the domains were identified through a collaborative process with the nurse-physician teams in 15 intensive care units. MEASUREMENTS AND MAIN RESULTS: Seven EOLC domains were identified for use in the intensive care unit: a) patient- and family-centered decision making; b) communication; c) continuity of care; d) emotional and practical support; e) symptom management and comfort care; f) spiritual support; and g) emotional and organizational support for intensive care unit clinicians. Fifty-three EOLC quality indicators within the seven domains were proposed. More than 100 examples of clinician and organizational behaviors and interventions that could address the EOLC quality indicators in the intensive care unit setting were identified. CONCLUSIONS: These EOLC domains and the associated quality indicators, developed through a consensus process, provide clinicians and researchers with a framework for understanding quality of EOLC in the intensive care unit. Once validated, these indicators might be used to improve the quality of EOLC by serving as the\u2026", "author" : [ { "dropping-particle" : "", "family" : "Clarke", "given" : "Ellen B.", "non-dropping-particle" : "", "parse-names" : false, "suffix" : "" }, { "dropping-particle" : "", "family" : "Curtis", "given" : "J. Randall", "non-dropping-particle" : "", "parse-names" : false, "suffix" : "" }, { "dropping-particle" : "", "family" : "Luce", "given" : "John M.", "non-dropping-particle" : "", "parse-names" : false, "suffix" : "" }, { "dropping-particle" : "", "family" : "Levy", "given" : "Mitchell", "non-dropping-particle" : "", "parse-names" : false, "suffix" : "" }, { "dropping-particle" : "", "family" : "Danis", "given" : "Marion", "non-dropping-particle" : "", "parse-names" : false, "suffix" : "" }, { "dropping-particle" : "", "family" : "Nelson", "given" : "Judith", "non-dropping-particle" : "", "parse-names" : false, "suffix" : "" }, { "dropping-particle" : "", "family" : "Solomon", "given" : "Mildred Z.", "non-dropping-particle" : "", "parse-names" : false, "suffix" : "" } ], "container-title" : "Critical Care Medicine", "id" : "ITEM-1", "issue" : "9", "issued" : { "date-parts" : [ [ "2003" ] ] }, "page" : "2255-2262", "title" : "Quality indicators for end-of-life care in the intensive care unit", "type" : "article", "volume" : "31" }, "uris" : [ "http://www.mendeley.com/documents/?uuid=a37a79d6-5f73-4b30-bbc1-dee078dcee1f" ] } ], "mendeley" : { "formattedCitation" : "(5)", "plainTextFormattedCitation" : "(5)", "previouslyFormattedCitation" : "(5)" }, "properties" : { "noteIndex" : 0 }, "schema" : "https://github.com/citation-style-language/schema/raw/master/csl-citation.json" }</w:instrText>
            </w:r>
            <w:r w:rsidRPr="00CC4A13">
              <w:rPr>
                <w:rFonts w:ascii="Arial" w:hAnsi="Arial" w:cs="Arial"/>
                <w:sz w:val="22"/>
                <w:szCs w:val="22"/>
                <w:lang w:val="en-US"/>
              </w:rPr>
              <w:fldChar w:fldCharType="separate"/>
            </w:r>
            <w:r w:rsidRPr="00CC4A13">
              <w:rPr>
                <w:rFonts w:ascii="Arial" w:hAnsi="Arial" w:cs="Arial"/>
                <w:noProof/>
                <w:sz w:val="22"/>
                <w:szCs w:val="22"/>
                <w:lang w:val="en-US"/>
              </w:rPr>
              <w:t>(5)</w:t>
            </w:r>
            <w:r w:rsidRPr="00CC4A13">
              <w:rPr>
                <w:rFonts w:ascii="Arial" w:hAnsi="Arial" w:cs="Arial"/>
                <w:sz w:val="22"/>
                <w:szCs w:val="22"/>
                <w:lang w:val="en-US"/>
              </w:rPr>
              <w:fldChar w:fldCharType="end"/>
            </w:r>
          </w:p>
        </w:tc>
        <w:tc>
          <w:tcPr>
            <w:tcW w:w="81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2003</w:t>
            </w:r>
          </w:p>
        </w:tc>
        <w:tc>
          <w:tcPr>
            <w:tcW w:w="126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80.6%</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47.2%</w:t>
            </w:r>
          </w:p>
        </w:tc>
        <w:tc>
          <w:tcPr>
            <w:tcW w:w="153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39.1%</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59.7%</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20.8%</w:t>
            </w:r>
          </w:p>
        </w:tc>
        <w:tc>
          <w:tcPr>
            <w:tcW w:w="162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72.9%</w:t>
            </w:r>
          </w:p>
        </w:tc>
        <w:tc>
          <w:tcPr>
            <w:tcW w:w="964" w:type="dxa"/>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75.0%</w:t>
            </w:r>
          </w:p>
        </w:tc>
        <w:tc>
          <w:tcPr>
            <w:tcW w:w="1843" w:type="dxa"/>
            <w:gridSpan w:val="2"/>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Yes</w:t>
            </w:r>
          </w:p>
        </w:tc>
      </w:tr>
      <w:tr w:rsidR="00EE4D45" w:rsidRPr="00CC4A13" w:rsidTr="00634E81">
        <w:trPr>
          <w:gridAfter w:val="1"/>
          <w:wAfter w:w="19" w:type="dxa"/>
        </w:trPr>
        <w:tc>
          <w:tcPr>
            <w:tcW w:w="1272"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SIAARTI </w:t>
            </w:r>
            <w:r w:rsidRPr="00CC4A13">
              <w:rPr>
                <w:rFonts w:ascii="Arial" w:hAnsi="Arial" w:cs="Arial"/>
                <w:sz w:val="22"/>
                <w:szCs w:val="22"/>
                <w:lang w:val="en-US"/>
              </w:rPr>
              <w:fldChar w:fldCharType="begin" w:fldLock="1"/>
            </w:r>
            <w:r w:rsidRPr="00CC4A13">
              <w:rPr>
                <w:rFonts w:ascii="Arial" w:hAnsi="Arial" w:cs="Arial"/>
                <w:sz w:val="22"/>
                <w:szCs w:val="22"/>
                <w:lang w:val="en-US"/>
              </w:rPr>
              <w:instrText>ADDIN CSL_CITATION { "citationItems" : [ { "id" : "ITEM-1", "itemData" : { "ISSN" : "0375-9393 (Print)", "PMID" : "17235263", "container-title" : "Minerva anestesiologica", "id" : "ITEM-1", "issue" : "12", "issued" : { "date-parts" : [ [ "2006", "12" ] ] }, "language" : "eng", "page" : "927-963", "publisher-place" : "Italy", "title" : "End-of-life care and the intensivist: SIAARTI recommendations on the management of the dying patient.", "type" : "article-journal", "volume" : "72" }, "uris" : [ "http://www.mendeley.com/documents/?uuid=6a76eb43-37e8-4f93-bfb6-eb0e6cb4b235" ] } ], "mendeley" : { "formattedCitation" : "(17)", "plainTextFormattedCitation" : "(17)", "previouslyFormattedCitation" : "(17)" }, "properties" : { "noteIndex" : 0 }, "schema" : "https://github.com/citation-style-language/schema/raw/master/csl-citation.json" }</w:instrText>
            </w:r>
            <w:r w:rsidRPr="00CC4A13">
              <w:rPr>
                <w:rFonts w:ascii="Arial" w:hAnsi="Arial" w:cs="Arial"/>
                <w:sz w:val="22"/>
                <w:szCs w:val="22"/>
                <w:lang w:val="en-US"/>
              </w:rPr>
              <w:fldChar w:fldCharType="separate"/>
            </w:r>
            <w:r w:rsidRPr="00CC4A13">
              <w:rPr>
                <w:rFonts w:ascii="Arial" w:hAnsi="Arial" w:cs="Arial"/>
                <w:noProof/>
                <w:sz w:val="22"/>
                <w:szCs w:val="22"/>
                <w:lang w:val="en-US"/>
              </w:rPr>
              <w:t>(17)</w:t>
            </w:r>
            <w:r w:rsidRPr="00CC4A13">
              <w:rPr>
                <w:rFonts w:ascii="Arial" w:hAnsi="Arial" w:cs="Arial"/>
                <w:sz w:val="22"/>
                <w:szCs w:val="22"/>
                <w:lang w:val="en-US"/>
              </w:rPr>
              <w:fldChar w:fldCharType="end"/>
            </w:r>
          </w:p>
        </w:tc>
        <w:tc>
          <w:tcPr>
            <w:tcW w:w="81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2006</w:t>
            </w:r>
          </w:p>
        </w:tc>
        <w:tc>
          <w:tcPr>
            <w:tcW w:w="126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63.9%</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62.5%</w:t>
            </w:r>
          </w:p>
        </w:tc>
        <w:tc>
          <w:tcPr>
            <w:tcW w:w="153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36.5%</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69.4%</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24.0%</w:t>
            </w:r>
          </w:p>
        </w:tc>
        <w:tc>
          <w:tcPr>
            <w:tcW w:w="162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22.9%</w:t>
            </w:r>
          </w:p>
        </w:tc>
        <w:tc>
          <w:tcPr>
            <w:tcW w:w="964" w:type="dxa"/>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58.3%</w:t>
            </w:r>
          </w:p>
        </w:tc>
        <w:tc>
          <w:tcPr>
            <w:tcW w:w="1843" w:type="dxa"/>
            <w:gridSpan w:val="2"/>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YWM</w:t>
            </w:r>
          </w:p>
        </w:tc>
      </w:tr>
      <w:tr w:rsidR="00EE4D45" w:rsidRPr="00CC4A13" w:rsidTr="00634E81">
        <w:trPr>
          <w:gridAfter w:val="1"/>
          <w:wAfter w:w="19" w:type="dxa"/>
        </w:trPr>
        <w:tc>
          <w:tcPr>
            <w:tcW w:w="1272" w:type="dxa"/>
          </w:tcPr>
          <w:p w:rsidR="00EE4D45" w:rsidRPr="00CC4A13" w:rsidRDefault="00EE4D45" w:rsidP="00634E81">
            <w:pPr>
              <w:contextualSpacing/>
              <w:rPr>
                <w:rFonts w:ascii="Arial" w:hAnsi="Arial" w:cs="Arial"/>
                <w:sz w:val="22"/>
                <w:szCs w:val="22"/>
                <w:lang w:val="en-US"/>
              </w:rPr>
            </w:pPr>
            <w:proofErr w:type="spellStart"/>
            <w:r w:rsidRPr="00CC4A13">
              <w:rPr>
                <w:rFonts w:ascii="Arial" w:hAnsi="Arial" w:cs="Arial"/>
                <w:sz w:val="22"/>
                <w:szCs w:val="22"/>
                <w:lang w:val="en-US"/>
              </w:rPr>
              <w:t>Mularski</w:t>
            </w:r>
            <w:proofErr w:type="spellEnd"/>
            <w:r w:rsidRPr="00CC4A13">
              <w:rPr>
                <w:rFonts w:ascii="Arial" w:hAnsi="Arial" w:cs="Arial"/>
                <w:sz w:val="22"/>
                <w:szCs w:val="22"/>
                <w:lang w:val="en-US"/>
              </w:rPr>
              <w:t xml:space="preserve"> et al </w:t>
            </w:r>
            <w:r w:rsidRPr="00CC4A13">
              <w:rPr>
                <w:rFonts w:ascii="Arial" w:hAnsi="Arial" w:cs="Arial"/>
                <w:sz w:val="22"/>
                <w:szCs w:val="22"/>
                <w:lang w:val="en-US"/>
              </w:rPr>
              <w:fldChar w:fldCharType="begin" w:fldLock="1"/>
            </w:r>
            <w:r w:rsidRPr="00CC4A13">
              <w:rPr>
                <w:rFonts w:ascii="Arial" w:hAnsi="Arial" w:cs="Arial"/>
                <w:sz w:val="22"/>
                <w:szCs w:val="22"/>
                <w:lang w:val="en-US"/>
              </w:rPr>
              <w:instrText>ADDIN CSL_CITATION { "citationItems" : [ { "id" : "ITEM-1", "itemData" : { "DOI" : "10.1097/01.CCM.0000242910.00801.53", "ISSN" : "0090-3493", "abstract" : "For critically ill patients and their loved ones, high-quality health care includes the provision of excellent palliative care. To achieve this goal, the healthcare system needs to identify, measure, and report specific targets for quality palliative care for critically ill or injured patients. Our objective was to use a consensus process to develop a preliminary set of quality measures to assess palliative care in the critically ill.We built on earlier and ongoing efforts of the Robert Wood Johnson Foundation Critical Care End-of-Life Peer Workgroup to propose specific measures of the structure and process of palliative care. We used an informal iterative consensus process to identify and refine a set of candidate quality measures. These candidate measures were developed by reviewing previous literature reviews, supplementing the evidence base with recently published systematic reviews and consensus statements, identifying existing indicators and measures, and adapting indicators from related fields for our objective. Among our primary sources, we identified existing measures from the Voluntary Hospital Association's Transformation of the ICU program and a government-sponsored systematic review performed by RAND Health to identify palliative care quality measures for cancer care.Our consensus group proposes 18 quality measures to assess the quality of palliative care for the critically ill and injured. A total of 14 of the proposed measures assess processes of care at the patient level, and four measures explore structural aspects of critical care delivery. Future research is needed to assess the relationship of these measures to desired health outcomes. Subsequent measure sets should also attempt to include outcome measures, such as patient or surrogate satisfaction, as the field develops the means to rigorously measure such outcomes. The proposed measures are intended to stimulate further discussion, testing, and refinement for quality of care measurement and enhancement. \u00a9 2006 Lippincott Williams &amp; Wilkins, Inc.", "author" : [ { "dropping-particle" : "", "family" : "Mularski", "given" : "Richard A.", "non-dropping-particle" : "", "parse-names" : false, "suffix" : "" }, { "dropping-particle" : "", "family" : "Curtis", "given" : "J. Randall", "non-dropping-particle" : "", "parse-names" : false, "suffix" : "" }, { "dropping-particle" : "", "family" : "Billings", "given" : "J. Andrew", "non-dropping-particle" : "", "parse-names" : false, "suffix" : "" }, { "dropping-particle" : "", "family" : "Burt", "given" : "Robert", "non-dropping-particle" : "", "parse-names" : false, "suffix" : "" }, { "dropping-particle" : "", "family" : "Byock", "given" : "Ira", "non-dropping-particle" : "", "parse-names" : false, "suffix" : "" }, { "dropping-particle" : "", "family" : "Fuhrman", "given" : "Cathy", "non-dropping-particle" : "", "parse-names" : false, "suffix" : "" }, { "dropping-particle" : "", "family" : "Mosenthal", "given" : "Anne C.", "non-dropping-particle" : "", "parse-names" : false, "suffix" : "" }, { "dropping-particle" : "", "family" : "Medina", "given" : "Justine", "non-dropping-particle" : "", "parse-names" : false, "suffix" : "" }, { "dropping-particle" : "", "family" : "Ray", "given" : "Daniel E.", "non-dropping-particle" : "", "parse-names" : false, "suffix" : "" }, { "dropping-particle" : "", "family" : "Rubenfeld", "given" : "Gordon D.", "non-dropping-particle" : "", "parse-names" : false, "suffix" : "" }, { "dropping-particle" : "", "family" : "Schneiderman", "given" : "Lawrence J.", "non-dropping-particle" : "", "parse-names" : false, "suffix" : "" }, { "dropping-particle" : "", "family" : "Treece", "given" : "Patsy D.", "non-dropping-particle" : "", "parse-names" : false, "suffix" : "" }, { "dropping-particle" : "", "family" : "Truog", "given" : "Robert D.", "non-dropping-particle" : "", "parse-names" : false, "suffix" : "" }, { "dropping-particle" : "", "family" : "Levy", "given" : "Mitchell M.", "non-dropping-particle" : "", "parse-names" : false, "suffix" : "" } ], "container-title" : "Critical Care Medicine", "id" : "ITEM-1", "issue" : "11 SUPPL.", "issued" : { "date-parts" : [ [ "2006" ] ] }, "language" : "English", "page" : "S404-S411", "publisher-place" : "R.A. Mularski, Center for Health Research, Kaiser Permanente Northwest, Portland, OR, United States", "title" : "Proposed quality measures for palliative care in the critically ill: A consensus from the Robert Wood Johnson foundation critical care workgroup", "type" : "article-journal", "volume" : "34" }, "uris" : [ "http://www.mendeley.com/documents/?uuid=d77ae66b-e23c-4dae-91d1-5953539bcc1b" ] } ], "mendeley" : { "formattedCitation" : "(14)", "plainTextFormattedCitation" : "(14)", "previouslyFormattedCitation" : "(14)" }, "properties" : { "noteIndex" : 0 }, "schema" : "https://github.com/citation-style-language/schema/raw/master/csl-citation.json" }</w:instrText>
            </w:r>
            <w:r w:rsidRPr="00CC4A13">
              <w:rPr>
                <w:rFonts w:ascii="Arial" w:hAnsi="Arial" w:cs="Arial"/>
                <w:sz w:val="22"/>
                <w:szCs w:val="22"/>
                <w:lang w:val="en-US"/>
              </w:rPr>
              <w:fldChar w:fldCharType="separate"/>
            </w:r>
            <w:r w:rsidRPr="00CC4A13">
              <w:rPr>
                <w:rFonts w:ascii="Arial" w:hAnsi="Arial" w:cs="Arial"/>
                <w:noProof/>
                <w:sz w:val="22"/>
                <w:szCs w:val="22"/>
                <w:lang w:val="en-US"/>
              </w:rPr>
              <w:t>(14)</w:t>
            </w:r>
            <w:r w:rsidRPr="00CC4A13">
              <w:rPr>
                <w:rFonts w:ascii="Arial" w:hAnsi="Arial" w:cs="Arial"/>
                <w:sz w:val="22"/>
                <w:szCs w:val="22"/>
                <w:lang w:val="en-US"/>
              </w:rPr>
              <w:fldChar w:fldCharType="end"/>
            </w:r>
          </w:p>
        </w:tc>
        <w:tc>
          <w:tcPr>
            <w:tcW w:w="81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2006</w:t>
            </w:r>
          </w:p>
        </w:tc>
        <w:tc>
          <w:tcPr>
            <w:tcW w:w="126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59.7%</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40.3%</w:t>
            </w:r>
          </w:p>
        </w:tc>
        <w:tc>
          <w:tcPr>
            <w:tcW w:w="153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20.8%</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50.0%</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16.7%</w:t>
            </w:r>
          </w:p>
        </w:tc>
        <w:tc>
          <w:tcPr>
            <w:tcW w:w="162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66.7%</w:t>
            </w:r>
          </w:p>
        </w:tc>
        <w:tc>
          <w:tcPr>
            <w:tcW w:w="964" w:type="dxa"/>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54.2%</w:t>
            </w:r>
          </w:p>
        </w:tc>
        <w:tc>
          <w:tcPr>
            <w:tcW w:w="1843" w:type="dxa"/>
            <w:gridSpan w:val="2"/>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YWM</w:t>
            </w:r>
          </w:p>
        </w:tc>
      </w:tr>
      <w:tr w:rsidR="00EE4D45" w:rsidRPr="00CC4A13" w:rsidTr="00634E81">
        <w:trPr>
          <w:gridAfter w:val="1"/>
          <w:wAfter w:w="19" w:type="dxa"/>
        </w:trPr>
        <w:tc>
          <w:tcPr>
            <w:tcW w:w="1272" w:type="dxa"/>
          </w:tcPr>
          <w:p w:rsidR="00EE4D45" w:rsidRPr="00CC4A13" w:rsidRDefault="00EE4D45" w:rsidP="00634E81">
            <w:pPr>
              <w:contextualSpacing/>
              <w:rPr>
                <w:rFonts w:ascii="Arial" w:hAnsi="Arial" w:cs="Arial"/>
                <w:sz w:val="22"/>
                <w:szCs w:val="22"/>
                <w:lang w:val="en-US"/>
              </w:rPr>
            </w:pPr>
            <w:proofErr w:type="spellStart"/>
            <w:r w:rsidRPr="00CC4A13">
              <w:rPr>
                <w:rFonts w:ascii="Arial" w:hAnsi="Arial" w:cs="Arial"/>
                <w:sz w:val="22"/>
                <w:szCs w:val="22"/>
                <w:lang w:val="en-US"/>
              </w:rPr>
              <w:t>Monzón</w:t>
            </w:r>
            <w:proofErr w:type="spellEnd"/>
            <w:r w:rsidRPr="00CC4A13">
              <w:rPr>
                <w:rFonts w:ascii="Arial" w:hAnsi="Arial" w:cs="Arial"/>
                <w:sz w:val="22"/>
                <w:szCs w:val="22"/>
                <w:lang w:val="en-US"/>
              </w:rPr>
              <w:t xml:space="preserve"> </w:t>
            </w:r>
            <w:proofErr w:type="spellStart"/>
            <w:r w:rsidRPr="00CC4A13">
              <w:rPr>
                <w:rFonts w:ascii="Arial" w:hAnsi="Arial" w:cs="Arial"/>
                <w:sz w:val="22"/>
                <w:szCs w:val="22"/>
                <w:lang w:val="en-US"/>
              </w:rPr>
              <w:t>Marín</w:t>
            </w:r>
            <w:proofErr w:type="spellEnd"/>
            <w:r w:rsidRPr="00CC4A13">
              <w:rPr>
                <w:rFonts w:ascii="Arial" w:hAnsi="Arial" w:cs="Arial"/>
                <w:sz w:val="22"/>
                <w:szCs w:val="22"/>
                <w:lang w:val="en-US"/>
              </w:rPr>
              <w:t xml:space="preserve"> et al </w:t>
            </w:r>
            <w:r w:rsidRPr="00CC4A13">
              <w:rPr>
                <w:rFonts w:ascii="Arial" w:hAnsi="Arial" w:cs="Arial"/>
                <w:sz w:val="22"/>
                <w:szCs w:val="22"/>
                <w:lang w:val="en-US"/>
              </w:rPr>
              <w:fldChar w:fldCharType="begin" w:fldLock="1"/>
            </w:r>
            <w:r w:rsidRPr="00CC4A13">
              <w:rPr>
                <w:rFonts w:ascii="Arial" w:hAnsi="Arial" w:cs="Arial"/>
                <w:sz w:val="22"/>
                <w:szCs w:val="22"/>
                <w:lang w:val="en-US"/>
              </w:rPr>
              <w:instrText>ADDIN CSL_CITATION { "citationItems" : [ { "id" : "ITEM-1", "itemData" : { "DOI" : "10.1016/S0210-5691(08)70922-7", "ISSN" : "02105691", "author" : [ { "dropping-particle" : "", "family" : "Monz\u00f3n Mar\u00edn", "given" : "J.L.", "non-dropping-particle" : "", "parse-names" : false, "suffix" : "" }, { "dropping-particle" : "", "family" : "Saralegui Reta", "given" : "I.", "non-dropping-particle" : "", "parse-names" : false, "suffix" : "" }, { "dropping-particle" : "", "family" : "Abizanda I Campos", "given" : "R.", "non-dropping-particle" : "", "parse-names" : false, "suffix" : "" }, { "dropping-particle" : "", "family" : "Cabr\u00e9 Pericas", "given" : "L.", "non-dropping-particle" : "", "parse-names" : false, "suffix" : "" }, { "dropping-particle" : "", "family" : "Iribarren Diarasarri", "given" : "S.", "non-dropping-particle" : "", "parse-names" : false, "suffix" : "" }, { "dropping-particle" : "", "family" : "Mart\u00edn Delgado", "given" : "M.C.", "non-dropping-particle" : "", "parse-names" : false, "suffix" : "" }, { "dropping-particle" : "", "family" : "Mart\u00ednez Urionabarrenetxea", "given" : "K.", "non-dropping-particle" : "", "parse-names" : false, "suffix" : "" } ], "container-title" : "Medicina Intensiva", "id" : "ITEM-1", "issue" : "3", "issued" : { "date-parts" : [ [ "2008", "3" ] ] }, "page" : "121-133", "publisher" : "Elsevier", "title" : "Recomendaciones de tratamiento al final de la vida del paciente cr\u00edtico", "type" : "article-journal", "volume" : "32" }, "uris" : [ "http://www.mendeley.com/documents/?uuid=07559c94-9464-4499-862d-2d9169bdf52f" ] } ], "mendeley" : { "formattedCitation" : "(19)", "plainTextFormattedCitation" : "(19)", "previouslyFormattedCitation" : "(19)" }, "properties" : { "noteIndex" : 0 }, "schema" : "https://github.com/citation-style-language/schema/raw/master/csl-citation.json" }</w:instrText>
            </w:r>
            <w:r w:rsidRPr="00CC4A13">
              <w:rPr>
                <w:rFonts w:ascii="Arial" w:hAnsi="Arial" w:cs="Arial"/>
                <w:sz w:val="22"/>
                <w:szCs w:val="22"/>
                <w:lang w:val="en-US"/>
              </w:rPr>
              <w:fldChar w:fldCharType="separate"/>
            </w:r>
            <w:r w:rsidRPr="00CC4A13">
              <w:rPr>
                <w:rFonts w:ascii="Arial" w:hAnsi="Arial" w:cs="Arial"/>
                <w:noProof/>
                <w:sz w:val="22"/>
                <w:szCs w:val="22"/>
                <w:lang w:val="en-US"/>
              </w:rPr>
              <w:t>(19)</w:t>
            </w:r>
            <w:r w:rsidRPr="00CC4A13">
              <w:rPr>
                <w:rFonts w:ascii="Arial" w:hAnsi="Arial" w:cs="Arial"/>
                <w:sz w:val="22"/>
                <w:szCs w:val="22"/>
                <w:lang w:val="en-US"/>
              </w:rPr>
              <w:fldChar w:fldCharType="end"/>
            </w:r>
          </w:p>
        </w:tc>
        <w:tc>
          <w:tcPr>
            <w:tcW w:w="810" w:type="dxa"/>
            <w:vAlign w:val="center"/>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2008</w:t>
            </w:r>
          </w:p>
        </w:tc>
        <w:tc>
          <w:tcPr>
            <w:tcW w:w="126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73.6%</w:t>
            </w:r>
          </w:p>
        </w:tc>
        <w:tc>
          <w:tcPr>
            <w:tcW w:w="144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59.7%</w:t>
            </w:r>
          </w:p>
        </w:tc>
        <w:tc>
          <w:tcPr>
            <w:tcW w:w="153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36.5%</w:t>
            </w:r>
          </w:p>
        </w:tc>
        <w:tc>
          <w:tcPr>
            <w:tcW w:w="144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63.9%</w:t>
            </w:r>
          </w:p>
        </w:tc>
        <w:tc>
          <w:tcPr>
            <w:tcW w:w="144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34.4%</w:t>
            </w:r>
          </w:p>
        </w:tc>
        <w:tc>
          <w:tcPr>
            <w:tcW w:w="162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43.8%</w:t>
            </w:r>
          </w:p>
        </w:tc>
        <w:tc>
          <w:tcPr>
            <w:tcW w:w="964" w:type="dxa"/>
            <w:vAlign w:val="center"/>
          </w:tcPr>
          <w:p w:rsidR="00EE4D45" w:rsidRPr="00CC4A13" w:rsidRDefault="00EE4D45" w:rsidP="00634E81">
            <w:pPr>
              <w:contextualSpacing/>
              <w:jc w:val="center"/>
              <w:rPr>
                <w:rFonts w:ascii="Arial" w:hAnsi="Arial" w:cs="Arial"/>
                <w:sz w:val="22"/>
                <w:szCs w:val="22"/>
                <w:lang w:val="en-US"/>
              </w:rPr>
            </w:pPr>
            <w:r w:rsidRPr="00CC4A13">
              <w:rPr>
                <w:rFonts w:ascii="Arial" w:eastAsia="Times New Roman" w:hAnsi="Arial" w:cs="Arial"/>
                <w:sz w:val="22"/>
                <w:szCs w:val="22"/>
                <w:lang w:val="en-US"/>
              </w:rPr>
              <w:t>58.3%</w:t>
            </w:r>
          </w:p>
        </w:tc>
        <w:tc>
          <w:tcPr>
            <w:tcW w:w="1843" w:type="dxa"/>
            <w:gridSpan w:val="2"/>
            <w:vAlign w:val="center"/>
          </w:tcPr>
          <w:p w:rsidR="00EE4D45" w:rsidRPr="00CC4A13" w:rsidRDefault="00EE4D45" w:rsidP="00634E81">
            <w:pPr>
              <w:contextualSpacing/>
              <w:jc w:val="center"/>
              <w:rPr>
                <w:rFonts w:ascii="Arial" w:hAnsi="Arial" w:cs="Arial"/>
                <w:sz w:val="22"/>
                <w:szCs w:val="22"/>
                <w:lang w:val="en-US"/>
              </w:rPr>
            </w:pPr>
            <w:r w:rsidRPr="00CC4A13">
              <w:rPr>
                <w:rFonts w:ascii="Arial" w:eastAsia="Times New Roman" w:hAnsi="Arial" w:cs="Arial"/>
                <w:sz w:val="22"/>
                <w:szCs w:val="22"/>
                <w:lang w:val="en-US"/>
              </w:rPr>
              <w:t>YWM</w:t>
            </w:r>
          </w:p>
        </w:tc>
      </w:tr>
      <w:tr w:rsidR="00EE4D45" w:rsidRPr="00CC4A13" w:rsidTr="00634E81">
        <w:trPr>
          <w:gridAfter w:val="1"/>
          <w:wAfter w:w="19" w:type="dxa"/>
        </w:trPr>
        <w:tc>
          <w:tcPr>
            <w:tcW w:w="1272" w:type="dxa"/>
          </w:tcPr>
          <w:p w:rsidR="00EE4D45" w:rsidRPr="00CC4A13" w:rsidRDefault="00EE4D45" w:rsidP="00634E81">
            <w:pPr>
              <w:contextualSpacing/>
              <w:rPr>
                <w:rFonts w:ascii="Arial" w:hAnsi="Arial" w:cs="Arial"/>
                <w:sz w:val="22"/>
                <w:szCs w:val="22"/>
                <w:lang w:val="en-US"/>
              </w:rPr>
            </w:pPr>
            <w:proofErr w:type="spellStart"/>
            <w:r w:rsidRPr="00CC4A13">
              <w:rPr>
                <w:rFonts w:ascii="Arial" w:hAnsi="Arial" w:cs="Arial"/>
                <w:sz w:val="22"/>
                <w:szCs w:val="22"/>
                <w:lang w:val="en-US"/>
              </w:rPr>
              <w:t>Lanken</w:t>
            </w:r>
            <w:proofErr w:type="spellEnd"/>
            <w:r w:rsidRPr="00CC4A13">
              <w:rPr>
                <w:rFonts w:ascii="Arial" w:hAnsi="Arial" w:cs="Arial"/>
                <w:sz w:val="22"/>
                <w:szCs w:val="22"/>
                <w:lang w:val="en-US"/>
              </w:rPr>
              <w:t xml:space="preserve"> et al </w:t>
            </w:r>
            <w:r w:rsidRPr="00CC4A13">
              <w:rPr>
                <w:rFonts w:ascii="Arial" w:hAnsi="Arial" w:cs="Arial"/>
                <w:sz w:val="22"/>
                <w:szCs w:val="22"/>
                <w:lang w:val="en-US"/>
              </w:rPr>
              <w:fldChar w:fldCharType="begin" w:fldLock="1"/>
            </w:r>
            <w:r w:rsidRPr="00CC4A13">
              <w:rPr>
                <w:rFonts w:ascii="Arial" w:hAnsi="Arial" w:cs="Arial"/>
                <w:sz w:val="22"/>
                <w:szCs w:val="22"/>
                <w:lang w:val="en-US"/>
              </w:rPr>
              <w:instrText>ADDIN CSL_CITATION { "citationItems" : [ { "id" : "ITEM-1", "itemData" : { "DOI" : "10.1164/rccm.200605-587ST", "ISSN" : "1535-4970 (Electronic)", "PMID" : "18390964", "author" : [ { "dropping-particle" : "", "family" : "Lanken", "given" : "Paul N", "non-dropping-particle" : "", "parse-names" : false, "suffix" : "" }, { "dropping-particle" : "", "family" : "Terry", "given" : "Peter B", "non-dropping-particle" : "", "parse-names" : false, "suffix" : "" }, { "dropping-particle" : "", "family" : "Delisser", "given" : "Horace M", "non-dropping-particle" : "", "parse-names" : false, "suffix" : "" }, { "dropping-particle" : "", "family" : "Fahy", "given" : "Bonnie F", "non-dropping-particle" : "", "parse-names" : false, "suffix" : "" }, { "dropping-particle" : "", "family" : "Hansen-Flaschen", "given" : "John", "non-dropping-particle" : "", "parse-names" : false, "suffix" : "" }, { "dropping-particle" : "", "family" : "Heffner", "given" : "John E", "non-dropping-particle" : "", "parse-names" : false, "suffix" : "" }, { "dropping-particle" : "", "family" : "Levy", "given" : "Mitchell", "non-dropping-particle" : "", "parse-names" : false, "suffix" : "" }, { "dropping-particle" : "", "family" : "Mularski", "given" : "Richard A", "non-dropping-particle" : "", "parse-names" : false, "suffix" : "" }, { "dropping-particle" : "", "family" : "Osborne", "given" : "Molly L", "non-dropping-particle" : "", "parse-names" : false, "suffix" : "" }, { "dropping-particle" : "", "family" : "Prendergast", "given" : "Thomas J", "non-dropping-particle" : "", "parse-names" : false, "suffix" : "" }, { "dropping-particle" : "", "family" : "Rocker", "given" : "Graeme", "non-dropping-particle" : "", "parse-names" : false, "suffix" : "" }, { "dropping-particle" : "", "family" : "Sibbald", "given" : "William J", "non-dropping-particle" : "", "parse-names" : false, "suffix" : "" }, { "dropping-particle" : "", "family" : "Wilfond", "given" : "Benjamin", "non-dropping-particle" : "", "parse-names" : false, "suffix" : "" }, { "dropping-particle" : "", "family" : "Yankaskas", "given" : "James R", "non-dropping-particle" : "", "parse-names" : false, "suffix" : "" } ], "container-title" : "American journal of respiratory and critical care medicine", "id" : "ITEM-1", "issue" : "8", "issued" : { "date-parts" : [ [ "2008", "4" ] ] }, "language" : "eng", "page" : "912-927", "publisher-place" : "United States", "title" : "An official American Thoracic Society clinical policy statement: palliative care  for patients with respiratory diseases and critical illnesses.", "type" : "article-journal", "volume" : "177" }, "uris" : [ "http://www.mendeley.com/documents/?uuid=b36ab440-df31-4062-80d5-cde4f71efd2c" ] } ], "mendeley" : { "formattedCitation" : "(15)", "plainTextFormattedCitation" : "(15)", "previouslyFormattedCitation" : "(15)" }, "properties" : { "noteIndex" : 0 }, "schema" : "https://github.com/citation-style-language/schema/raw/master/csl-citation.json" }</w:instrText>
            </w:r>
            <w:r w:rsidRPr="00CC4A13">
              <w:rPr>
                <w:rFonts w:ascii="Arial" w:hAnsi="Arial" w:cs="Arial"/>
                <w:sz w:val="22"/>
                <w:szCs w:val="22"/>
                <w:lang w:val="en-US"/>
              </w:rPr>
              <w:fldChar w:fldCharType="separate"/>
            </w:r>
            <w:r w:rsidRPr="00CC4A13">
              <w:rPr>
                <w:rFonts w:ascii="Arial" w:hAnsi="Arial" w:cs="Arial"/>
                <w:noProof/>
                <w:sz w:val="22"/>
                <w:szCs w:val="22"/>
                <w:lang w:val="en-US"/>
              </w:rPr>
              <w:t>(15)</w:t>
            </w:r>
            <w:r w:rsidRPr="00CC4A13">
              <w:rPr>
                <w:rFonts w:ascii="Arial" w:hAnsi="Arial" w:cs="Arial"/>
                <w:sz w:val="22"/>
                <w:szCs w:val="22"/>
                <w:lang w:val="en-US"/>
              </w:rPr>
              <w:fldChar w:fldCharType="end"/>
            </w:r>
          </w:p>
        </w:tc>
        <w:tc>
          <w:tcPr>
            <w:tcW w:w="81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hAnsi="Arial" w:cs="Arial"/>
                <w:sz w:val="22"/>
                <w:szCs w:val="22"/>
                <w:lang w:val="en-US"/>
              </w:rPr>
              <w:t>2008</w:t>
            </w:r>
          </w:p>
        </w:tc>
        <w:tc>
          <w:tcPr>
            <w:tcW w:w="126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65.3%</w:t>
            </w:r>
          </w:p>
        </w:tc>
        <w:tc>
          <w:tcPr>
            <w:tcW w:w="144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59.7%</w:t>
            </w:r>
          </w:p>
        </w:tc>
        <w:tc>
          <w:tcPr>
            <w:tcW w:w="153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41.7%</w:t>
            </w:r>
          </w:p>
        </w:tc>
        <w:tc>
          <w:tcPr>
            <w:tcW w:w="144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73.6%</w:t>
            </w:r>
          </w:p>
        </w:tc>
        <w:tc>
          <w:tcPr>
            <w:tcW w:w="144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44.8%</w:t>
            </w:r>
          </w:p>
        </w:tc>
        <w:tc>
          <w:tcPr>
            <w:tcW w:w="1620" w:type="dxa"/>
            <w:vAlign w:val="center"/>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sz w:val="22"/>
                <w:szCs w:val="22"/>
                <w:lang w:val="en-US"/>
              </w:rPr>
              <w:t>41.7%</w:t>
            </w:r>
          </w:p>
        </w:tc>
        <w:tc>
          <w:tcPr>
            <w:tcW w:w="964" w:type="dxa"/>
            <w:vAlign w:val="center"/>
          </w:tcPr>
          <w:p w:rsidR="00EE4D45" w:rsidRPr="00CC4A13" w:rsidRDefault="00EE4D45" w:rsidP="00634E81">
            <w:pPr>
              <w:contextualSpacing/>
              <w:jc w:val="center"/>
              <w:rPr>
                <w:rFonts w:ascii="Arial" w:hAnsi="Arial" w:cs="Arial"/>
                <w:sz w:val="22"/>
                <w:szCs w:val="22"/>
                <w:lang w:val="en-US"/>
              </w:rPr>
            </w:pPr>
            <w:r w:rsidRPr="00CC4A13">
              <w:rPr>
                <w:rFonts w:ascii="Arial" w:eastAsia="Times New Roman" w:hAnsi="Arial" w:cs="Arial"/>
                <w:sz w:val="22"/>
                <w:szCs w:val="22"/>
                <w:lang w:val="en-US"/>
              </w:rPr>
              <w:t>62.5%</w:t>
            </w:r>
          </w:p>
        </w:tc>
        <w:tc>
          <w:tcPr>
            <w:tcW w:w="1843" w:type="dxa"/>
            <w:gridSpan w:val="2"/>
            <w:vAlign w:val="center"/>
          </w:tcPr>
          <w:p w:rsidR="00EE4D45" w:rsidRPr="00CC4A13" w:rsidRDefault="00EE4D45" w:rsidP="00634E81">
            <w:pPr>
              <w:contextualSpacing/>
              <w:jc w:val="center"/>
              <w:rPr>
                <w:rFonts w:ascii="Arial" w:hAnsi="Arial" w:cs="Arial"/>
                <w:sz w:val="22"/>
                <w:szCs w:val="22"/>
                <w:lang w:val="en-US"/>
              </w:rPr>
            </w:pPr>
            <w:r w:rsidRPr="00CC4A13">
              <w:rPr>
                <w:rFonts w:ascii="Arial" w:eastAsia="Times New Roman" w:hAnsi="Arial" w:cs="Arial"/>
                <w:sz w:val="22"/>
                <w:szCs w:val="22"/>
                <w:lang w:val="en-US"/>
              </w:rPr>
              <w:t>YWM</w:t>
            </w:r>
          </w:p>
        </w:tc>
      </w:tr>
      <w:tr w:rsidR="00EE4D45" w:rsidRPr="00CC4A13" w:rsidTr="00634E81">
        <w:trPr>
          <w:gridAfter w:val="1"/>
          <w:wAfter w:w="19" w:type="dxa"/>
        </w:trPr>
        <w:tc>
          <w:tcPr>
            <w:tcW w:w="1272" w:type="dxa"/>
          </w:tcPr>
          <w:p w:rsidR="00EE4D45" w:rsidRPr="00CC4A13" w:rsidRDefault="00EE4D45" w:rsidP="00634E81">
            <w:pPr>
              <w:contextualSpacing/>
              <w:rPr>
                <w:rFonts w:ascii="Arial" w:hAnsi="Arial" w:cs="Arial"/>
                <w:sz w:val="22"/>
                <w:szCs w:val="22"/>
                <w:lang w:val="en-US"/>
              </w:rPr>
            </w:pPr>
            <w:proofErr w:type="spellStart"/>
            <w:r w:rsidRPr="00CC4A13">
              <w:rPr>
                <w:rFonts w:ascii="Arial" w:hAnsi="Arial" w:cs="Arial"/>
                <w:sz w:val="22"/>
                <w:szCs w:val="22"/>
                <w:lang w:val="en-US"/>
              </w:rPr>
              <w:t>Truog</w:t>
            </w:r>
            <w:proofErr w:type="spellEnd"/>
            <w:r w:rsidRPr="00CC4A13">
              <w:rPr>
                <w:rFonts w:ascii="Arial" w:hAnsi="Arial" w:cs="Arial"/>
                <w:sz w:val="22"/>
                <w:szCs w:val="22"/>
                <w:lang w:val="en-US"/>
              </w:rPr>
              <w:t xml:space="preserve"> et al </w:t>
            </w:r>
            <w:r w:rsidRPr="00CC4A13">
              <w:rPr>
                <w:rFonts w:ascii="Arial" w:hAnsi="Arial" w:cs="Arial"/>
                <w:sz w:val="22"/>
                <w:szCs w:val="22"/>
                <w:lang w:val="en-US"/>
              </w:rPr>
              <w:fldChar w:fldCharType="begin" w:fldLock="1"/>
            </w:r>
            <w:r w:rsidRPr="00CC4A13">
              <w:rPr>
                <w:rFonts w:ascii="Arial" w:hAnsi="Arial" w:cs="Arial"/>
                <w:sz w:val="22"/>
                <w:szCs w:val="22"/>
                <w:lang w:val="en-US"/>
              </w:rPr>
              <w:instrText>ADDIN CSL_CITATION { "citationItems" : [ { "id" : "ITEM-1", "itemData" : { "DOI" : "10.1097/CCM.0B013E3181659096", "ISSN" : "1530-0293", "PMID" : "18431285", "abstract" : "BACKGROUND These recommendations have been developed to improve the care of intensive care unit (ICU) patients during the dying process. The recommendations build on those published in 2003 and highlight recent developments in the field from a U.S. perspective. They do not use an evidence grading system because most of the recommendations are based on ethical and legal principles that are not derived from empirically based evidence. PRINCIPAL FINDINGS Family-centered care, which emphasizes the importance of the social structure within which patients are embedded, has emerged as a comprehensive ideal for managing end-of-life care in the ICU. ICU clinicians should be competent in all aspects of this care, including the practical and ethical aspects of withdrawing different modalities of life-sustaining treatment and the use of sedatives, analgesics, and nonpharmacologic approaches to easing the suffering of the dying process. Several key ethical concepts play a foundational role in guiding end-of-life care, including the distinctions between withholding and withdrawing treatments, between actions of killing and allowing to die, and between consequences that are intended vs. those that are merely foreseen (the doctrine of double effect). Improved communication with the family has been shown to improve patient care and family outcomes. Other knowledge unique to end-of-life care includes principles for notifying families of a patient's death and compassionate approaches to discussing options for organ donation. End-of-life care continues even after the death of the patient, and ICUs should consider developing comprehensive bereavement programs to support both families and the needs of the clinical staff. Finally, a comprehensive agenda for improving end-of-life care in the ICU has been developed to guide research, quality improvement efforts, and educational curricula. CONCLUSIONS End-of-life care is emerging as a comprehensive area of expertise in the ICU and demands the same high level of knowledge and competence as all other areas of ICU practice.", "author" : [ { "dropping-particle" : "", "family" : "Truog", "given" : "Robert D", "non-dropping-particle" : "", "parse-names" : false, "suffix" : "" }, { "dropping-particle" : "", "family" : "Campbell", "given" : "Margaret L", "non-dropping-particle" : "", "parse-names" : false, "suffix" : "" }, { "dropping-particle" : "", "family" : "Curtis", "given" : "J Randall", "non-dropping-particle" : "", "parse-names" : false, "suffix" : "" }, { "dropping-particle" : "", "family" : "Haas", "given" : "Curtis E", "non-dropping-particle" : "", "parse-names" : false, "suffix" : "" }, { "dropping-particle" : "", "family" : "Luce", "given" : "John M", "non-dropping-particle" : "", "parse-names" : false, "suffix" : "" }, { "dropping-particle" : "", "family" : "Rubenfeld", "given" : "Gordon D", "non-dropping-particle" : "", "parse-names" : false, "suffix" : "" }, { "dropping-particle" : "", "family" : "Rushton", "given" : "Cynda Hylton", "non-dropping-particle" : "", "parse-names" : false, "suffix" : "" }, { "dropping-particle" : "", "family" : "Kaufman", "given" : "David C", "non-dropping-particle" : "", "parse-names" : false, "suffix" : "" }, { "dropping-particle" : "", "family" : "American Academy of Critical Care Medicine", "given" : "", "non-dropping-particle" : "", "parse-names" : false, "suffix" : "" } ], "container-title" : "Critical care medicine", "id" : "ITEM-1", "issue" : "3", "issued" : { "date-parts" : [ [ "2008", "3" ] ] }, "page" : "953-63", "title" : "Recommendations for end-of-life care in the intensive care unit: a consensus statement by the American College [corrected] of Critical Care Medicine.", "type" : "article-journal", "volume" : "36" }, "uris" : [ "http://www.mendeley.com/documents/?uuid=959ea311-ed8d-4067-b0ba-e4abb015d364" ] } ], "mendeley" : { "formattedCitation" : "(16)", "plainTextFormattedCitation" : "(16)", "previouslyFormattedCitation" : "(16)" }, "properties" : { "noteIndex" : 0 }, "schema" : "https://github.com/citation-style-language/schema/raw/master/csl-citation.json" }</w:instrText>
            </w:r>
            <w:r w:rsidRPr="00CC4A13">
              <w:rPr>
                <w:rFonts w:ascii="Arial" w:hAnsi="Arial" w:cs="Arial"/>
                <w:sz w:val="22"/>
                <w:szCs w:val="22"/>
                <w:lang w:val="en-US"/>
              </w:rPr>
              <w:fldChar w:fldCharType="separate"/>
            </w:r>
            <w:r w:rsidRPr="00CC4A13">
              <w:rPr>
                <w:rFonts w:ascii="Arial" w:hAnsi="Arial" w:cs="Arial"/>
                <w:noProof/>
                <w:sz w:val="22"/>
                <w:szCs w:val="22"/>
                <w:lang w:val="en-US"/>
              </w:rPr>
              <w:t>(16)</w:t>
            </w:r>
            <w:r w:rsidRPr="00CC4A13">
              <w:rPr>
                <w:rFonts w:ascii="Arial" w:hAnsi="Arial" w:cs="Arial"/>
                <w:sz w:val="22"/>
                <w:szCs w:val="22"/>
                <w:lang w:val="en-US"/>
              </w:rPr>
              <w:fldChar w:fldCharType="end"/>
            </w:r>
          </w:p>
        </w:tc>
        <w:tc>
          <w:tcPr>
            <w:tcW w:w="81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2008</w:t>
            </w:r>
          </w:p>
        </w:tc>
        <w:tc>
          <w:tcPr>
            <w:tcW w:w="126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47.2%</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50.0%</w:t>
            </w:r>
          </w:p>
        </w:tc>
        <w:tc>
          <w:tcPr>
            <w:tcW w:w="153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27.6%</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77.8%</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27.1%</w:t>
            </w:r>
          </w:p>
        </w:tc>
        <w:tc>
          <w:tcPr>
            <w:tcW w:w="162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45.8%</w:t>
            </w:r>
          </w:p>
        </w:tc>
        <w:tc>
          <w:tcPr>
            <w:tcW w:w="964" w:type="dxa"/>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62.5%</w:t>
            </w:r>
          </w:p>
        </w:tc>
        <w:tc>
          <w:tcPr>
            <w:tcW w:w="1843" w:type="dxa"/>
            <w:gridSpan w:val="2"/>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YWM</w:t>
            </w:r>
          </w:p>
        </w:tc>
      </w:tr>
      <w:tr w:rsidR="00EE4D45" w:rsidRPr="00CC4A13" w:rsidTr="00634E81">
        <w:trPr>
          <w:gridAfter w:val="1"/>
          <w:wAfter w:w="19" w:type="dxa"/>
        </w:trPr>
        <w:tc>
          <w:tcPr>
            <w:tcW w:w="1272" w:type="dxa"/>
          </w:tcPr>
          <w:p w:rsidR="00EE4D45" w:rsidRPr="00CC4A13" w:rsidRDefault="00EE4D45" w:rsidP="00634E81">
            <w:pPr>
              <w:contextualSpacing/>
              <w:rPr>
                <w:rFonts w:ascii="Arial" w:hAnsi="Arial" w:cs="Arial"/>
                <w:sz w:val="22"/>
                <w:szCs w:val="22"/>
                <w:lang w:val="en-US"/>
              </w:rPr>
            </w:pPr>
            <w:proofErr w:type="spellStart"/>
            <w:r w:rsidRPr="00CC4A13">
              <w:rPr>
                <w:rFonts w:ascii="Arial" w:hAnsi="Arial" w:cs="Arial"/>
                <w:color w:val="000000"/>
                <w:sz w:val="22"/>
                <w:szCs w:val="22"/>
                <w:lang w:val="en-US"/>
              </w:rPr>
              <w:t>Myatra</w:t>
            </w:r>
            <w:proofErr w:type="spellEnd"/>
            <w:r w:rsidRPr="00CC4A13">
              <w:rPr>
                <w:rFonts w:ascii="Arial" w:hAnsi="Arial" w:cs="Arial"/>
                <w:color w:val="000000"/>
                <w:sz w:val="22"/>
                <w:szCs w:val="22"/>
                <w:lang w:val="en-US"/>
              </w:rPr>
              <w:t xml:space="preserve"> SN et al </w:t>
            </w:r>
            <w:r w:rsidRPr="00CC4A13">
              <w:rPr>
                <w:rFonts w:ascii="Arial" w:hAnsi="Arial" w:cs="Arial"/>
                <w:color w:val="000000"/>
                <w:sz w:val="22"/>
                <w:szCs w:val="22"/>
                <w:lang w:val="en-US"/>
              </w:rPr>
              <w:fldChar w:fldCharType="begin" w:fldLock="1"/>
            </w:r>
            <w:r w:rsidRPr="00CC4A13">
              <w:rPr>
                <w:rFonts w:ascii="Arial" w:hAnsi="Arial" w:cs="Arial"/>
                <w:color w:val="000000"/>
                <w:sz w:val="22"/>
                <w:szCs w:val="22"/>
                <w:lang w:val="en-US"/>
              </w:rPr>
              <w:instrText>ADDIN CSL_CITATION { "citationItems" : [ { "id" : "ITEM-1", "itemData" : { "DOI" : "10.4103/0972-5229.140155", "ISSN" : "0972-5229 (Print)", "PMID" : "25249748", "abstract" : "PURPOSE: The purpose was to develop an end-of-life care (EOLC) policy for patients who are dying with an advanced life limiting illness and to develop practical procedural guidelines for limiting inappropriate therapeutic medical interventions and improve the quality of care of the dying within an ethical framework and through a professional and family/patient consensus process. EVIDENCE: The Indian Society of Critical Care Medicine (ISCCM) published its first guidelines on EOLC in 2005 [1] which was later revised in 2012.[2] Since these publications, there has been an exponential increase in empirical information and discussion on the subject. The literature reviewed observational studies, surveys, randomized controlled studies, as well as guidelines and recommendations, for education and quality improvement published across the world. The search terms were: EOLC; do not resuscitate directives; withdrawal and withholding; intensive care; terminal care; medical futility; ethical issues; palliative care; EOLC in India; cultural variations. Indian Association of Palliative Care (IAPC) also recently published its consensus position statement on EOLC policy for the dying.[3]. METHOD: An expert committee of members of the ISCCM and IAPC was formed to make a joint EOLC policy for the dying patients. Proposals from the chair were discussed, debated, and recommendations were formulated through a consensus process. The members extensively reviewed national and international established ethical principles and current procedural practices. This joint EOLC policy has incorporated the sociocultural, ethical, and legal perspectives, while taking into account the needs and situation unique to India.", "author" : [ { "dropping-particle" : "", "family" : "Myatra", "given" : "Sheila Nainan", "non-dropping-particle" : "", "parse-names" : false, "suffix" : "" }, { "dropping-particle" : "", "family" : "Salins", "given" : "Naveen", "non-dropping-particle" : "", "parse-names" : false, "suffix" : "" }, { "dropping-particle" : "", "family" : "Iyer", "given" : "Shivakumar", "non-dropping-particle" : "", "parse-names" : false, "suffix" : "" }, { "dropping-particle" : "", "family" : "Macaden", "given" : "Stanley C", "non-dropping-particle" : "", "parse-names" : false, "suffix" : "" }, { "dropping-particle" : "V", "family" : "Divatia", "given" : "Jigeeshu", "non-dropping-particle" : "", "parse-names" : false, "suffix" : "" }, { "dropping-particle" : "", "family" : "Muckaden", "given" : "Maryann", "non-dropping-particle" : "", "parse-names" : false, "suffix" : "" }, { "dropping-particle" : "", "family" : "Kulkarni", "given" : "Priyadarshini", "non-dropping-particle" : "", "parse-names" : false, "suffix" : "" }, { "dropping-particle" : "", "family" : "Simha", "given" : "Srinagesh", "non-dropping-particle" : "", "parse-names" : false, "suffix" : "" }, { "dropping-particle" : "", "family" : "Mani", "given" : "Raj Kumar", "non-dropping-particle" : "", "parse-names" : false, "suffix" : "" } ], "container-title" : "Indian journal of critical care medicine : peer-reviewed, official publication of Indian Society of Critical Care Medicine", "id" : "ITEM-1", "issue" : "9", "issued" : { "date-parts" : [ [ "2014", "9" ] ] }, "language" : "eng", "page" : "615-635", "publisher-place" : "India", "title" : "End-of-life care policy: An integrated care plan for the dying: A Joint Position  Statement of the Indian Society of Critical Care Medicine (ISCCM) and the Indian Association of Palliative Care (IAPC).", "type" : "article-journal", "volume" : "18" }, "uris" : [ "http://www.mendeley.com/documents/?uuid=d807a90a-abe5-437c-a766-d2e2e69ed03f" ] } ], "mendeley" : { "formattedCitation" : "(22)", "plainTextFormattedCitation" : "(22)", "previouslyFormattedCitation" : "(22)" }, "properties" : { "noteIndex" : 0 }, "schema" : "https://github.com/citation-style-language/schema/raw/master/csl-citation.json" }</w:instrText>
            </w:r>
            <w:r w:rsidRPr="00CC4A13">
              <w:rPr>
                <w:rFonts w:ascii="Arial" w:hAnsi="Arial" w:cs="Arial"/>
                <w:color w:val="000000"/>
                <w:sz w:val="22"/>
                <w:szCs w:val="22"/>
                <w:lang w:val="en-US"/>
              </w:rPr>
              <w:fldChar w:fldCharType="separate"/>
            </w:r>
            <w:r w:rsidRPr="00CC4A13">
              <w:rPr>
                <w:rFonts w:ascii="Arial" w:hAnsi="Arial" w:cs="Arial"/>
                <w:noProof/>
                <w:color w:val="000000"/>
                <w:sz w:val="22"/>
                <w:szCs w:val="22"/>
                <w:lang w:val="en-US"/>
              </w:rPr>
              <w:t>(22)</w:t>
            </w:r>
            <w:r w:rsidRPr="00CC4A13">
              <w:rPr>
                <w:rFonts w:ascii="Arial" w:hAnsi="Arial" w:cs="Arial"/>
                <w:color w:val="000000"/>
                <w:sz w:val="22"/>
                <w:szCs w:val="22"/>
                <w:lang w:val="en-US"/>
              </w:rPr>
              <w:fldChar w:fldCharType="end"/>
            </w:r>
          </w:p>
        </w:tc>
        <w:tc>
          <w:tcPr>
            <w:tcW w:w="81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2014</w:t>
            </w:r>
          </w:p>
        </w:tc>
        <w:tc>
          <w:tcPr>
            <w:tcW w:w="126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61.9%</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57.1%</w:t>
            </w:r>
          </w:p>
        </w:tc>
        <w:tc>
          <w:tcPr>
            <w:tcW w:w="153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35.7%</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57.1%</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61.9%</w:t>
            </w:r>
          </w:p>
        </w:tc>
        <w:tc>
          <w:tcPr>
            <w:tcW w:w="162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100%</w:t>
            </w:r>
          </w:p>
        </w:tc>
        <w:tc>
          <w:tcPr>
            <w:tcW w:w="964" w:type="dxa"/>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62.5%</w:t>
            </w:r>
          </w:p>
        </w:tc>
        <w:tc>
          <w:tcPr>
            <w:tcW w:w="1843" w:type="dxa"/>
            <w:gridSpan w:val="2"/>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YMW</w:t>
            </w:r>
          </w:p>
        </w:tc>
      </w:tr>
      <w:tr w:rsidR="00EE4D45" w:rsidRPr="00CC4A13" w:rsidTr="00634E81">
        <w:trPr>
          <w:gridAfter w:val="1"/>
          <w:wAfter w:w="19" w:type="dxa"/>
        </w:trPr>
        <w:tc>
          <w:tcPr>
            <w:tcW w:w="1272" w:type="dxa"/>
          </w:tcPr>
          <w:p w:rsidR="00EE4D45" w:rsidRPr="00CC4A13" w:rsidRDefault="00EE4D45" w:rsidP="00634E81">
            <w:pPr>
              <w:contextualSpacing/>
              <w:rPr>
                <w:rFonts w:ascii="Arial" w:hAnsi="Arial" w:cs="Arial"/>
                <w:sz w:val="22"/>
                <w:szCs w:val="22"/>
                <w:lang w:val="en-US"/>
              </w:rPr>
            </w:pPr>
            <w:proofErr w:type="spellStart"/>
            <w:r w:rsidRPr="00CC4A13">
              <w:rPr>
                <w:rFonts w:ascii="Arial" w:hAnsi="Arial" w:cs="Arial"/>
                <w:sz w:val="22"/>
                <w:szCs w:val="22"/>
                <w:lang w:val="en-US"/>
              </w:rPr>
              <w:t>Orsi</w:t>
            </w:r>
            <w:proofErr w:type="spellEnd"/>
            <w:r w:rsidRPr="00CC4A13">
              <w:rPr>
                <w:rFonts w:ascii="Arial" w:hAnsi="Arial" w:cs="Arial"/>
                <w:sz w:val="22"/>
                <w:szCs w:val="22"/>
                <w:lang w:val="en-US"/>
              </w:rPr>
              <w:t xml:space="preserve"> and </w:t>
            </w:r>
            <w:proofErr w:type="spellStart"/>
            <w:r w:rsidRPr="00CC4A13">
              <w:rPr>
                <w:rFonts w:ascii="Arial" w:hAnsi="Arial" w:cs="Arial"/>
                <w:sz w:val="22"/>
                <w:szCs w:val="22"/>
                <w:lang w:val="en-US"/>
              </w:rPr>
              <w:t>Gristina</w:t>
            </w:r>
            <w:proofErr w:type="spellEnd"/>
            <w:r w:rsidRPr="00CC4A13">
              <w:rPr>
                <w:rFonts w:ascii="Arial" w:hAnsi="Arial" w:cs="Arial"/>
                <w:sz w:val="22"/>
                <w:szCs w:val="22"/>
                <w:lang w:val="en-US"/>
              </w:rPr>
              <w:t xml:space="preserve"> GR </w:t>
            </w:r>
            <w:r w:rsidRPr="00CC4A13">
              <w:rPr>
                <w:rFonts w:ascii="Arial" w:hAnsi="Arial" w:cs="Arial"/>
                <w:sz w:val="22"/>
                <w:szCs w:val="22"/>
                <w:lang w:val="en-US"/>
              </w:rPr>
              <w:fldChar w:fldCharType="begin" w:fldLock="1"/>
            </w:r>
            <w:r w:rsidRPr="00CC4A13">
              <w:rPr>
                <w:rFonts w:ascii="Arial" w:hAnsi="Arial" w:cs="Arial"/>
                <w:sz w:val="22"/>
                <w:szCs w:val="22"/>
                <w:lang w:val="en-US"/>
              </w:rPr>
              <w:instrText>ADDIN CSL_CITATION { "citationItems" : [ { "id" : "ITEM-1", "itemData" : { "DOI" : "10.23736/S0375-9393.16.11736-5", "ISSN" : "1827-1596", "PMID" : "28006887", "abstract" : "In January 2016 the Italian National Bioethics Committee (NBC) published a position statement entitled Deep and continuous palliative sedation in the imminence of death, related to the use of sedation and analgesia for relief from pain and psychological distress in dying patients. In this statement the Committee points out the clinical and ethical appropriateness of palliative sedation as a therapeutic procedure. As a result, today palliative sedation has to be considered useful, scientifically safe and reliable, and acknowledged as an integral part of good clinical practice. At the same time, the position statement, once and for all, makes clear that palliative sedation cannot and must not be equated with the practice of euthanasia. Thus, this document should be known by health professionals caring for dying patients not only in palliative as well as in intensive care settings, but it should be also considered as a milestone aimed to encourage and ease a widespread implementation of this procedure in all health care settings.", "author" : [ { "dropping-particle" : "", "family" : "Orsi", "given" : "Luciano", "non-dropping-particle" : "", "parse-names" : false, "suffix" : "" }, { "dropping-particle" : "", "family" : "Gristina", "given" : "Giuseppe R", "non-dropping-particle" : "", "parse-names" : false, "suffix" : "" } ], "container-title" : "Minerva anestesiologica", "id" : "ITEM-1", "issue" : "5", "issued" : { "date-parts" : [ [ "2017", "5" ] ] }, "language" : "English", "page" : "524-528", "publisher-place" : "L. Orsi, Private Practitioner, Societ\u00e0 Italiana di Cure Palliative (SICP), Milan, Italy", "title" : "Palliative sedation: the position statement of the Italian National Committee for Bioethics.", "type" : "article-journal", "volume" : "83" }, "uris" : [ "http://www.mendeley.com/documents/?uuid=7ed4e838-102d-476e-8a16-c9c8ef1b06a0", "http://www.mendeley.com/documents/?uuid=48a4b460-307d-4265-9e4c-67642dd23d0a", "http://www.mendeley.com/documents/?uuid=05c38e28-f5e6-4036-8af3-35a700df7284" ] } ], "mendeley" : { "formattedCitation" : "(18)", "plainTextFormattedCitation" : "(18)", "previouslyFormattedCitation" : "(18)" }, "properties" : { "noteIndex" : 0 }, "schema" : "https://github.com/citation-style-language/schema/raw/master/csl-citation.json" }</w:instrText>
            </w:r>
            <w:r w:rsidRPr="00CC4A13">
              <w:rPr>
                <w:rFonts w:ascii="Arial" w:hAnsi="Arial" w:cs="Arial"/>
                <w:sz w:val="22"/>
                <w:szCs w:val="22"/>
                <w:lang w:val="en-US"/>
              </w:rPr>
              <w:fldChar w:fldCharType="separate"/>
            </w:r>
            <w:r w:rsidRPr="00CC4A13">
              <w:rPr>
                <w:rFonts w:ascii="Arial" w:hAnsi="Arial" w:cs="Arial"/>
                <w:noProof/>
                <w:sz w:val="22"/>
                <w:szCs w:val="22"/>
                <w:lang w:val="en-US"/>
              </w:rPr>
              <w:t>(18)</w:t>
            </w:r>
            <w:r w:rsidRPr="00CC4A13">
              <w:rPr>
                <w:rFonts w:ascii="Arial" w:hAnsi="Arial" w:cs="Arial"/>
                <w:sz w:val="22"/>
                <w:szCs w:val="22"/>
                <w:lang w:val="en-US"/>
              </w:rPr>
              <w:fldChar w:fldCharType="end"/>
            </w:r>
          </w:p>
        </w:tc>
        <w:tc>
          <w:tcPr>
            <w:tcW w:w="81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2017</w:t>
            </w:r>
          </w:p>
        </w:tc>
        <w:tc>
          <w:tcPr>
            <w:tcW w:w="126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73.6%</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34.7%</w:t>
            </w:r>
          </w:p>
        </w:tc>
        <w:tc>
          <w:tcPr>
            <w:tcW w:w="153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9.9%</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68.1%</w:t>
            </w:r>
          </w:p>
        </w:tc>
        <w:tc>
          <w:tcPr>
            <w:tcW w:w="144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8.3%</w:t>
            </w:r>
          </w:p>
        </w:tc>
        <w:tc>
          <w:tcPr>
            <w:tcW w:w="1620"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100.0%</w:t>
            </w:r>
          </w:p>
        </w:tc>
        <w:tc>
          <w:tcPr>
            <w:tcW w:w="964" w:type="dxa"/>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58.3%</w:t>
            </w:r>
          </w:p>
        </w:tc>
        <w:tc>
          <w:tcPr>
            <w:tcW w:w="1843" w:type="dxa"/>
            <w:gridSpan w:val="2"/>
            <w:vAlign w:val="center"/>
          </w:tcPr>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sz w:val="22"/>
                <w:szCs w:val="22"/>
                <w:lang w:val="en-US"/>
              </w:rPr>
              <w:t>YWM</w:t>
            </w:r>
          </w:p>
        </w:tc>
      </w:tr>
      <w:tr w:rsidR="00EE4D45" w:rsidRPr="00CC4A13" w:rsidTr="00634E81">
        <w:tc>
          <w:tcPr>
            <w:tcW w:w="13638" w:type="dxa"/>
            <w:gridSpan w:val="12"/>
          </w:tcPr>
          <w:p w:rsidR="00EE4D45" w:rsidRPr="00CC4A13" w:rsidRDefault="00EE4D45" w:rsidP="00634E81">
            <w:pPr>
              <w:contextualSpacing/>
              <w:rPr>
                <w:rFonts w:ascii="Arial" w:eastAsia="Times New Roman" w:hAnsi="Arial" w:cs="Arial"/>
                <w:b/>
                <w:sz w:val="22"/>
                <w:szCs w:val="22"/>
                <w:lang w:val="en-US"/>
              </w:rPr>
            </w:pPr>
            <w:r w:rsidRPr="00CC4A13">
              <w:rPr>
                <w:rFonts w:ascii="Arial" w:hAnsi="Arial" w:cs="Arial"/>
                <w:b/>
                <w:sz w:val="22"/>
                <w:szCs w:val="22"/>
                <w:lang w:val="en-US"/>
              </w:rPr>
              <w:t>Assessment scores for each domain in the AGREE-II quality assessment tool</w:t>
            </w:r>
          </w:p>
        </w:tc>
      </w:tr>
      <w:tr w:rsidR="00EE4D45" w:rsidRPr="00CC4A13" w:rsidTr="00634E81">
        <w:trPr>
          <w:gridAfter w:val="1"/>
          <w:wAfter w:w="19" w:type="dxa"/>
        </w:trPr>
        <w:tc>
          <w:tcPr>
            <w:tcW w:w="1272" w:type="dxa"/>
          </w:tcPr>
          <w:p w:rsidR="00EE4D45" w:rsidRPr="00CC4A13" w:rsidRDefault="00EE4D45" w:rsidP="00634E81">
            <w:pPr>
              <w:contextualSpacing/>
              <w:rPr>
                <w:rFonts w:ascii="Arial" w:hAnsi="Arial" w:cs="Arial"/>
                <w:sz w:val="22"/>
                <w:szCs w:val="22"/>
                <w:lang w:val="en-US"/>
              </w:rPr>
            </w:pPr>
            <w:r w:rsidRPr="00CC4A13">
              <w:rPr>
                <w:rFonts w:ascii="Arial" w:eastAsia="Times New Roman" w:hAnsi="Arial" w:cs="Arial"/>
                <w:color w:val="000000"/>
                <w:sz w:val="22"/>
                <w:szCs w:val="22"/>
                <w:lang w:val="en-US"/>
              </w:rPr>
              <w:t>Median (min, max)</w:t>
            </w:r>
          </w:p>
        </w:tc>
        <w:tc>
          <w:tcPr>
            <w:tcW w:w="810" w:type="dxa"/>
            <w:vAlign w:val="center"/>
          </w:tcPr>
          <w:p w:rsidR="00EE4D45" w:rsidRPr="00CC4A13" w:rsidRDefault="00EE4D45" w:rsidP="00634E81">
            <w:pPr>
              <w:contextualSpacing/>
              <w:rPr>
                <w:rFonts w:ascii="Arial" w:eastAsia="Times New Roman" w:hAnsi="Arial" w:cs="Arial"/>
                <w:sz w:val="22"/>
                <w:szCs w:val="22"/>
                <w:lang w:val="en-US"/>
              </w:rPr>
            </w:pPr>
          </w:p>
        </w:tc>
        <w:tc>
          <w:tcPr>
            <w:tcW w:w="1260" w:type="dxa"/>
            <w:vAlign w:val="center"/>
          </w:tcPr>
          <w:p w:rsidR="00EE4D45" w:rsidRPr="00CC4A13" w:rsidRDefault="00EE4D45" w:rsidP="00634E81">
            <w:pPr>
              <w:contextualSpacing/>
              <w:rPr>
                <w:rFonts w:ascii="Arial" w:eastAsia="Times New Roman" w:hAnsi="Arial" w:cs="Arial"/>
                <w:color w:val="000000"/>
                <w:sz w:val="22"/>
                <w:szCs w:val="22"/>
                <w:lang w:val="en-US"/>
              </w:rPr>
            </w:pPr>
            <w:r w:rsidRPr="00CC4A13">
              <w:rPr>
                <w:rFonts w:ascii="Arial" w:eastAsia="Times New Roman" w:hAnsi="Arial" w:cs="Arial"/>
                <w:color w:val="000000"/>
                <w:sz w:val="22"/>
                <w:szCs w:val="22"/>
                <w:lang w:val="en-US"/>
              </w:rPr>
              <w:t xml:space="preserve">63.9% </w:t>
            </w:r>
          </w:p>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color w:val="000000"/>
                <w:sz w:val="22"/>
                <w:szCs w:val="22"/>
                <w:lang w:val="en-US"/>
              </w:rPr>
              <w:t>(47.2%-80.6%</w:t>
            </w:r>
          </w:p>
        </w:tc>
        <w:tc>
          <w:tcPr>
            <w:tcW w:w="1440" w:type="dxa"/>
            <w:vAlign w:val="center"/>
          </w:tcPr>
          <w:p w:rsidR="00EE4D45" w:rsidRPr="00CC4A13" w:rsidRDefault="00EE4D45" w:rsidP="00634E81">
            <w:pPr>
              <w:contextualSpacing/>
              <w:rPr>
                <w:rFonts w:ascii="Arial" w:eastAsia="Times New Roman" w:hAnsi="Arial" w:cs="Arial"/>
                <w:color w:val="000000"/>
                <w:sz w:val="22"/>
                <w:szCs w:val="22"/>
                <w:lang w:val="en-US"/>
              </w:rPr>
            </w:pPr>
            <w:r w:rsidRPr="00CC4A13">
              <w:rPr>
                <w:rFonts w:ascii="Arial" w:eastAsia="Times New Roman" w:hAnsi="Arial" w:cs="Arial"/>
                <w:color w:val="000000"/>
                <w:sz w:val="22"/>
                <w:szCs w:val="22"/>
                <w:lang w:val="en-US"/>
              </w:rPr>
              <w:t xml:space="preserve">49.3% </w:t>
            </w:r>
          </w:p>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color w:val="000000"/>
                <w:sz w:val="22"/>
                <w:szCs w:val="22"/>
                <w:lang w:val="en-US"/>
              </w:rPr>
              <w:t>(34.7%-62.5%)</w:t>
            </w:r>
          </w:p>
        </w:tc>
        <w:tc>
          <w:tcPr>
            <w:tcW w:w="1530" w:type="dxa"/>
            <w:vAlign w:val="center"/>
          </w:tcPr>
          <w:p w:rsidR="00EE4D45" w:rsidRPr="00CC4A13" w:rsidRDefault="00EE4D45" w:rsidP="00634E81">
            <w:pPr>
              <w:contextualSpacing/>
              <w:rPr>
                <w:rFonts w:ascii="Arial" w:eastAsia="Times New Roman" w:hAnsi="Arial" w:cs="Arial"/>
                <w:color w:val="000000"/>
                <w:sz w:val="22"/>
                <w:szCs w:val="22"/>
                <w:lang w:val="en-US"/>
              </w:rPr>
            </w:pPr>
            <w:r w:rsidRPr="00CC4A13">
              <w:rPr>
                <w:rFonts w:ascii="Arial" w:eastAsia="Times New Roman" w:hAnsi="Arial" w:cs="Arial"/>
                <w:color w:val="000000"/>
                <w:sz w:val="22"/>
                <w:szCs w:val="22"/>
                <w:lang w:val="en-US"/>
              </w:rPr>
              <w:t xml:space="preserve">36.1% </w:t>
            </w:r>
          </w:p>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color w:val="000000"/>
                <w:sz w:val="22"/>
                <w:szCs w:val="22"/>
                <w:lang w:val="en-US"/>
              </w:rPr>
              <w:t>(9.9%-41.7%)</w:t>
            </w:r>
          </w:p>
        </w:tc>
        <w:tc>
          <w:tcPr>
            <w:tcW w:w="1440" w:type="dxa"/>
            <w:vAlign w:val="center"/>
          </w:tcPr>
          <w:p w:rsidR="00EE4D45" w:rsidRPr="00CC4A13" w:rsidRDefault="00EE4D45" w:rsidP="00634E81">
            <w:pPr>
              <w:contextualSpacing/>
              <w:rPr>
                <w:rFonts w:ascii="Arial" w:eastAsia="Times New Roman" w:hAnsi="Arial" w:cs="Arial"/>
                <w:color w:val="000000"/>
                <w:sz w:val="22"/>
                <w:szCs w:val="22"/>
                <w:lang w:val="en-US"/>
              </w:rPr>
            </w:pPr>
            <w:r w:rsidRPr="00CC4A13">
              <w:rPr>
                <w:rFonts w:ascii="Arial" w:eastAsia="Times New Roman" w:hAnsi="Arial" w:cs="Arial"/>
                <w:color w:val="000000"/>
                <w:sz w:val="22"/>
                <w:szCs w:val="22"/>
                <w:lang w:val="en-US"/>
              </w:rPr>
              <w:t xml:space="preserve">66% </w:t>
            </w:r>
          </w:p>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color w:val="000000"/>
                <w:sz w:val="22"/>
                <w:szCs w:val="22"/>
                <w:lang w:val="en-US"/>
              </w:rPr>
              <w:t>(50.0%-79.2%)</w:t>
            </w:r>
          </w:p>
        </w:tc>
        <w:tc>
          <w:tcPr>
            <w:tcW w:w="1440" w:type="dxa"/>
            <w:vAlign w:val="center"/>
          </w:tcPr>
          <w:p w:rsidR="00EE4D45" w:rsidRPr="00CC4A13" w:rsidRDefault="00EE4D45" w:rsidP="00634E81">
            <w:pPr>
              <w:contextualSpacing/>
              <w:rPr>
                <w:rFonts w:ascii="Arial" w:eastAsia="Times New Roman" w:hAnsi="Arial" w:cs="Arial"/>
                <w:color w:val="000000"/>
                <w:sz w:val="22"/>
                <w:szCs w:val="22"/>
                <w:lang w:val="en-US"/>
              </w:rPr>
            </w:pPr>
            <w:r w:rsidRPr="00CC4A13">
              <w:rPr>
                <w:rFonts w:ascii="Arial" w:eastAsia="Times New Roman" w:hAnsi="Arial" w:cs="Arial"/>
                <w:color w:val="000000"/>
                <w:sz w:val="22"/>
                <w:szCs w:val="22"/>
                <w:lang w:val="en-US"/>
              </w:rPr>
              <w:t xml:space="preserve">28.6% </w:t>
            </w:r>
          </w:p>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color w:val="000000"/>
                <w:sz w:val="22"/>
                <w:szCs w:val="22"/>
                <w:lang w:val="en-US"/>
              </w:rPr>
              <w:t>(8.3%-61.9%)</w:t>
            </w:r>
          </w:p>
        </w:tc>
        <w:tc>
          <w:tcPr>
            <w:tcW w:w="1620" w:type="dxa"/>
            <w:vAlign w:val="center"/>
          </w:tcPr>
          <w:p w:rsidR="00EE4D45" w:rsidRPr="00CC4A13" w:rsidRDefault="00EE4D45" w:rsidP="00634E81">
            <w:pPr>
              <w:contextualSpacing/>
              <w:rPr>
                <w:rFonts w:ascii="Arial" w:eastAsia="Times New Roman" w:hAnsi="Arial" w:cs="Arial"/>
                <w:color w:val="000000"/>
                <w:sz w:val="22"/>
                <w:szCs w:val="22"/>
                <w:lang w:val="en-US"/>
              </w:rPr>
            </w:pPr>
            <w:r w:rsidRPr="00CC4A13">
              <w:rPr>
                <w:rFonts w:ascii="Arial" w:eastAsia="Times New Roman" w:hAnsi="Arial" w:cs="Arial"/>
                <w:color w:val="000000"/>
                <w:sz w:val="22"/>
                <w:szCs w:val="22"/>
                <w:lang w:val="en-US"/>
              </w:rPr>
              <w:t xml:space="preserve">56.2% </w:t>
            </w:r>
          </w:p>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color w:val="000000"/>
                <w:sz w:val="22"/>
                <w:szCs w:val="22"/>
                <w:lang w:val="en-US"/>
              </w:rPr>
              <w:t>(22.9%-100.0%)</w:t>
            </w:r>
          </w:p>
        </w:tc>
        <w:tc>
          <w:tcPr>
            <w:tcW w:w="990" w:type="dxa"/>
            <w:gridSpan w:val="2"/>
            <w:vAlign w:val="center"/>
          </w:tcPr>
          <w:p w:rsidR="00EE4D45" w:rsidRPr="00CC4A13" w:rsidRDefault="00EE4D45" w:rsidP="00634E81">
            <w:pPr>
              <w:contextualSpacing/>
              <w:jc w:val="center"/>
              <w:rPr>
                <w:rFonts w:ascii="Arial" w:eastAsia="Times New Roman" w:hAnsi="Arial" w:cs="Arial"/>
                <w:color w:val="000000"/>
                <w:sz w:val="22"/>
                <w:szCs w:val="22"/>
                <w:lang w:val="en-US"/>
              </w:rPr>
            </w:pPr>
            <w:r w:rsidRPr="00CC4A13">
              <w:rPr>
                <w:rFonts w:ascii="Arial" w:eastAsia="Times New Roman" w:hAnsi="Arial" w:cs="Arial"/>
                <w:color w:val="000000"/>
                <w:sz w:val="22"/>
                <w:szCs w:val="22"/>
                <w:lang w:val="en-US"/>
              </w:rPr>
              <w:t>58.3%</w:t>
            </w:r>
          </w:p>
          <w:p w:rsidR="00EE4D45" w:rsidRPr="00CC4A13" w:rsidRDefault="00EE4D45" w:rsidP="00634E81">
            <w:pPr>
              <w:contextualSpacing/>
              <w:jc w:val="center"/>
              <w:rPr>
                <w:rFonts w:ascii="Arial" w:eastAsia="Times New Roman" w:hAnsi="Arial" w:cs="Arial"/>
                <w:sz w:val="22"/>
                <w:szCs w:val="22"/>
                <w:lang w:val="en-US"/>
              </w:rPr>
            </w:pPr>
            <w:r w:rsidRPr="00CC4A13">
              <w:rPr>
                <w:rFonts w:ascii="Arial" w:eastAsia="Times New Roman" w:hAnsi="Arial" w:cs="Arial"/>
                <w:color w:val="000000"/>
                <w:sz w:val="22"/>
                <w:szCs w:val="22"/>
                <w:lang w:val="en-US"/>
              </w:rPr>
              <w:t>(54.2%-75.0%)</w:t>
            </w:r>
          </w:p>
        </w:tc>
        <w:tc>
          <w:tcPr>
            <w:tcW w:w="1817" w:type="dxa"/>
            <w:vAlign w:val="center"/>
          </w:tcPr>
          <w:p w:rsidR="00EE4D45" w:rsidRPr="00CC4A13" w:rsidRDefault="00EE4D45" w:rsidP="00634E81">
            <w:pPr>
              <w:contextualSpacing/>
              <w:rPr>
                <w:rFonts w:ascii="Arial" w:eastAsia="Times New Roman" w:hAnsi="Arial" w:cs="Arial"/>
                <w:sz w:val="22"/>
                <w:szCs w:val="22"/>
                <w:lang w:val="en-US"/>
              </w:rPr>
            </w:pPr>
            <w:r w:rsidRPr="00CC4A13">
              <w:rPr>
                <w:rFonts w:ascii="Arial" w:eastAsia="Times New Roman" w:hAnsi="Arial" w:cs="Arial"/>
                <w:sz w:val="22"/>
                <w:szCs w:val="22"/>
                <w:lang w:val="en-US"/>
              </w:rPr>
              <w:t>-</w:t>
            </w:r>
          </w:p>
        </w:tc>
      </w:tr>
    </w:tbl>
    <w:p w:rsidR="00EE4D45" w:rsidRPr="00CC4A13" w:rsidRDefault="00EE4D45" w:rsidP="00EE4D45">
      <w:pPr>
        <w:contextualSpacing/>
        <w:rPr>
          <w:rFonts w:ascii="Arial" w:hAnsi="Arial" w:cs="Arial"/>
          <w:sz w:val="22"/>
          <w:szCs w:val="22"/>
        </w:rPr>
        <w:sectPr w:rsidR="00EE4D45" w:rsidRPr="00CC4A13" w:rsidSect="00AB1418">
          <w:pgSz w:w="15842" w:h="12242" w:orient="landscape"/>
          <w:pgMar w:top="1418" w:right="1440" w:bottom="851" w:left="1440" w:header="709" w:footer="709" w:gutter="0"/>
          <w:cols w:space="708"/>
          <w:docGrid w:linePitch="360"/>
        </w:sectPr>
      </w:pPr>
      <w:r w:rsidRPr="00CC4A13">
        <w:rPr>
          <w:rFonts w:ascii="Arial" w:hAnsi="Arial" w:cs="Arial"/>
          <w:sz w:val="22"/>
          <w:szCs w:val="22"/>
        </w:rPr>
        <w:t xml:space="preserve">AGREE: </w:t>
      </w:r>
      <w:r w:rsidRPr="00CC4A13">
        <w:rPr>
          <w:rFonts w:ascii="Arial" w:eastAsia="Arial" w:hAnsi="Arial" w:cs="Arial"/>
          <w:sz w:val="22"/>
          <w:szCs w:val="22"/>
        </w:rPr>
        <w:t>Appraisal of Guidelines Research and Evaluation;</w:t>
      </w:r>
      <w:r w:rsidRPr="00CC4A13">
        <w:rPr>
          <w:rFonts w:ascii="Arial" w:hAnsi="Arial" w:cs="Arial"/>
          <w:sz w:val="22"/>
          <w:szCs w:val="22"/>
        </w:rPr>
        <w:t xml:space="preserve"> SIAARTI: </w:t>
      </w:r>
      <w:proofErr w:type="spellStart"/>
      <w:r w:rsidRPr="00CC4A13">
        <w:rPr>
          <w:rFonts w:ascii="Arial" w:eastAsia="Times New Roman" w:hAnsi="Arial" w:cs="Arial"/>
          <w:sz w:val="22"/>
          <w:szCs w:val="22"/>
          <w:shd w:val="clear" w:color="auto" w:fill="FFFFFF"/>
        </w:rPr>
        <w:t>Società</w:t>
      </w:r>
      <w:proofErr w:type="spellEnd"/>
      <w:r w:rsidRPr="00CC4A13">
        <w:rPr>
          <w:rFonts w:ascii="Arial" w:eastAsia="Times New Roman" w:hAnsi="Arial" w:cs="Arial"/>
          <w:sz w:val="22"/>
          <w:szCs w:val="22"/>
          <w:shd w:val="clear" w:color="auto" w:fill="FFFFFF"/>
        </w:rPr>
        <w:t xml:space="preserve"> </w:t>
      </w:r>
      <w:proofErr w:type="spellStart"/>
      <w:r w:rsidRPr="00CC4A13">
        <w:rPr>
          <w:rFonts w:ascii="Arial" w:eastAsia="Times New Roman" w:hAnsi="Arial" w:cs="Arial"/>
          <w:sz w:val="22"/>
          <w:szCs w:val="22"/>
          <w:shd w:val="clear" w:color="auto" w:fill="FFFFFF"/>
        </w:rPr>
        <w:t>Italiana</w:t>
      </w:r>
      <w:proofErr w:type="spellEnd"/>
      <w:r w:rsidRPr="00CC4A13">
        <w:rPr>
          <w:rFonts w:ascii="Arial" w:eastAsia="Times New Roman" w:hAnsi="Arial" w:cs="Arial"/>
          <w:sz w:val="22"/>
          <w:szCs w:val="22"/>
          <w:shd w:val="clear" w:color="auto" w:fill="FFFFFF"/>
        </w:rPr>
        <w:t xml:space="preserve"> di </w:t>
      </w:r>
      <w:proofErr w:type="spellStart"/>
      <w:r w:rsidRPr="00CC4A13">
        <w:rPr>
          <w:rFonts w:ascii="Arial" w:eastAsia="Times New Roman" w:hAnsi="Arial" w:cs="Arial"/>
          <w:sz w:val="22"/>
          <w:szCs w:val="22"/>
          <w:shd w:val="clear" w:color="auto" w:fill="FFFFFF"/>
        </w:rPr>
        <w:t>Anestesia</w:t>
      </w:r>
      <w:proofErr w:type="spellEnd"/>
      <w:r w:rsidRPr="00CC4A13">
        <w:rPr>
          <w:rFonts w:ascii="Arial" w:eastAsia="Times New Roman" w:hAnsi="Arial" w:cs="Arial"/>
          <w:sz w:val="22"/>
          <w:szCs w:val="22"/>
          <w:shd w:val="clear" w:color="auto" w:fill="FFFFFF"/>
        </w:rPr>
        <w:t xml:space="preserve"> Analgesia </w:t>
      </w:r>
      <w:proofErr w:type="spellStart"/>
      <w:r w:rsidRPr="00CC4A13">
        <w:rPr>
          <w:rFonts w:ascii="Arial" w:eastAsia="Times New Roman" w:hAnsi="Arial" w:cs="Arial"/>
          <w:sz w:val="22"/>
          <w:szCs w:val="22"/>
          <w:shd w:val="clear" w:color="auto" w:fill="FFFFFF"/>
        </w:rPr>
        <w:t>Rianimazione</w:t>
      </w:r>
      <w:proofErr w:type="spellEnd"/>
      <w:r w:rsidRPr="00CC4A13">
        <w:rPr>
          <w:rFonts w:ascii="Arial" w:eastAsia="Times New Roman" w:hAnsi="Arial" w:cs="Arial"/>
          <w:sz w:val="22"/>
          <w:szCs w:val="22"/>
          <w:shd w:val="clear" w:color="auto" w:fill="FFFFFF"/>
        </w:rPr>
        <w:t xml:space="preserve"> e </w:t>
      </w:r>
      <w:proofErr w:type="spellStart"/>
      <w:r w:rsidRPr="00CC4A13">
        <w:rPr>
          <w:rFonts w:ascii="Arial" w:eastAsia="Times New Roman" w:hAnsi="Arial" w:cs="Arial"/>
          <w:sz w:val="22"/>
          <w:szCs w:val="22"/>
          <w:shd w:val="clear" w:color="auto" w:fill="FFFFFF"/>
        </w:rPr>
        <w:t>Terapia</w:t>
      </w:r>
      <w:proofErr w:type="spellEnd"/>
      <w:r w:rsidRPr="00CC4A13">
        <w:rPr>
          <w:rFonts w:ascii="Arial" w:eastAsia="Times New Roman" w:hAnsi="Arial" w:cs="Arial"/>
          <w:sz w:val="22"/>
          <w:szCs w:val="22"/>
          <w:shd w:val="clear" w:color="auto" w:fill="FFFFFF"/>
        </w:rPr>
        <w:t xml:space="preserve"> </w:t>
      </w:r>
      <w:proofErr w:type="spellStart"/>
      <w:r w:rsidRPr="00CC4A13">
        <w:rPr>
          <w:rFonts w:ascii="Arial" w:eastAsia="Times New Roman" w:hAnsi="Arial" w:cs="Arial"/>
          <w:sz w:val="22"/>
          <w:szCs w:val="22"/>
          <w:shd w:val="clear" w:color="auto" w:fill="FFFFFF"/>
        </w:rPr>
        <w:t>Intensiva</w:t>
      </w:r>
      <w:proofErr w:type="spellEnd"/>
      <w:r w:rsidRPr="00CC4A13">
        <w:rPr>
          <w:rFonts w:ascii="Arial" w:eastAsia="Times New Roman" w:hAnsi="Arial" w:cs="Arial"/>
          <w:sz w:val="22"/>
          <w:szCs w:val="22"/>
          <w:shd w:val="clear" w:color="auto" w:fill="FFFFFF"/>
        </w:rPr>
        <w:t>;</w:t>
      </w:r>
      <w:r w:rsidRPr="00CC4A13">
        <w:rPr>
          <w:rFonts w:ascii="Arial" w:hAnsi="Arial" w:cs="Arial"/>
          <w:sz w:val="22"/>
          <w:szCs w:val="22"/>
        </w:rPr>
        <w:t xml:space="preserve"> YWM: yes with modifications.</w:t>
      </w:r>
    </w:p>
    <w:p w:rsidR="00EE4D45" w:rsidRPr="00CC4A13" w:rsidRDefault="00EE4D45" w:rsidP="00EE4D45">
      <w:pPr>
        <w:pStyle w:val="Caption"/>
        <w:keepNext/>
        <w:spacing w:after="0"/>
        <w:contextualSpacing/>
        <w:rPr>
          <w:rFonts w:ascii="Arial" w:hAnsi="Arial" w:cs="Arial"/>
          <w:color w:val="auto"/>
          <w:sz w:val="22"/>
          <w:szCs w:val="22"/>
        </w:rPr>
      </w:pPr>
    </w:p>
    <w:p w:rsidR="00EE4D45" w:rsidRPr="00CC4A13" w:rsidRDefault="00EE4D45" w:rsidP="00EE4D45">
      <w:pPr>
        <w:pStyle w:val="Caption"/>
        <w:keepNext/>
        <w:spacing w:after="0"/>
        <w:contextualSpacing/>
        <w:rPr>
          <w:rFonts w:ascii="Arial" w:hAnsi="Arial" w:cs="Arial"/>
          <w:color w:val="auto"/>
          <w:sz w:val="22"/>
          <w:szCs w:val="22"/>
        </w:rPr>
      </w:pPr>
      <w:r w:rsidRPr="00CC4A13">
        <w:rPr>
          <w:rFonts w:ascii="Arial" w:hAnsi="Arial" w:cs="Arial"/>
          <w:color w:val="auto"/>
          <w:sz w:val="22"/>
          <w:szCs w:val="22"/>
        </w:rPr>
        <w:t xml:space="preserve">Supplementary Table </w:t>
      </w:r>
      <w:r w:rsidR="00F37B93" w:rsidRPr="00CC4A13">
        <w:rPr>
          <w:rFonts w:ascii="Arial" w:hAnsi="Arial" w:cs="Arial"/>
          <w:color w:val="auto"/>
          <w:sz w:val="22"/>
          <w:szCs w:val="22"/>
        </w:rPr>
        <w:t>4</w:t>
      </w:r>
      <w:r w:rsidRPr="00CC4A13">
        <w:rPr>
          <w:rFonts w:ascii="Arial" w:hAnsi="Arial" w:cs="Arial"/>
          <w:color w:val="auto"/>
          <w:sz w:val="22"/>
          <w:szCs w:val="22"/>
        </w:rPr>
        <w:t xml:space="preserve">. </w:t>
      </w:r>
      <w:r w:rsidRPr="00CC4A13">
        <w:rPr>
          <w:rFonts w:ascii="Arial" w:hAnsi="Arial" w:cs="Arial"/>
          <w:b w:val="0"/>
          <w:color w:val="auto"/>
          <w:sz w:val="22"/>
          <w:szCs w:val="22"/>
        </w:rPr>
        <w:t>Summary of recommendations for end-of-life pain management in the ICU</w:t>
      </w:r>
    </w:p>
    <w:tbl>
      <w:tblPr>
        <w:tblStyle w:val="TableGrid"/>
        <w:tblW w:w="14557" w:type="dxa"/>
        <w:tblInd w:w="-612" w:type="dxa"/>
        <w:tblLayout w:type="fixed"/>
        <w:tblLook w:val="04A0" w:firstRow="1" w:lastRow="0" w:firstColumn="1" w:lastColumn="0" w:noHBand="0" w:noVBand="1"/>
      </w:tblPr>
      <w:tblGrid>
        <w:gridCol w:w="2947"/>
        <w:gridCol w:w="1350"/>
        <w:gridCol w:w="990"/>
        <w:gridCol w:w="1080"/>
        <w:gridCol w:w="1080"/>
        <w:gridCol w:w="1350"/>
        <w:gridCol w:w="1170"/>
        <w:gridCol w:w="1080"/>
        <w:gridCol w:w="1260"/>
        <w:gridCol w:w="1170"/>
        <w:gridCol w:w="1080"/>
      </w:tblGrid>
      <w:tr w:rsidR="00EE4D45" w:rsidRPr="00CC4A13" w:rsidTr="00634E81">
        <w:tc>
          <w:tcPr>
            <w:tcW w:w="2947" w:type="dxa"/>
          </w:tcPr>
          <w:p w:rsidR="00EE4D45" w:rsidRPr="00CC4A13" w:rsidRDefault="00EE4D45" w:rsidP="00634E81">
            <w:pPr>
              <w:contextualSpacing/>
              <w:rPr>
                <w:rFonts w:ascii="Arial" w:hAnsi="Arial" w:cs="Arial"/>
                <w:b/>
                <w:sz w:val="22"/>
                <w:szCs w:val="22"/>
                <w:lang w:val="en-US"/>
              </w:rPr>
            </w:pPr>
            <w:r w:rsidRPr="00CC4A13">
              <w:rPr>
                <w:rFonts w:ascii="Arial" w:hAnsi="Arial" w:cs="Arial"/>
                <w:b/>
                <w:sz w:val="22"/>
                <w:szCs w:val="22"/>
                <w:lang w:val="en-US"/>
              </w:rPr>
              <w:t>Recommendation</w:t>
            </w:r>
          </w:p>
        </w:tc>
        <w:tc>
          <w:tcPr>
            <w:tcW w:w="1350" w:type="dxa"/>
          </w:tcPr>
          <w:p w:rsidR="00EE4D45" w:rsidRPr="00CC4A13" w:rsidRDefault="00EE4D45" w:rsidP="00634E81">
            <w:pPr>
              <w:contextualSpacing/>
              <w:rPr>
                <w:rFonts w:ascii="Arial" w:hAnsi="Arial" w:cs="Arial"/>
                <w:b/>
                <w:sz w:val="22"/>
                <w:szCs w:val="22"/>
                <w:lang w:val="en-US"/>
              </w:rPr>
            </w:pPr>
            <w:proofErr w:type="spellStart"/>
            <w:r w:rsidRPr="00CC4A13">
              <w:rPr>
                <w:rFonts w:ascii="Arial" w:eastAsia="Times New Roman" w:hAnsi="Arial" w:cs="Arial"/>
                <w:b/>
                <w:color w:val="000000"/>
                <w:sz w:val="22"/>
                <w:szCs w:val="22"/>
                <w:lang w:val="en-US"/>
              </w:rPr>
              <w:t>Hawryluck</w:t>
            </w:r>
            <w:proofErr w:type="spellEnd"/>
            <w:r w:rsidRPr="00CC4A13">
              <w:rPr>
                <w:rFonts w:ascii="Arial" w:eastAsia="Times New Roman" w:hAnsi="Arial" w:cs="Arial"/>
                <w:b/>
                <w:color w:val="000000"/>
                <w:sz w:val="22"/>
                <w:szCs w:val="22"/>
                <w:lang w:val="en-US"/>
              </w:rPr>
              <w:t xml:space="preserve"> et al 2002 </w:t>
            </w:r>
            <w:r w:rsidRPr="00CC4A13">
              <w:rPr>
                <w:rFonts w:ascii="Arial" w:eastAsia="Times New Roman" w:hAnsi="Arial" w:cs="Arial"/>
                <w:b/>
                <w:color w:val="000000"/>
                <w:sz w:val="22"/>
                <w:szCs w:val="22"/>
                <w:lang w:val="en-US"/>
              </w:rPr>
              <w:fldChar w:fldCharType="begin" w:fldLock="1"/>
            </w:r>
            <w:r w:rsidRPr="00CC4A13">
              <w:rPr>
                <w:rFonts w:ascii="Arial" w:eastAsia="Times New Roman" w:hAnsi="Arial" w:cs="Arial"/>
                <w:b/>
                <w:color w:val="000000"/>
                <w:sz w:val="22"/>
                <w:szCs w:val="22"/>
                <w:lang w:val="en-US"/>
              </w:rPr>
              <w:instrText>ADDIN CSL_CITATION { "citationItems" : [ { "id" : "ITEM-1", "itemData" : { "DOI" : "10.1186/1472-6939-3-1", "ISSN" : "1472-6939", "abstract" : "Background: Intensivists must provide enough analgesia and sedation to ensure dying patients receive good palliative care. However, if it is perceived that too much is given, they risk prosecution for committing euthanasia. The goal of this study is to develop consensus guidelines on analgesia and sedation in dying intensive care unit patients that help distinguish palliative care from euthanasia. Methods: Using the Delphi technique, panelists rated levels of agreement with statements describing how analgesics and sedatives should be given to dying ICU patients and how palliative care should be distinguished from euthanasia. Participants were drawn from 3 panels: 1) Canadian Academic Adult Intensive Care Fellowship program directors and Intensive Care division chiefs (N = 9); 2) Deputy chief provincial coroners (N = 5); 3) Validation panel of Intensivists attending the Canadian Critical Care Trials Group meeting (N = 12). Results: After three Delphi rounds, consensus was achieved on 16 statements encompassing the role of palliative care in the intensive care unit, the management of pain and suffering, current areas of controversy, and ways of improving palliative care in the ICU. Conclusion: Consensus guidelines were developed to guide the administration of analgesics and sedatives to dying ICU patients and to help distinguish palliative care from euthanasia.", "author" : [ { "dropping-particle" : "", "family" : "Hawryluck", "given" : "Laura A.", "non-dropping-particle" : "", "parse-names" : false, "suffix" : "" }, { "dropping-particle" : "", "family" : "Harvey", "given" : "William R.C.", "non-dropping-particle" : "", "parse-names" : false, "suffix" : "" }, { "dropping-particle" : "", "family" : "Lemieux-Charles", "given" : "Louise", "non-dropping-particle" : "", "parse-names" : false, "suffix" : "" }, { "dropping-particle" : "", "family" : "Singer", "given" : "Peter A.", "non-dropping-particle" : "", "parse-names" : false, "suffix" : "" } ], "container-title" : "BMC Medical Ethics", "id" : "ITEM-1", "issued" : { "date-parts" : [ [ "2002" ] ] }, "language" : "English", "page" : "1-9", "publisher-place" : "L.A. Hawryluck, I. A. Cont. Educ. Prog. End Life C., Toronto, Ont., Canada", "title" : "Consensus guidelines on analgesia and sedation in dying intensive careunitpatients", "type" : "article-journal", "volume" : "3" }, "uris" : [ "http://www.mendeley.com/documents/?uuid=bc86a809-ee0c-431e-8753-58c586f624a7" ] } ], "mendeley" : { "formattedCitation" : "(20)", "plainTextFormattedCitation" : "(20)", "previouslyFormattedCitation" : "(20)" }, "properties" : { "noteIndex" : 0 }, "schema" : "https://github.com/citation-style-language/schema/raw/master/csl-citation.json" }</w:instrText>
            </w:r>
            <w:r w:rsidRPr="00CC4A13">
              <w:rPr>
                <w:rFonts w:ascii="Arial" w:eastAsia="Times New Roman" w:hAnsi="Arial" w:cs="Arial"/>
                <w:b/>
                <w:color w:val="000000"/>
                <w:sz w:val="22"/>
                <w:szCs w:val="22"/>
                <w:lang w:val="en-US"/>
              </w:rPr>
              <w:fldChar w:fldCharType="separate"/>
            </w:r>
            <w:r w:rsidRPr="00CC4A13">
              <w:rPr>
                <w:rFonts w:ascii="Arial" w:eastAsia="Times New Roman" w:hAnsi="Arial" w:cs="Arial"/>
                <w:noProof/>
                <w:color w:val="000000"/>
                <w:sz w:val="22"/>
                <w:szCs w:val="22"/>
                <w:lang w:val="en-US"/>
              </w:rPr>
              <w:t>(20)</w:t>
            </w:r>
            <w:r w:rsidRPr="00CC4A13">
              <w:rPr>
                <w:rFonts w:ascii="Arial" w:eastAsia="Times New Roman" w:hAnsi="Arial" w:cs="Arial"/>
                <w:b/>
                <w:color w:val="000000"/>
                <w:sz w:val="22"/>
                <w:szCs w:val="22"/>
                <w:lang w:val="en-US"/>
              </w:rPr>
              <w:fldChar w:fldCharType="end"/>
            </w:r>
          </w:p>
        </w:tc>
        <w:tc>
          <w:tcPr>
            <w:tcW w:w="990" w:type="dxa"/>
          </w:tcPr>
          <w:p w:rsidR="00EE4D45" w:rsidRPr="00CC4A13" w:rsidRDefault="00EE4D45" w:rsidP="00634E81">
            <w:pPr>
              <w:ind w:right="-115"/>
              <w:contextualSpacing/>
              <w:rPr>
                <w:rFonts w:ascii="Arial" w:hAnsi="Arial" w:cs="Arial"/>
                <w:b/>
                <w:sz w:val="22"/>
                <w:szCs w:val="22"/>
                <w:lang w:val="en-US"/>
              </w:rPr>
            </w:pPr>
            <w:proofErr w:type="spellStart"/>
            <w:r w:rsidRPr="00CC4A13">
              <w:rPr>
                <w:rFonts w:ascii="Arial" w:hAnsi="Arial" w:cs="Arial"/>
                <w:b/>
                <w:sz w:val="22"/>
                <w:szCs w:val="22"/>
                <w:lang w:val="en-US"/>
              </w:rPr>
              <w:t>Carlet</w:t>
            </w:r>
            <w:proofErr w:type="spellEnd"/>
            <w:r w:rsidRPr="00CC4A13">
              <w:rPr>
                <w:rFonts w:ascii="Arial" w:hAnsi="Arial" w:cs="Arial"/>
                <w:b/>
                <w:sz w:val="22"/>
                <w:szCs w:val="22"/>
                <w:lang w:val="en-US"/>
              </w:rPr>
              <w:t xml:space="preserve"> et al 2003 </w:t>
            </w:r>
            <w:r w:rsidRPr="00CC4A13">
              <w:rPr>
                <w:rFonts w:ascii="Arial" w:hAnsi="Arial" w:cs="Arial"/>
                <w:b/>
                <w:sz w:val="22"/>
                <w:szCs w:val="22"/>
                <w:lang w:val="en-US"/>
              </w:rPr>
              <w:fldChar w:fldCharType="begin" w:fldLock="1"/>
            </w:r>
            <w:r w:rsidRPr="00CC4A13">
              <w:rPr>
                <w:rFonts w:ascii="Arial" w:hAnsi="Arial" w:cs="Arial"/>
                <w:b/>
                <w:sz w:val="22"/>
                <w:szCs w:val="22"/>
                <w:lang w:val="en-US"/>
              </w:rPr>
              <w:instrText>ADDIN CSL_CITATION { "citationItems" : [ { "id" : "ITEM-1", "itemData" : { "DOI" : "10.1007/s00134-004-2241-5", "ISSN" : "0342-4642", "PMID" : "15098087", "abstract" : "The jurors identified numerous problems with end of life in the ICU including variability in practice, inadequate predictive models for death, elusive knowledge of patient preferences, poor communication between staff and surrogates, insufficient or absent training of health-care providers, the use of imprecise and insensitive terminology, and incomplete documentation in the medical records. The jury strongly recommends that research be conducted to improve end-of-life care. The jury advocates a \"shared\" approach to end-of-life decision-making involving the caregiver team and patient surrogates. Respect for patient autonomy and the intention to honour decisions to decline unwanted treatments should be conveyed to the family. The process is one of negotiation, and the outcome will be determined by the personalities and beliefs of the participants. Ultimately, it is the attending physician's responsibility, as leader of the health-care team, to decide on the reasonableness of the planned action. In the event of conflict, the ICU team may agree to continue support for a predetermined time. Most conflicts can be resolved. If the conflict persists, however, an ethics consultation may be helpful. Nurses must be involved in the process. The patient must be assured of a pain-free death. The jury of the Consensus Conference subscribes to the moral and legal principles that prohibit administering treatments specifically designed to hasten death. The patient must be given sufficient analgesia to alleviate pain and distress; if such analgesia hastens death, this \"double effect\" should not detract from the primary aim to ensure comfort.", "author" : [ { "dropping-particle" : "", "family" : "Carlet", "given" : "Jean", "non-dropping-particle" : "", "parse-names" : false, "suffix" : "" }, { "dropping-particle" : "", "family" : "Thijs", "given" : "Lambertus G", "non-dropping-particle" : "", "parse-names" : false, "suffix" : "" }, { "dropping-particle" : "", "family" : "Antonelli", "given" : "Massimo", "non-dropping-particle" : "", "parse-names" : false, "suffix" : "" }, { "dropping-particle" : "", "family" : "Cassell", "given" : "Joan", "non-dropping-particle" : "", "parse-names" : false, "suffix" : "" }, { "dropping-particle" : "", "family" : "Cox", "given" : "Peter", "non-dropping-particle" : "", "parse-names" : false, "suffix" : "" }, { "dropping-particle" : "", "family" : "Hill", "given" : "Nicholas", "non-dropping-particle" : "", "parse-names" : false, "suffix" : "" }, { "dropping-particle" : "", "family" : "Hinds", "given" : "Charles", "non-dropping-particle" : "", "parse-names" : false, "suffix" : "" }, { "dropping-particle" : "", "family" : "Pimentel", "given" : "Jorge Manuel", "non-dropping-particle" : "", "parse-names" : false, "suffix" : "" }, { "dropping-particle" : "", "family" : "Reinhart", "given" : "Konrad", "non-dropping-particle" : "", "parse-names" : false, "suffix" : "" }, { "dropping-particle" : "", "family" : "Thompson", "given" : "Boyd Taylor", "non-dropping-particle" : "", "parse-names" : false, "suffix" : "" } ], "container-title" : "Intensive care medicine", "id" : "ITEM-1", "issue" : "5", "issued" : { "date-parts" : [ [ "2004", "5" ] ] }, "language" : "eng", "page" : "770-84", "publisher-place" : "United States", "title" : "Challenges in end-of-life care in the ICU. Statement of the 5th International Consensus Conference in Critical Care: Brussels, Belgium, April 2003.", "type" : "article-journal", "volume" : "30" }, "uris" : [ "http://www.mendeley.com/documents/?uuid=8cecfb88-5351-47b7-af0e-579001cde8ba" ] } ], "mendeley" : { "formattedCitation" : "(21)", "plainTextFormattedCitation" : "(21)", "previouslyFormattedCitation" : "(21)" }, "properties" : { "noteIndex" : 0 }, "schema" : "https://github.com/citation-style-language/schema/raw/master/csl-citation.json" }</w:instrText>
            </w:r>
            <w:r w:rsidRPr="00CC4A13">
              <w:rPr>
                <w:rFonts w:ascii="Arial" w:hAnsi="Arial" w:cs="Arial"/>
                <w:b/>
                <w:sz w:val="22"/>
                <w:szCs w:val="22"/>
                <w:lang w:val="en-US"/>
              </w:rPr>
              <w:fldChar w:fldCharType="separate"/>
            </w:r>
            <w:r w:rsidRPr="00CC4A13">
              <w:rPr>
                <w:rFonts w:ascii="Arial" w:hAnsi="Arial" w:cs="Arial"/>
                <w:noProof/>
                <w:sz w:val="22"/>
                <w:szCs w:val="22"/>
                <w:lang w:val="en-US"/>
              </w:rPr>
              <w:t>(21)</w:t>
            </w:r>
            <w:r w:rsidRPr="00CC4A13">
              <w:rPr>
                <w:rFonts w:ascii="Arial" w:hAnsi="Arial" w:cs="Arial"/>
                <w:b/>
                <w:sz w:val="22"/>
                <w:szCs w:val="22"/>
                <w:lang w:val="en-US"/>
              </w:rPr>
              <w:fldChar w:fldCharType="end"/>
            </w:r>
          </w:p>
        </w:tc>
        <w:tc>
          <w:tcPr>
            <w:tcW w:w="1080" w:type="dxa"/>
          </w:tcPr>
          <w:p w:rsidR="00EE4D45" w:rsidRPr="00CC4A13" w:rsidRDefault="00EE4D45" w:rsidP="00634E81">
            <w:pPr>
              <w:contextualSpacing/>
              <w:rPr>
                <w:rFonts w:ascii="Arial" w:hAnsi="Arial" w:cs="Arial"/>
                <w:b/>
                <w:sz w:val="22"/>
                <w:szCs w:val="22"/>
                <w:lang w:val="en-US"/>
              </w:rPr>
            </w:pPr>
            <w:r w:rsidRPr="00CC4A13">
              <w:rPr>
                <w:rFonts w:ascii="Arial" w:hAnsi="Arial" w:cs="Arial"/>
                <w:b/>
                <w:sz w:val="22"/>
                <w:szCs w:val="22"/>
                <w:lang w:val="en-US"/>
              </w:rPr>
              <w:t xml:space="preserve">Clarke et al 2003 </w:t>
            </w:r>
            <w:r w:rsidRPr="00CC4A13">
              <w:rPr>
                <w:rFonts w:ascii="Arial" w:hAnsi="Arial" w:cs="Arial"/>
                <w:sz w:val="22"/>
                <w:szCs w:val="22"/>
                <w:lang w:val="en-US"/>
              </w:rPr>
              <w:fldChar w:fldCharType="begin" w:fldLock="1"/>
            </w:r>
            <w:r w:rsidRPr="00CC4A13">
              <w:rPr>
                <w:rFonts w:ascii="Arial" w:hAnsi="Arial" w:cs="Arial"/>
                <w:sz w:val="22"/>
                <w:szCs w:val="22"/>
                <w:lang w:val="en-US"/>
              </w:rPr>
              <w:instrText>ADDIN CSL_CITATION { "citationItems" : [ { "id" : "ITEM-1", "itemData" : { "DOI" : "10.1097/01.CCM.0000084849.96385.85", "ISBN" : "0090-3493 (Print)\\r0090-3493 (Linking)", "ISSN" : "00903493", "PMID" : "14501954", "abstract" : "OBJECTIVE: The primary goal of this study was to address the documented deficiencies in end-of-life care (EOLC) in intensive care unit settings by identifying key EOLC domains and related quality indicators for use in the intensive care unit through a consensus process. A second goal was to propose specific clinician and organizational behaviors and interventions that might be used to improve these EOLC quality indicators. PARTICIPANTS: Participants were the 36 members of the Robert Wood Johnson Foundation (RWJF) Critical Care End-of-Life Peer Workgroup and 15 nurse-physician teams from 15 intensive care units affiliated with the work group members. Fourteen adult medical, surgical, and mixed intensive care units from 13 states and the District of Columbia in the United States and one mixed intensive care unit in Canada were represented. METHODS: An in-depth literature review was conducted to identify articles that assessed the domains of quality of EOLC in the intensive care unit and general health care. Consensus regarding the key EOLC domains in the intensive care unit and quality performance indicators within each domain was established based on the review of the literature and an iterative process involving the authors and members of the RWJF Critical Care End-of-Life Peer Workgroup. Specific clinician and organizational behaviors and interventions to address the proposed EOLC quality indicators within the domains were identified through a collaborative process with the nurse-physician teams in 15 intensive care units. MEASUREMENTS AND MAIN RESULTS: Seven EOLC domains were identified for use in the intensive care unit: a) patient- and family-centered decision making; b) communication; c) continuity of care; d) emotional and practical support; e) symptom management and comfort care; f) spiritual support; and g) emotional and organizational support for intensive care unit clinicians. Fifty-three EOLC quality indicators within the seven domains were proposed. More than 100 examples of clinician and organizational behaviors and interventions that could address the EOLC quality indicators in the intensive care unit setting were identified. CONCLUSIONS: These EOLC domains and the associated quality indicators, developed through a consensus process, provide clinicians and researchers with a framework for understanding quality of EOLC in the intensive care unit. Once validated, these indicators might be used to improve the quality of EOLC by serving as the\u2026", "author" : [ { "dropping-particle" : "", "family" : "Clarke", "given" : "Ellen B.", "non-dropping-particle" : "", "parse-names" : false, "suffix" : "" }, { "dropping-particle" : "", "family" : "Curtis", "given" : "J. Randall", "non-dropping-particle" : "", "parse-names" : false, "suffix" : "" }, { "dropping-particle" : "", "family" : "Luce", "given" : "John M.", "non-dropping-particle" : "", "parse-names" : false, "suffix" : "" }, { "dropping-particle" : "", "family" : "Levy", "given" : "Mitchell", "non-dropping-particle" : "", "parse-names" : false, "suffix" : "" }, { "dropping-particle" : "", "family" : "Danis", "given" : "Marion", "non-dropping-particle" : "", "parse-names" : false, "suffix" : "" }, { "dropping-particle" : "", "family" : "Nelson", "given" : "Judith", "non-dropping-particle" : "", "parse-names" : false, "suffix" : "" }, { "dropping-particle" : "", "family" : "Solomon", "given" : "Mildred Z.", "non-dropping-particle" : "", "parse-names" : false, "suffix" : "" } ], "container-title" : "Critical Care Medicine", "id" : "ITEM-1", "issue" : "9", "issued" : { "date-parts" : [ [ "2003" ] ] }, "page" : "2255-2262", "title" : "Quality indicators for end-of-life care in the intensive care unit", "type" : "article", "volume" : "31" }, "uris" : [ "http://www.mendeley.com/documents/?uuid=a37a79d6-5f73-4b30-bbc1-dee078dcee1f" ] } ], "mendeley" : { "formattedCitation" : "(5)", "plainTextFormattedCitation" : "(5)", "previouslyFormattedCitation" : "(5)" }, "properties" : { "noteIndex" : 0 }, "schema" : "https://github.com/citation-style-language/schema/raw/master/csl-citation.json" }</w:instrText>
            </w:r>
            <w:r w:rsidRPr="00CC4A13">
              <w:rPr>
                <w:rFonts w:ascii="Arial" w:hAnsi="Arial" w:cs="Arial"/>
                <w:sz w:val="22"/>
                <w:szCs w:val="22"/>
                <w:lang w:val="en-US"/>
              </w:rPr>
              <w:fldChar w:fldCharType="separate"/>
            </w:r>
            <w:r w:rsidRPr="00CC4A13">
              <w:rPr>
                <w:rFonts w:ascii="Arial" w:hAnsi="Arial" w:cs="Arial"/>
                <w:noProof/>
                <w:sz w:val="22"/>
                <w:szCs w:val="22"/>
                <w:lang w:val="en-US"/>
              </w:rPr>
              <w:t>(5)</w:t>
            </w:r>
            <w:r w:rsidRPr="00CC4A13">
              <w:rPr>
                <w:rFonts w:ascii="Arial" w:hAnsi="Arial" w:cs="Arial"/>
                <w:sz w:val="22"/>
                <w:szCs w:val="22"/>
                <w:lang w:val="en-US"/>
              </w:rPr>
              <w:fldChar w:fldCharType="end"/>
            </w:r>
          </w:p>
        </w:tc>
        <w:tc>
          <w:tcPr>
            <w:tcW w:w="1080" w:type="dxa"/>
          </w:tcPr>
          <w:p w:rsidR="00EE4D45" w:rsidRPr="00CC4A13" w:rsidRDefault="00EE4D45" w:rsidP="00634E81">
            <w:pPr>
              <w:contextualSpacing/>
              <w:rPr>
                <w:rFonts w:ascii="Arial" w:hAnsi="Arial" w:cs="Arial"/>
                <w:b/>
                <w:sz w:val="22"/>
                <w:szCs w:val="22"/>
                <w:lang w:val="en-US"/>
              </w:rPr>
            </w:pPr>
            <w:r w:rsidRPr="00CC4A13">
              <w:rPr>
                <w:rFonts w:ascii="Arial" w:hAnsi="Arial" w:cs="Arial"/>
                <w:b/>
                <w:sz w:val="22"/>
                <w:szCs w:val="22"/>
                <w:lang w:val="en-US"/>
              </w:rPr>
              <w:t xml:space="preserve">SIAARTI 2006 </w:t>
            </w:r>
            <w:r w:rsidRPr="00CC4A13">
              <w:rPr>
                <w:rFonts w:ascii="Arial" w:hAnsi="Arial" w:cs="Arial"/>
                <w:b/>
                <w:sz w:val="22"/>
                <w:szCs w:val="22"/>
                <w:lang w:val="en-US"/>
              </w:rPr>
              <w:fldChar w:fldCharType="begin" w:fldLock="1"/>
            </w:r>
            <w:r w:rsidRPr="00CC4A13">
              <w:rPr>
                <w:rFonts w:ascii="Arial" w:hAnsi="Arial" w:cs="Arial"/>
                <w:b/>
                <w:sz w:val="22"/>
                <w:szCs w:val="22"/>
                <w:lang w:val="en-US"/>
              </w:rPr>
              <w:instrText>ADDIN CSL_CITATION { "citationItems" : [ { "id" : "ITEM-1", "itemData" : { "ISSN" : "0375-9393 (Print)", "PMID" : "17235263", "container-title" : "Minerva anestesiologica", "id" : "ITEM-1", "issue" : "12", "issued" : { "date-parts" : [ [ "2006", "12" ] ] }, "language" : "eng", "page" : "927-963", "publisher-place" : "Italy", "title" : "End-of-life care and the intensivist: SIAARTI recommendations on the management of the dying patient.", "type" : "article-journal", "volume" : "72" }, "uris" : [ "http://www.mendeley.com/documents/?uuid=6a76eb43-37e8-4f93-bfb6-eb0e6cb4b235" ] } ], "mendeley" : { "formattedCitation" : "(17)", "plainTextFormattedCitation" : "(17)", "previouslyFormattedCitation" : "(17)" }, "properties" : { "noteIndex" : 0 }, "schema" : "https://github.com/citation-style-language/schema/raw/master/csl-citation.json" }</w:instrText>
            </w:r>
            <w:r w:rsidRPr="00CC4A13">
              <w:rPr>
                <w:rFonts w:ascii="Arial" w:hAnsi="Arial" w:cs="Arial"/>
                <w:b/>
                <w:sz w:val="22"/>
                <w:szCs w:val="22"/>
                <w:lang w:val="en-US"/>
              </w:rPr>
              <w:fldChar w:fldCharType="separate"/>
            </w:r>
            <w:r w:rsidRPr="00CC4A13">
              <w:rPr>
                <w:rFonts w:ascii="Arial" w:hAnsi="Arial" w:cs="Arial"/>
                <w:noProof/>
                <w:sz w:val="22"/>
                <w:szCs w:val="22"/>
                <w:lang w:val="en-US"/>
              </w:rPr>
              <w:t>(17)</w:t>
            </w:r>
            <w:r w:rsidRPr="00CC4A13">
              <w:rPr>
                <w:rFonts w:ascii="Arial" w:hAnsi="Arial" w:cs="Arial"/>
                <w:b/>
                <w:sz w:val="22"/>
                <w:szCs w:val="22"/>
                <w:lang w:val="en-US"/>
              </w:rPr>
              <w:fldChar w:fldCharType="end"/>
            </w:r>
          </w:p>
        </w:tc>
        <w:tc>
          <w:tcPr>
            <w:tcW w:w="1350" w:type="dxa"/>
          </w:tcPr>
          <w:p w:rsidR="00EE4D45" w:rsidRPr="00CC4A13" w:rsidRDefault="00EE4D45" w:rsidP="00634E81">
            <w:pPr>
              <w:contextualSpacing/>
              <w:rPr>
                <w:rFonts w:ascii="Arial" w:hAnsi="Arial" w:cs="Arial"/>
                <w:b/>
                <w:sz w:val="22"/>
                <w:szCs w:val="22"/>
                <w:lang w:val="en-US"/>
              </w:rPr>
            </w:pPr>
            <w:proofErr w:type="spellStart"/>
            <w:r w:rsidRPr="00CC4A13">
              <w:rPr>
                <w:rFonts w:ascii="Arial" w:hAnsi="Arial" w:cs="Arial"/>
                <w:b/>
                <w:sz w:val="22"/>
                <w:szCs w:val="22"/>
                <w:lang w:val="en-US"/>
              </w:rPr>
              <w:t>Mularski</w:t>
            </w:r>
            <w:proofErr w:type="spellEnd"/>
            <w:r w:rsidRPr="00CC4A13">
              <w:rPr>
                <w:rFonts w:ascii="Arial" w:hAnsi="Arial" w:cs="Arial"/>
                <w:b/>
                <w:sz w:val="22"/>
                <w:szCs w:val="22"/>
                <w:lang w:val="en-US"/>
              </w:rPr>
              <w:t xml:space="preserve"> et al 2006 </w:t>
            </w:r>
            <w:r w:rsidRPr="00CC4A13">
              <w:rPr>
                <w:rFonts w:ascii="Arial" w:hAnsi="Arial" w:cs="Arial"/>
                <w:b/>
                <w:sz w:val="22"/>
                <w:szCs w:val="22"/>
                <w:lang w:val="en-US"/>
              </w:rPr>
              <w:fldChar w:fldCharType="begin" w:fldLock="1"/>
            </w:r>
            <w:r w:rsidRPr="00CC4A13">
              <w:rPr>
                <w:rFonts w:ascii="Arial" w:hAnsi="Arial" w:cs="Arial"/>
                <w:b/>
                <w:sz w:val="22"/>
                <w:szCs w:val="22"/>
                <w:lang w:val="en-US"/>
              </w:rPr>
              <w:instrText>ADDIN CSL_CITATION { "citationItems" : [ { "id" : "ITEM-1", "itemData" : { "DOI" : "10.1097/01.CCM.0000242910.00801.53", "ISSN" : "0090-3493", "abstract" : "For critically ill patients and their loved ones, high-quality health care includes the provision of excellent palliative care. To achieve this goal, the healthcare system needs to identify, measure, and report specific targets for quality palliative care for critically ill or injured patients. Our objective was to use a consensus process to develop a preliminary set of quality measures to assess palliative care in the critically ill.We built on earlier and ongoing efforts of the Robert Wood Johnson Foundation Critical Care End-of-Life Peer Workgroup to propose specific measures of the structure and process of palliative care. We used an informal iterative consensus process to identify and refine a set of candidate quality measures. These candidate measures were developed by reviewing previous literature reviews, supplementing the evidence base with recently published systematic reviews and consensus statements, identifying existing indicators and measures, and adapting indicators from related fields for our objective. Among our primary sources, we identified existing measures from the Voluntary Hospital Association's Transformation of the ICU program and a government-sponsored systematic review performed by RAND Health to identify palliative care quality measures for cancer care.Our consensus group proposes 18 quality measures to assess the quality of palliative care for the critically ill and injured. A total of 14 of the proposed measures assess processes of care at the patient level, and four measures explore structural aspects of critical care delivery. Future research is needed to assess the relationship of these measures to desired health outcomes. Subsequent measure sets should also attempt to include outcome measures, such as patient or surrogate satisfaction, as the field develops the means to rigorously measure such outcomes. The proposed measures are intended to stimulate further discussion, testing, and refinement for quality of care measurement and enhancement. \u00a9 2006 Lippincott Williams &amp; Wilkins, Inc.", "author" : [ { "dropping-particle" : "", "family" : "Mularski", "given" : "Richard A.", "non-dropping-particle" : "", "parse-names" : false, "suffix" : "" }, { "dropping-particle" : "", "family" : "Curtis", "given" : "J. Randall", "non-dropping-particle" : "", "parse-names" : false, "suffix" : "" }, { "dropping-particle" : "", "family" : "Billings", "given" : "J. Andrew", "non-dropping-particle" : "", "parse-names" : false, "suffix" : "" }, { "dropping-particle" : "", "family" : "Burt", "given" : "Robert", "non-dropping-particle" : "", "parse-names" : false, "suffix" : "" }, { "dropping-particle" : "", "family" : "Byock", "given" : "Ira", "non-dropping-particle" : "", "parse-names" : false, "suffix" : "" }, { "dropping-particle" : "", "family" : "Fuhrman", "given" : "Cathy", "non-dropping-particle" : "", "parse-names" : false, "suffix" : "" }, { "dropping-particle" : "", "family" : "Mosenthal", "given" : "Anne C.", "non-dropping-particle" : "", "parse-names" : false, "suffix" : "" }, { "dropping-particle" : "", "family" : "Medina", "given" : "Justine", "non-dropping-particle" : "", "parse-names" : false, "suffix" : "" }, { "dropping-particle" : "", "family" : "Ray", "given" : "Daniel E.", "non-dropping-particle" : "", "parse-names" : false, "suffix" : "" }, { "dropping-particle" : "", "family" : "Rubenfeld", "given" : "Gordon D.", "non-dropping-particle" : "", "parse-names" : false, "suffix" : "" }, { "dropping-particle" : "", "family" : "Schneiderman", "given" : "Lawrence J.", "non-dropping-particle" : "", "parse-names" : false, "suffix" : "" }, { "dropping-particle" : "", "family" : "Treece", "given" : "Patsy D.", "non-dropping-particle" : "", "parse-names" : false, "suffix" : "" }, { "dropping-particle" : "", "family" : "Truog", "given" : "Robert D.", "non-dropping-particle" : "", "parse-names" : false, "suffix" : "" }, { "dropping-particle" : "", "family" : "Levy", "given" : "Mitchell M.", "non-dropping-particle" : "", "parse-names" : false, "suffix" : "" } ], "container-title" : "Critical Care Medicine", "id" : "ITEM-1", "issue" : "11 SUPPL.", "issued" : { "date-parts" : [ [ "2006" ] ] }, "language" : "English", "page" : "S404-S411", "publisher-place" : "R.A. Mularski, Center for Health Research, Kaiser Permanente Northwest, Portland, OR, United States", "title" : "Proposed quality measures for palliative care in the critically ill: A consensus from the Robert Wood Johnson foundation critical care workgroup", "type" : "article-journal", "volume" : "34" }, "uris" : [ "http://www.mendeley.com/documents/?uuid=d77ae66b-e23c-4dae-91d1-5953539bcc1b" ] } ], "mendeley" : { "formattedCitation" : "(14)", "plainTextFormattedCitation" : "(14)", "previouslyFormattedCitation" : "(14)" }, "properties" : { "noteIndex" : 0 }, "schema" : "https://github.com/citation-style-language/schema/raw/master/csl-citation.json" }</w:instrText>
            </w:r>
            <w:r w:rsidRPr="00CC4A13">
              <w:rPr>
                <w:rFonts w:ascii="Arial" w:hAnsi="Arial" w:cs="Arial"/>
                <w:b/>
                <w:sz w:val="22"/>
                <w:szCs w:val="22"/>
                <w:lang w:val="en-US"/>
              </w:rPr>
              <w:fldChar w:fldCharType="separate"/>
            </w:r>
            <w:r w:rsidRPr="00CC4A13">
              <w:rPr>
                <w:rFonts w:ascii="Arial" w:hAnsi="Arial" w:cs="Arial"/>
                <w:noProof/>
                <w:sz w:val="22"/>
                <w:szCs w:val="22"/>
                <w:lang w:val="en-US"/>
              </w:rPr>
              <w:t>(14)</w:t>
            </w:r>
            <w:r w:rsidRPr="00CC4A13">
              <w:rPr>
                <w:rFonts w:ascii="Arial" w:hAnsi="Arial" w:cs="Arial"/>
                <w:b/>
                <w:sz w:val="22"/>
                <w:szCs w:val="22"/>
                <w:lang w:val="en-US"/>
              </w:rPr>
              <w:fldChar w:fldCharType="end"/>
            </w:r>
          </w:p>
        </w:tc>
        <w:tc>
          <w:tcPr>
            <w:tcW w:w="1170" w:type="dxa"/>
          </w:tcPr>
          <w:p w:rsidR="00EE4D45" w:rsidRPr="00CC4A13" w:rsidRDefault="00EE4D45" w:rsidP="00634E81">
            <w:pPr>
              <w:ind w:right="-115"/>
              <w:contextualSpacing/>
              <w:rPr>
                <w:rFonts w:ascii="Arial" w:hAnsi="Arial" w:cs="Arial"/>
                <w:b/>
                <w:sz w:val="22"/>
                <w:szCs w:val="22"/>
                <w:lang w:val="en-US"/>
              </w:rPr>
            </w:pPr>
            <w:proofErr w:type="spellStart"/>
            <w:r w:rsidRPr="00CC4A13">
              <w:rPr>
                <w:rFonts w:ascii="Arial" w:hAnsi="Arial" w:cs="Arial"/>
                <w:b/>
                <w:sz w:val="22"/>
                <w:szCs w:val="22"/>
                <w:lang w:val="en-US"/>
              </w:rPr>
              <w:t>Lanken</w:t>
            </w:r>
            <w:proofErr w:type="spellEnd"/>
            <w:r w:rsidRPr="00CC4A13">
              <w:rPr>
                <w:rFonts w:ascii="Arial" w:hAnsi="Arial" w:cs="Arial"/>
                <w:b/>
                <w:sz w:val="22"/>
                <w:szCs w:val="22"/>
                <w:lang w:val="en-US"/>
              </w:rPr>
              <w:t xml:space="preserve"> et al 2008 </w:t>
            </w:r>
            <w:r w:rsidRPr="00CC4A13">
              <w:rPr>
                <w:rFonts w:ascii="Arial" w:hAnsi="Arial" w:cs="Arial"/>
                <w:b/>
                <w:sz w:val="22"/>
                <w:szCs w:val="22"/>
                <w:lang w:val="en-US"/>
              </w:rPr>
              <w:fldChar w:fldCharType="begin" w:fldLock="1"/>
            </w:r>
            <w:r w:rsidRPr="00CC4A13">
              <w:rPr>
                <w:rFonts w:ascii="Arial" w:hAnsi="Arial" w:cs="Arial"/>
                <w:b/>
                <w:sz w:val="22"/>
                <w:szCs w:val="22"/>
                <w:lang w:val="en-US"/>
              </w:rPr>
              <w:instrText>ADDIN CSL_CITATION { "citationItems" : [ { "id" : "ITEM-1", "itemData" : { "DOI" : "10.1164/rccm.200605-587ST", "ISSN" : "1535-4970 (Electronic)", "PMID" : "18390964", "author" : [ { "dropping-particle" : "", "family" : "Lanken", "given" : "Paul N", "non-dropping-particle" : "", "parse-names" : false, "suffix" : "" }, { "dropping-particle" : "", "family" : "Terry", "given" : "Peter B", "non-dropping-particle" : "", "parse-names" : false, "suffix" : "" }, { "dropping-particle" : "", "family" : "Delisser", "given" : "Horace M", "non-dropping-particle" : "", "parse-names" : false, "suffix" : "" }, { "dropping-particle" : "", "family" : "Fahy", "given" : "Bonnie F", "non-dropping-particle" : "", "parse-names" : false, "suffix" : "" }, { "dropping-particle" : "", "family" : "Hansen-Flaschen", "given" : "John", "non-dropping-particle" : "", "parse-names" : false, "suffix" : "" }, { "dropping-particle" : "", "family" : "Heffner", "given" : "John E", "non-dropping-particle" : "", "parse-names" : false, "suffix" : "" }, { "dropping-particle" : "", "family" : "Levy", "given" : "Mitchell", "non-dropping-particle" : "", "parse-names" : false, "suffix" : "" }, { "dropping-particle" : "", "family" : "Mularski", "given" : "Richard A", "non-dropping-particle" : "", "parse-names" : false, "suffix" : "" }, { "dropping-particle" : "", "family" : "Osborne", "given" : "Molly L", "non-dropping-particle" : "", "parse-names" : false, "suffix" : "" }, { "dropping-particle" : "", "family" : "Prendergast", "given" : "Thomas J", "non-dropping-particle" : "", "parse-names" : false, "suffix" : "" }, { "dropping-particle" : "", "family" : "Rocker", "given" : "Graeme", "non-dropping-particle" : "", "parse-names" : false, "suffix" : "" }, { "dropping-particle" : "", "family" : "Sibbald", "given" : "William J", "non-dropping-particle" : "", "parse-names" : false, "suffix" : "" }, { "dropping-particle" : "", "family" : "Wilfond", "given" : "Benjamin", "non-dropping-particle" : "", "parse-names" : false, "suffix" : "" }, { "dropping-particle" : "", "family" : "Yankaskas", "given" : "James R", "non-dropping-particle" : "", "parse-names" : false, "suffix" : "" } ], "container-title" : "American journal of respiratory and critical care medicine", "id" : "ITEM-1", "issue" : "8", "issued" : { "date-parts" : [ [ "2008", "4" ] ] }, "language" : "eng", "page" : "912-927", "publisher-place" : "United States", "title" : "An official American Thoracic Society clinical policy statement: palliative care  for patients with respiratory diseases and critical illnesses.", "type" : "article-journal", "volume" : "177" }, "uris" : [ "http://www.mendeley.com/documents/?uuid=b36ab440-df31-4062-80d5-cde4f71efd2c" ] } ], "mendeley" : { "formattedCitation" : "(15)", "plainTextFormattedCitation" : "(15)", "previouslyFormattedCitation" : "(15)" }, "properties" : { "noteIndex" : 0 }, "schema" : "https://github.com/citation-style-language/schema/raw/master/csl-citation.json" }</w:instrText>
            </w:r>
            <w:r w:rsidRPr="00CC4A13">
              <w:rPr>
                <w:rFonts w:ascii="Arial" w:hAnsi="Arial" w:cs="Arial"/>
                <w:b/>
                <w:sz w:val="22"/>
                <w:szCs w:val="22"/>
                <w:lang w:val="en-US"/>
              </w:rPr>
              <w:fldChar w:fldCharType="separate"/>
            </w:r>
            <w:r w:rsidRPr="00CC4A13">
              <w:rPr>
                <w:rFonts w:ascii="Arial" w:hAnsi="Arial" w:cs="Arial"/>
                <w:noProof/>
                <w:sz w:val="22"/>
                <w:szCs w:val="22"/>
                <w:lang w:val="en-US"/>
              </w:rPr>
              <w:t>(15)</w:t>
            </w:r>
            <w:r w:rsidRPr="00CC4A13">
              <w:rPr>
                <w:rFonts w:ascii="Arial" w:hAnsi="Arial" w:cs="Arial"/>
                <w:b/>
                <w:sz w:val="22"/>
                <w:szCs w:val="22"/>
                <w:lang w:val="en-US"/>
              </w:rPr>
              <w:fldChar w:fldCharType="end"/>
            </w:r>
          </w:p>
        </w:tc>
        <w:tc>
          <w:tcPr>
            <w:tcW w:w="1080" w:type="dxa"/>
          </w:tcPr>
          <w:p w:rsidR="00EE4D45" w:rsidRPr="00CC4A13" w:rsidRDefault="00EE4D45" w:rsidP="00634E81">
            <w:pPr>
              <w:contextualSpacing/>
              <w:rPr>
                <w:rFonts w:ascii="Arial" w:hAnsi="Arial" w:cs="Arial"/>
                <w:b/>
                <w:sz w:val="22"/>
                <w:szCs w:val="22"/>
                <w:lang w:val="en-US"/>
              </w:rPr>
            </w:pPr>
            <w:proofErr w:type="spellStart"/>
            <w:r w:rsidRPr="00CC4A13">
              <w:rPr>
                <w:rFonts w:ascii="Arial" w:hAnsi="Arial" w:cs="Arial"/>
                <w:b/>
                <w:sz w:val="22"/>
                <w:szCs w:val="22"/>
                <w:lang w:val="en-US"/>
              </w:rPr>
              <w:t>Truog</w:t>
            </w:r>
            <w:proofErr w:type="spellEnd"/>
            <w:r w:rsidRPr="00CC4A13">
              <w:rPr>
                <w:rFonts w:ascii="Arial" w:hAnsi="Arial" w:cs="Arial"/>
                <w:b/>
                <w:sz w:val="22"/>
                <w:szCs w:val="22"/>
                <w:lang w:val="en-US"/>
              </w:rPr>
              <w:t xml:space="preserve"> et al 2008 </w:t>
            </w:r>
            <w:r w:rsidRPr="00CC4A13">
              <w:rPr>
                <w:rFonts w:ascii="Arial" w:hAnsi="Arial" w:cs="Arial"/>
                <w:b/>
                <w:sz w:val="22"/>
                <w:szCs w:val="22"/>
                <w:lang w:val="en-US"/>
              </w:rPr>
              <w:fldChar w:fldCharType="begin" w:fldLock="1"/>
            </w:r>
            <w:r w:rsidRPr="00CC4A13">
              <w:rPr>
                <w:rFonts w:ascii="Arial" w:hAnsi="Arial" w:cs="Arial"/>
                <w:b/>
                <w:sz w:val="22"/>
                <w:szCs w:val="22"/>
                <w:lang w:val="en-US"/>
              </w:rPr>
              <w:instrText>ADDIN CSL_CITATION { "citationItems" : [ { "id" : "ITEM-1", "itemData" : { "DOI" : "10.1097/CCM.0B013E3181659096", "ISSN" : "1530-0293", "PMID" : "18431285", "abstract" : "BACKGROUND These recommendations have been developed to improve the care of intensive care unit (ICU) patients during the dying process. The recommendations build on those published in 2003 and highlight recent developments in the field from a U.S. perspective. They do not use an evidence grading system because most of the recommendations are based on ethical and legal principles that are not derived from empirically based evidence. PRINCIPAL FINDINGS Family-centered care, which emphasizes the importance of the social structure within which patients are embedded, has emerged as a comprehensive ideal for managing end-of-life care in the ICU. ICU clinicians should be competent in all aspects of this care, including the practical and ethical aspects of withdrawing different modalities of life-sustaining treatment and the use of sedatives, analgesics, and nonpharmacologic approaches to easing the suffering of the dying process. Several key ethical concepts play a foundational role in guiding end-of-life care, including the distinctions between withholding and withdrawing treatments, between actions of killing and allowing to die, and between consequences that are intended vs. those that are merely foreseen (the doctrine of double effect). Improved communication with the family has been shown to improve patient care and family outcomes. Other knowledge unique to end-of-life care includes principles for notifying families of a patient's death and compassionate approaches to discussing options for organ donation. End-of-life care continues even after the death of the patient, and ICUs should consider developing comprehensive bereavement programs to support both families and the needs of the clinical staff. Finally, a comprehensive agenda for improving end-of-life care in the ICU has been developed to guide research, quality improvement efforts, and educational curricula. CONCLUSIONS End-of-life care is emerging as a comprehensive area of expertise in the ICU and demands the same high level of knowledge and competence as all other areas of ICU practice.", "author" : [ { "dropping-particle" : "", "family" : "Truog", "given" : "Robert D", "non-dropping-particle" : "", "parse-names" : false, "suffix" : "" }, { "dropping-particle" : "", "family" : "Campbell", "given" : "Margaret L", "non-dropping-particle" : "", "parse-names" : false, "suffix" : "" }, { "dropping-particle" : "", "family" : "Curtis", "given" : "J Randall", "non-dropping-particle" : "", "parse-names" : false, "suffix" : "" }, { "dropping-particle" : "", "family" : "Haas", "given" : "Curtis E", "non-dropping-particle" : "", "parse-names" : false, "suffix" : "" }, { "dropping-particle" : "", "family" : "Luce", "given" : "John M", "non-dropping-particle" : "", "parse-names" : false, "suffix" : "" }, { "dropping-particle" : "", "family" : "Rubenfeld", "given" : "Gordon D", "non-dropping-particle" : "", "parse-names" : false, "suffix" : "" }, { "dropping-particle" : "", "family" : "Rushton", "given" : "Cynda Hylton", "non-dropping-particle" : "", "parse-names" : false, "suffix" : "" }, { "dropping-particle" : "", "family" : "Kaufman", "given" : "David C", "non-dropping-particle" : "", "parse-names" : false, "suffix" : "" }, { "dropping-particle" : "", "family" : "American Academy of Critical Care Medicine", "given" : "", "non-dropping-particle" : "", "parse-names" : false, "suffix" : "" } ], "container-title" : "Critical care medicine", "id" : "ITEM-1", "issue" : "3", "issued" : { "date-parts" : [ [ "2008", "3" ] ] }, "page" : "953-63", "title" : "Recommendations for end-of-life care in the intensive care unit: a consensus statement by the American College [corrected] of Critical Care Medicine.", "type" : "article-journal", "volume" : "36" }, "uris" : [ "http://www.mendeley.com/documents/?uuid=959ea311-ed8d-4067-b0ba-e4abb015d364" ] } ], "mendeley" : { "formattedCitation" : "(16)", "plainTextFormattedCitation" : "(16)", "previouslyFormattedCitation" : "(16)" }, "properties" : { "noteIndex" : 0 }, "schema" : "https://github.com/citation-style-language/schema/raw/master/csl-citation.json" }</w:instrText>
            </w:r>
            <w:r w:rsidRPr="00CC4A13">
              <w:rPr>
                <w:rFonts w:ascii="Arial" w:hAnsi="Arial" w:cs="Arial"/>
                <w:b/>
                <w:sz w:val="22"/>
                <w:szCs w:val="22"/>
                <w:lang w:val="en-US"/>
              </w:rPr>
              <w:fldChar w:fldCharType="separate"/>
            </w:r>
            <w:r w:rsidRPr="00CC4A13">
              <w:rPr>
                <w:rFonts w:ascii="Arial" w:hAnsi="Arial" w:cs="Arial"/>
                <w:noProof/>
                <w:sz w:val="22"/>
                <w:szCs w:val="22"/>
                <w:lang w:val="en-US"/>
              </w:rPr>
              <w:t>(16)</w:t>
            </w:r>
            <w:r w:rsidRPr="00CC4A13">
              <w:rPr>
                <w:rFonts w:ascii="Arial" w:hAnsi="Arial" w:cs="Arial"/>
                <w:b/>
                <w:sz w:val="22"/>
                <w:szCs w:val="22"/>
                <w:lang w:val="en-US"/>
              </w:rPr>
              <w:fldChar w:fldCharType="end"/>
            </w:r>
          </w:p>
        </w:tc>
        <w:tc>
          <w:tcPr>
            <w:tcW w:w="1260" w:type="dxa"/>
          </w:tcPr>
          <w:p w:rsidR="00EE4D45" w:rsidRPr="00CC4A13" w:rsidRDefault="00EE4D45" w:rsidP="00634E81">
            <w:pPr>
              <w:contextualSpacing/>
              <w:rPr>
                <w:rFonts w:ascii="Arial" w:hAnsi="Arial" w:cs="Arial"/>
                <w:b/>
                <w:sz w:val="22"/>
                <w:szCs w:val="22"/>
                <w:lang w:val="en-US"/>
              </w:rPr>
            </w:pPr>
            <w:proofErr w:type="spellStart"/>
            <w:r w:rsidRPr="00CC4A13">
              <w:rPr>
                <w:rFonts w:ascii="Arial" w:hAnsi="Arial" w:cs="Arial"/>
                <w:b/>
                <w:sz w:val="22"/>
                <w:szCs w:val="22"/>
                <w:lang w:val="en-US"/>
              </w:rPr>
              <w:t>Monzón</w:t>
            </w:r>
            <w:proofErr w:type="spellEnd"/>
            <w:r w:rsidRPr="00CC4A13">
              <w:rPr>
                <w:rFonts w:ascii="Arial" w:hAnsi="Arial" w:cs="Arial"/>
                <w:b/>
                <w:sz w:val="22"/>
                <w:szCs w:val="22"/>
                <w:lang w:val="en-US"/>
              </w:rPr>
              <w:t xml:space="preserve"> </w:t>
            </w:r>
            <w:proofErr w:type="spellStart"/>
            <w:r w:rsidRPr="00CC4A13">
              <w:rPr>
                <w:rFonts w:ascii="Arial" w:hAnsi="Arial" w:cs="Arial"/>
                <w:b/>
                <w:sz w:val="22"/>
                <w:szCs w:val="22"/>
                <w:lang w:val="en-US"/>
              </w:rPr>
              <w:t>Marín</w:t>
            </w:r>
            <w:proofErr w:type="spellEnd"/>
            <w:r w:rsidRPr="00CC4A13">
              <w:rPr>
                <w:rFonts w:ascii="Arial" w:hAnsi="Arial" w:cs="Arial"/>
                <w:b/>
                <w:sz w:val="22"/>
                <w:szCs w:val="22"/>
                <w:lang w:val="en-US"/>
              </w:rPr>
              <w:t xml:space="preserve"> et al 2008 </w:t>
            </w:r>
            <w:r w:rsidRPr="00CC4A13">
              <w:rPr>
                <w:rFonts w:ascii="Arial" w:hAnsi="Arial" w:cs="Arial"/>
                <w:b/>
                <w:sz w:val="22"/>
                <w:szCs w:val="22"/>
                <w:lang w:val="en-US"/>
              </w:rPr>
              <w:fldChar w:fldCharType="begin" w:fldLock="1"/>
            </w:r>
            <w:r w:rsidRPr="00CC4A13">
              <w:rPr>
                <w:rFonts w:ascii="Arial" w:hAnsi="Arial" w:cs="Arial"/>
                <w:b/>
                <w:sz w:val="22"/>
                <w:szCs w:val="22"/>
                <w:lang w:val="en-US"/>
              </w:rPr>
              <w:instrText>ADDIN CSL_CITATION { "citationItems" : [ { "id" : "ITEM-1", "itemData" : { "DOI" : "10.1016/S0210-5691(08)70922-7", "ISSN" : "02105691", "author" : [ { "dropping-particle" : "", "family" : "Monz\u00f3n Mar\u00edn", "given" : "J.L.", "non-dropping-particle" : "", "parse-names" : false, "suffix" : "" }, { "dropping-particle" : "", "family" : "Saralegui Reta", "given" : "I.", "non-dropping-particle" : "", "parse-names" : false, "suffix" : "" }, { "dropping-particle" : "", "family" : "Abizanda I Campos", "given" : "R.", "non-dropping-particle" : "", "parse-names" : false, "suffix" : "" }, { "dropping-particle" : "", "family" : "Cabr\u00e9 Pericas", "given" : "L.", "non-dropping-particle" : "", "parse-names" : false, "suffix" : "" }, { "dropping-particle" : "", "family" : "Iribarren Diarasarri", "given" : "S.", "non-dropping-particle" : "", "parse-names" : false, "suffix" : "" }, { "dropping-particle" : "", "family" : "Mart\u00edn Delgado", "given" : "M.C.", "non-dropping-particle" : "", "parse-names" : false, "suffix" : "" }, { "dropping-particle" : "", "family" : "Mart\u00ednez Urionabarrenetxea", "given" : "K.", "non-dropping-particle" : "", "parse-names" : false, "suffix" : "" } ], "container-title" : "Medicina Intensiva", "id" : "ITEM-1", "issue" : "3", "issued" : { "date-parts" : [ [ "2008", "3" ] ] }, "page" : "121-133", "publisher" : "Elsevier", "title" : "Recomendaciones de tratamiento al final de la vida del paciente cr\u00edtico", "type" : "article-journal", "volume" : "32" }, "uris" : [ "http://www.mendeley.com/documents/?uuid=07559c94-9464-4499-862d-2d9169bdf52f" ] } ], "mendeley" : { "formattedCitation" : "(19)", "plainTextFormattedCitation" : "(19)", "previouslyFormattedCitation" : "(19)" }, "properties" : { "noteIndex" : 0 }, "schema" : "https://github.com/citation-style-language/schema/raw/master/csl-citation.json" }</w:instrText>
            </w:r>
            <w:r w:rsidRPr="00CC4A13">
              <w:rPr>
                <w:rFonts w:ascii="Arial" w:hAnsi="Arial" w:cs="Arial"/>
                <w:b/>
                <w:sz w:val="22"/>
                <w:szCs w:val="22"/>
                <w:lang w:val="en-US"/>
              </w:rPr>
              <w:fldChar w:fldCharType="separate"/>
            </w:r>
            <w:r w:rsidRPr="00CC4A13">
              <w:rPr>
                <w:rFonts w:ascii="Arial" w:hAnsi="Arial" w:cs="Arial"/>
                <w:noProof/>
                <w:sz w:val="22"/>
                <w:szCs w:val="22"/>
                <w:lang w:val="en-US"/>
              </w:rPr>
              <w:t>(19)</w:t>
            </w:r>
            <w:r w:rsidRPr="00CC4A13">
              <w:rPr>
                <w:rFonts w:ascii="Arial" w:hAnsi="Arial" w:cs="Arial"/>
                <w:b/>
                <w:sz w:val="22"/>
                <w:szCs w:val="22"/>
                <w:lang w:val="en-US"/>
              </w:rPr>
              <w:fldChar w:fldCharType="end"/>
            </w:r>
          </w:p>
        </w:tc>
        <w:tc>
          <w:tcPr>
            <w:tcW w:w="1170" w:type="dxa"/>
          </w:tcPr>
          <w:p w:rsidR="00EE4D45" w:rsidRPr="00CC4A13" w:rsidRDefault="00EE4D45" w:rsidP="00634E81">
            <w:pPr>
              <w:contextualSpacing/>
              <w:rPr>
                <w:rFonts w:ascii="Arial" w:hAnsi="Arial" w:cs="Arial"/>
                <w:b/>
                <w:sz w:val="22"/>
                <w:szCs w:val="22"/>
                <w:lang w:val="en-US"/>
              </w:rPr>
            </w:pPr>
            <w:proofErr w:type="spellStart"/>
            <w:r w:rsidRPr="00CC4A13">
              <w:rPr>
                <w:rFonts w:ascii="Arial" w:hAnsi="Arial" w:cs="Arial"/>
                <w:b/>
                <w:color w:val="000000"/>
                <w:sz w:val="22"/>
                <w:szCs w:val="22"/>
                <w:lang w:val="en-US"/>
              </w:rPr>
              <w:t>Myatra</w:t>
            </w:r>
            <w:proofErr w:type="spellEnd"/>
            <w:r w:rsidRPr="00CC4A13">
              <w:rPr>
                <w:rFonts w:ascii="Arial" w:hAnsi="Arial" w:cs="Arial"/>
                <w:b/>
                <w:color w:val="000000"/>
                <w:sz w:val="22"/>
                <w:szCs w:val="22"/>
                <w:lang w:val="en-US"/>
              </w:rPr>
              <w:t xml:space="preserve"> SN et al 2014</w:t>
            </w:r>
            <w:r w:rsidRPr="00CC4A13">
              <w:rPr>
                <w:rFonts w:ascii="Arial" w:hAnsi="Arial" w:cs="Arial"/>
                <w:b/>
                <w:color w:val="000000"/>
                <w:sz w:val="22"/>
                <w:szCs w:val="22"/>
                <w:lang w:val="en-US"/>
              </w:rPr>
              <w:fldChar w:fldCharType="begin" w:fldLock="1"/>
            </w:r>
            <w:r w:rsidRPr="00CC4A13">
              <w:rPr>
                <w:rFonts w:ascii="Arial" w:hAnsi="Arial" w:cs="Arial"/>
                <w:b/>
                <w:color w:val="000000"/>
                <w:sz w:val="22"/>
                <w:szCs w:val="22"/>
                <w:lang w:val="en-US"/>
              </w:rPr>
              <w:instrText>ADDIN CSL_CITATION { "citationItems" : [ { "id" : "ITEM-1", "itemData" : { "DOI" : "10.4103/0972-5229.140155", "ISSN" : "0972-5229 (Print)", "PMID" : "25249748", "abstract" : "PURPOSE: The purpose was to develop an end-of-life care (EOLC) policy for patients who are dying with an advanced life limiting illness and to develop practical procedural guidelines for limiting inappropriate therapeutic medical interventions and improve the quality of care of the dying within an ethical framework and through a professional and family/patient consensus process. EVIDENCE: The Indian Society of Critical Care Medicine (ISCCM) published its first guidelines on EOLC in 2005 [1] which was later revised in 2012.[2] Since these publications, there has been an exponential increase in empirical information and discussion on the subject. The literature reviewed observational studies, surveys, randomized controlled studies, as well as guidelines and recommendations, for education and quality improvement published across the world. The search terms were: EOLC; do not resuscitate directives; withdrawal and withholding; intensive care; terminal care; medical futility; ethical issues; palliative care; EOLC in India; cultural variations. Indian Association of Palliative Care (IAPC) also recently published its consensus position statement on EOLC policy for the dying.[3]. METHOD: An expert committee of members of the ISCCM and IAPC was formed to make a joint EOLC policy for the dying patients. Proposals from the chair were discussed, debated, and recommendations were formulated through a consensus process. The members extensively reviewed national and international established ethical principles and current procedural practices. This joint EOLC policy has incorporated the sociocultural, ethical, and legal perspectives, while taking into account the needs and situation unique to India.", "author" : [ { "dropping-particle" : "", "family" : "Myatra", "given" : "Sheila Nainan", "non-dropping-particle" : "", "parse-names" : false, "suffix" : "" }, { "dropping-particle" : "", "family" : "Salins", "given" : "Naveen", "non-dropping-particle" : "", "parse-names" : false, "suffix" : "" }, { "dropping-particle" : "", "family" : "Iyer", "given" : "Shivakumar", "non-dropping-particle" : "", "parse-names" : false, "suffix" : "" }, { "dropping-particle" : "", "family" : "Macaden", "given" : "Stanley C", "non-dropping-particle" : "", "parse-names" : false, "suffix" : "" }, { "dropping-particle" : "V", "family" : "Divatia", "given" : "Jigeeshu", "non-dropping-particle" : "", "parse-names" : false, "suffix" : "" }, { "dropping-particle" : "", "family" : "Muckaden", "given" : "Maryann", "non-dropping-particle" : "", "parse-names" : false, "suffix" : "" }, { "dropping-particle" : "", "family" : "Kulkarni", "given" : "Priyadarshini", "non-dropping-particle" : "", "parse-names" : false, "suffix" : "" }, { "dropping-particle" : "", "family" : "Simha", "given" : "Srinagesh", "non-dropping-particle" : "", "parse-names" : false, "suffix" : "" }, { "dropping-particle" : "", "family" : "Mani", "given" : "Raj Kumar", "non-dropping-particle" : "", "parse-names" : false, "suffix" : "" } ], "container-title" : "Indian journal of critical care medicine : peer-reviewed, official publication of Indian Society of Critical Care Medicine", "id" : "ITEM-1", "issue" : "9", "issued" : { "date-parts" : [ [ "2014", "9" ] ] }, "language" : "eng", "page" : "615-635", "publisher-place" : "India", "title" : "End-of-life care policy: An integrated care plan for the dying: A Joint Position  Statement of the Indian Society of Critical Care Medicine (ISCCM) and the Indian Association of Palliative Care (IAPC).", "type" : "article-journal", "volume" : "18" }, "uris" : [ "http://www.mendeley.com/documents/?uuid=d807a90a-abe5-437c-a766-d2e2e69ed03f" ] } ], "mendeley" : { "formattedCitation" : "(22)", "plainTextFormattedCitation" : "(22)", "previouslyFormattedCitation" : "(22)" }, "properties" : { "noteIndex" : 0 }, "schema" : "https://github.com/citation-style-language/schema/raw/master/csl-citation.json" }</w:instrText>
            </w:r>
            <w:r w:rsidRPr="00CC4A13">
              <w:rPr>
                <w:rFonts w:ascii="Arial" w:hAnsi="Arial" w:cs="Arial"/>
                <w:b/>
                <w:color w:val="000000"/>
                <w:sz w:val="22"/>
                <w:szCs w:val="22"/>
                <w:lang w:val="en-US"/>
              </w:rPr>
              <w:fldChar w:fldCharType="separate"/>
            </w:r>
            <w:r w:rsidRPr="00CC4A13">
              <w:rPr>
                <w:rFonts w:ascii="Arial" w:hAnsi="Arial" w:cs="Arial"/>
                <w:noProof/>
                <w:color w:val="000000"/>
                <w:sz w:val="22"/>
                <w:szCs w:val="22"/>
                <w:lang w:val="en-US"/>
              </w:rPr>
              <w:t>(22)</w:t>
            </w:r>
            <w:r w:rsidRPr="00CC4A13">
              <w:rPr>
                <w:rFonts w:ascii="Arial" w:hAnsi="Arial" w:cs="Arial"/>
                <w:b/>
                <w:color w:val="000000"/>
                <w:sz w:val="22"/>
                <w:szCs w:val="22"/>
                <w:lang w:val="en-US"/>
              </w:rPr>
              <w:fldChar w:fldCharType="end"/>
            </w:r>
          </w:p>
        </w:tc>
        <w:tc>
          <w:tcPr>
            <w:tcW w:w="1080" w:type="dxa"/>
          </w:tcPr>
          <w:p w:rsidR="00EE4D45" w:rsidRPr="00CC4A13" w:rsidRDefault="00EE4D45" w:rsidP="00634E81">
            <w:pPr>
              <w:contextualSpacing/>
              <w:rPr>
                <w:rFonts w:ascii="Arial" w:hAnsi="Arial" w:cs="Arial"/>
                <w:b/>
                <w:sz w:val="22"/>
                <w:szCs w:val="22"/>
                <w:lang w:val="en-US"/>
              </w:rPr>
            </w:pPr>
            <w:proofErr w:type="spellStart"/>
            <w:r w:rsidRPr="00CC4A13">
              <w:rPr>
                <w:rFonts w:ascii="Arial" w:hAnsi="Arial" w:cs="Arial"/>
                <w:b/>
                <w:sz w:val="22"/>
                <w:szCs w:val="22"/>
                <w:lang w:val="en-US"/>
              </w:rPr>
              <w:t>Orsi</w:t>
            </w:r>
            <w:proofErr w:type="spellEnd"/>
            <w:r w:rsidRPr="00CC4A13">
              <w:rPr>
                <w:rFonts w:ascii="Arial" w:hAnsi="Arial" w:cs="Arial"/>
                <w:b/>
                <w:sz w:val="22"/>
                <w:szCs w:val="22"/>
                <w:lang w:val="en-US"/>
              </w:rPr>
              <w:t xml:space="preserve"> and </w:t>
            </w:r>
            <w:proofErr w:type="spellStart"/>
            <w:r w:rsidRPr="00CC4A13">
              <w:rPr>
                <w:rFonts w:ascii="Arial" w:hAnsi="Arial" w:cs="Arial"/>
                <w:b/>
                <w:sz w:val="22"/>
                <w:szCs w:val="22"/>
                <w:lang w:val="en-US"/>
              </w:rPr>
              <w:t>Gristina</w:t>
            </w:r>
            <w:proofErr w:type="spellEnd"/>
            <w:r w:rsidRPr="00CC4A13">
              <w:rPr>
                <w:rFonts w:ascii="Arial" w:hAnsi="Arial" w:cs="Arial"/>
                <w:b/>
                <w:sz w:val="22"/>
                <w:szCs w:val="22"/>
                <w:lang w:val="en-US"/>
              </w:rPr>
              <w:t xml:space="preserve"> GR 2017 </w:t>
            </w:r>
            <w:r w:rsidRPr="00CC4A13">
              <w:rPr>
                <w:rFonts w:ascii="Arial" w:hAnsi="Arial" w:cs="Arial"/>
                <w:b/>
                <w:sz w:val="22"/>
                <w:szCs w:val="22"/>
                <w:lang w:val="en-US"/>
              </w:rPr>
              <w:fldChar w:fldCharType="begin" w:fldLock="1"/>
            </w:r>
            <w:r w:rsidRPr="00CC4A13">
              <w:rPr>
                <w:rFonts w:ascii="Arial" w:hAnsi="Arial" w:cs="Arial"/>
                <w:b/>
                <w:sz w:val="22"/>
                <w:szCs w:val="22"/>
                <w:lang w:val="en-US"/>
              </w:rPr>
              <w:instrText>ADDIN CSL_CITATION { "citationItems" : [ { "id" : "ITEM-1", "itemData" : { "DOI" : "10.23736/S0375-9393.16.11736-5", "ISSN" : "1827-1596", "PMID" : "28006887", "abstract" : "In January 2016 the Italian National Bioethics Committee (NBC) published a position statement entitled Deep and continuous palliative sedation in the imminence of death, related to the use of sedation and analgesia for relief from pain and psychological distress in dying patients. In this statement the Committee points out the clinical and ethical appropriateness of palliative sedation as a therapeutic procedure. As a result, today palliative sedation has to be considered useful, scientifically safe and reliable, and acknowledged as an integral part of good clinical practice. At the same time, the position statement, once and for all, makes clear that palliative sedation cannot and must not be equated with the practice of euthanasia. Thus, this document should be known by health professionals caring for dying patients not only in palliative as well as in intensive care settings, but it should be also considered as a milestone aimed to encourage and ease a widespread implementation of this procedure in all health care settings.", "author" : [ { "dropping-particle" : "", "family" : "Orsi", "given" : "Luciano", "non-dropping-particle" : "", "parse-names" : false, "suffix" : "" }, { "dropping-particle" : "", "family" : "Gristina", "given" : "Giuseppe R", "non-dropping-particle" : "", "parse-names" : false, "suffix" : "" } ], "container-title" : "Minerva anestesiologica", "id" : "ITEM-1", "issue" : "5", "issued" : { "date-parts" : [ [ "2017", "5" ] ] }, "language" : "English", "page" : "524-528", "publisher-place" : "L. Orsi, Private Practitioner, Societ\u00e0 Italiana di Cure Palliative (SICP), Milan, Italy", "title" : "Palliative sedation: the position statement of the Italian National Committee for Bioethics.", "type" : "article-journal", "volume" : "83" }, "uris" : [ "http://www.mendeley.com/documents/?uuid=7ed4e838-102d-476e-8a16-c9c8ef1b06a0", "http://www.mendeley.com/documents/?uuid=48a4b460-307d-4265-9e4c-67642dd23d0a", "http://www.mendeley.com/documents/?uuid=05c38e28-f5e6-4036-8af3-35a700df7284" ] } ], "mendeley" : { "formattedCitation" : "(18)", "plainTextFormattedCitation" : "(18)", "previouslyFormattedCitation" : "(18)" }, "properties" : { "noteIndex" : 0 }, "schema" : "https://github.com/citation-style-language/schema/raw/master/csl-citation.json" }</w:instrText>
            </w:r>
            <w:r w:rsidRPr="00CC4A13">
              <w:rPr>
                <w:rFonts w:ascii="Arial" w:hAnsi="Arial" w:cs="Arial"/>
                <w:b/>
                <w:sz w:val="22"/>
                <w:szCs w:val="22"/>
                <w:lang w:val="en-US"/>
              </w:rPr>
              <w:fldChar w:fldCharType="separate"/>
            </w:r>
            <w:r w:rsidRPr="00CC4A13">
              <w:rPr>
                <w:rFonts w:ascii="Arial" w:hAnsi="Arial" w:cs="Arial"/>
                <w:noProof/>
                <w:sz w:val="22"/>
                <w:szCs w:val="22"/>
                <w:lang w:val="en-US"/>
              </w:rPr>
              <w:t>(18)</w:t>
            </w:r>
            <w:r w:rsidRPr="00CC4A13">
              <w:rPr>
                <w:rFonts w:ascii="Arial" w:hAnsi="Arial" w:cs="Arial"/>
                <w:b/>
                <w:sz w:val="22"/>
                <w:szCs w:val="22"/>
                <w:lang w:val="en-US"/>
              </w:rPr>
              <w:fldChar w:fldCharType="end"/>
            </w:r>
          </w:p>
        </w:tc>
      </w:tr>
      <w:tr w:rsidR="00EE4D45" w:rsidRPr="00CC4A13" w:rsidTr="00634E81">
        <w:tc>
          <w:tcPr>
            <w:tcW w:w="14557" w:type="dxa"/>
            <w:gridSpan w:val="11"/>
          </w:tcPr>
          <w:p w:rsidR="00EE4D45" w:rsidRPr="00CC4A13" w:rsidRDefault="00EE4D45" w:rsidP="00634E81">
            <w:pPr>
              <w:contextualSpacing/>
              <w:jc w:val="center"/>
              <w:rPr>
                <w:rFonts w:ascii="Arial" w:hAnsi="Arial" w:cs="Arial"/>
                <w:b/>
                <w:sz w:val="22"/>
                <w:szCs w:val="22"/>
                <w:lang w:val="en-US"/>
              </w:rPr>
            </w:pPr>
            <w:r w:rsidRPr="00CC4A13">
              <w:rPr>
                <w:rFonts w:ascii="Arial" w:hAnsi="Arial" w:cs="Arial"/>
                <w:b/>
                <w:sz w:val="22"/>
                <w:szCs w:val="22"/>
                <w:lang w:val="en-US"/>
              </w:rPr>
              <w:t>Pain assessment</w:t>
            </w: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Use of functional quantitative rating scales for pain assessment </w:t>
            </w: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2"/>
              </w:numP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350" w:type="dxa"/>
            <w:vAlign w:val="center"/>
          </w:tcPr>
          <w:p w:rsidR="00EE4D45" w:rsidRPr="00CC4A13" w:rsidRDefault="00EE4D45" w:rsidP="00EE4D45">
            <w:pPr>
              <w:pStyle w:val="ListParagraph"/>
              <w:numPr>
                <w:ilvl w:val="0"/>
                <w:numId w:val="2"/>
              </w:numPr>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2"/>
              </w:numPr>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2"/>
              </w:numPr>
              <w:rPr>
                <w:rFonts w:ascii="Arial" w:hAnsi="Arial" w:cs="Arial"/>
                <w:sz w:val="22"/>
                <w:szCs w:val="22"/>
                <w:lang w:val="en-US"/>
              </w:rPr>
            </w:pPr>
          </w:p>
        </w:tc>
        <w:tc>
          <w:tcPr>
            <w:tcW w:w="1260" w:type="dxa"/>
            <w:vAlign w:val="center"/>
          </w:tcPr>
          <w:p w:rsidR="00EE4D45" w:rsidRPr="00CC4A13" w:rsidRDefault="00EE4D45" w:rsidP="00EE4D45">
            <w:pPr>
              <w:pStyle w:val="ListParagraph"/>
              <w:numPr>
                <w:ilvl w:val="0"/>
                <w:numId w:val="2"/>
              </w:numPr>
              <w:rPr>
                <w:rFonts w:ascii="Arial" w:hAnsi="Arial" w:cs="Arial"/>
                <w:sz w:val="22"/>
                <w:szCs w:val="22"/>
                <w:lang w:val="en-US"/>
              </w:rPr>
            </w:pPr>
          </w:p>
        </w:tc>
        <w:tc>
          <w:tcPr>
            <w:tcW w:w="1170" w:type="dxa"/>
          </w:tcPr>
          <w:p w:rsidR="00EE4D45" w:rsidRPr="00CC4A13" w:rsidRDefault="00EE4D45" w:rsidP="00634E81">
            <w:pPr>
              <w:contextualSpacing/>
              <w:jc w:val="cente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Teaching the values through which individual pain is perceived in the ICU as a strategy to improve pain assessment </w:t>
            </w:r>
          </w:p>
        </w:tc>
        <w:tc>
          <w:tcPr>
            <w:tcW w:w="1350" w:type="dxa"/>
            <w:vAlign w:val="center"/>
          </w:tcPr>
          <w:p w:rsidR="00EE4D45" w:rsidRPr="00CC4A13" w:rsidRDefault="00EE4D45" w:rsidP="00EE4D45">
            <w:pPr>
              <w:pStyle w:val="ListParagraph"/>
              <w:numPr>
                <w:ilvl w:val="0"/>
                <w:numId w:val="2"/>
              </w:numPr>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350" w:type="dxa"/>
            <w:vAlign w:val="center"/>
          </w:tcPr>
          <w:p w:rsidR="00EE4D45" w:rsidRPr="00CC4A13" w:rsidRDefault="00EE4D45" w:rsidP="00634E81">
            <w:pPr>
              <w:pStyle w:val="ListParagraph"/>
              <w:rPr>
                <w:rFonts w:ascii="Arial" w:hAnsi="Arial" w:cs="Arial"/>
                <w:sz w:val="22"/>
                <w:szCs w:val="22"/>
                <w:lang w:val="en-US"/>
              </w:rPr>
            </w:pPr>
          </w:p>
        </w:tc>
        <w:tc>
          <w:tcPr>
            <w:tcW w:w="117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14557" w:type="dxa"/>
            <w:gridSpan w:val="11"/>
          </w:tcPr>
          <w:p w:rsidR="00EE4D45" w:rsidRPr="00CC4A13" w:rsidRDefault="00EE4D45" w:rsidP="00634E81">
            <w:pPr>
              <w:contextualSpacing/>
              <w:jc w:val="center"/>
              <w:rPr>
                <w:rFonts w:ascii="Arial" w:hAnsi="Arial" w:cs="Arial"/>
                <w:sz w:val="22"/>
                <w:szCs w:val="22"/>
                <w:lang w:val="en-US"/>
              </w:rPr>
            </w:pPr>
            <w:r w:rsidRPr="00CC4A13">
              <w:rPr>
                <w:rFonts w:ascii="Arial" w:hAnsi="Arial" w:cs="Arial"/>
                <w:b/>
                <w:sz w:val="22"/>
                <w:szCs w:val="22"/>
                <w:lang w:val="en-US"/>
              </w:rPr>
              <w:t>Pain management</w:t>
            </w: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Use of narcotics and BZD for management of pain and anxiety or agitation, respectively</w:t>
            </w:r>
          </w:p>
        </w:tc>
        <w:tc>
          <w:tcPr>
            <w:tcW w:w="1350" w:type="dxa"/>
            <w:vAlign w:val="center"/>
          </w:tcPr>
          <w:p w:rsidR="00EE4D45" w:rsidRPr="00CC4A13" w:rsidRDefault="00EE4D45" w:rsidP="00EE4D45">
            <w:pPr>
              <w:pStyle w:val="ListParagraph"/>
              <w:numPr>
                <w:ilvl w:val="0"/>
                <w:numId w:val="3"/>
              </w:numPr>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2"/>
              </w:numPr>
              <w:rPr>
                <w:rFonts w:ascii="Arial" w:hAnsi="Arial" w:cs="Arial"/>
                <w:sz w:val="22"/>
                <w:szCs w:val="22"/>
                <w:lang w:val="en-US"/>
              </w:rPr>
            </w:pPr>
          </w:p>
        </w:tc>
        <w:tc>
          <w:tcPr>
            <w:tcW w:w="1350" w:type="dxa"/>
            <w:vAlign w:val="center"/>
          </w:tcPr>
          <w:p w:rsidR="00EE4D45" w:rsidRPr="00CC4A13" w:rsidRDefault="00EE4D45" w:rsidP="00EE4D45">
            <w:pPr>
              <w:pStyle w:val="ListParagraph"/>
              <w:numPr>
                <w:ilvl w:val="0"/>
                <w:numId w:val="2"/>
              </w:numPr>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2"/>
              </w:numPr>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2"/>
              </w:numPr>
              <w:rPr>
                <w:rFonts w:ascii="Arial" w:hAnsi="Arial" w:cs="Arial"/>
                <w:sz w:val="22"/>
                <w:szCs w:val="22"/>
                <w:lang w:val="en-US"/>
              </w:rPr>
            </w:pPr>
          </w:p>
        </w:tc>
        <w:tc>
          <w:tcPr>
            <w:tcW w:w="1260" w:type="dxa"/>
            <w:vAlign w:val="center"/>
          </w:tcPr>
          <w:p w:rsidR="00EE4D45" w:rsidRPr="00CC4A13" w:rsidRDefault="00EE4D45" w:rsidP="00EE4D45">
            <w:pPr>
              <w:pStyle w:val="ListParagraph"/>
              <w:numPr>
                <w:ilvl w:val="0"/>
                <w:numId w:val="6"/>
              </w:numPr>
              <w:rPr>
                <w:rFonts w:ascii="Arial" w:hAnsi="Arial" w:cs="Arial"/>
                <w:sz w:val="22"/>
                <w:szCs w:val="22"/>
                <w:lang w:val="en-US"/>
              </w:rPr>
            </w:pPr>
          </w:p>
        </w:tc>
        <w:tc>
          <w:tcPr>
            <w:tcW w:w="1170" w:type="dxa"/>
          </w:tcPr>
          <w:p w:rsidR="00EE4D45" w:rsidRPr="00CC4A13" w:rsidRDefault="00EE4D45" w:rsidP="00634E81">
            <w:pPr>
              <w:jc w:val="center"/>
              <w:rPr>
                <w:rFonts w:ascii="Arial" w:hAnsi="Arial" w:cs="Arial"/>
                <w:sz w:val="22"/>
                <w:szCs w:val="22"/>
                <w:lang w:val="en-US"/>
              </w:rPr>
            </w:pPr>
          </w:p>
          <w:p w:rsidR="00EE4D45" w:rsidRPr="00CC4A13" w:rsidRDefault="00EE4D45" w:rsidP="00634E81">
            <w:pPr>
              <w:jc w:val="center"/>
              <w:rPr>
                <w:rFonts w:ascii="Arial" w:hAnsi="Arial" w:cs="Arial"/>
                <w:sz w:val="22"/>
                <w:szCs w:val="22"/>
                <w:lang w:val="en-US"/>
              </w:rPr>
            </w:pPr>
            <w:r w:rsidRPr="00CC4A13">
              <w:rPr>
                <w:rFonts w:ascii="Arial" w:hAnsi="Arial" w:cs="Arial"/>
                <w:sz w:val="22"/>
                <w:szCs w:val="22"/>
                <w:lang w:val="en-US"/>
              </w:rPr>
              <w:sym w:font="Wingdings" w:char="F0FC"/>
            </w: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Ensuring the presence of family members, friends, or spiritual support; creating a peaceful ICU environment; accommodating the care plan to the patient’s spiritual and cultural beliefs </w:t>
            </w:r>
          </w:p>
        </w:tc>
        <w:tc>
          <w:tcPr>
            <w:tcW w:w="1350" w:type="dxa"/>
            <w:vAlign w:val="center"/>
          </w:tcPr>
          <w:p w:rsidR="00EE4D45" w:rsidRPr="00CC4A13" w:rsidRDefault="00EE4D45" w:rsidP="00EE4D45">
            <w:pPr>
              <w:pStyle w:val="ListParagraph"/>
              <w:numPr>
                <w:ilvl w:val="0"/>
                <w:numId w:val="2"/>
              </w:numPr>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jc w:val="center"/>
              <w:rPr>
                <w:rFonts w:ascii="Arial" w:hAnsi="Arial" w:cs="Arial"/>
                <w:sz w:val="22"/>
                <w:szCs w:val="22"/>
                <w:lang w:val="en-US"/>
              </w:rPr>
            </w:pPr>
          </w:p>
          <w:p w:rsidR="00EE4D45" w:rsidRPr="00CC4A13" w:rsidRDefault="00EE4D45" w:rsidP="00634E81">
            <w:pPr>
              <w:contextualSpacing/>
              <w:jc w:val="center"/>
              <w:rPr>
                <w:rFonts w:ascii="Arial" w:hAnsi="Arial" w:cs="Arial"/>
                <w:sz w:val="22"/>
                <w:szCs w:val="22"/>
                <w:lang w:val="en-US"/>
              </w:rPr>
            </w:pPr>
          </w:p>
          <w:p w:rsidR="00EE4D45" w:rsidRPr="00CC4A13" w:rsidRDefault="00EE4D45" w:rsidP="00634E81">
            <w:pPr>
              <w:contextualSpacing/>
              <w:jc w:val="center"/>
              <w:rPr>
                <w:rFonts w:ascii="Arial" w:hAnsi="Arial" w:cs="Arial"/>
                <w:sz w:val="22"/>
                <w:szCs w:val="22"/>
                <w:lang w:val="en-US"/>
              </w:rPr>
            </w:pPr>
          </w:p>
          <w:p w:rsidR="00EE4D45" w:rsidRPr="00CC4A13" w:rsidRDefault="00EE4D45" w:rsidP="00634E81">
            <w:pPr>
              <w:contextualSpacing/>
              <w:jc w:val="center"/>
              <w:rPr>
                <w:rFonts w:ascii="Arial" w:hAnsi="Arial" w:cs="Arial"/>
                <w:sz w:val="22"/>
                <w:szCs w:val="22"/>
                <w:lang w:val="en-US"/>
              </w:rPr>
            </w:pPr>
            <w:r w:rsidRPr="00CC4A13">
              <w:rPr>
                <w:rFonts w:ascii="Arial" w:hAnsi="Arial" w:cs="Arial"/>
                <w:sz w:val="22"/>
                <w:szCs w:val="22"/>
                <w:lang w:val="en-US"/>
              </w:rPr>
              <w:sym w:font="Wingdings" w:char="F0FC"/>
            </w: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14557" w:type="dxa"/>
            <w:gridSpan w:val="11"/>
          </w:tcPr>
          <w:p w:rsidR="00EE4D45" w:rsidRPr="00CC4A13" w:rsidRDefault="00EE4D45" w:rsidP="00634E81">
            <w:pPr>
              <w:contextualSpacing/>
              <w:jc w:val="center"/>
              <w:rPr>
                <w:rFonts w:ascii="Arial" w:hAnsi="Arial" w:cs="Arial"/>
                <w:b/>
                <w:sz w:val="22"/>
                <w:szCs w:val="22"/>
                <w:lang w:val="en-US"/>
              </w:rPr>
            </w:pPr>
            <w:r w:rsidRPr="00CC4A13">
              <w:rPr>
                <w:rFonts w:ascii="Arial" w:hAnsi="Arial" w:cs="Arial"/>
                <w:b/>
                <w:i/>
                <w:sz w:val="22"/>
                <w:szCs w:val="22"/>
                <w:lang w:val="en-US"/>
              </w:rPr>
              <w:t>Dosing, titration, and route of administration</w:t>
            </w: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The initial dosing of opioids should be adjusted depending on the previous amounts of opioids received. </w:t>
            </w:r>
          </w:p>
        </w:tc>
        <w:tc>
          <w:tcPr>
            <w:tcW w:w="135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EE4D45">
            <w:pPr>
              <w:pStyle w:val="ListParagraph"/>
              <w:numPr>
                <w:ilvl w:val="0"/>
                <w:numId w:val="6"/>
              </w:numPr>
              <w:rPr>
                <w:rFonts w:ascii="Arial" w:hAnsi="Arial" w:cs="Arial"/>
                <w:sz w:val="22"/>
                <w:szCs w:val="22"/>
                <w:lang w:val="en-US"/>
              </w:rPr>
            </w:pPr>
          </w:p>
        </w:tc>
        <w:tc>
          <w:tcPr>
            <w:tcW w:w="1170" w:type="dxa"/>
          </w:tcPr>
          <w:p w:rsidR="00EE4D45" w:rsidRPr="00CC4A13" w:rsidRDefault="00EE4D45" w:rsidP="00634E81">
            <w:pPr>
              <w:contextualSpacing/>
              <w:jc w:val="center"/>
              <w:rPr>
                <w:rFonts w:ascii="Arial" w:hAnsi="Arial" w:cs="Arial"/>
                <w:sz w:val="22"/>
                <w:szCs w:val="22"/>
                <w:lang w:val="en-US"/>
              </w:rPr>
            </w:pPr>
          </w:p>
          <w:p w:rsidR="00EE4D45" w:rsidRPr="00CC4A13" w:rsidRDefault="00EE4D45" w:rsidP="00634E81">
            <w:pPr>
              <w:contextualSpacing/>
              <w:jc w:val="center"/>
              <w:rPr>
                <w:rFonts w:ascii="Arial" w:hAnsi="Arial" w:cs="Arial"/>
                <w:sz w:val="22"/>
                <w:szCs w:val="22"/>
                <w:lang w:val="en-US"/>
              </w:rPr>
            </w:pPr>
          </w:p>
          <w:p w:rsidR="00EE4D45" w:rsidRPr="00CC4A13" w:rsidRDefault="00EE4D45" w:rsidP="00634E81">
            <w:pPr>
              <w:contextualSpacing/>
              <w:jc w:val="center"/>
              <w:rPr>
                <w:rFonts w:ascii="Arial" w:hAnsi="Arial" w:cs="Arial"/>
                <w:sz w:val="22"/>
                <w:szCs w:val="22"/>
                <w:lang w:val="en-US"/>
              </w:rPr>
            </w:pPr>
            <w:r w:rsidRPr="00CC4A13">
              <w:rPr>
                <w:rFonts w:ascii="Arial" w:hAnsi="Arial" w:cs="Arial"/>
                <w:sz w:val="22"/>
                <w:szCs w:val="22"/>
                <w:lang w:val="en-US"/>
              </w:rPr>
              <w:sym w:font="Wingdings" w:char="F0FC"/>
            </w: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lastRenderedPageBreak/>
              <w:t>The initial dosing of opioids should be based on the patient’s age, previous alcohol or drug addiction, present clinical condition,</w:t>
            </w:r>
            <w:r w:rsidRPr="00CC4A13">
              <w:rPr>
                <w:rFonts w:ascii="Arial" w:hAnsi="Arial" w:cs="Arial"/>
                <w:color w:val="000000"/>
                <w:sz w:val="22"/>
                <w:szCs w:val="22"/>
                <w:lang w:val="en-US"/>
              </w:rPr>
              <w:t xml:space="preserve"> present levels of consciousness and pain, and wishes concerning pain and sedation. </w:t>
            </w:r>
          </w:p>
        </w:tc>
        <w:tc>
          <w:tcPr>
            <w:tcW w:w="135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EE4D45">
            <w:pPr>
              <w:pStyle w:val="ListParagraph"/>
              <w:numPr>
                <w:ilvl w:val="0"/>
                <w:numId w:val="6"/>
              </w:numPr>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Sedatives and analgesics should be adjusted in response to the patient’s request or physiological or behavioral signs of pain and according to reassessment of the drug’s effect on the patient. </w:t>
            </w:r>
          </w:p>
        </w:tc>
        <w:tc>
          <w:tcPr>
            <w:tcW w:w="135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When administering opioids and sedatives, no maximum dose exists. The adequate dose is that which alleviates the patient’s pain and suffering. </w:t>
            </w:r>
          </w:p>
        </w:tc>
        <w:tc>
          <w:tcPr>
            <w:tcW w:w="135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EE4D45">
            <w:pPr>
              <w:pStyle w:val="ListParagraph"/>
              <w:numPr>
                <w:ilvl w:val="0"/>
                <w:numId w:val="6"/>
              </w:numPr>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p w:rsidR="00EE4D45" w:rsidRPr="00CC4A13" w:rsidRDefault="00EE4D45" w:rsidP="00634E81">
            <w:pPr>
              <w:contextualSpacing/>
              <w:rPr>
                <w:rFonts w:ascii="Arial" w:hAnsi="Arial" w:cs="Arial"/>
                <w:sz w:val="22"/>
                <w:szCs w:val="22"/>
                <w:lang w:val="en-US"/>
              </w:rPr>
            </w:pPr>
          </w:p>
          <w:p w:rsidR="00EE4D45" w:rsidRPr="00CC4A13" w:rsidRDefault="00EE4D45" w:rsidP="00634E81">
            <w:pPr>
              <w:contextualSpacing/>
              <w:rPr>
                <w:rFonts w:ascii="Arial" w:hAnsi="Arial" w:cs="Arial"/>
                <w:sz w:val="22"/>
                <w:szCs w:val="22"/>
                <w:lang w:val="en-US"/>
              </w:rPr>
            </w:pPr>
          </w:p>
          <w:p w:rsidR="00EE4D45" w:rsidRPr="00CC4A13" w:rsidRDefault="00EE4D45" w:rsidP="00634E81">
            <w:pPr>
              <w:contextualSpacing/>
              <w:jc w:val="center"/>
              <w:rPr>
                <w:rFonts w:ascii="Arial" w:hAnsi="Arial" w:cs="Arial"/>
                <w:sz w:val="22"/>
                <w:szCs w:val="22"/>
                <w:lang w:val="en-US"/>
              </w:rPr>
            </w:pPr>
            <w:r w:rsidRPr="00CC4A13">
              <w:rPr>
                <w:rFonts w:ascii="Arial" w:hAnsi="Arial" w:cs="Arial"/>
                <w:sz w:val="22"/>
                <w:szCs w:val="22"/>
                <w:lang w:val="en-US"/>
              </w:rPr>
              <w:sym w:font="Wingdings" w:char="F0FC"/>
            </w: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The pre-emptive administration (before pain ensues) of analgesics and sedatives is recommended. </w:t>
            </w:r>
          </w:p>
        </w:tc>
        <w:tc>
          <w:tcPr>
            <w:tcW w:w="135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EE4D45">
            <w:pPr>
              <w:pStyle w:val="ListParagraph"/>
              <w:numPr>
                <w:ilvl w:val="0"/>
                <w:numId w:val="6"/>
              </w:numPr>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color w:val="000000"/>
                <w:sz w:val="22"/>
                <w:szCs w:val="22"/>
                <w:lang w:val="en-US"/>
              </w:rPr>
            </w:pPr>
            <w:r w:rsidRPr="00CC4A13">
              <w:rPr>
                <w:rFonts w:ascii="Arial" w:hAnsi="Arial" w:cs="Arial"/>
                <w:sz w:val="22"/>
                <w:szCs w:val="22"/>
                <w:lang w:val="en-US"/>
              </w:rPr>
              <w:t xml:space="preserve">A routine use of bolus over a background infusion is recommended for opioids, with boluses used for rapid effect when increasing the rate of infusion because of the re-emergence of </w:t>
            </w:r>
            <w:r w:rsidRPr="00CC4A13">
              <w:rPr>
                <w:rFonts w:ascii="Arial" w:hAnsi="Arial" w:cs="Arial"/>
                <w:color w:val="000000"/>
                <w:sz w:val="22"/>
                <w:szCs w:val="22"/>
                <w:lang w:val="en-US"/>
              </w:rPr>
              <w:t xml:space="preserve">signs or symptoms of suffering. </w:t>
            </w: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Oral opioids and sedatives, or combined oral and IV or subcutaneous administration, may be used in patients who are able to swallow. </w:t>
            </w: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In patients who do not have intravenous access, subcutaneous administration may be used, except for </w:t>
            </w:r>
            <w:proofErr w:type="spellStart"/>
            <w:r w:rsidRPr="00CC4A13">
              <w:rPr>
                <w:rFonts w:ascii="Arial" w:hAnsi="Arial" w:cs="Arial"/>
                <w:sz w:val="22"/>
                <w:szCs w:val="22"/>
                <w:lang w:val="en-US"/>
              </w:rPr>
              <w:t>propofol</w:t>
            </w:r>
            <w:proofErr w:type="spellEnd"/>
            <w:r w:rsidRPr="00CC4A13">
              <w:rPr>
                <w:rFonts w:ascii="Arial" w:hAnsi="Arial" w:cs="Arial"/>
                <w:sz w:val="22"/>
                <w:szCs w:val="22"/>
                <w:lang w:val="en-US"/>
              </w:rPr>
              <w:t xml:space="preserve">, which can only be given IV. </w:t>
            </w: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14557" w:type="dxa"/>
            <w:gridSpan w:val="11"/>
          </w:tcPr>
          <w:p w:rsidR="00EE4D45" w:rsidRPr="00CC4A13" w:rsidRDefault="00EE4D45" w:rsidP="00634E81">
            <w:pPr>
              <w:contextualSpacing/>
              <w:jc w:val="center"/>
              <w:rPr>
                <w:rFonts w:ascii="Arial" w:hAnsi="Arial" w:cs="Arial"/>
                <w:b/>
                <w:sz w:val="22"/>
                <w:szCs w:val="22"/>
                <w:lang w:val="en-US"/>
              </w:rPr>
            </w:pPr>
            <w:r w:rsidRPr="00CC4A13">
              <w:rPr>
                <w:rFonts w:ascii="Arial" w:hAnsi="Arial" w:cs="Arial"/>
                <w:b/>
                <w:i/>
                <w:sz w:val="22"/>
                <w:szCs w:val="22"/>
                <w:lang w:val="en-US"/>
              </w:rPr>
              <w:t>Management of side effects</w:t>
            </w: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Initiation of a bowel stimulant and stool softener is recommended concomitantly with opioids, with its dose being increased as the opioid dose is escalated. </w:t>
            </w: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color w:val="000000"/>
                <w:sz w:val="22"/>
                <w:szCs w:val="22"/>
                <w:lang w:val="en-US"/>
              </w:rPr>
            </w:pPr>
            <w:r w:rsidRPr="00CC4A13">
              <w:rPr>
                <w:rFonts w:ascii="Arial" w:hAnsi="Arial" w:cs="Arial"/>
                <w:sz w:val="22"/>
                <w:szCs w:val="22"/>
                <w:lang w:val="en-US"/>
              </w:rPr>
              <w:t xml:space="preserve">Nausea can be </w:t>
            </w:r>
            <w:r w:rsidRPr="00CC4A13">
              <w:rPr>
                <w:rFonts w:ascii="Arial" w:hAnsi="Arial" w:cs="Arial"/>
                <w:color w:val="000000"/>
                <w:sz w:val="22"/>
                <w:szCs w:val="22"/>
                <w:lang w:val="en-US"/>
              </w:rPr>
              <w:t xml:space="preserve">relieved by </w:t>
            </w:r>
            <w:proofErr w:type="spellStart"/>
            <w:r w:rsidRPr="00CC4A13">
              <w:rPr>
                <w:rFonts w:ascii="Arial" w:hAnsi="Arial" w:cs="Arial"/>
                <w:color w:val="000000"/>
                <w:sz w:val="22"/>
                <w:szCs w:val="22"/>
                <w:lang w:val="en-US"/>
              </w:rPr>
              <w:t>antiemetics</w:t>
            </w:r>
            <w:proofErr w:type="spellEnd"/>
            <w:r w:rsidRPr="00CC4A13">
              <w:rPr>
                <w:rFonts w:ascii="Arial" w:hAnsi="Arial" w:cs="Arial"/>
                <w:color w:val="000000"/>
                <w:sz w:val="22"/>
                <w:szCs w:val="22"/>
                <w:lang w:val="en-US"/>
              </w:rPr>
              <w:t xml:space="preserve"> (e.g., </w:t>
            </w:r>
            <w:proofErr w:type="spellStart"/>
            <w:r w:rsidRPr="00CC4A13">
              <w:rPr>
                <w:rFonts w:ascii="Arial" w:hAnsi="Arial" w:cs="Arial"/>
                <w:color w:val="000000"/>
                <w:sz w:val="22"/>
                <w:szCs w:val="22"/>
                <w:lang w:val="en-US"/>
              </w:rPr>
              <w:t>prochlorperazine</w:t>
            </w:r>
            <w:proofErr w:type="spellEnd"/>
            <w:r w:rsidRPr="00CC4A13">
              <w:rPr>
                <w:rFonts w:ascii="Arial" w:hAnsi="Arial" w:cs="Arial"/>
                <w:color w:val="000000"/>
                <w:sz w:val="22"/>
                <w:szCs w:val="22"/>
                <w:lang w:val="en-US"/>
              </w:rPr>
              <w:t xml:space="preserve"> or metoclopramide) or in persistent cases, by switching opioids.</w:t>
            </w: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color w:val="000000"/>
                <w:sz w:val="22"/>
                <w:szCs w:val="22"/>
                <w:lang w:val="en-US"/>
              </w:rPr>
              <w:t xml:space="preserve">Morphine is associated with a greater risk of histamine release, causing </w:t>
            </w:r>
            <w:proofErr w:type="spellStart"/>
            <w:r w:rsidRPr="00CC4A13">
              <w:rPr>
                <w:rFonts w:ascii="Arial" w:hAnsi="Arial" w:cs="Arial"/>
                <w:color w:val="000000"/>
                <w:sz w:val="22"/>
                <w:szCs w:val="22"/>
                <w:lang w:val="en-US"/>
              </w:rPr>
              <w:t>urticaria</w:t>
            </w:r>
            <w:proofErr w:type="spellEnd"/>
            <w:r w:rsidRPr="00CC4A13">
              <w:rPr>
                <w:rFonts w:ascii="Arial" w:hAnsi="Arial" w:cs="Arial"/>
                <w:color w:val="000000"/>
                <w:sz w:val="22"/>
                <w:szCs w:val="22"/>
                <w:lang w:val="en-US"/>
              </w:rPr>
              <w:t>, pruritus, and flushing, which may be relieved by antihistamine therapy.</w:t>
            </w: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14557" w:type="dxa"/>
            <w:gridSpan w:val="11"/>
          </w:tcPr>
          <w:p w:rsidR="00EE4D45" w:rsidRPr="00CC4A13" w:rsidRDefault="00EE4D45" w:rsidP="00634E81">
            <w:pPr>
              <w:contextualSpacing/>
              <w:jc w:val="center"/>
              <w:rPr>
                <w:rFonts w:ascii="Arial" w:hAnsi="Arial" w:cs="Arial"/>
                <w:b/>
                <w:sz w:val="22"/>
                <w:szCs w:val="22"/>
                <w:lang w:val="en-US"/>
              </w:rPr>
            </w:pPr>
            <w:r w:rsidRPr="00CC4A13">
              <w:rPr>
                <w:rFonts w:ascii="Arial" w:hAnsi="Arial" w:cs="Arial"/>
                <w:b/>
                <w:i/>
                <w:sz w:val="22"/>
                <w:szCs w:val="22"/>
                <w:lang w:val="en-US"/>
              </w:rPr>
              <w:t>Palliative sedation and double effect principle</w:t>
            </w: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Palliative sedation is an ethical practice and should be used when there is unbearable and persistent suffering at the end of life that is refractory to analgesic medication, assuming that it has been extensively discussed with the patient (if possible) and his or her family and clearly documenting the intention of doing so. </w:t>
            </w:r>
          </w:p>
        </w:tc>
        <w:tc>
          <w:tcPr>
            <w:tcW w:w="1350" w:type="dxa"/>
            <w:vAlign w:val="center"/>
          </w:tcPr>
          <w:p w:rsidR="00EE4D45" w:rsidRPr="00CC4A13" w:rsidRDefault="00EE4D45" w:rsidP="00EE4D45">
            <w:pPr>
              <w:pStyle w:val="ListParagraph"/>
              <w:numPr>
                <w:ilvl w:val="0"/>
                <w:numId w:val="5"/>
              </w:numPr>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5"/>
              </w:numP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EE4D45">
            <w:pPr>
              <w:pStyle w:val="ListParagraph"/>
              <w:numPr>
                <w:ilvl w:val="0"/>
                <w:numId w:val="5"/>
              </w:numPr>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The principle of double effect supports the use of narcotics or sedatives to alleviate terminal pain and suffering, even if they hasten death. </w:t>
            </w:r>
          </w:p>
        </w:tc>
        <w:tc>
          <w:tcPr>
            <w:tcW w:w="135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990" w:type="dxa"/>
            <w:vAlign w:val="center"/>
          </w:tcPr>
          <w:p w:rsidR="00EE4D45" w:rsidRPr="00CC4A13" w:rsidRDefault="00EE4D45" w:rsidP="00EE4D45">
            <w:pPr>
              <w:pStyle w:val="ListParagraph"/>
              <w:numPr>
                <w:ilvl w:val="0"/>
                <w:numId w:val="5"/>
              </w:numP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5"/>
              </w:numPr>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5"/>
              </w:numPr>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5"/>
              </w:numPr>
              <w:rPr>
                <w:rFonts w:ascii="Arial" w:hAnsi="Arial" w:cs="Arial"/>
                <w:sz w:val="22"/>
                <w:szCs w:val="22"/>
                <w:lang w:val="en-US"/>
              </w:rPr>
            </w:pPr>
          </w:p>
        </w:tc>
        <w:tc>
          <w:tcPr>
            <w:tcW w:w="1260" w:type="dxa"/>
            <w:vAlign w:val="center"/>
          </w:tcPr>
          <w:p w:rsidR="00EE4D45" w:rsidRPr="00CC4A13" w:rsidRDefault="00EE4D45" w:rsidP="00EE4D45">
            <w:pPr>
              <w:pStyle w:val="ListParagraph"/>
              <w:numPr>
                <w:ilvl w:val="0"/>
                <w:numId w:val="5"/>
              </w:numPr>
              <w:rPr>
                <w:rFonts w:ascii="Arial" w:hAnsi="Arial" w:cs="Arial"/>
                <w:sz w:val="22"/>
                <w:szCs w:val="22"/>
                <w:lang w:val="en-US"/>
              </w:rPr>
            </w:pPr>
          </w:p>
        </w:tc>
        <w:tc>
          <w:tcPr>
            <w:tcW w:w="1170" w:type="dxa"/>
          </w:tcPr>
          <w:p w:rsidR="00EE4D45" w:rsidRPr="00CC4A13" w:rsidRDefault="00EE4D45" w:rsidP="00634E81">
            <w:pPr>
              <w:contextualSpacing/>
              <w:jc w:val="center"/>
              <w:rPr>
                <w:rFonts w:ascii="Arial" w:hAnsi="Arial" w:cs="Arial"/>
                <w:sz w:val="22"/>
                <w:szCs w:val="22"/>
                <w:lang w:val="en-US"/>
              </w:rPr>
            </w:pPr>
          </w:p>
          <w:p w:rsidR="00EE4D45" w:rsidRPr="00CC4A13" w:rsidRDefault="00EE4D45" w:rsidP="00634E81">
            <w:pPr>
              <w:contextualSpacing/>
              <w:jc w:val="center"/>
              <w:rPr>
                <w:rFonts w:ascii="Arial" w:hAnsi="Arial" w:cs="Arial"/>
                <w:sz w:val="22"/>
                <w:szCs w:val="22"/>
                <w:lang w:val="en-US"/>
              </w:rPr>
            </w:pPr>
          </w:p>
          <w:p w:rsidR="00EE4D45" w:rsidRPr="00CC4A13" w:rsidRDefault="00EE4D45" w:rsidP="00634E81">
            <w:pPr>
              <w:contextualSpacing/>
              <w:jc w:val="center"/>
              <w:rPr>
                <w:rFonts w:ascii="Arial" w:hAnsi="Arial" w:cs="Arial"/>
                <w:sz w:val="22"/>
                <w:szCs w:val="22"/>
                <w:lang w:val="en-US"/>
              </w:rPr>
            </w:pPr>
            <w:r w:rsidRPr="00CC4A13">
              <w:rPr>
                <w:rFonts w:ascii="Arial" w:hAnsi="Arial" w:cs="Arial"/>
                <w:sz w:val="22"/>
                <w:szCs w:val="22"/>
                <w:lang w:val="en-US"/>
              </w:rPr>
              <w:sym w:font="Wingdings" w:char="F0FC"/>
            </w: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 xml:space="preserve">Palliative sedation has not been shown to hasten death and thus does not need to be justified by the principle of double effect. </w:t>
            </w: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634E81">
            <w:pPr>
              <w:pStyle w:val="ListParagraph"/>
              <w:rPr>
                <w:rFonts w:ascii="Arial" w:hAnsi="Arial" w:cs="Arial"/>
                <w:sz w:val="22"/>
                <w:szCs w:val="22"/>
                <w:lang w:val="en-US"/>
              </w:rPr>
            </w:pPr>
          </w:p>
        </w:tc>
        <w:tc>
          <w:tcPr>
            <w:tcW w:w="1170" w:type="dxa"/>
          </w:tcPr>
          <w:p w:rsidR="00EE4D45" w:rsidRPr="00CC4A13" w:rsidRDefault="00EE4D45" w:rsidP="00634E81">
            <w:pPr>
              <w:rPr>
                <w:rFonts w:ascii="Arial" w:hAnsi="Arial" w:cs="Arial"/>
                <w:sz w:val="22"/>
                <w:szCs w:val="22"/>
                <w:lang w:val="en-US"/>
              </w:rPr>
            </w:pPr>
          </w:p>
          <w:p w:rsidR="00EE4D45" w:rsidRPr="00CC4A13" w:rsidRDefault="00EE4D45" w:rsidP="00634E81">
            <w:pPr>
              <w:jc w:val="center"/>
              <w:rPr>
                <w:rFonts w:ascii="Arial" w:hAnsi="Arial" w:cs="Arial"/>
                <w:sz w:val="22"/>
                <w:szCs w:val="22"/>
                <w:lang w:val="en-US"/>
              </w:rPr>
            </w:pPr>
          </w:p>
          <w:p w:rsidR="00EE4D45" w:rsidRPr="00CC4A13" w:rsidRDefault="00EE4D45" w:rsidP="00634E81">
            <w:pPr>
              <w:jc w:val="center"/>
              <w:rPr>
                <w:rFonts w:ascii="Arial" w:hAnsi="Arial" w:cs="Arial"/>
                <w:sz w:val="22"/>
                <w:szCs w:val="22"/>
                <w:lang w:val="en-US"/>
              </w:rPr>
            </w:pPr>
            <w:r w:rsidRPr="00CC4A13">
              <w:rPr>
                <w:rFonts w:ascii="Arial" w:hAnsi="Arial" w:cs="Arial"/>
                <w:sz w:val="22"/>
                <w:szCs w:val="22"/>
                <w:lang w:val="en-US"/>
              </w:rPr>
              <w:sym w:font="Wingdings" w:char="F0FC"/>
            </w:r>
          </w:p>
        </w:tc>
        <w:tc>
          <w:tcPr>
            <w:tcW w:w="1080" w:type="dxa"/>
            <w:vAlign w:val="center"/>
          </w:tcPr>
          <w:p w:rsidR="00EE4D45" w:rsidRPr="00CC4A13" w:rsidRDefault="00EE4D45" w:rsidP="00EE4D45">
            <w:pPr>
              <w:pStyle w:val="ListParagraph"/>
              <w:numPr>
                <w:ilvl w:val="0"/>
                <w:numId w:val="5"/>
              </w:numPr>
              <w:rPr>
                <w:rFonts w:ascii="Arial" w:hAnsi="Arial" w:cs="Arial"/>
                <w:sz w:val="22"/>
                <w:szCs w:val="22"/>
                <w:lang w:val="en-US"/>
              </w:rPr>
            </w:pPr>
          </w:p>
        </w:tc>
      </w:tr>
      <w:tr w:rsidR="00EE4D45" w:rsidRPr="00CC4A13" w:rsidTr="00634E81">
        <w:tc>
          <w:tcPr>
            <w:tcW w:w="14557" w:type="dxa"/>
            <w:gridSpan w:val="11"/>
          </w:tcPr>
          <w:p w:rsidR="00EE4D45" w:rsidRPr="00CC4A13" w:rsidRDefault="00EE4D45" w:rsidP="00634E81">
            <w:pPr>
              <w:contextualSpacing/>
              <w:jc w:val="center"/>
              <w:rPr>
                <w:rFonts w:ascii="Arial" w:hAnsi="Arial" w:cs="Arial"/>
                <w:b/>
                <w:sz w:val="22"/>
                <w:szCs w:val="22"/>
                <w:lang w:val="en-US"/>
              </w:rPr>
            </w:pPr>
            <w:r w:rsidRPr="00CC4A13">
              <w:rPr>
                <w:rFonts w:ascii="Arial" w:hAnsi="Arial" w:cs="Arial"/>
                <w:b/>
                <w:i/>
                <w:color w:val="000000"/>
                <w:sz w:val="22"/>
                <w:szCs w:val="22"/>
                <w:lang w:val="en-US"/>
              </w:rPr>
              <w:t>Neuromuscular blockade</w:t>
            </w: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color w:val="000000"/>
                <w:sz w:val="22"/>
                <w:szCs w:val="22"/>
                <w:lang w:val="en-US"/>
              </w:rPr>
              <w:t xml:space="preserve">When withdrawing life support interventions such as mechanical ventilation, </w:t>
            </w:r>
            <w:r w:rsidRPr="00CC4A13">
              <w:rPr>
                <w:rFonts w:ascii="Arial" w:hAnsi="Arial" w:cs="Arial"/>
                <w:sz w:val="22"/>
                <w:szCs w:val="22"/>
                <w:lang w:val="en-US"/>
              </w:rPr>
              <w:t>the effect of the neuromuscular blockade must wear off to allow intensivists to accurately assess patients’ pain and suffering.</w:t>
            </w:r>
          </w:p>
        </w:tc>
        <w:tc>
          <w:tcPr>
            <w:tcW w:w="135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2947" w:type="dxa"/>
          </w:tcPr>
          <w:p w:rsidR="00EE4D45" w:rsidRPr="00CC4A13" w:rsidRDefault="00EE4D45" w:rsidP="00634E81">
            <w:pPr>
              <w:contextualSpacing/>
              <w:rPr>
                <w:rFonts w:ascii="Arial" w:hAnsi="Arial" w:cs="Arial"/>
                <w:color w:val="000000"/>
                <w:sz w:val="22"/>
                <w:szCs w:val="22"/>
                <w:lang w:val="en-US"/>
              </w:rPr>
            </w:pPr>
            <w:r w:rsidRPr="00CC4A13">
              <w:rPr>
                <w:rFonts w:ascii="Arial" w:hAnsi="Arial" w:cs="Arial"/>
                <w:sz w:val="22"/>
                <w:szCs w:val="22"/>
                <w:lang w:val="en-US"/>
              </w:rPr>
              <w:t xml:space="preserve">If the neuromuscular blocks </w:t>
            </w:r>
            <w:proofErr w:type="gramStart"/>
            <w:r w:rsidRPr="00CC4A13">
              <w:rPr>
                <w:rFonts w:ascii="Arial" w:hAnsi="Arial" w:cs="Arial"/>
                <w:sz w:val="22"/>
                <w:szCs w:val="22"/>
                <w:lang w:val="en-US"/>
              </w:rPr>
              <w:t>takes</w:t>
            </w:r>
            <w:proofErr w:type="gramEnd"/>
            <w:r w:rsidRPr="00CC4A13">
              <w:rPr>
                <w:rFonts w:ascii="Arial" w:hAnsi="Arial" w:cs="Arial"/>
                <w:sz w:val="22"/>
                <w:szCs w:val="22"/>
                <w:lang w:val="en-US"/>
              </w:rPr>
              <w:t xml:space="preserve"> too long to wear off, withdrawing life support can be initiated while ensuring that the patient comfortably proceeds through the dying process. </w:t>
            </w: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EE4D45">
            <w:pPr>
              <w:pStyle w:val="ListParagraph"/>
              <w:numPr>
                <w:ilvl w:val="0"/>
                <w:numId w:val="4"/>
              </w:numP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r w:rsidR="00EE4D45" w:rsidRPr="00CC4A13" w:rsidTr="00634E81">
        <w:tc>
          <w:tcPr>
            <w:tcW w:w="14557" w:type="dxa"/>
            <w:gridSpan w:val="11"/>
          </w:tcPr>
          <w:p w:rsidR="00EE4D45" w:rsidRPr="00CC4A13" w:rsidRDefault="00EE4D45" w:rsidP="00634E81">
            <w:pPr>
              <w:contextualSpacing/>
              <w:jc w:val="center"/>
              <w:rPr>
                <w:rFonts w:ascii="Arial" w:hAnsi="Arial" w:cs="Arial"/>
                <w:b/>
                <w:sz w:val="22"/>
                <w:szCs w:val="22"/>
                <w:lang w:val="en-US"/>
              </w:rPr>
            </w:pPr>
            <w:r w:rsidRPr="00CC4A13">
              <w:rPr>
                <w:rFonts w:ascii="Arial" w:hAnsi="Arial" w:cs="Arial"/>
                <w:b/>
                <w:i/>
                <w:sz w:val="22"/>
                <w:szCs w:val="22"/>
                <w:lang w:val="en-US"/>
              </w:rPr>
              <w:t>Palliative care consultation</w:t>
            </w:r>
          </w:p>
        </w:tc>
      </w:tr>
      <w:tr w:rsidR="00EE4D45" w:rsidRPr="00CC4A13" w:rsidTr="00634E81">
        <w:tc>
          <w:tcPr>
            <w:tcW w:w="2947" w:type="dxa"/>
          </w:tcPr>
          <w:p w:rsidR="00EE4D45" w:rsidRPr="00CC4A13" w:rsidRDefault="00EE4D45" w:rsidP="00634E81">
            <w:pPr>
              <w:contextualSpacing/>
              <w:rPr>
                <w:rFonts w:ascii="Arial" w:hAnsi="Arial" w:cs="Arial"/>
                <w:sz w:val="22"/>
                <w:szCs w:val="22"/>
                <w:lang w:val="en-US"/>
              </w:rPr>
            </w:pPr>
            <w:r w:rsidRPr="00CC4A13">
              <w:rPr>
                <w:rFonts w:ascii="Arial" w:hAnsi="Arial" w:cs="Arial"/>
                <w:sz w:val="22"/>
                <w:szCs w:val="22"/>
                <w:lang w:val="en-US"/>
              </w:rPr>
              <w:t>A palliative care consultation should be requested when the limits of the intensivist’s knowledge and skills have been reached.</w:t>
            </w:r>
          </w:p>
        </w:tc>
        <w:tc>
          <w:tcPr>
            <w:tcW w:w="1350" w:type="dxa"/>
            <w:vAlign w:val="center"/>
          </w:tcPr>
          <w:p w:rsidR="00EE4D45" w:rsidRPr="00CC4A13" w:rsidRDefault="00EE4D45" w:rsidP="00EE4D45">
            <w:pPr>
              <w:pStyle w:val="ListParagraph"/>
              <w:numPr>
                <w:ilvl w:val="0"/>
                <w:numId w:val="5"/>
              </w:numPr>
              <w:rPr>
                <w:rFonts w:ascii="Arial" w:hAnsi="Arial" w:cs="Arial"/>
                <w:sz w:val="22"/>
                <w:szCs w:val="22"/>
                <w:lang w:val="en-US"/>
              </w:rPr>
            </w:pPr>
          </w:p>
        </w:tc>
        <w:tc>
          <w:tcPr>
            <w:tcW w:w="99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350" w:type="dxa"/>
            <w:vAlign w:val="center"/>
          </w:tcPr>
          <w:p w:rsidR="00EE4D45" w:rsidRPr="00CC4A13" w:rsidRDefault="00EE4D45" w:rsidP="00634E81">
            <w:pPr>
              <w:contextualSpacing/>
              <w:rPr>
                <w:rFonts w:ascii="Arial" w:hAnsi="Arial" w:cs="Arial"/>
                <w:sz w:val="22"/>
                <w:szCs w:val="22"/>
                <w:lang w:val="en-US"/>
              </w:rPr>
            </w:pPr>
          </w:p>
        </w:tc>
        <w:tc>
          <w:tcPr>
            <w:tcW w:w="1170" w:type="dxa"/>
            <w:vAlign w:val="center"/>
          </w:tcPr>
          <w:p w:rsidR="00EE4D45" w:rsidRPr="00CC4A13" w:rsidRDefault="00EE4D45" w:rsidP="00EE4D45">
            <w:pPr>
              <w:pStyle w:val="ListParagraph"/>
              <w:numPr>
                <w:ilvl w:val="0"/>
                <w:numId w:val="5"/>
              </w:numPr>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c>
          <w:tcPr>
            <w:tcW w:w="1260" w:type="dxa"/>
            <w:vAlign w:val="center"/>
          </w:tcPr>
          <w:p w:rsidR="00EE4D45" w:rsidRPr="00CC4A13" w:rsidRDefault="00EE4D45" w:rsidP="00634E81">
            <w:pPr>
              <w:contextualSpacing/>
              <w:rPr>
                <w:rFonts w:ascii="Arial" w:hAnsi="Arial" w:cs="Arial"/>
                <w:sz w:val="22"/>
                <w:szCs w:val="22"/>
                <w:lang w:val="en-US"/>
              </w:rPr>
            </w:pPr>
          </w:p>
        </w:tc>
        <w:tc>
          <w:tcPr>
            <w:tcW w:w="1170" w:type="dxa"/>
          </w:tcPr>
          <w:p w:rsidR="00EE4D45" w:rsidRPr="00CC4A13" w:rsidRDefault="00EE4D45" w:rsidP="00634E81">
            <w:pPr>
              <w:contextualSpacing/>
              <w:rPr>
                <w:rFonts w:ascii="Arial" w:hAnsi="Arial" w:cs="Arial"/>
                <w:sz w:val="22"/>
                <w:szCs w:val="22"/>
                <w:lang w:val="en-US"/>
              </w:rPr>
            </w:pPr>
          </w:p>
        </w:tc>
        <w:tc>
          <w:tcPr>
            <w:tcW w:w="1080" w:type="dxa"/>
            <w:vAlign w:val="center"/>
          </w:tcPr>
          <w:p w:rsidR="00EE4D45" w:rsidRPr="00CC4A13" w:rsidRDefault="00EE4D45" w:rsidP="00634E81">
            <w:pPr>
              <w:contextualSpacing/>
              <w:rPr>
                <w:rFonts w:ascii="Arial" w:hAnsi="Arial" w:cs="Arial"/>
                <w:sz w:val="22"/>
                <w:szCs w:val="22"/>
                <w:lang w:val="en-US"/>
              </w:rPr>
            </w:pPr>
          </w:p>
        </w:tc>
      </w:tr>
    </w:tbl>
    <w:p w:rsidR="00EA041C" w:rsidRPr="00CC4A13" w:rsidRDefault="00EA041C" w:rsidP="00F37B93">
      <w:pPr>
        <w:contextualSpacing/>
      </w:pPr>
    </w:p>
    <w:sectPr w:rsidR="00EA041C" w:rsidRPr="00CC4A13" w:rsidSect="00F37B93">
      <w:pgSz w:w="15842" w:h="12242" w:orient="landscape"/>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178"/>
    <w:multiLevelType w:val="hybridMultilevel"/>
    <w:tmpl w:val="8AFA2C92"/>
    <w:lvl w:ilvl="0" w:tplc="0C0A000D">
      <w:start w:val="1"/>
      <w:numFmt w:val="bullet"/>
      <w:lvlText w:val=""/>
      <w:lvlJc w:val="left"/>
      <w:pPr>
        <w:ind w:left="63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6624FD"/>
    <w:multiLevelType w:val="hybridMultilevel"/>
    <w:tmpl w:val="2954D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96C0D"/>
    <w:multiLevelType w:val="hybridMultilevel"/>
    <w:tmpl w:val="FFA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54A5C"/>
    <w:multiLevelType w:val="hybridMultilevel"/>
    <w:tmpl w:val="327C39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0E04F3"/>
    <w:multiLevelType w:val="hybridMultilevel"/>
    <w:tmpl w:val="7C2AD8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36789"/>
    <w:multiLevelType w:val="hybridMultilevel"/>
    <w:tmpl w:val="95F454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45"/>
    <w:rsid w:val="00820A6D"/>
    <w:rsid w:val="00CC4A13"/>
    <w:rsid w:val="00EA041C"/>
    <w:rsid w:val="00EE4D45"/>
    <w:rsid w:val="00F3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0F4B"/>
  <w15:chartTrackingRefBased/>
  <w15:docId w15:val="{C57F376D-3193-4D6A-A399-F614A0EC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4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D45"/>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4D45"/>
    <w:pPr>
      <w:spacing w:after="200"/>
    </w:pPr>
    <w:rPr>
      <w:b/>
      <w:bCs/>
      <w:color w:val="5B9BD5" w:themeColor="accent1"/>
      <w:sz w:val="18"/>
      <w:szCs w:val="18"/>
    </w:rPr>
  </w:style>
  <w:style w:type="paragraph" w:styleId="ListParagraph">
    <w:name w:val="List Paragraph"/>
    <w:basedOn w:val="Normal"/>
    <w:uiPriority w:val="34"/>
    <w:qFormat/>
    <w:rsid w:val="00EE4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17752</Words>
  <Characters>101187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Cuenca Trujillo,John A</cp:lastModifiedBy>
  <cp:revision>4</cp:revision>
  <dcterms:created xsi:type="dcterms:W3CDTF">2019-06-19T22:52:00Z</dcterms:created>
  <dcterms:modified xsi:type="dcterms:W3CDTF">2019-06-19T23:15:00Z</dcterms:modified>
</cp:coreProperties>
</file>