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E" w:rsidRPr="00B3467F" w:rsidRDefault="00EF4876" w:rsidP="003D332D">
      <w:pPr>
        <w:spacing w:line="480" w:lineRule="auto"/>
        <w:rPr>
          <w:rFonts w:ascii="Arial" w:eastAsia="Helvetica" w:hAnsi="Arial" w:cs="Arial"/>
          <w:b/>
          <w:color w:val="000000"/>
          <w:bdr w:val="nil"/>
          <w:lang w:val="en-US" w:eastAsia="de-DE"/>
        </w:rPr>
      </w:pPr>
      <w:r w:rsidRPr="00B3467F">
        <w:rPr>
          <w:rFonts w:ascii="Arial" w:eastAsia="Helvetica" w:hAnsi="Arial" w:cs="Arial"/>
          <w:b/>
          <w:color w:val="000000"/>
          <w:bdr w:val="nil"/>
          <w:lang w:val="en-US" w:eastAsia="de-DE"/>
        </w:rPr>
        <w:t>Supplemental Digital Content - Table 2</w:t>
      </w:r>
      <w:r w:rsidR="000D48C1" w:rsidRPr="00B3467F">
        <w:rPr>
          <w:rFonts w:ascii="Arial" w:eastAsia="Helvetica" w:hAnsi="Arial" w:cs="Arial"/>
          <w:b/>
          <w:color w:val="000000"/>
          <w:bdr w:val="nil"/>
          <w:lang w:val="en-US" w:eastAsia="de-DE"/>
        </w:rPr>
        <w:t xml:space="preserve">. </w:t>
      </w:r>
      <w:r w:rsidR="005D5EDD" w:rsidRPr="00B3467F">
        <w:rPr>
          <w:rFonts w:ascii="Arial" w:eastAsia="Helvetica" w:hAnsi="Arial" w:cs="Arial"/>
          <w:b/>
          <w:color w:val="000000"/>
          <w:bdr w:val="nil"/>
          <w:lang w:val="en-US" w:eastAsia="de-DE"/>
        </w:rPr>
        <w:t xml:space="preserve">Ferritin </w:t>
      </w:r>
      <w:r w:rsidR="007E5DA1">
        <w:rPr>
          <w:rFonts w:ascii="Arial" w:eastAsia="Helvetica" w:hAnsi="Arial" w:cs="Arial"/>
          <w:b/>
          <w:color w:val="000000"/>
          <w:bdr w:val="nil"/>
          <w:lang w:val="en-US" w:eastAsia="de-DE"/>
        </w:rPr>
        <w:t xml:space="preserve">levels </w:t>
      </w:r>
      <w:r w:rsidR="005D5EDD" w:rsidRPr="00B3467F">
        <w:rPr>
          <w:rFonts w:ascii="Arial" w:eastAsia="Helvetica" w:hAnsi="Arial" w:cs="Arial"/>
          <w:b/>
          <w:color w:val="000000"/>
          <w:bdr w:val="nil"/>
          <w:lang w:val="en-US" w:eastAsia="de-DE"/>
        </w:rPr>
        <w:t xml:space="preserve">best predictive to differentiate between two disease groups. </w:t>
      </w:r>
    </w:p>
    <w:p w:rsidR="008532BA" w:rsidRPr="005D5EDD" w:rsidRDefault="008532BA" w:rsidP="002251E4">
      <w:pPr>
        <w:jc w:val="center"/>
        <w:rPr>
          <w:sz w:val="21"/>
          <w:szCs w:val="21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1560"/>
        <w:gridCol w:w="1134"/>
        <w:gridCol w:w="1417"/>
      </w:tblGrid>
      <w:tr w:rsidR="001058B6" w:rsidRPr="00FA4E75" w:rsidTr="001058B6">
        <w:tc>
          <w:tcPr>
            <w:tcW w:w="2547" w:type="dxa"/>
          </w:tcPr>
          <w:p w:rsidR="002251E4" w:rsidRPr="00992812" w:rsidRDefault="004D6350" w:rsidP="002251E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992812">
              <w:rPr>
                <w:b/>
                <w:sz w:val="21"/>
                <w:szCs w:val="21"/>
                <w:lang w:val="en-US"/>
              </w:rPr>
              <w:t>Cohort</w:t>
            </w:r>
          </w:p>
        </w:tc>
        <w:tc>
          <w:tcPr>
            <w:tcW w:w="1559" w:type="dxa"/>
          </w:tcPr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OR</w:t>
            </w:r>
            <w:r w:rsidRPr="00992812">
              <w:rPr>
                <w:b/>
                <w:sz w:val="21"/>
                <w:szCs w:val="21"/>
              </w:rPr>
              <w:br/>
              <w:t>(95 % CI)</w:t>
            </w:r>
          </w:p>
        </w:tc>
        <w:tc>
          <w:tcPr>
            <w:tcW w:w="992" w:type="dxa"/>
          </w:tcPr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P value</w:t>
            </w:r>
          </w:p>
        </w:tc>
        <w:tc>
          <w:tcPr>
            <w:tcW w:w="1560" w:type="dxa"/>
          </w:tcPr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AUC</w:t>
            </w:r>
            <w:r w:rsidRPr="00992812">
              <w:rPr>
                <w:b/>
                <w:sz w:val="21"/>
                <w:szCs w:val="21"/>
              </w:rPr>
              <w:br/>
              <w:t>(95 % CI)</w:t>
            </w:r>
          </w:p>
        </w:tc>
        <w:tc>
          <w:tcPr>
            <w:tcW w:w="1134" w:type="dxa"/>
          </w:tcPr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Ferritin</w:t>
            </w:r>
            <w:r w:rsidRPr="00992812">
              <w:rPr>
                <w:b/>
                <w:sz w:val="21"/>
                <w:szCs w:val="21"/>
              </w:rPr>
              <w:br/>
              <w:t>[µg/L]</w:t>
            </w:r>
          </w:p>
        </w:tc>
        <w:tc>
          <w:tcPr>
            <w:tcW w:w="1417" w:type="dxa"/>
          </w:tcPr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Sensitivity/</w:t>
            </w:r>
          </w:p>
          <w:p w:rsidR="002251E4" w:rsidRPr="00992812" w:rsidRDefault="002251E4" w:rsidP="002251E4">
            <w:pPr>
              <w:jc w:val="center"/>
              <w:rPr>
                <w:b/>
                <w:sz w:val="21"/>
                <w:szCs w:val="21"/>
              </w:rPr>
            </w:pPr>
            <w:r w:rsidRPr="00992812">
              <w:rPr>
                <w:b/>
                <w:sz w:val="21"/>
                <w:szCs w:val="21"/>
              </w:rPr>
              <w:t>Specificity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E659CE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HLH versus sep</w:t>
            </w:r>
            <w:r w:rsidR="00813EE0">
              <w:rPr>
                <w:sz w:val="21"/>
                <w:szCs w:val="21"/>
              </w:rPr>
              <w:t>tic shock</w:t>
            </w:r>
          </w:p>
        </w:tc>
        <w:tc>
          <w:tcPr>
            <w:tcW w:w="1559" w:type="dxa"/>
          </w:tcPr>
          <w:p w:rsidR="002251E4" w:rsidRPr="00FA4E75" w:rsidRDefault="00DD7A64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3.517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2.604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4.749</w:t>
            </w: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2251E4" w:rsidRPr="00FA4E75" w:rsidRDefault="00B15F9F" w:rsidP="002251E4">
            <w:pPr>
              <w:jc w:val="center"/>
              <w:rPr>
                <w:sz w:val="21"/>
                <w:szCs w:val="21"/>
              </w:rPr>
            </w:pP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&lt; 0.001</w:t>
            </w:r>
          </w:p>
        </w:tc>
        <w:tc>
          <w:tcPr>
            <w:tcW w:w="1560" w:type="dxa"/>
          </w:tcPr>
          <w:p w:rsidR="00B15F9F" w:rsidRDefault="00B15F9F" w:rsidP="002251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55E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0.937</w:t>
            </w:r>
          </w:p>
          <w:p w:rsidR="002251E4" w:rsidRPr="00FA4E75" w:rsidRDefault="00B15F9F" w:rsidP="002251E4">
            <w:pPr>
              <w:jc w:val="center"/>
              <w:rPr>
                <w:sz w:val="21"/>
                <w:szCs w:val="21"/>
              </w:rPr>
            </w:pPr>
            <w:r w:rsidRPr="008655E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(0.912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655E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655E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0.961)</w:t>
            </w:r>
          </w:p>
        </w:tc>
        <w:tc>
          <w:tcPr>
            <w:tcW w:w="1134" w:type="dxa"/>
          </w:tcPr>
          <w:p w:rsidR="002251E4" w:rsidRPr="00B15F9F" w:rsidRDefault="00B15F9F" w:rsidP="002251E4">
            <w:pPr>
              <w:jc w:val="center"/>
              <w:rPr>
                <w:sz w:val="21"/>
                <w:szCs w:val="21"/>
              </w:rPr>
            </w:pPr>
            <w:r w:rsidRPr="00B15F9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11565</w:t>
            </w:r>
          </w:p>
        </w:tc>
        <w:tc>
          <w:tcPr>
            <w:tcW w:w="1417" w:type="dxa"/>
          </w:tcPr>
          <w:p w:rsidR="002251E4" w:rsidRPr="00FA4E75" w:rsidRDefault="0067374F" w:rsidP="002251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90.0 % /</w:t>
            </w:r>
            <w:r>
              <w:rPr>
                <w:sz w:val="21"/>
                <w:szCs w:val="21"/>
              </w:rPr>
              <w:br/>
              <w:t xml:space="preserve">89.0 % 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813EE0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HLH versus sepsis</w:t>
            </w:r>
          </w:p>
        </w:tc>
        <w:tc>
          <w:tcPr>
            <w:tcW w:w="1559" w:type="dxa"/>
          </w:tcPr>
          <w:p w:rsidR="002251E4" w:rsidRPr="00FA4E75" w:rsidRDefault="00EA3C14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4.512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br/>
              <w:t>(3.210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6.343)</w:t>
            </w:r>
          </w:p>
        </w:tc>
        <w:tc>
          <w:tcPr>
            <w:tcW w:w="992" w:type="dxa"/>
          </w:tcPr>
          <w:p w:rsidR="002251E4" w:rsidRPr="00FA4E75" w:rsidRDefault="009046C2" w:rsidP="002251E4">
            <w:pPr>
              <w:jc w:val="center"/>
              <w:rPr>
                <w:sz w:val="21"/>
                <w:szCs w:val="21"/>
              </w:rPr>
            </w:pP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&lt; 0.001</w:t>
            </w:r>
          </w:p>
        </w:tc>
        <w:tc>
          <w:tcPr>
            <w:tcW w:w="1560" w:type="dxa"/>
          </w:tcPr>
          <w:p w:rsidR="002C7AD1" w:rsidRDefault="002C7AD1" w:rsidP="002251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7DB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0.963</w:t>
            </w:r>
          </w:p>
          <w:p w:rsidR="002251E4" w:rsidRPr="00FA4E75" w:rsidRDefault="002C7AD1" w:rsidP="002251E4">
            <w:pPr>
              <w:jc w:val="center"/>
              <w:rPr>
                <w:sz w:val="21"/>
                <w:szCs w:val="21"/>
              </w:rPr>
            </w:pPr>
            <w:r w:rsidRPr="00AF7DB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(0.946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F7DB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F7DB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0.980)</w:t>
            </w:r>
          </w:p>
        </w:tc>
        <w:tc>
          <w:tcPr>
            <w:tcW w:w="1134" w:type="dxa"/>
          </w:tcPr>
          <w:p w:rsidR="002251E4" w:rsidRPr="009046C2" w:rsidRDefault="009046C2" w:rsidP="002251E4">
            <w:pPr>
              <w:jc w:val="center"/>
              <w:rPr>
                <w:sz w:val="21"/>
                <w:szCs w:val="21"/>
              </w:rPr>
            </w:pPr>
            <w:r w:rsidRPr="009046C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9104</w:t>
            </w:r>
          </w:p>
        </w:tc>
        <w:tc>
          <w:tcPr>
            <w:tcW w:w="1417" w:type="dxa"/>
          </w:tcPr>
          <w:p w:rsidR="002251E4" w:rsidRPr="00FA4E75" w:rsidRDefault="00A72357" w:rsidP="002251E4">
            <w:pPr>
              <w:jc w:val="center"/>
              <w:rPr>
                <w:sz w:val="21"/>
                <w:szCs w:val="21"/>
              </w:rPr>
            </w:pPr>
            <w:r w:rsidRPr="00AF7DB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92.5 %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sz w:val="21"/>
                <w:szCs w:val="21"/>
              </w:rPr>
              <w:t>92.6 %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813EE0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HLH versus other</w:t>
            </w:r>
          </w:p>
        </w:tc>
        <w:tc>
          <w:tcPr>
            <w:tcW w:w="1559" w:type="dxa"/>
          </w:tcPr>
          <w:p w:rsidR="002251E4" w:rsidRPr="00FA4E75" w:rsidRDefault="00111F8B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5.197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(3.345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D46E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8.076)</w:t>
            </w:r>
          </w:p>
        </w:tc>
        <w:tc>
          <w:tcPr>
            <w:tcW w:w="992" w:type="dxa"/>
          </w:tcPr>
          <w:p w:rsidR="002251E4" w:rsidRPr="00FA4E75" w:rsidRDefault="00432B30" w:rsidP="002251E4">
            <w:pPr>
              <w:jc w:val="center"/>
              <w:rPr>
                <w:sz w:val="21"/>
                <w:szCs w:val="21"/>
              </w:rPr>
            </w:pP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&lt; 0.001</w:t>
            </w:r>
          </w:p>
        </w:tc>
        <w:tc>
          <w:tcPr>
            <w:tcW w:w="1560" w:type="dxa"/>
          </w:tcPr>
          <w:p w:rsidR="002251E4" w:rsidRPr="00FA4E75" w:rsidRDefault="00AC46E4" w:rsidP="002251E4">
            <w:pPr>
              <w:jc w:val="center"/>
              <w:rPr>
                <w:sz w:val="21"/>
                <w:szCs w:val="21"/>
              </w:rPr>
            </w:pPr>
            <w:r w:rsidRPr="006D1B96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D1B96">
              <w:rPr>
                <w:rFonts w:ascii="Arial" w:hAnsi="Arial" w:cs="Arial"/>
                <w:color w:val="000000" w:themeColor="text1"/>
                <w:sz w:val="20"/>
                <w:szCs w:val="20"/>
              </w:rPr>
              <w:t>(0.971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6D1B96">
              <w:rPr>
                <w:rFonts w:ascii="Arial" w:hAnsi="Arial" w:cs="Arial"/>
                <w:color w:val="000000" w:themeColor="text1"/>
                <w:sz w:val="20"/>
                <w:szCs w:val="20"/>
              </w:rPr>
              <w:t>0.991)</w:t>
            </w:r>
          </w:p>
        </w:tc>
        <w:tc>
          <w:tcPr>
            <w:tcW w:w="1134" w:type="dxa"/>
          </w:tcPr>
          <w:p w:rsidR="002251E4" w:rsidRPr="00060340" w:rsidRDefault="00060340" w:rsidP="002251E4">
            <w:pPr>
              <w:jc w:val="center"/>
              <w:rPr>
                <w:sz w:val="21"/>
                <w:szCs w:val="21"/>
              </w:rPr>
            </w:pPr>
            <w:r w:rsidRPr="00060340">
              <w:rPr>
                <w:rFonts w:ascii="Arial" w:hAnsi="Arial" w:cs="Arial"/>
                <w:color w:val="000000" w:themeColor="text1"/>
                <w:sz w:val="20"/>
                <w:szCs w:val="20"/>
              </w:rPr>
              <w:t>5425</w:t>
            </w:r>
          </w:p>
        </w:tc>
        <w:tc>
          <w:tcPr>
            <w:tcW w:w="1417" w:type="dxa"/>
          </w:tcPr>
          <w:p w:rsidR="002251E4" w:rsidRPr="00FA4E75" w:rsidRDefault="00AC46E4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95.0 %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sz w:val="21"/>
                <w:szCs w:val="21"/>
              </w:rPr>
              <w:t>93.4 %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813EE0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Septic shock versus sepsis</w:t>
            </w:r>
          </w:p>
        </w:tc>
        <w:tc>
          <w:tcPr>
            <w:tcW w:w="1559" w:type="dxa"/>
          </w:tcPr>
          <w:p w:rsidR="002251E4" w:rsidRPr="00FA4E75" w:rsidRDefault="006B6B19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1.034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br/>
              <w:t>(0.936 - 1.142)</w:t>
            </w:r>
          </w:p>
        </w:tc>
        <w:tc>
          <w:tcPr>
            <w:tcW w:w="992" w:type="dxa"/>
          </w:tcPr>
          <w:p w:rsidR="002251E4" w:rsidRPr="00FA4E75" w:rsidRDefault="00B40A6C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0.506</w:t>
            </w:r>
          </w:p>
        </w:tc>
        <w:tc>
          <w:tcPr>
            <w:tcW w:w="1560" w:type="dxa"/>
          </w:tcPr>
          <w:p w:rsidR="002251E4" w:rsidRPr="00FA4E75" w:rsidRDefault="00B40A6C" w:rsidP="002251E4">
            <w:pPr>
              <w:jc w:val="center"/>
              <w:rPr>
                <w:sz w:val="21"/>
                <w:szCs w:val="21"/>
              </w:rPr>
            </w:pPr>
            <w:r w:rsidRPr="00BC40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0.548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C40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(0.519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40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</w:t>
            </w:r>
            <w:r w:rsidRPr="00BC40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.576)</w:t>
            </w:r>
          </w:p>
        </w:tc>
        <w:tc>
          <w:tcPr>
            <w:tcW w:w="1134" w:type="dxa"/>
          </w:tcPr>
          <w:p w:rsidR="002251E4" w:rsidRPr="00EE5318" w:rsidRDefault="00EE5318" w:rsidP="002251E4">
            <w:pPr>
              <w:jc w:val="center"/>
              <w:rPr>
                <w:sz w:val="21"/>
                <w:szCs w:val="21"/>
              </w:rPr>
            </w:pPr>
            <w:r w:rsidRPr="00EE531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1641</w:t>
            </w:r>
          </w:p>
        </w:tc>
        <w:tc>
          <w:tcPr>
            <w:tcW w:w="1417" w:type="dxa"/>
          </w:tcPr>
          <w:p w:rsidR="002251E4" w:rsidRPr="00FA4E75" w:rsidRDefault="00EE5318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48.1 %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sz w:val="21"/>
                <w:szCs w:val="21"/>
              </w:rPr>
              <w:t>57.2 %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813EE0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Septic shock versus other</w:t>
            </w:r>
          </w:p>
        </w:tc>
        <w:tc>
          <w:tcPr>
            <w:tcW w:w="1559" w:type="dxa"/>
          </w:tcPr>
          <w:p w:rsidR="002251E4" w:rsidRPr="00FA4E75" w:rsidRDefault="00CC44AF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1.278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1.118 - 1.462</w:t>
            </w: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</w:tcPr>
          <w:p w:rsidR="002251E4" w:rsidRPr="00FA4E75" w:rsidRDefault="005D5EDD" w:rsidP="002251E4">
            <w:pPr>
              <w:jc w:val="center"/>
              <w:rPr>
                <w:sz w:val="21"/>
                <w:szCs w:val="21"/>
              </w:rPr>
            </w:pPr>
            <w:r w:rsidRPr="00EC133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&lt; 0.001</w:t>
            </w:r>
          </w:p>
        </w:tc>
        <w:tc>
          <w:tcPr>
            <w:tcW w:w="1560" w:type="dxa"/>
          </w:tcPr>
          <w:p w:rsidR="002251E4" w:rsidRPr="00FA4E75" w:rsidRDefault="00CC44AF" w:rsidP="002251E4">
            <w:pPr>
              <w:jc w:val="center"/>
              <w:rPr>
                <w:sz w:val="21"/>
                <w:szCs w:val="21"/>
              </w:rPr>
            </w:pP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0.662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(0.635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0.690)</w:t>
            </w:r>
          </w:p>
        </w:tc>
        <w:tc>
          <w:tcPr>
            <w:tcW w:w="1134" w:type="dxa"/>
          </w:tcPr>
          <w:p w:rsidR="002251E4" w:rsidRPr="00CC44AF" w:rsidRDefault="00CC44AF" w:rsidP="002251E4">
            <w:pPr>
              <w:jc w:val="center"/>
              <w:rPr>
                <w:sz w:val="21"/>
                <w:szCs w:val="21"/>
              </w:rPr>
            </w:pPr>
            <w:r w:rsidRPr="00CC44A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1146</w:t>
            </w:r>
          </w:p>
        </w:tc>
        <w:tc>
          <w:tcPr>
            <w:tcW w:w="1417" w:type="dxa"/>
          </w:tcPr>
          <w:p w:rsidR="002251E4" w:rsidRPr="00FA4E75" w:rsidRDefault="005D5EDD" w:rsidP="002251E4">
            <w:pPr>
              <w:jc w:val="center"/>
              <w:rPr>
                <w:sz w:val="21"/>
                <w:szCs w:val="21"/>
              </w:rPr>
            </w:pPr>
            <w:r w:rsidRPr="00A539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67.9 %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sz w:val="21"/>
                <w:szCs w:val="21"/>
              </w:rPr>
              <w:t>57.9 %</w:t>
            </w:r>
          </w:p>
        </w:tc>
      </w:tr>
      <w:tr w:rsidR="001058B6" w:rsidRPr="00FA4E75" w:rsidTr="001058B6">
        <w:tc>
          <w:tcPr>
            <w:tcW w:w="2547" w:type="dxa"/>
          </w:tcPr>
          <w:p w:rsidR="002251E4" w:rsidRPr="00FA4E75" w:rsidRDefault="00813EE0" w:rsidP="00813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Sepsis versus other</w:t>
            </w:r>
          </w:p>
        </w:tc>
        <w:tc>
          <w:tcPr>
            <w:tcW w:w="1559" w:type="dxa"/>
          </w:tcPr>
          <w:p w:rsidR="002251E4" w:rsidRPr="00FA4E75" w:rsidRDefault="00D75BA0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1.262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(1.131 - 1.407)</w:t>
            </w:r>
          </w:p>
        </w:tc>
        <w:tc>
          <w:tcPr>
            <w:tcW w:w="992" w:type="dxa"/>
          </w:tcPr>
          <w:p w:rsidR="002251E4" w:rsidRPr="00FA4E75" w:rsidRDefault="001C56FF" w:rsidP="002251E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560" w:type="dxa"/>
          </w:tcPr>
          <w:p w:rsidR="002251E4" w:rsidRPr="00FA4E75" w:rsidRDefault="001C56FF" w:rsidP="002251E4">
            <w:pPr>
              <w:jc w:val="center"/>
              <w:rPr>
                <w:sz w:val="21"/>
                <w:szCs w:val="21"/>
              </w:rPr>
            </w:pPr>
            <w:r w:rsidRPr="00B364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B364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(0.591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64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64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0.641)</w:t>
            </w:r>
          </w:p>
        </w:tc>
        <w:tc>
          <w:tcPr>
            <w:tcW w:w="1134" w:type="dxa"/>
          </w:tcPr>
          <w:p w:rsidR="002251E4" w:rsidRPr="005640C3" w:rsidRDefault="005640C3" w:rsidP="002251E4">
            <w:pPr>
              <w:jc w:val="center"/>
              <w:rPr>
                <w:sz w:val="21"/>
                <w:szCs w:val="21"/>
              </w:rPr>
            </w:pPr>
            <w:r w:rsidRPr="005640C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1212</w:t>
            </w:r>
          </w:p>
        </w:tc>
        <w:tc>
          <w:tcPr>
            <w:tcW w:w="1417" w:type="dxa"/>
          </w:tcPr>
          <w:p w:rsidR="002251E4" w:rsidRPr="00FA4E75" w:rsidRDefault="005640C3" w:rsidP="002251E4">
            <w:pPr>
              <w:jc w:val="center"/>
              <w:rPr>
                <w:sz w:val="21"/>
                <w:szCs w:val="21"/>
              </w:rPr>
            </w:pPr>
            <w:r w:rsidRPr="00B364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59.8 %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</w:r>
            <w:r>
              <w:rPr>
                <w:sz w:val="21"/>
                <w:szCs w:val="21"/>
              </w:rPr>
              <w:t>60.6 %</w:t>
            </w:r>
          </w:p>
        </w:tc>
      </w:tr>
    </w:tbl>
    <w:p w:rsidR="008532BA" w:rsidRPr="00DD2477" w:rsidRDefault="00F0231E" w:rsidP="00E659CE">
      <w:pPr>
        <w:rPr>
          <w:rFonts w:ascii="Arial" w:hAnsi="Arial" w:cs="Arial"/>
          <w:i/>
          <w:sz w:val="18"/>
          <w:szCs w:val="18"/>
          <w:lang w:val="en-US"/>
        </w:rPr>
      </w:pPr>
      <w:r w:rsidRPr="00DD247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AUC, </w:t>
      </w:r>
      <w:r w:rsidRPr="00DD247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Area under the curve</w:t>
      </w:r>
      <w:r w:rsidRPr="00DD247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; </w:t>
      </w:r>
      <w:r w:rsidR="001D4C72" w:rsidRPr="00DD247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CI, </w:t>
      </w:r>
      <w:r w:rsidR="001D4C72" w:rsidRPr="00DD247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confidence interval;</w:t>
      </w:r>
      <w:r w:rsidR="001D4C72" w:rsidRPr="00DD247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DD247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OR, </w:t>
      </w:r>
      <w:r w:rsidRPr="00DD247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Odds ratio</w:t>
      </w:r>
      <w:r w:rsidR="001375CF" w:rsidRPr="00DD247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.</w:t>
      </w:r>
      <w:r w:rsidR="00B3467F" w:rsidRPr="00DD247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br/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>Multivariable logistic regression analys</w:t>
      </w:r>
      <w:r w:rsidR="00383E25" w:rsidRPr="00DD2477">
        <w:rPr>
          <w:rFonts w:ascii="Arial" w:hAnsi="Arial" w:cs="Arial"/>
          <w:i/>
          <w:sz w:val="18"/>
          <w:szCs w:val="18"/>
          <w:lang w:val="en-US"/>
        </w:rPr>
        <w:t>e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>s w</w:t>
      </w:r>
      <w:r w:rsidR="00383E25" w:rsidRPr="00DD2477">
        <w:rPr>
          <w:rFonts w:ascii="Arial" w:hAnsi="Arial" w:cs="Arial"/>
          <w:i/>
          <w:sz w:val="18"/>
          <w:szCs w:val="18"/>
          <w:lang w:val="en-US"/>
        </w:rPr>
        <w:t>ere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 xml:space="preserve"> performed with HLH, septic shock and sepsis, respectively, as dependent variable</w:t>
      </w:r>
      <w:r w:rsidR="001375CF" w:rsidRPr="00DD2477">
        <w:rPr>
          <w:rFonts w:ascii="Arial" w:hAnsi="Arial" w:cs="Arial"/>
          <w:i/>
          <w:sz w:val="18"/>
          <w:szCs w:val="18"/>
          <w:lang w:val="en-US"/>
        </w:rPr>
        <w:t xml:space="preserve"> (co</w:t>
      </w:r>
      <w:r w:rsidR="00722BAC" w:rsidRPr="00DD2477">
        <w:rPr>
          <w:rFonts w:ascii="Arial" w:hAnsi="Arial" w:cs="Arial"/>
          <w:i/>
          <w:sz w:val="18"/>
          <w:szCs w:val="18"/>
          <w:lang w:val="en-US"/>
        </w:rPr>
        <w:t>hort of the respective</w:t>
      </w:r>
      <w:r w:rsidR="001375CF" w:rsidRPr="00DD2477">
        <w:rPr>
          <w:rFonts w:ascii="Arial" w:hAnsi="Arial" w:cs="Arial"/>
          <w:i/>
          <w:sz w:val="18"/>
          <w:szCs w:val="18"/>
          <w:lang w:val="en-US"/>
        </w:rPr>
        <w:t xml:space="preserve"> two groups)</w:t>
      </w:r>
      <w:r w:rsidR="00D46E92" w:rsidRPr="00DD2477">
        <w:rPr>
          <w:rFonts w:ascii="Arial" w:hAnsi="Arial" w:cs="Arial"/>
          <w:i/>
          <w:sz w:val="18"/>
          <w:szCs w:val="18"/>
          <w:lang w:val="en-US"/>
        </w:rPr>
        <w:t xml:space="preserve"> and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D46E92" w:rsidRPr="00DD2477">
        <w:rPr>
          <w:rFonts w:ascii="Arial" w:hAnsi="Arial" w:cs="Arial"/>
          <w:i/>
          <w:sz w:val="18"/>
          <w:szCs w:val="18"/>
          <w:lang w:val="en-US"/>
        </w:rPr>
        <w:t>a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 xml:space="preserve">ge, sex, </w:t>
      </w:r>
      <w:r w:rsidR="00516350" w:rsidRPr="00DD2477">
        <w:rPr>
          <w:rFonts w:ascii="Arial" w:hAnsi="Arial" w:cs="Arial"/>
          <w:i/>
          <w:sz w:val="18"/>
          <w:szCs w:val="18"/>
          <w:lang w:val="en-US"/>
        </w:rPr>
        <w:t>b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 xml:space="preserve">ody mass index, maximum ferritin, maximum </w:t>
      </w:r>
      <w:r w:rsidR="009E6866" w:rsidRPr="00DD2477">
        <w:rPr>
          <w:rFonts w:ascii="Arial" w:hAnsi="Arial" w:cs="Arial"/>
          <w:i/>
          <w:sz w:val="18"/>
          <w:szCs w:val="18"/>
          <w:lang w:val="en-US"/>
        </w:rPr>
        <w:t>s</w:t>
      </w:r>
      <w:r w:rsidR="00B3467F" w:rsidRPr="00DD2477">
        <w:rPr>
          <w:rFonts w:ascii="Arial" w:hAnsi="Arial" w:cs="Arial"/>
          <w:i/>
          <w:sz w:val="18"/>
          <w:szCs w:val="18"/>
          <w:lang w:val="en-US"/>
        </w:rPr>
        <w:t>equential organ failure assessment</w:t>
      </w:r>
      <w:r w:rsidR="00D46E92" w:rsidRPr="00DD247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102D08" w:rsidRPr="00DD2477">
        <w:rPr>
          <w:rFonts w:ascii="Arial" w:hAnsi="Arial" w:cs="Arial"/>
          <w:i/>
          <w:sz w:val="18"/>
          <w:szCs w:val="18"/>
          <w:lang w:val="en-US"/>
        </w:rPr>
        <w:t xml:space="preserve">score </w:t>
      </w:r>
      <w:r w:rsidR="00D46E92" w:rsidRPr="00DD2477">
        <w:rPr>
          <w:rFonts w:ascii="Arial" w:hAnsi="Arial" w:cs="Arial"/>
          <w:i/>
          <w:sz w:val="18"/>
          <w:szCs w:val="18"/>
          <w:lang w:val="en-US"/>
        </w:rPr>
        <w:t xml:space="preserve">as covariables. </w:t>
      </w:r>
      <w:r w:rsidR="001D4C72" w:rsidRPr="00DD2477">
        <w:rPr>
          <w:rFonts w:ascii="Arial" w:hAnsi="Arial" w:cs="Arial"/>
          <w:i/>
          <w:sz w:val="18"/>
          <w:szCs w:val="18"/>
          <w:lang w:val="en-US"/>
        </w:rPr>
        <w:t>Corresponding ROC analys</w:t>
      </w:r>
      <w:r w:rsidR="00A14DA0" w:rsidRPr="00DD2477">
        <w:rPr>
          <w:rFonts w:ascii="Arial" w:hAnsi="Arial" w:cs="Arial"/>
          <w:i/>
          <w:sz w:val="18"/>
          <w:szCs w:val="18"/>
          <w:lang w:val="en-US"/>
        </w:rPr>
        <w:t>e</w:t>
      </w:r>
      <w:r w:rsidR="001D4C72" w:rsidRPr="00DD2477">
        <w:rPr>
          <w:rFonts w:ascii="Arial" w:hAnsi="Arial" w:cs="Arial"/>
          <w:i/>
          <w:sz w:val="18"/>
          <w:szCs w:val="18"/>
          <w:lang w:val="en-US"/>
        </w:rPr>
        <w:t>s w</w:t>
      </w:r>
      <w:r w:rsidR="00A14DA0" w:rsidRPr="00DD2477">
        <w:rPr>
          <w:rFonts w:ascii="Arial" w:hAnsi="Arial" w:cs="Arial"/>
          <w:i/>
          <w:sz w:val="18"/>
          <w:szCs w:val="18"/>
          <w:lang w:val="en-US"/>
        </w:rPr>
        <w:t>ere</w:t>
      </w:r>
      <w:r w:rsidR="001D4C72" w:rsidRPr="00DD2477">
        <w:rPr>
          <w:rFonts w:ascii="Arial" w:hAnsi="Arial" w:cs="Arial"/>
          <w:i/>
          <w:sz w:val="18"/>
          <w:szCs w:val="18"/>
          <w:lang w:val="en-US"/>
        </w:rPr>
        <w:t xml:space="preserve"> run </w:t>
      </w:r>
      <w:r w:rsidR="0076056F" w:rsidRPr="00DD2477">
        <w:rPr>
          <w:rFonts w:ascii="Arial" w:hAnsi="Arial" w:cs="Arial"/>
          <w:i/>
          <w:sz w:val="18"/>
          <w:szCs w:val="18"/>
          <w:lang w:val="en-US"/>
        </w:rPr>
        <w:t xml:space="preserve">to find most predictive </w:t>
      </w:r>
      <w:r w:rsidR="00C936A1" w:rsidRPr="00DD2477">
        <w:rPr>
          <w:rFonts w:ascii="Arial" w:hAnsi="Arial" w:cs="Arial"/>
          <w:i/>
          <w:sz w:val="18"/>
          <w:szCs w:val="18"/>
          <w:lang w:val="en-US"/>
        </w:rPr>
        <w:t xml:space="preserve">maximum </w:t>
      </w:r>
      <w:r w:rsidR="0076056F" w:rsidRPr="00DD2477">
        <w:rPr>
          <w:rFonts w:ascii="Arial" w:hAnsi="Arial" w:cs="Arial"/>
          <w:i/>
          <w:sz w:val="18"/>
          <w:szCs w:val="18"/>
          <w:lang w:val="en-US"/>
        </w:rPr>
        <w:t xml:space="preserve">ferritin </w:t>
      </w:r>
      <w:r w:rsidR="00D1342C">
        <w:rPr>
          <w:rFonts w:ascii="Arial" w:hAnsi="Arial" w:cs="Arial"/>
          <w:i/>
          <w:sz w:val="18"/>
          <w:szCs w:val="18"/>
          <w:lang w:val="en-US"/>
        </w:rPr>
        <w:t>levels</w:t>
      </w:r>
      <w:bookmarkStart w:id="0" w:name="_GoBack"/>
      <w:bookmarkEnd w:id="0"/>
      <w:r w:rsidR="00C936A1" w:rsidRPr="00DD2477">
        <w:rPr>
          <w:rFonts w:ascii="Arial" w:hAnsi="Arial" w:cs="Arial"/>
          <w:i/>
          <w:sz w:val="18"/>
          <w:szCs w:val="18"/>
          <w:lang w:val="en-US"/>
        </w:rPr>
        <w:t xml:space="preserve"> to differentiate between the respective cohorts.</w:t>
      </w:r>
      <w:r w:rsidR="0076056F" w:rsidRPr="00DD2477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sectPr w:rsidR="008532BA" w:rsidRPr="00DD2477" w:rsidSect="00CE58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6"/>
    <w:rsid w:val="000007AD"/>
    <w:rsid w:val="00060340"/>
    <w:rsid w:val="000D48C1"/>
    <w:rsid w:val="00101D33"/>
    <w:rsid w:val="001029D7"/>
    <w:rsid w:val="00102D08"/>
    <w:rsid w:val="001058B6"/>
    <w:rsid w:val="00111F8B"/>
    <w:rsid w:val="0011586E"/>
    <w:rsid w:val="001375CF"/>
    <w:rsid w:val="001800A4"/>
    <w:rsid w:val="001803E5"/>
    <w:rsid w:val="001C56FF"/>
    <w:rsid w:val="001D4C72"/>
    <w:rsid w:val="002251E4"/>
    <w:rsid w:val="00230197"/>
    <w:rsid w:val="00262519"/>
    <w:rsid w:val="002C7AD1"/>
    <w:rsid w:val="00315D77"/>
    <w:rsid w:val="00383E25"/>
    <w:rsid w:val="003D332D"/>
    <w:rsid w:val="003F548E"/>
    <w:rsid w:val="00432B30"/>
    <w:rsid w:val="00466511"/>
    <w:rsid w:val="00494D11"/>
    <w:rsid w:val="004D6350"/>
    <w:rsid w:val="004F0869"/>
    <w:rsid w:val="00514576"/>
    <w:rsid w:val="00516350"/>
    <w:rsid w:val="005640C3"/>
    <w:rsid w:val="005C03BF"/>
    <w:rsid w:val="005D5EDD"/>
    <w:rsid w:val="005E43EE"/>
    <w:rsid w:val="00601174"/>
    <w:rsid w:val="00613D29"/>
    <w:rsid w:val="006652D8"/>
    <w:rsid w:val="0067374F"/>
    <w:rsid w:val="006B6B19"/>
    <w:rsid w:val="00722BAC"/>
    <w:rsid w:val="007256CB"/>
    <w:rsid w:val="00732253"/>
    <w:rsid w:val="0076056F"/>
    <w:rsid w:val="00774638"/>
    <w:rsid w:val="007E5DA1"/>
    <w:rsid w:val="007F5C31"/>
    <w:rsid w:val="00813EE0"/>
    <w:rsid w:val="008250D3"/>
    <w:rsid w:val="008532BA"/>
    <w:rsid w:val="0085422A"/>
    <w:rsid w:val="009046C2"/>
    <w:rsid w:val="00992812"/>
    <w:rsid w:val="009E6866"/>
    <w:rsid w:val="00A14DA0"/>
    <w:rsid w:val="00A20323"/>
    <w:rsid w:val="00A33310"/>
    <w:rsid w:val="00A72357"/>
    <w:rsid w:val="00AC46E4"/>
    <w:rsid w:val="00B15F9F"/>
    <w:rsid w:val="00B3467F"/>
    <w:rsid w:val="00B40A6C"/>
    <w:rsid w:val="00B47144"/>
    <w:rsid w:val="00C55F2A"/>
    <w:rsid w:val="00C83B7D"/>
    <w:rsid w:val="00C936A1"/>
    <w:rsid w:val="00CC00E2"/>
    <w:rsid w:val="00CC44AF"/>
    <w:rsid w:val="00CE58D1"/>
    <w:rsid w:val="00D1342C"/>
    <w:rsid w:val="00D2320E"/>
    <w:rsid w:val="00D46E92"/>
    <w:rsid w:val="00D71B72"/>
    <w:rsid w:val="00D75BA0"/>
    <w:rsid w:val="00DD2477"/>
    <w:rsid w:val="00DD7A64"/>
    <w:rsid w:val="00E452A4"/>
    <w:rsid w:val="00E659CE"/>
    <w:rsid w:val="00E671CC"/>
    <w:rsid w:val="00E94563"/>
    <w:rsid w:val="00EA3C14"/>
    <w:rsid w:val="00EA3CBC"/>
    <w:rsid w:val="00EE00EC"/>
    <w:rsid w:val="00EE5318"/>
    <w:rsid w:val="00EF4876"/>
    <w:rsid w:val="00F0231E"/>
    <w:rsid w:val="00F0428C"/>
    <w:rsid w:val="00F32502"/>
    <w:rsid w:val="00F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86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869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8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86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869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8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Knaak, Cornelia</dc:creator>
  <cp:keywords/>
  <dc:description/>
  <cp:lastModifiedBy>Gunnar Lachmann</cp:lastModifiedBy>
  <cp:revision>54</cp:revision>
  <dcterms:created xsi:type="dcterms:W3CDTF">2019-09-04T04:18:00Z</dcterms:created>
  <dcterms:modified xsi:type="dcterms:W3CDTF">2019-09-05T05:50:00Z</dcterms:modified>
</cp:coreProperties>
</file>