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3773845"/>
        <w:docPartObj>
          <w:docPartGallery w:val="Cover Pages"/>
          <w:docPartUnique/>
        </w:docPartObj>
      </w:sdtPr>
      <w:sdtEndPr/>
      <w:sdtContent>
        <w:p w14:paraId="53E27B52" w14:textId="2CDDB54B" w:rsidR="00392DDB" w:rsidRDefault="00392DDB">
          <w:r>
            <w:rPr>
              <w:noProof/>
            </w:rPr>
            <mc:AlternateContent>
              <mc:Choice Requires="wps">
                <w:drawing>
                  <wp:anchor distT="0" distB="0" distL="114300" distR="114300" simplePos="0" relativeHeight="251675648" behindDoc="0" locked="0" layoutInCell="1" allowOverlap="1" wp14:anchorId="04344683" wp14:editId="6481B307">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03C94FD" w14:textId="60C8B0DD" w:rsidR="00663C29" w:rsidRDefault="00663C29">
                                    <w:pPr>
                                      <w:pStyle w:val="Title"/>
                                      <w:jc w:val="right"/>
                                      <w:rPr>
                                        <w:caps/>
                                        <w:color w:val="FFFFFF" w:themeColor="background1"/>
                                        <w:sz w:val="72"/>
                                        <w:szCs w:val="72"/>
                                      </w:rPr>
                                    </w:pPr>
                                    <w:r>
                                      <w:rPr>
                                        <w:color w:val="FFFFFF" w:themeColor="background1"/>
                                        <w:sz w:val="72"/>
                                        <w:szCs w:val="72"/>
                                      </w:rPr>
                                      <w:t>HHS BARDA Solving Sepsis Framework and Algorithm Specifications</w:t>
                                    </w:r>
                                  </w:p>
                                </w:sdtContent>
                              </w:sdt>
                              <w:p w14:paraId="5F2CA4F8" w14:textId="77777777" w:rsidR="00663C29" w:rsidRDefault="00663C29">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4EC1B00F" w14:textId="2F4CC119" w:rsidR="00663C29" w:rsidRDefault="005D33F1">
                                    <w:pPr>
                                      <w:spacing w:before="240"/>
                                      <w:ind w:left="1008"/>
                                      <w:jc w:val="right"/>
                                      <w:rPr>
                                        <w:color w:val="FFFFFF" w:themeColor="background1"/>
                                      </w:rPr>
                                    </w:pPr>
                                    <w:r>
                                      <w:rPr>
                                        <w:color w:val="FFFFFF" w:themeColor="background1"/>
                                        <w:sz w:val="21"/>
                                        <w:szCs w:val="21"/>
                                      </w:rPr>
                                      <w:t>Version 3.0, February 1</w:t>
                                    </w:r>
                                    <w:r w:rsidR="004B1F86">
                                      <w:rPr>
                                        <w:color w:val="FFFFFF" w:themeColor="background1"/>
                                        <w:sz w:val="21"/>
                                        <w:szCs w:val="21"/>
                                      </w:rPr>
                                      <w:t>1</w:t>
                                    </w:r>
                                    <w:r>
                                      <w:rPr>
                                        <w:color w:val="FFFFFF" w:themeColor="background1"/>
                                        <w:sz w:val="21"/>
                                        <w:szCs w:val="21"/>
                                      </w:rPr>
                                      <w:t xml:space="preserve">, 2020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4344683" id="Rectangle 47" o:spid="_x0000_s1026" style="position:absolute;margin-left:0;margin-top:0;width:422.3pt;height:760.3pt;z-index:251675648;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" fillcolor="#03497e [3204]" stroked="f" strokeweight="1pt">
                    <v:path arrowok="t"/>
                    <v:textbox inset="21.6pt,1in,21.6pt">
                      <w:txbxContent>
                        <w:sdt>
                          <w:sdtPr>
                            <w:rPr>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03C94FD" w14:textId="60C8B0DD" w:rsidR="00663C29" w:rsidRDefault="00663C29">
                              <w:pPr>
                                <w:pStyle w:val="Title"/>
                                <w:jc w:val="right"/>
                                <w:rPr>
                                  <w:caps/>
                                  <w:color w:val="FFFFFF" w:themeColor="background1"/>
                                  <w:sz w:val="72"/>
                                  <w:szCs w:val="72"/>
                                </w:rPr>
                              </w:pPr>
                              <w:r>
                                <w:rPr>
                                  <w:color w:val="FFFFFF" w:themeColor="background1"/>
                                  <w:sz w:val="72"/>
                                  <w:szCs w:val="72"/>
                                </w:rPr>
                                <w:t>HHS BARDA Solving Sepsis Framework and Algorithm Specifications</w:t>
                              </w:r>
                            </w:p>
                          </w:sdtContent>
                        </w:sdt>
                        <w:p w14:paraId="5F2CA4F8" w14:textId="77777777" w:rsidR="00663C29" w:rsidRDefault="00663C29">
                          <w:pPr>
                            <w:spacing w:before="24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4EC1B00F" w14:textId="2F4CC119" w:rsidR="00663C29" w:rsidRDefault="005D33F1">
                              <w:pPr>
                                <w:spacing w:before="240"/>
                                <w:ind w:left="1008"/>
                                <w:jc w:val="right"/>
                                <w:rPr>
                                  <w:color w:val="FFFFFF" w:themeColor="background1"/>
                                </w:rPr>
                              </w:pPr>
                              <w:r>
                                <w:rPr>
                                  <w:color w:val="FFFFFF" w:themeColor="background1"/>
                                  <w:sz w:val="21"/>
                                  <w:szCs w:val="21"/>
                                </w:rPr>
                                <w:t>Version 3.0, February 1</w:t>
                              </w:r>
                              <w:r w:rsidR="004B1F86">
                                <w:rPr>
                                  <w:color w:val="FFFFFF" w:themeColor="background1"/>
                                  <w:sz w:val="21"/>
                                  <w:szCs w:val="21"/>
                                </w:rPr>
                                <w:t>1</w:t>
                              </w:r>
                              <w:r>
                                <w:rPr>
                                  <w:color w:val="FFFFFF" w:themeColor="background1"/>
                                  <w:sz w:val="21"/>
                                  <w:szCs w:val="21"/>
                                </w:rPr>
                                <w:t xml:space="preserve">, 2020 </w:t>
                              </w:r>
                            </w:p>
                          </w:sdtContent>
                        </w:sdt>
                      </w:txbxContent>
                    </v:textbox>
                    <w10:wrap anchorx="page" anchory="page"/>
                  </v:rect>
                </w:pict>
              </mc:Fallback>
            </mc:AlternateContent>
          </w:r>
          <w:r>
            <w:rPr>
              <w:noProof/>
            </w:rPr>
            <mc:AlternateContent>
              <mc:Choice Requires="wps">
                <w:drawing>
                  <wp:anchor distT="0" distB="0" distL="114300" distR="114300" simplePos="0" relativeHeight="251676672" behindDoc="0" locked="0" layoutInCell="1" allowOverlap="1" wp14:anchorId="5EBE1086" wp14:editId="3C8CBD9F">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C13DA" w14:textId="6526620E" w:rsidR="00663C29" w:rsidRDefault="00663C29">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EBE1086" id="Rectangle 48" o:spid="_x0000_s1027" style="position:absolute;margin-left:0;margin-top:0;width:148.1pt;height:760.3pt;z-index:25167667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" fillcolor="black [3215]" stroked="f" strokeweight="1pt">
                    <v:path arrowok="t"/>
                    <v:textbox inset="14.4pt,,14.4pt">
                      <w:txbxContent>
                        <w:p w14:paraId="778C13DA" w14:textId="6526620E" w:rsidR="00663C29" w:rsidRDefault="00663C29">
                          <w:pPr>
                            <w:pStyle w:val="Subtitle"/>
                            <w:rPr>
                              <w:color w:val="FFFFFF" w:themeColor="background1"/>
                            </w:rPr>
                          </w:pPr>
                        </w:p>
                      </w:txbxContent>
                    </v:textbox>
                    <w10:wrap anchorx="page" anchory="page"/>
                  </v:rect>
                </w:pict>
              </mc:Fallback>
            </mc:AlternateContent>
          </w:r>
        </w:p>
        <w:p w14:paraId="32A1CCA3" w14:textId="77777777" w:rsidR="00392DDB" w:rsidRDefault="00392DDB"/>
        <w:p w14:paraId="245E9411" w14:textId="2D9AFBE0" w:rsidR="00583F07" w:rsidRDefault="00392DDB" w:rsidP="00583F07">
          <w:pPr>
            <w:spacing w:line="259" w:lineRule="auto"/>
          </w:pPr>
          <w:r>
            <w:br w:type="page"/>
          </w:r>
        </w:p>
      </w:sdtContent>
    </w:sdt>
    <w:tbl>
      <w:tblPr>
        <w:tblStyle w:val="TableGrid"/>
        <w:tblpPr w:leftFromText="180" w:rightFromText="180" w:vertAnchor="text" w:horzAnchor="margin" w:tblpY="496"/>
        <w:tblW w:w="0" w:type="auto"/>
        <w:tblLook w:val="04A0" w:firstRow="1" w:lastRow="0" w:firstColumn="1" w:lastColumn="0" w:noHBand="0" w:noVBand="1"/>
      </w:tblPr>
      <w:tblGrid>
        <w:gridCol w:w="1345"/>
        <w:gridCol w:w="1890"/>
        <w:gridCol w:w="3960"/>
        <w:gridCol w:w="2155"/>
      </w:tblGrid>
      <w:tr w:rsidR="00583F07" w14:paraId="698FBB22" w14:textId="77777777" w:rsidTr="004B1F86">
        <w:trPr>
          <w:trHeight w:val="260"/>
        </w:trPr>
        <w:tc>
          <w:tcPr>
            <w:tcW w:w="1345" w:type="dxa"/>
            <w:shd w:val="clear" w:color="auto" w:fill="D0E6F4" w:themeFill="accent5" w:themeFillTint="33"/>
            <w:vAlign w:val="center"/>
          </w:tcPr>
          <w:p w14:paraId="1B67637C" w14:textId="77777777" w:rsidR="00583F07" w:rsidRPr="002C4AE7" w:rsidRDefault="00583F07" w:rsidP="00583F07">
            <w:pPr>
              <w:spacing w:line="259" w:lineRule="auto"/>
              <w:jc w:val="center"/>
              <w:rPr>
                <w:rFonts w:cstheme="minorHAnsi"/>
                <w:b/>
              </w:rPr>
            </w:pPr>
            <w:r w:rsidRPr="002C4AE7">
              <w:rPr>
                <w:rFonts w:cstheme="minorHAnsi"/>
                <w:b/>
              </w:rPr>
              <w:lastRenderedPageBreak/>
              <w:t>Version No.</w:t>
            </w:r>
          </w:p>
        </w:tc>
        <w:tc>
          <w:tcPr>
            <w:tcW w:w="1890" w:type="dxa"/>
            <w:shd w:val="clear" w:color="auto" w:fill="D0E6F4" w:themeFill="accent5" w:themeFillTint="33"/>
            <w:vAlign w:val="center"/>
          </w:tcPr>
          <w:p w14:paraId="68605DCB" w14:textId="77777777" w:rsidR="00583F07" w:rsidRPr="002C4AE7" w:rsidRDefault="00583F07" w:rsidP="00583F07">
            <w:pPr>
              <w:spacing w:line="259" w:lineRule="auto"/>
              <w:jc w:val="center"/>
              <w:rPr>
                <w:rFonts w:cstheme="minorHAnsi"/>
                <w:b/>
              </w:rPr>
            </w:pPr>
            <w:r w:rsidRPr="002C4AE7">
              <w:rPr>
                <w:rFonts w:cstheme="minorHAnsi"/>
                <w:b/>
              </w:rPr>
              <w:t>Release Date</w:t>
            </w:r>
          </w:p>
        </w:tc>
        <w:tc>
          <w:tcPr>
            <w:tcW w:w="3960" w:type="dxa"/>
            <w:shd w:val="clear" w:color="auto" w:fill="D0E6F4" w:themeFill="accent5" w:themeFillTint="33"/>
            <w:vAlign w:val="center"/>
          </w:tcPr>
          <w:p w14:paraId="53FB151A" w14:textId="77777777" w:rsidR="00583F07" w:rsidRPr="002C4AE7" w:rsidRDefault="00583F07" w:rsidP="00583F07">
            <w:pPr>
              <w:spacing w:line="259" w:lineRule="auto"/>
              <w:jc w:val="center"/>
              <w:rPr>
                <w:rFonts w:cstheme="minorHAnsi"/>
                <w:b/>
              </w:rPr>
            </w:pPr>
            <w:r w:rsidRPr="002C4AE7">
              <w:rPr>
                <w:rFonts w:cstheme="minorHAnsi"/>
                <w:b/>
              </w:rPr>
              <w:t>Summary of Changes</w:t>
            </w:r>
          </w:p>
        </w:tc>
        <w:tc>
          <w:tcPr>
            <w:tcW w:w="2155" w:type="dxa"/>
            <w:shd w:val="clear" w:color="auto" w:fill="D0E6F4" w:themeFill="accent5" w:themeFillTint="33"/>
            <w:vAlign w:val="center"/>
          </w:tcPr>
          <w:p w14:paraId="626576E9" w14:textId="77777777" w:rsidR="00583F07" w:rsidRPr="002C4AE7" w:rsidRDefault="00583F07" w:rsidP="00583F07">
            <w:pPr>
              <w:spacing w:line="259" w:lineRule="auto"/>
              <w:jc w:val="center"/>
              <w:rPr>
                <w:rFonts w:cstheme="minorHAnsi"/>
                <w:b/>
              </w:rPr>
            </w:pPr>
            <w:r w:rsidRPr="002C4AE7">
              <w:rPr>
                <w:rFonts w:cstheme="minorHAnsi"/>
                <w:b/>
              </w:rPr>
              <w:t>Revised By</w:t>
            </w:r>
          </w:p>
        </w:tc>
      </w:tr>
      <w:tr w:rsidR="00583F07" w14:paraId="0A5C6E06" w14:textId="77777777" w:rsidTr="004B1F86">
        <w:tc>
          <w:tcPr>
            <w:tcW w:w="1345" w:type="dxa"/>
            <w:vAlign w:val="center"/>
          </w:tcPr>
          <w:p w14:paraId="4A0AF62C" w14:textId="77777777" w:rsidR="00583F07" w:rsidRDefault="00583F07" w:rsidP="00583F07">
            <w:pPr>
              <w:spacing w:line="259" w:lineRule="auto"/>
              <w:jc w:val="center"/>
              <w:rPr>
                <w:rFonts w:cstheme="minorHAnsi"/>
              </w:rPr>
            </w:pPr>
            <w:r>
              <w:rPr>
                <w:rFonts w:cstheme="minorHAnsi"/>
              </w:rPr>
              <w:t>1.0</w:t>
            </w:r>
          </w:p>
        </w:tc>
        <w:tc>
          <w:tcPr>
            <w:tcW w:w="1890" w:type="dxa"/>
            <w:vAlign w:val="center"/>
          </w:tcPr>
          <w:p w14:paraId="2192C243" w14:textId="3AAEA0DF" w:rsidR="00583F07" w:rsidRDefault="00206ECD" w:rsidP="00583F07">
            <w:pPr>
              <w:spacing w:line="259" w:lineRule="auto"/>
              <w:rPr>
                <w:rFonts w:cstheme="minorHAnsi"/>
              </w:rPr>
            </w:pPr>
            <w:r>
              <w:rPr>
                <w:rFonts w:cstheme="minorHAnsi"/>
              </w:rPr>
              <w:t>July 12</w:t>
            </w:r>
            <w:r w:rsidR="009409E3">
              <w:rPr>
                <w:rFonts w:cstheme="minorHAnsi"/>
              </w:rPr>
              <w:t>, 2019</w:t>
            </w:r>
          </w:p>
        </w:tc>
        <w:tc>
          <w:tcPr>
            <w:tcW w:w="3960" w:type="dxa"/>
            <w:vAlign w:val="center"/>
          </w:tcPr>
          <w:p w14:paraId="16335ABC" w14:textId="0022F060" w:rsidR="00583F07" w:rsidRDefault="000F25BF" w:rsidP="00583F07">
            <w:pPr>
              <w:spacing w:line="259" w:lineRule="auto"/>
              <w:rPr>
                <w:rFonts w:cstheme="minorHAnsi"/>
              </w:rPr>
            </w:pPr>
            <w:r>
              <w:rPr>
                <w:rFonts w:cstheme="minorHAnsi"/>
              </w:rPr>
              <w:t>Establish</w:t>
            </w:r>
            <w:r w:rsidR="00EA4A4C">
              <w:rPr>
                <w:rFonts w:cstheme="minorHAnsi"/>
              </w:rPr>
              <w:t>ed</w:t>
            </w:r>
            <w:r>
              <w:rPr>
                <w:rFonts w:cstheme="minorHAnsi"/>
              </w:rPr>
              <w:t xml:space="preserve"> d</w:t>
            </w:r>
            <w:r w:rsidR="00583F07">
              <w:rPr>
                <w:rFonts w:cstheme="minorHAnsi"/>
              </w:rPr>
              <w:t>ocument</w:t>
            </w:r>
          </w:p>
        </w:tc>
        <w:tc>
          <w:tcPr>
            <w:tcW w:w="2155" w:type="dxa"/>
            <w:vAlign w:val="center"/>
          </w:tcPr>
          <w:p w14:paraId="4B2CA255" w14:textId="326C2C57" w:rsidR="00583F07" w:rsidRDefault="0049613A" w:rsidP="00583F07">
            <w:pPr>
              <w:spacing w:line="259" w:lineRule="auto"/>
              <w:rPr>
                <w:rFonts w:cstheme="minorHAnsi"/>
              </w:rPr>
            </w:pPr>
            <w:r>
              <w:rPr>
                <w:rFonts w:cstheme="minorHAnsi"/>
              </w:rPr>
              <w:t xml:space="preserve">ASPR, </w:t>
            </w:r>
            <w:r w:rsidR="00583F07">
              <w:rPr>
                <w:rFonts w:cstheme="minorHAnsi"/>
              </w:rPr>
              <w:t>Acumen</w:t>
            </w:r>
          </w:p>
        </w:tc>
      </w:tr>
      <w:tr w:rsidR="001A114A" w14:paraId="42ACF78B" w14:textId="77777777" w:rsidTr="004B1F86">
        <w:tc>
          <w:tcPr>
            <w:tcW w:w="1345" w:type="dxa"/>
            <w:vAlign w:val="center"/>
          </w:tcPr>
          <w:p w14:paraId="05D5ABFD" w14:textId="00A16299" w:rsidR="001A114A" w:rsidRDefault="001A114A" w:rsidP="00583F07">
            <w:pPr>
              <w:spacing w:line="259" w:lineRule="auto"/>
              <w:jc w:val="center"/>
              <w:rPr>
                <w:rFonts w:cstheme="minorHAnsi"/>
              </w:rPr>
            </w:pPr>
            <w:r>
              <w:rPr>
                <w:rFonts w:cstheme="minorHAnsi"/>
              </w:rPr>
              <w:t>2.0</w:t>
            </w:r>
          </w:p>
        </w:tc>
        <w:tc>
          <w:tcPr>
            <w:tcW w:w="1890" w:type="dxa"/>
            <w:vAlign w:val="center"/>
          </w:tcPr>
          <w:p w14:paraId="7133B8C9" w14:textId="4072259C" w:rsidR="001A114A" w:rsidRDefault="00F72C7B" w:rsidP="00583F07">
            <w:pPr>
              <w:spacing w:line="259" w:lineRule="auto"/>
              <w:rPr>
                <w:rFonts w:cstheme="minorHAnsi"/>
              </w:rPr>
            </w:pPr>
            <w:r>
              <w:rPr>
                <w:rFonts w:cstheme="minorHAnsi"/>
              </w:rPr>
              <w:t>August 23,</w:t>
            </w:r>
            <w:r w:rsidR="001A114A">
              <w:rPr>
                <w:rFonts w:cstheme="minorHAnsi"/>
              </w:rPr>
              <w:t xml:space="preserve"> 2019</w:t>
            </w:r>
          </w:p>
        </w:tc>
        <w:tc>
          <w:tcPr>
            <w:tcW w:w="3960" w:type="dxa"/>
            <w:vAlign w:val="center"/>
          </w:tcPr>
          <w:p w14:paraId="6844F9D8" w14:textId="31A05FBF" w:rsidR="001A114A" w:rsidRDefault="00A56665" w:rsidP="00A56665">
            <w:pPr>
              <w:spacing w:line="259" w:lineRule="auto"/>
              <w:rPr>
                <w:rFonts w:cstheme="minorHAnsi"/>
              </w:rPr>
            </w:pPr>
            <w:r>
              <w:rPr>
                <w:rFonts w:cstheme="minorHAnsi"/>
              </w:rPr>
              <w:t>Made some formatting edits</w:t>
            </w:r>
          </w:p>
        </w:tc>
        <w:tc>
          <w:tcPr>
            <w:tcW w:w="2155" w:type="dxa"/>
            <w:vAlign w:val="center"/>
          </w:tcPr>
          <w:p w14:paraId="3931B301" w14:textId="7AEDCD89" w:rsidR="001A114A" w:rsidRDefault="0049613A" w:rsidP="00583F07">
            <w:pPr>
              <w:spacing w:line="259" w:lineRule="auto"/>
              <w:rPr>
                <w:rFonts w:cstheme="minorHAnsi"/>
              </w:rPr>
            </w:pPr>
            <w:r>
              <w:rPr>
                <w:rFonts w:cstheme="minorHAnsi"/>
              </w:rPr>
              <w:t xml:space="preserve">ASPR, </w:t>
            </w:r>
            <w:r w:rsidR="001A114A">
              <w:rPr>
                <w:rFonts w:cstheme="minorHAnsi"/>
              </w:rPr>
              <w:t>Acumen</w:t>
            </w:r>
          </w:p>
        </w:tc>
      </w:tr>
      <w:tr w:rsidR="004B1F86" w14:paraId="1733D373" w14:textId="77777777" w:rsidTr="004B1F86">
        <w:tc>
          <w:tcPr>
            <w:tcW w:w="1345" w:type="dxa"/>
            <w:vAlign w:val="center"/>
          </w:tcPr>
          <w:p w14:paraId="4BDF7D20" w14:textId="2352C702" w:rsidR="004B1F86" w:rsidRDefault="004B1F86" w:rsidP="00583F07">
            <w:pPr>
              <w:spacing w:line="259" w:lineRule="auto"/>
              <w:jc w:val="center"/>
              <w:rPr>
                <w:rFonts w:cstheme="minorHAnsi"/>
              </w:rPr>
            </w:pPr>
            <w:r>
              <w:rPr>
                <w:rFonts w:cstheme="minorHAnsi"/>
              </w:rPr>
              <w:t>3.0</w:t>
            </w:r>
          </w:p>
        </w:tc>
        <w:tc>
          <w:tcPr>
            <w:tcW w:w="1890" w:type="dxa"/>
            <w:vAlign w:val="center"/>
          </w:tcPr>
          <w:p w14:paraId="57D01728" w14:textId="587CCEDE" w:rsidR="004B1F86" w:rsidRDefault="004B1F86" w:rsidP="00583F07">
            <w:pPr>
              <w:spacing w:line="259" w:lineRule="auto"/>
              <w:rPr>
                <w:rFonts w:cstheme="minorHAnsi"/>
              </w:rPr>
            </w:pPr>
            <w:r>
              <w:rPr>
                <w:rFonts w:cstheme="minorHAnsi"/>
              </w:rPr>
              <w:t>February 11, 2020</w:t>
            </w:r>
          </w:p>
        </w:tc>
        <w:tc>
          <w:tcPr>
            <w:tcW w:w="3960" w:type="dxa"/>
            <w:vAlign w:val="center"/>
          </w:tcPr>
          <w:p w14:paraId="65152DE6" w14:textId="0C5CBA47" w:rsidR="004B1F86" w:rsidRDefault="004B1F86" w:rsidP="00A56665">
            <w:pPr>
              <w:spacing w:line="259" w:lineRule="auto"/>
              <w:rPr>
                <w:rFonts w:cstheme="minorHAnsi"/>
              </w:rPr>
            </w:pPr>
            <w:r>
              <w:rPr>
                <w:rFonts w:cstheme="minorHAnsi"/>
              </w:rPr>
              <w:t>Made some</w:t>
            </w:r>
            <w:r w:rsidR="00D14D83">
              <w:rPr>
                <w:rFonts w:cstheme="minorHAnsi"/>
              </w:rPr>
              <w:t xml:space="preserve"> language</w:t>
            </w:r>
            <w:r>
              <w:rPr>
                <w:rFonts w:cstheme="minorHAnsi"/>
              </w:rPr>
              <w:t xml:space="preserve"> revisions and formatting edits</w:t>
            </w:r>
          </w:p>
        </w:tc>
        <w:tc>
          <w:tcPr>
            <w:tcW w:w="2155" w:type="dxa"/>
            <w:vAlign w:val="center"/>
          </w:tcPr>
          <w:p w14:paraId="788EBE9F" w14:textId="392B1E6B" w:rsidR="004B1F86" w:rsidRDefault="004B1F86" w:rsidP="00583F07">
            <w:pPr>
              <w:spacing w:line="259" w:lineRule="auto"/>
              <w:rPr>
                <w:rFonts w:cstheme="minorHAnsi"/>
              </w:rPr>
            </w:pPr>
            <w:r>
              <w:rPr>
                <w:rFonts w:cstheme="minorHAnsi"/>
              </w:rPr>
              <w:t>ASPR, Acumen</w:t>
            </w:r>
          </w:p>
        </w:tc>
      </w:tr>
    </w:tbl>
    <w:p w14:paraId="549EAF69" w14:textId="331E9AD3" w:rsidR="00583F07" w:rsidRDefault="00583F07">
      <w:pPr>
        <w:spacing w:line="259" w:lineRule="auto"/>
        <w:rPr>
          <w:lang w:eastAsia="ja-JP"/>
        </w:rPr>
      </w:pPr>
      <w:r w:rsidRPr="002C4AE7">
        <w:rPr>
          <w:rFonts w:cstheme="minorHAnsi"/>
          <w:b/>
          <w:color w:val="02365E" w:themeColor="accent1" w:themeShade="BF"/>
          <w:sz w:val="28"/>
          <w:szCs w:val="28"/>
        </w:rPr>
        <w:t xml:space="preserve">Document Revision History </w:t>
      </w:r>
      <w:r w:rsidRPr="002C4AE7">
        <w:rPr>
          <w:rFonts w:cstheme="minorHAnsi"/>
          <w:b/>
          <w:sz w:val="28"/>
          <w:szCs w:val="28"/>
        </w:rPr>
        <w:br w:type="page"/>
      </w:r>
    </w:p>
    <w:sdt>
      <w:sdtPr>
        <w:rPr>
          <w:rFonts w:asciiTheme="minorHAnsi" w:eastAsiaTheme="minorHAnsi" w:hAnsiTheme="minorHAnsi" w:cstheme="minorBidi"/>
          <w:b w:val="0"/>
          <w:bCs w:val="0"/>
          <w:color w:val="auto"/>
          <w:sz w:val="20"/>
          <w:szCs w:val="20"/>
          <w:lang w:eastAsia="en-US"/>
        </w:rPr>
        <w:id w:val="1711842327"/>
        <w:docPartObj>
          <w:docPartGallery w:val="Table of Contents"/>
          <w:docPartUnique/>
        </w:docPartObj>
      </w:sdtPr>
      <w:sdtEndPr>
        <w:rPr>
          <w:noProof/>
        </w:rPr>
      </w:sdtEndPr>
      <w:sdtContent>
        <w:p w14:paraId="152EE898" w14:textId="0FDAB6AC" w:rsidR="00F1548C" w:rsidRDefault="00F1548C">
          <w:pPr>
            <w:pStyle w:val="TOCHeading"/>
          </w:pPr>
          <w:r>
            <w:t>Table of Contents</w:t>
          </w:r>
        </w:p>
        <w:p w14:paraId="3C3A0986" w14:textId="303E25FE" w:rsidR="005D5F6F" w:rsidRDefault="00F1548C">
          <w:pPr>
            <w:pStyle w:val="TOC1"/>
            <w:tabs>
              <w:tab w:val="left" w:pos="400"/>
              <w:tab w:val="right" w:leader="dot" w:pos="9350"/>
            </w:tabs>
            <w:rPr>
              <w:rFonts w:eastAsiaTheme="minorEastAsia"/>
              <w:noProof/>
              <w:sz w:val="22"/>
              <w:szCs w:val="22"/>
            </w:rPr>
          </w:pPr>
          <w:r>
            <w:fldChar w:fldCharType="begin"/>
          </w:r>
          <w:r>
            <w:instrText xml:space="preserve"> TOC \o "1-3" \h \z \u </w:instrText>
          </w:r>
          <w:r>
            <w:fldChar w:fldCharType="separate"/>
          </w:r>
          <w:hyperlink w:anchor="_Toc32328710" w:history="1">
            <w:r w:rsidR="005D5F6F" w:rsidRPr="00F65945">
              <w:rPr>
                <w:rStyle w:val="Hyperlink"/>
                <w:noProof/>
              </w:rPr>
              <w:t>1</w:t>
            </w:r>
            <w:r w:rsidR="005D5F6F">
              <w:rPr>
                <w:rFonts w:eastAsiaTheme="minorEastAsia"/>
                <w:noProof/>
                <w:sz w:val="22"/>
                <w:szCs w:val="22"/>
              </w:rPr>
              <w:tab/>
            </w:r>
            <w:r w:rsidR="005D5F6F" w:rsidRPr="00F65945">
              <w:rPr>
                <w:rStyle w:val="Hyperlink"/>
                <w:noProof/>
              </w:rPr>
              <w:t>Introduction</w:t>
            </w:r>
            <w:r w:rsidR="005D5F6F">
              <w:rPr>
                <w:noProof/>
                <w:webHidden/>
              </w:rPr>
              <w:tab/>
            </w:r>
            <w:r w:rsidR="005D5F6F">
              <w:rPr>
                <w:noProof/>
                <w:webHidden/>
              </w:rPr>
              <w:fldChar w:fldCharType="begin"/>
            </w:r>
            <w:r w:rsidR="005D5F6F">
              <w:rPr>
                <w:noProof/>
                <w:webHidden/>
              </w:rPr>
              <w:instrText xml:space="preserve"> PAGEREF _Toc32328710 \h </w:instrText>
            </w:r>
            <w:r w:rsidR="005D5F6F">
              <w:rPr>
                <w:noProof/>
                <w:webHidden/>
              </w:rPr>
            </w:r>
            <w:r w:rsidR="005D5F6F">
              <w:rPr>
                <w:noProof/>
                <w:webHidden/>
              </w:rPr>
              <w:fldChar w:fldCharType="separate"/>
            </w:r>
            <w:r w:rsidR="005D5F6F">
              <w:rPr>
                <w:noProof/>
                <w:webHidden/>
              </w:rPr>
              <w:t>3</w:t>
            </w:r>
            <w:r w:rsidR="005D5F6F">
              <w:rPr>
                <w:noProof/>
                <w:webHidden/>
              </w:rPr>
              <w:fldChar w:fldCharType="end"/>
            </w:r>
          </w:hyperlink>
        </w:p>
        <w:p w14:paraId="198C1FBE" w14:textId="15CF119D" w:rsidR="005D5F6F" w:rsidRDefault="00A30776">
          <w:pPr>
            <w:pStyle w:val="TOC1"/>
            <w:tabs>
              <w:tab w:val="left" w:pos="400"/>
              <w:tab w:val="right" w:leader="dot" w:pos="9350"/>
            </w:tabs>
            <w:rPr>
              <w:rFonts w:eastAsiaTheme="minorEastAsia"/>
              <w:noProof/>
              <w:sz w:val="22"/>
              <w:szCs w:val="22"/>
            </w:rPr>
          </w:pPr>
          <w:hyperlink w:anchor="_Toc32328711" w:history="1">
            <w:r w:rsidR="005D5F6F" w:rsidRPr="00F65945">
              <w:rPr>
                <w:rStyle w:val="Hyperlink"/>
                <w:noProof/>
              </w:rPr>
              <w:t>2</w:t>
            </w:r>
            <w:r w:rsidR="005D5F6F">
              <w:rPr>
                <w:rFonts w:eastAsiaTheme="minorEastAsia"/>
                <w:noProof/>
                <w:sz w:val="22"/>
                <w:szCs w:val="22"/>
              </w:rPr>
              <w:tab/>
            </w:r>
            <w:r w:rsidR="005D5F6F" w:rsidRPr="00F65945">
              <w:rPr>
                <w:rStyle w:val="Hyperlink"/>
                <w:noProof/>
              </w:rPr>
              <w:t>Analytic Framework</w:t>
            </w:r>
            <w:r w:rsidR="005D5F6F">
              <w:rPr>
                <w:noProof/>
                <w:webHidden/>
              </w:rPr>
              <w:tab/>
            </w:r>
            <w:r w:rsidR="005D5F6F">
              <w:rPr>
                <w:noProof/>
                <w:webHidden/>
              </w:rPr>
              <w:fldChar w:fldCharType="begin"/>
            </w:r>
            <w:r w:rsidR="005D5F6F">
              <w:rPr>
                <w:noProof/>
                <w:webHidden/>
              </w:rPr>
              <w:instrText xml:space="preserve"> PAGEREF _Toc32328711 \h </w:instrText>
            </w:r>
            <w:r w:rsidR="005D5F6F">
              <w:rPr>
                <w:noProof/>
                <w:webHidden/>
              </w:rPr>
            </w:r>
            <w:r w:rsidR="005D5F6F">
              <w:rPr>
                <w:noProof/>
                <w:webHidden/>
              </w:rPr>
              <w:fldChar w:fldCharType="separate"/>
            </w:r>
            <w:r w:rsidR="005D5F6F">
              <w:rPr>
                <w:noProof/>
                <w:webHidden/>
              </w:rPr>
              <w:t>3</w:t>
            </w:r>
            <w:r w:rsidR="005D5F6F">
              <w:rPr>
                <w:noProof/>
                <w:webHidden/>
              </w:rPr>
              <w:fldChar w:fldCharType="end"/>
            </w:r>
          </w:hyperlink>
        </w:p>
        <w:p w14:paraId="2FAA6922" w14:textId="0C225D05" w:rsidR="005D5F6F" w:rsidRDefault="00A30776">
          <w:pPr>
            <w:pStyle w:val="TOC2"/>
            <w:tabs>
              <w:tab w:val="left" w:pos="880"/>
              <w:tab w:val="right" w:leader="dot" w:pos="9350"/>
            </w:tabs>
            <w:rPr>
              <w:rFonts w:eastAsiaTheme="minorEastAsia"/>
              <w:noProof/>
              <w:sz w:val="22"/>
              <w:szCs w:val="22"/>
            </w:rPr>
          </w:pPr>
          <w:hyperlink w:anchor="_Toc32328712" w:history="1">
            <w:r w:rsidR="005D5F6F" w:rsidRPr="00F65945">
              <w:rPr>
                <w:rStyle w:val="Hyperlink"/>
                <w:noProof/>
              </w:rPr>
              <w:t>2.1</w:t>
            </w:r>
            <w:r w:rsidR="005D5F6F">
              <w:rPr>
                <w:rFonts w:eastAsiaTheme="minorEastAsia"/>
                <w:noProof/>
                <w:sz w:val="22"/>
                <w:szCs w:val="22"/>
              </w:rPr>
              <w:tab/>
            </w:r>
            <w:r w:rsidR="005D5F6F" w:rsidRPr="00F65945">
              <w:rPr>
                <w:rStyle w:val="Hyperlink"/>
                <w:noProof/>
              </w:rPr>
              <w:t>Components of The Analytic Framework</w:t>
            </w:r>
            <w:r w:rsidR="005D5F6F">
              <w:rPr>
                <w:noProof/>
                <w:webHidden/>
              </w:rPr>
              <w:tab/>
            </w:r>
            <w:r w:rsidR="005D5F6F">
              <w:rPr>
                <w:noProof/>
                <w:webHidden/>
              </w:rPr>
              <w:fldChar w:fldCharType="begin"/>
            </w:r>
            <w:r w:rsidR="005D5F6F">
              <w:rPr>
                <w:noProof/>
                <w:webHidden/>
              </w:rPr>
              <w:instrText xml:space="preserve"> PAGEREF _Toc32328712 \h </w:instrText>
            </w:r>
            <w:r w:rsidR="005D5F6F">
              <w:rPr>
                <w:noProof/>
                <w:webHidden/>
              </w:rPr>
            </w:r>
            <w:r w:rsidR="005D5F6F">
              <w:rPr>
                <w:noProof/>
                <w:webHidden/>
              </w:rPr>
              <w:fldChar w:fldCharType="separate"/>
            </w:r>
            <w:r w:rsidR="005D5F6F">
              <w:rPr>
                <w:noProof/>
                <w:webHidden/>
              </w:rPr>
              <w:t>4</w:t>
            </w:r>
            <w:r w:rsidR="005D5F6F">
              <w:rPr>
                <w:noProof/>
                <w:webHidden/>
              </w:rPr>
              <w:fldChar w:fldCharType="end"/>
            </w:r>
          </w:hyperlink>
        </w:p>
        <w:p w14:paraId="378FFE2A" w14:textId="3D5A741E" w:rsidR="005D5F6F" w:rsidRDefault="00A30776">
          <w:pPr>
            <w:pStyle w:val="TOC1"/>
            <w:tabs>
              <w:tab w:val="left" w:pos="400"/>
              <w:tab w:val="right" w:leader="dot" w:pos="9350"/>
            </w:tabs>
            <w:rPr>
              <w:rFonts w:eastAsiaTheme="minorEastAsia"/>
              <w:noProof/>
              <w:sz w:val="22"/>
              <w:szCs w:val="22"/>
            </w:rPr>
          </w:pPr>
          <w:hyperlink w:anchor="_Toc32328713" w:history="1">
            <w:r w:rsidR="005D5F6F" w:rsidRPr="00F65945">
              <w:rPr>
                <w:rStyle w:val="Hyperlink"/>
                <w:noProof/>
              </w:rPr>
              <w:t>3</w:t>
            </w:r>
            <w:r w:rsidR="005D5F6F">
              <w:rPr>
                <w:rFonts w:eastAsiaTheme="minorEastAsia"/>
                <w:noProof/>
                <w:sz w:val="22"/>
                <w:szCs w:val="22"/>
              </w:rPr>
              <w:tab/>
            </w:r>
            <w:r w:rsidR="005D5F6F" w:rsidRPr="00F65945">
              <w:rPr>
                <w:rStyle w:val="Hyperlink"/>
                <w:noProof/>
              </w:rPr>
              <w:t>Medicare Data</w:t>
            </w:r>
            <w:r w:rsidR="005D5F6F">
              <w:rPr>
                <w:noProof/>
                <w:webHidden/>
              </w:rPr>
              <w:tab/>
            </w:r>
            <w:r w:rsidR="005D5F6F">
              <w:rPr>
                <w:noProof/>
                <w:webHidden/>
              </w:rPr>
              <w:fldChar w:fldCharType="begin"/>
            </w:r>
            <w:r w:rsidR="005D5F6F">
              <w:rPr>
                <w:noProof/>
                <w:webHidden/>
              </w:rPr>
              <w:instrText xml:space="preserve"> PAGEREF _Toc32328713 \h </w:instrText>
            </w:r>
            <w:r w:rsidR="005D5F6F">
              <w:rPr>
                <w:noProof/>
                <w:webHidden/>
              </w:rPr>
            </w:r>
            <w:r w:rsidR="005D5F6F">
              <w:rPr>
                <w:noProof/>
                <w:webHidden/>
              </w:rPr>
              <w:fldChar w:fldCharType="separate"/>
            </w:r>
            <w:r w:rsidR="005D5F6F">
              <w:rPr>
                <w:noProof/>
                <w:webHidden/>
              </w:rPr>
              <w:t>6</w:t>
            </w:r>
            <w:r w:rsidR="005D5F6F">
              <w:rPr>
                <w:noProof/>
                <w:webHidden/>
              </w:rPr>
              <w:fldChar w:fldCharType="end"/>
            </w:r>
          </w:hyperlink>
        </w:p>
        <w:p w14:paraId="2A166FAB" w14:textId="1F42B8E3" w:rsidR="005D5F6F" w:rsidRDefault="00A30776">
          <w:pPr>
            <w:pStyle w:val="TOC2"/>
            <w:tabs>
              <w:tab w:val="left" w:pos="880"/>
              <w:tab w:val="right" w:leader="dot" w:pos="9350"/>
            </w:tabs>
            <w:rPr>
              <w:rFonts w:eastAsiaTheme="minorEastAsia"/>
              <w:noProof/>
              <w:sz w:val="22"/>
              <w:szCs w:val="22"/>
            </w:rPr>
          </w:pPr>
          <w:hyperlink w:anchor="_Toc32328714" w:history="1">
            <w:r w:rsidR="005D5F6F" w:rsidRPr="00F65945">
              <w:rPr>
                <w:rStyle w:val="Hyperlink"/>
                <w:noProof/>
              </w:rPr>
              <w:t>3.1</w:t>
            </w:r>
            <w:r w:rsidR="005D5F6F">
              <w:rPr>
                <w:rFonts w:eastAsiaTheme="minorEastAsia"/>
                <w:noProof/>
                <w:sz w:val="22"/>
                <w:szCs w:val="22"/>
              </w:rPr>
              <w:tab/>
            </w:r>
            <w:r w:rsidR="005D5F6F" w:rsidRPr="00F65945">
              <w:rPr>
                <w:rStyle w:val="Hyperlink"/>
                <w:noProof/>
              </w:rPr>
              <w:t>Data Sources</w:t>
            </w:r>
            <w:r w:rsidR="005D5F6F">
              <w:rPr>
                <w:noProof/>
                <w:webHidden/>
              </w:rPr>
              <w:tab/>
            </w:r>
            <w:r w:rsidR="005D5F6F">
              <w:rPr>
                <w:noProof/>
                <w:webHidden/>
              </w:rPr>
              <w:fldChar w:fldCharType="begin"/>
            </w:r>
            <w:r w:rsidR="005D5F6F">
              <w:rPr>
                <w:noProof/>
                <w:webHidden/>
              </w:rPr>
              <w:instrText xml:space="preserve"> PAGEREF _Toc32328714 \h </w:instrText>
            </w:r>
            <w:r w:rsidR="005D5F6F">
              <w:rPr>
                <w:noProof/>
                <w:webHidden/>
              </w:rPr>
            </w:r>
            <w:r w:rsidR="005D5F6F">
              <w:rPr>
                <w:noProof/>
                <w:webHidden/>
              </w:rPr>
              <w:fldChar w:fldCharType="separate"/>
            </w:r>
            <w:r w:rsidR="005D5F6F">
              <w:rPr>
                <w:noProof/>
                <w:webHidden/>
              </w:rPr>
              <w:t>6</w:t>
            </w:r>
            <w:r w:rsidR="005D5F6F">
              <w:rPr>
                <w:noProof/>
                <w:webHidden/>
              </w:rPr>
              <w:fldChar w:fldCharType="end"/>
            </w:r>
          </w:hyperlink>
        </w:p>
        <w:p w14:paraId="39C6C7DE" w14:textId="5DC71EB1" w:rsidR="005D5F6F" w:rsidRDefault="00A30776">
          <w:pPr>
            <w:pStyle w:val="TOC2"/>
            <w:tabs>
              <w:tab w:val="left" w:pos="880"/>
              <w:tab w:val="right" w:leader="dot" w:pos="9350"/>
            </w:tabs>
            <w:rPr>
              <w:rFonts w:eastAsiaTheme="minorEastAsia"/>
              <w:noProof/>
              <w:sz w:val="22"/>
              <w:szCs w:val="22"/>
            </w:rPr>
          </w:pPr>
          <w:hyperlink w:anchor="_Toc32328715" w:history="1">
            <w:r w:rsidR="005D5F6F" w:rsidRPr="00F65945">
              <w:rPr>
                <w:rStyle w:val="Hyperlink"/>
                <w:noProof/>
              </w:rPr>
              <w:t>3.2</w:t>
            </w:r>
            <w:r w:rsidR="005D5F6F">
              <w:rPr>
                <w:rFonts w:eastAsiaTheme="minorEastAsia"/>
                <w:noProof/>
                <w:sz w:val="22"/>
                <w:szCs w:val="22"/>
              </w:rPr>
              <w:tab/>
            </w:r>
            <w:r w:rsidR="005D5F6F" w:rsidRPr="00F65945">
              <w:rPr>
                <w:rStyle w:val="Hyperlink"/>
                <w:noProof/>
              </w:rPr>
              <w:t>Medicare Claim Files</w:t>
            </w:r>
            <w:r w:rsidR="005D5F6F">
              <w:rPr>
                <w:noProof/>
                <w:webHidden/>
              </w:rPr>
              <w:tab/>
            </w:r>
            <w:r w:rsidR="005D5F6F">
              <w:rPr>
                <w:noProof/>
                <w:webHidden/>
              </w:rPr>
              <w:fldChar w:fldCharType="begin"/>
            </w:r>
            <w:r w:rsidR="005D5F6F">
              <w:rPr>
                <w:noProof/>
                <w:webHidden/>
              </w:rPr>
              <w:instrText xml:space="preserve"> PAGEREF _Toc32328715 \h </w:instrText>
            </w:r>
            <w:r w:rsidR="005D5F6F">
              <w:rPr>
                <w:noProof/>
                <w:webHidden/>
              </w:rPr>
            </w:r>
            <w:r w:rsidR="005D5F6F">
              <w:rPr>
                <w:noProof/>
                <w:webHidden/>
              </w:rPr>
              <w:fldChar w:fldCharType="separate"/>
            </w:r>
            <w:r w:rsidR="005D5F6F">
              <w:rPr>
                <w:noProof/>
                <w:webHidden/>
              </w:rPr>
              <w:t>7</w:t>
            </w:r>
            <w:r w:rsidR="005D5F6F">
              <w:rPr>
                <w:noProof/>
                <w:webHidden/>
              </w:rPr>
              <w:fldChar w:fldCharType="end"/>
            </w:r>
          </w:hyperlink>
        </w:p>
        <w:p w14:paraId="19EE53D6" w14:textId="137B1735" w:rsidR="005D5F6F" w:rsidRDefault="00A30776">
          <w:pPr>
            <w:pStyle w:val="TOC2"/>
            <w:tabs>
              <w:tab w:val="left" w:pos="880"/>
              <w:tab w:val="right" w:leader="dot" w:pos="9350"/>
            </w:tabs>
            <w:rPr>
              <w:rFonts w:eastAsiaTheme="minorEastAsia"/>
              <w:noProof/>
              <w:sz w:val="22"/>
              <w:szCs w:val="22"/>
            </w:rPr>
          </w:pPr>
          <w:hyperlink w:anchor="_Toc32328716" w:history="1">
            <w:r w:rsidR="005D5F6F" w:rsidRPr="00F65945">
              <w:rPr>
                <w:rStyle w:val="Hyperlink"/>
                <w:noProof/>
              </w:rPr>
              <w:t>3.3</w:t>
            </w:r>
            <w:r w:rsidR="005D5F6F">
              <w:rPr>
                <w:rFonts w:eastAsiaTheme="minorEastAsia"/>
                <w:noProof/>
                <w:sz w:val="22"/>
                <w:szCs w:val="22"/>
              </w:rPr>
              <w:tab/>
            </w:r>
            <w:r w:rsidR="005D5F6F" w:rsidRPr="00F65945">
              <w:rPr>
                <w:rStyle w:val="Hyperlink"/>
                <w:noProof/>
              </w:rPr>
              <w:t>Diagnosis, Revenue Center, and Related Condition Codes</w:t>
            </w:r>
            <w:r w:rsidR="005D5F6F">
              <w:rPr>
                <w:noProof/>
                <w:webHidden/>
              </w:rPr>
              <w:tab/>
            </w:r>
            <w:r w:rsidR="005D5F6F">
              <w:rPr>
                <w:noProof/>
                <w:webHidden/>
              </w:rPr>
              <w:fldChar w:fldCharType="begin"/>
            </w:r>
            <w:r w:rsidR="005D5F6F">
              <w:rPr>
                <w:noProof/>
                <w:webHidden/>
              </w:rPr>
              <w:instrText xml:space="preserve"> PAGEREF _Toc32328716 \h </w:instrText>
            </w:r>
            <w:r w:rsidR="005D5F6F">
              <w:rPr>
                <w:noProof/>
                <w:webHidden/>
              </w:rPr>
            </w:r>
            <w:r w:rsidR="005D5F6F">
              <w:rPr>
                <w:noProof/>
                <w:webHidden/>
              </w:rPr>
              <w:fldChar w:fldCharType="separate"/>
            </w:r>
            <w:r w:rsidR="005D5F6F">
              <w:rPr>
                <w:noProof/>
                <w:webHidden/>
              </w:rPr>
              <w:t>7</w:t>
            </w:r>
            <w:r w:rsidR="005D5F6F">
              <w:rPr>
                <w:noProof/>
                <w:webHidden/>
              </w:rPr>
              <w:fldChar w:fldCharType="end"/>
            </w:r>
          </w:hyperlink>
        </w:p>
        <w:p w14:paraId="6712F775" w14:textId="52EED1B2" w:rsidR="005D5F6F" w:rsidRDefault="00A30776">
          <w:pPr>
            <w:pStyle w:val="TOC1"/>
            <w:tabs>
              <w:tab w:val="left" w:pos="400"/>
              <w:tab w:val="right" w:leader="dot" w:pos="9350"/>
            </w:tabs>
            <w:rPr>
              <w:rFonts w:eastAsiaTheme="minorEastAsia"/>
              <w:noProof/>
              <w:sz w:val="22"/>
              <w:szCs w:val="22"/>
            </w:rPr>
          </w:pPr>
          <w:hyperlink w:anchor="_Toc32328717" w:history="1">
            <w:r w:rsidR="005D5F6F" w:rsidRPr="00F65945">
              <w:rPr>
                <w:rStyle w:val="Hyperlink"/>
                <w:noProof/>
              </w:rPr>
              <w:t>4</w:t>
            </w:r>
            <w:r w:rsidR="005D5F6F">
              <w:rPr>
                <w:rFonts w:eastAsiaTheme="minorEastAsia"/>
                <w:noProof/>
                <w:sz w:val="22"/>
                <w:szCs w:val="22"/>
              </w:rPr>
              <w:tab/>
            </w:r>
            <w:r w:rsidR="005D5F6F" w:rsidRPr="00F65945">
              <w:rPr>
                <w:rStyle w:val="Hyperlink"/>
                <w:noProof/>
              </w:rPr>
              <w:t>Implementation: Identifying Beneficiaries</w:t>
            </w:r>
            <w:r w:rsidR="005D5F6F">
              <w:rPr>
                <w:noProof/>
                <w:webHidden/>
              </w:rPr>
              <w:tab/>
            </w:r>
            <w:r w:rsidR="005D5F6F">
              <w:rPr>
                <w:noProof/>
                <w:webHidden/>
              </w:rPr>
              <w:fldChar w:fldCharType="begin"/>
            </w:r>
            <w:r w:rsidR="005D5F6F">
              <w:rPr>
                <w:noProof/>
                <w:webHidden/>
              </w:rPr>
              <w:instrText xml:space="preserve"> PAGEREF _Toc32328717 \h </w:instrText>
            </w:r>
            <w:r w:rsidR="005D5F6F">
              <w:rPr>
                <w:noProof/>
                <w:webHidden/>
              </w:rPr>
            </w:r>
            <w:r w:rsidR="005D5F6F">
              <w:rPr>
                <w:noProof/>
                <w:webHidden/>
              </w:rPr>
              <w:fldChar w:fldCharType="separate"/>
            </w:r>
            <w:r w:rsidR="005D5F6F">
              <w:rPr>
                <w:noProof/>
                <w:webHidden/>
              </w:rPr>
              <w:t>9</w:t>
            </w:r>
            <w:r w:rsidR="005D5F6F">
              <w:rPr>
                <w:noProof/>
                <w:webHidden/>
              </w:rPr>
              <w:fldChar w:fldCharType="end"/>
            </w:r>
          </w:hyperlink>
        </w:p>
        <w:p w14:paraId="5DAC1E9D" w14:textId="0B49AAA6" w:rsidR="005D5F6F" w:rsidRDefault="00A30776">
          <w:pPr>
            <w:pStyle w:val="TOC2"/>
            <w:tabs>
              <w:tab w:val="left" w:pos="880"/>
              <w:tab w:val="right" w:leader="dot" w:pos="9350"/>
            </w:tabs>
            <w:rPr>
              <w:rFonts w:eastAsiaTheme="minorEastAsia"/>
              <w:noProof/>
              <w:sz w:val="22"/>
              <w:szCs w:val="22"/>
            </w:rPr>
          </w:pPr>
          <w:hyperlink w:anchor="_Toc32328718" w:history="1">
            <w:r w:rsidR="005D5F6F" w:rsidRPr="00F65945">
              <w:rPr>
                <w:rStyle w:val="Hyperlink"/>
                <w:noProof/>
              </w:rPr>
              <w:t>4.1</w:t>
            </w:r>
            <w:r w:rsidR="005D5F6F">
              <w:rPr>
                <w:rFonts w:eastAsiaTheme="minorEastAsia"/>
                <w:noProof/>
                <w:sz w:val="22"/>
                <w:szCs w:val="22"/>
              </w:rPr>
              <w:tab/>
            </w:r>
            <w:r w:rsidR="005D5F6F" w:rsidRPr="00F65945">
              <w:rPr>
                <w:rStyle w:val="Hyperlink"/>
                <w:noProof/>
              </w:rPr>
              <w:t>Analytic Stream 1 - Alive and Enrolled Medicare Beneficiaries</w:t>
            </w:r>
            <w:r w:rsidR="005D5F6F">
              <w:rPr>
                <w:noProof/>
                <w:webHidden/>
              </w:rPr>
              <w:tab/>
            </w:r>
            <w:r w:rsidR="005D5F6F">
              <w:rPr>
                <w:noProof/>
                <w:webHidden/>
              </w:rPr>
              <w:fldChar w:fldCharType="begin"/>
            </w:r>
            <w:r w:rsidR="005D5F6F">
              <w:rPr>
                <w:noProof/>
                <w:webHidden/>
              </w:rPr>
              <w:instrText xml:space="preserve"> PAGEREF _Toc32328718 \h </w:instrText>
            </w:r>
            <w:r w:rsidR="005D5F6F">
              <w:rPr>
                <w:noProof/>
                <w:webHidden/>
              </w:rPr>
            </w:r>
            <w:r w:rsidR="005D5F6F">
              <w:rPr>
                <w:noProof/>
                <w:webHidden/>
              </w:rPr>
              <w:fldChar w:fldCharType="separate"/>
            </w:r>
            <w:r w:rsidR="005D5F6F">
              <w:rPr>
                <w:noProof/>
                <w:webHidden/>
              </w:rPr>
              <w:t>9</w:t>
            </w:r>
            <w:r w:rsidR="005D5F6F">
              <w:rPr>
                <w:noProof/>
                <w:webHidden/>
              </w:rPr>
              <w:fldChar w:fldCharType="end"/>
            </w:r>
          </w:hyperlink>
        </w:p>
        <w:p w14:paraId="2F1F6872" w14:textId="720D8630" w:rsidR="005D5F6F" w:rsidRDefault="00A30776">
          <w:pPr>
            <w:pStyle w:val="TOC2"/>
            <w:tabs>
              <w:tab w:val="left" w:pos="880"/>
              <w:tab w:val="right" w:leader="dot" w:pos="9350"/>
            </w:tabs>
            <w:rPr>
              <w:rFonts w:eastAsiaTheme="minorEastAsia"/>
              <w:noProof/>
              <w:sz w:val="22"/>
              <w:szCs w:val="22"/>
            </w:rPr>
          </w:pPr>
          <w:hyperlink w:anchor="_Toc32328719" w:history="1">
            <w:r w:rsidR="005D5F6F" w:rsidRPr="00F65945">
              <w:rPr>
                <w:rStyle w:val="Hyperlink"/>
                <w:noProof/>
              </w:rPr>
              <w:t>4.2</w:t>
            </w:r>
            <w:r w:rsidR="005D5F6F">
              <w:rPr>
                <w:rFonts w:eastAsiaTheme="minorEastAsia"/>
                <w:noProof/>
                <w:sz w:val="22"/>
                <w:szCs w:val="22"/>
              </w:rPr>
              <w:tab/>
            </w:r>
            <w:r w:rsidR="005D5F6F" w:rsidRPr="00F65945">
              <w:rPr>
                <w:rStyle w:val="Hyperlink"/>
                <w:noProof/>
              </w:rPr>
              <w:t>Analytic Stream 2 – Inpatient Stays</w:t>
            </w:r>
            <w:r w:rsidR="005D5F6F">
              <w:rPr>
                <w:noProof/>
                <w:webHidden/>
              </w:rPr>
              <w:tab/>
            </w:r>
            <w:r w:rsidR="005D5F6F">
              <w:rPr>
                <w:noProof/>
                <w:webHidden/>
              </w:rPr>
              <w:fldChar w:fldCharType="begin"/>
            </w:r>
            <w:r w:rsidR="005D5F6F">
              <w:rPr>
                <w:noProof/>
                <w:webHidden/>
              </w:rPr>
              <w:instrText xml:space="preserve"> PAGEREF _Toc32328719 \h </w:instrText>
            </w:r>
            <w:r w:rsidR="005D5F6F">
              <w:rPr>
                <w:noProof/>
                <w:webHidden/>
              </w:rPr>
            </w:r>
            <w:r w:rsidR="005D5F6F">
              <w:rPr>
                <w:noProof/>
                <w:webHidden/>
              </w:rPr>
              <w:fldChar w:fldCharType="separate"/>
            </w:r>
            <w:r w:rsidR="005D5F6F">
              <w:rPr>
                <w:noProof/>
                <w:webHidden/>
              </w:rPr>
              <w:t>10</w:t>
            </w:r>
            <w:r w:rsidR="005D5F6F">
              <w:rPr>
                <w:noProof/>
                <w:webHidden/>
              </w:rPr>
              <w:fldChar w:fldCharType="end"/>
            </w:r>
          </w:hyperlink>
        </w:p>
        <w:p w14:paraId="62F6971B" w14:textId="0FAE99DD" w:rsidR="005D5F6F" w:rsidRDefault="00A30776">
          <w:pPr>
            <w:pStyle w:val="TOC3"/>
            <w:tabs>
              <w:tab w:val="left" w:pos="1100"/>
              <w:tab w:val="right" w:leader="dot" w:pos="9350"/>
            </w:tabs>
            <w:rPr>
              <w:rFonts w:eastAsiaTheme="minorEastAsia"/>
              <w:noProof/>
              <w:sz w:val="22"/>
              <w:szCs w:val="22"/>
            </w:rPr>
          </w:pPr>
          <w:hyperlink w:anchor="_Toc32328720" w:history="1">
            <w:r w:rsidR="005D5F6F" w:rsidRPr="00F65945">
              <w:rPr>
                <w:rStyle w:val="Hyperlink"/>
                <w:noProof/>
              </w:rPr>
              <w:t>4.2.1</w:t>
            </w:r>
            <w:r w:rsidR="005D5F6F">
              <w:rPr>
                <w:rFonts w:eastAsiaTheme="minorEastAsia"/>
                <w:noProof/>
                <w:sz w:val="22"/>
                <w:szCs w:val="22"/>
              </w:rPr>
              <w:tab/>
            </w:r>
            <w:r w:rsidR="005D5F6F" w:rsidRPr="00F65945">
              <w:rPr>
                <w:rStyle w:val="Hyperlink"/>
                <w:noProof/>
              </w:rPr>
              <w:t>Collapsing Claims to Stays and Constructing Stay-Level Measures</w:t>
            </w:r>
            <w:r w:rsidR="005D5F6F">
              <w:rPr>
                <w:noProof/>
                <w:webHidden/>
              </w:rPr>
              <w:tab/>
            </w:r>
            <w:r w:rsidR="005D5F6F">
              <w:rPr>
                <w:noProof/>
                <w:webHidden/>
              </w:rPr>
              <w:fldChar w:fldCharType="begin"/>
            </w:r>
            <w:r w:rsidR="005D5F6F">
              <w:rPr>
                <w:noProof/>
                <w:webHidden/>
              </w:rPr>
              <w:instrText xml:space="preserve"> PAGEREF _Toc32328720 \h </w:instrText>
            </w:r>
            <w:r w:rsidR="005D5F6F">
              <w:rPr>
                <w:noProof/>
                <w:webHidden/>
              </w:rPr>
            </w:r>
            <w:r w:rsidR="005D5F6F">
              <w:rPr>
                <w:noProof/>
                <w:webHidden/>
              </w:rPr>
              <w:fldChar w:fldCharType="separate"/>
            </w:r>
            <w:r w:rsidR="005D5F6F">
              <w:rPr>
                <w:noProof/>
                <w:webHidden/>
              </w:rPr>
              <w:t>10</w:t>
            </w:r>
            <w:r w:rsidR="005D5F6F">
              <w:rPr>
                <w:noProof/>
                <w:webHidden/>
              </w:rPr>
              <w:fldChar w:fldCharType="end"/>
            </w:r>
          </w:hyperlink>
        </w:p>
        <w:p w14:paraId="290FE1C5" w14:textId="2D6D5821" w:rsidR="005D5F6F" w:rsidRDefault="00A30776">
          <w:pPr>
            <w:pStyle w:val="TOC3"/>
            <w:tabs>
              <w:tab w:val="left" w:pos="1100"/>
              <w:tab w:val="right" w:leader="dot" w:pos="9350"/>
            </w:tabs>
            <w:rPr>
              <w:rFonts w:eastAsiaTheme="minorEastAsia"/>
              <w:noProof/>
              <w:sz w:val="22"/>
              <w:szCs w:val="22"/>
            </w:rPr>
          </w:pPr>
          <w:hyperlink w:anchor="_Toc32328721" w:history="1">
            <w:r w:rsidR="005D5F6F" w:rsidRPr="00F65945">
              <w:rPr>
                <w:rStyle w:val="Hyperlink"/>
                <w:noProof/>
              </w:rPr>
              <w:t>4.2.2</w:t>
            </w:r>
            <w:r w:rsidR="005D5F6F">
              <w:rPr>
                <w:rFonts w:eastAsiaTheme="minorEastAsia"/>
                <w:noProof/>
                <w:sz w:val="22"/>
                <w:szCs w:val="22"/>
              </w:rPr>
              <w:tab/>
            </w:r>
            <w:r w:rsidR="005D5F6F" w:rsidRPr="00F65945">
              <w:rPr>
                <w:rStyle w:val="Hyperlink"/>
                <w:noProof/>
              </w:rPr>
              <w:t>Identifying Sepsis Stays</w:t>
            </w:r>
            <w:r w:rsidR="005D5F6F">
              <w:rPr>
                <w:noProof/>
                <w:webHidden/>
              </w:rPr>
              <w:tab/>
            </w:r>
            <w:r w:rsidR="005D5F6F">
              <w:rPr>
                <w:noProof/>
                <w:webHidden/>
              </w:rPr>
              <w:fldChar w:fldCharType="begin"/>
            </w:r>
            <w:r w:rsidR="005D5F6F">
              <w:rPr>
                <w:noProof/>
                <w:webHidden/>
              </w:rPr>
              <w:instrText xml:space="preserve"> PAGEREF _Toc32328721 \h </w:instrText>
            </w:r>
            <w:r w:rsidR="005D5F6F">
              <w:rPr>
                <w:noProof/>
                <w:webHidden/>
              </w:rPr>
            </w:r>
            <w:r w:rsidR="005D5F6F">
              <w:rPr>
                <w:noProof/>
                <w:webHidden/>
              </w:rPr>
              <w:fldChar w:fldCharType="separate"/>
            </w:r>
            <w:r w:rsidR="005D5F6F">
              <w:rPr>
                <w:noProof/>
                <w:webHidden/>
              </w:rPr>
              <w:t>11</w:t>
            </w:r>
            <w:r w:rsidR="005D5F6F">
              <w:rPr>
                <w:noProof/>
                <w:webHidden/>
              </w:rPr>
              <w:fldChar w:fldCharType="end"/>
            </w:r>
          </w:hyperlink>
        </w:p>
        <w:p w14:paraId="6154F8D0" w14:textId="586886BE" w:rsidR="005D5F6F" w:rsidRDefault="00A30776">
          <w:pPr>
            <w:pStyle w:val="TOC1"/>
            <w:tabs>
              <w:tab w:val="left" w:pos="400"/>
              <w:tab w:val="right" w:leader="dot" w:pos="9350"/>
            </w:tabs>
            <w:rPr>
              <w:rFonts w:eastAsiaTheme="minorEastAsia"/>
              <w:noProof/>
              <w:sz w:val="22"/>
              <w:szCs w:val="22"/>
            </w:rPr>
          </w:pPr>
          <w:hyperlink w:anchor="_Toc32328722" w:history="1">
            <w:r w:rsidR="005D5F6F" w:rsidRPr="00F65945">
              <w:rPr>
                <w:rStyle w:val="Hyperlink"/>
                <w:noProof/>
              </w:rPr>
              <w:t>5</w:t>
            </w:r>
            <w:r w:rsidR="005D5F6F">
              <w:rPr>
                <w:rFonts w:eastAsiaTheme="minorEastAsia"/>
                <w:noProof/>
                <w:sz w:val="22"/>
                <w:szCs w:val="22"/>
              </w:rPr>
              <w:tab/>
            </w:r>
            <w:r w:rsidR="005D5F6F" w:rsidRPr="00F65945">
              <w:rPr>
                <w:rStyle w:val="Hyperlink"/>
                <w:noProof/>
              </w:rPr>
              <w:t>Implementation: Construct Master Inpatient Stay-Level Dataset</w:t>
            </w:r>
            <w:r w:rsidR="005D5F6F">
              <w:rPr>
                <w:noProof/>
                <w:webHidden/>
              </w:rPr>
              <w:tab/>
            </w:r>
            <w:r w:rsidR="005D5F6F">
              <w:rPr>
                <w:noProof/>
                <w:webHidden/>
              </w:rPr>
              <w:fldChar w:fldCharType="begin"/>
            </w:r>
            <w:r w:rsidR="005D5F6F">
              <w:rPr>
                <w:noProof/>
                <w:webHidden/>
              </w:rPr>
              <w:instrText xml:space="preserve"> PAGEREF _Toc32328722 \h </w:instrText>
            </w:r>
            <w:r w:rsidR="005D5F6F">
              <w:rPr>
                <w:noProof/>
                <w:webHidden/>
              </w:rPr>
            </w:r>
            <w:r w:rsidR="005D5F6F">
              <w:rPr>
                <w:noProof/>
                <w:webHidden/>
              </w:rPr>
              <w:fldChar w:fldCharType="separate"/>
            </w:r>
            <w:r w:rsidR="005D5F6F">
              <w:rPr>
                <w:noProof/>
                <w:webHidden/>
              </w:rPr>
              <w:t>12</w:t>
            </w:r>
            <w:r w:rsidR="005D5F6F">
              <w:rPr>
                <w:noProof/>
                <w:webHidden/>
              </w:rPr>
              <w:fldChar w:fldCharType="end"/>
            </w:r>
          </w:hyperlink>
        </w:p>
        <w:p w14:paraId="13DA30E3" w14:textId="7C614C17" w:rsidR="005D5F6F" w:rsidRDefault="00A30776">
          <w:pPr>
            <w:pStyle w:val="TOC1"/>
            <w:tabs>
              <w:tab w:val="left" w:pos="400"/>
              <w:tab w:val="right" w:leader="dot" w:pos="9350"/>
            </w:tabs>
            <w:rPr>
              <w:rFonts w:eastAsiaTheme="minorEastAsia"/>
              <w:noProof/>
              <w:sz w:val="22"/>
              <w:szCs w:val="22"/>
            </w:rPr>
          </w:pPr>
          <w:hyperlink w:anchor="_Toc32328723" w:history="1">
            <w:r w:rsidR="005D5F6F" w:rsidRPr="00F65945">
              <w:rPr>
                <w:rStyle w:val="Hyperlink"/>
                <w:noProof/>
              </w:rPr>
              <w:t>6</w:t>
            </w:r>
            <w:r w:rsidR="005D5F6F">
              <w:rPr>
                <w:rFonts w:eastAsiaTheme="minorEastAsia"/>
                <w:noProof/>
                <w:sz w:val="22"/>
                <w:szCs w:val="22"/>
              </w:rPr>
              <w:tab/>
            </w:r>
            <w:r w:rsidR="005D5F6F" w:rsidRPr="00F65945">
              <w:rPr>
                <w:rStyle w:val="Hyperlink"/>
                <w:noProof/>
              </w:rPr>
              <w:t>Implementation: Develop Measures of Health History and Healthcare Service Use Prior to Inpatient Admission</w:t>
            </w:r>
            <w:r w:rsidR="005D5F6F">
              <w:rPr>
                <w:noProof/>
                <w:webHidden/>
              </w:rPr>
              <w:tab/>
            </w:r>
            <w:r w:rsidR="005D5F6F">
              <w:rPr>
                <w:noProof/>
                <w:webHidden/>
              </w:rPr>
              <w:fldChar w:fldCharType="begin"/>
            </w:r>
            <w:r w:rsidR="005D5F6F">
              <w:rPr>
                <w:noProof/>
                <w:webHidden/>
              </w:rPr>
              <w:instrText xml:space="preserve"> PAGEREF _Toc32328723 \h </w:instrText>
            </w:r>
            <w:r w:rsidR="005D5F6F">
              <w:rPr>
                <w:noProof/>
                <w:webHidden/>
              </w:rPr>
            </w:r>
            <w:r w:rsidR="005D5F6F">
              <w:rPr>
                <w:noProof/>
                <w:webHidden/>
              </w:rPr>
              <w:fldChar w:fldCharType="separate"/>
            </w:r>
            <w:r w:rsidR="005D5F6F">
              <w:rPr>
                <w:noProof/>
                <w:webHidden/>
              </w:rPr>
              <w:t>12</w:t>
            </w:r>
            <w:r w:rsidR="005D5F6F">
              <w:rPr>
                <w:noProof/>
                <w:webHidden/>
              </w:rPr>
              <w:fldChar w:fldCharType="end"/>
            </w:r>
          </w:hyperlink>
        </w:p>
        <w:p w14:paraId="34922877" w14:textId="2E59F5F6" w:rsidR="005D5F6F" w:rsidRDefault="00A30776">
          <w:pPr>
            <w:pStyle w:val="TOC1"/>
            <w:tabs>
              <w:tab w:val="left" w:pos="400"/>
              <w:tab w:val="right" w:leader="dot" w:pos="9350"/>
            </w:tabs>
            <w:rPr>
              <w:rFonts w:eastAsiaTheme="minorEastAsia"/>
              <w:noProof/>
              <w:sz w:val="22"/>
              <w:szCs w:val="22"/>
            </w:rPr>
          </w:pPr>
          <w:hyperlink w:anchor="_Toc32328724" w:history="1">
            <w:r w:rsidR="005D5F6F" w:rsidRPr="00F65945">
              <w:rPr>
                <w:rStyle w:val="Hyperlink"/>
                <w:noProof/>
              </w:rPr>
              <w:t>7</w:t>
            </w:r>
            <w:r w:rsidR="005D5F6F">
              <w:rPr>
                <w:rFonts w:eastAsiaTheme="minorEastAsia"/>
                <w:noProof/>
                <w:sz w:val="22"/>
                <w:szCs w:val="22"/>
              </w:rPr>
              <w:tab/>
            </w:r>
            <w:r w:rsidR="005D5F6F" w:rsidRPr="00F65945">
              <w:rPr>
                <w:rStyle w:val="Hyperlink"/>
                <w:noProof/>
              </w:rPr>
              <w:t>Implementation: Identify Healthcare Service Use Subsequent to an Acute Inpatient Discharge</w:t>
            </w:r>
            <w:r w:rsidR="005D5F6F">
              <w:rPr>
                <w:noProof/>
                <w:webHidden/>
              </w:rPr>
              <w:tab/>
            </w:r>
            <w:r w:rsidR="005D5F6F">
              <w:rPr>
                <w:noProof/>
                <w:webHidden/>
              </w:rPr>
              <w:fldChar w:fldCharType="begin"/>
            </w:r>
            <w:r w:rsidR="005D5F6F">
              <w:rPr>
                <w:noProof/>
                <w:webHidden/>
              </w:rPr>
              <w:instrText xml:space="preserve"> PAGEREF _Toc32328724 \h </w:instrText>
            </w:r>
            <w:r w:rsidR="005D5F6F">
              <w:rPr>
                <w:noProof/>
                <w:webHidden/>
              </w:rPr>
            </w:r>
            <w:r w:rsidR="005D5F6F">
              <w:rPr>
                <w:noProof/>
                <w:webHidden/>
              </w:rPr>
              <w:fldChar w:fldCharType="separate"/>
            </w:r>
            <w:r w:rsidR="005D5F6F">
              <w:rPr>
                <w:noProof/>
                <w:webHidden/>
              </w:rPr>
              <w:t>12</w:t>
            </w:r>
            <w:r w:rsidR="005D5F6F">
              <w:rPr>
                <w:noProof/>
                <w:webHidden/>
              </w:rPr>
              <w:fldChar w:fldCharType="end"/>
            </w:r>
          </w:hyperlink>
        </w:p>
        <w:p w14:paraId="66273951" w14:textId="4447098E" w:rsidR="005D5F6F" w:rsidRDefault="00A30776">
          <w:pPr>
            <w:pStyle w:val="TOC1"/>
            <w:tabs>
              <w:tab w:val="right" w:leader="dot" w:pos="9350"/>
            </w:tabs>
            <w:rPr>
              <w:rFonts w:eastAsiaTheme="minorEastAsia"/>
              <w:noProof/>
              <w:sz w:val="22"/>
              <w:szCs w:val="22"/>
            </w:rPr>
          </w:pPr>
          <w:hyperlink w:anchor="_Toc32328725" w:history="1">
            <w:r w:rsidR="005D5F6F" w:rsidRPr="00F65945">
              <w:rPr>
                <w:rStyle w:val="Hyperlink"/>
                <w:noProof/>
              </w:rPr>
              <w:t>Appendix A: Acronyms and Abbreviations</w:t>
            </w:r>
            <w:r w:rsidR="005D5F6F">
              <w:rPr>
                <w:noProof/>
                <w:webHidden/>
              </w:rPr>
              <w:tab/>
            </w:r>
            <w:r w:rsidR="005D5F6F">
              <w:rPr>
                <w:noProof/>
                <w:webHidden/>
              </w:rPr>
              <w:fldChar w:fldCharType="begin"/>
            </w:r>
            <w:r w:rsidR="005D5F6F">
              <w:rPr>
                <w:noProof/>
                <w:webHidden/>
              </w:rPr>
              <w:instrText xml:space="preserve"> PAGEREF _Toc32328725 \h </w:instrText>
            </w:r>
            <w:r w:rsidR="005D5F6F">
              <w:rPr>
                <w:noProof/>
                <w:webHidden/>
              </w:rPr>
            </w:r>
            <w:r w:rsidR="005D5F6F">
              <w:rPr>
                <w:noProof/>
                <w:webHidden/>
              </w:rPr>
              <w:fldChar w:fldCharType="separate"/>
            </w:r>
            <w:r w:rsidR="005D5F6F">
              <w:rPr>
                <w:noProof/>
                <w:webHidden/>
              </w:rPr>
              <w:t>14</w:t>
            </w:r>
            <w:r w:rsidR="005D5F6F">
              <w:rPr>
                <w:noProof/>
                <w:webHidden/>
              </w:rPr>
              <w:fldChar w:fldCharType="end"/>
            </w:r>
          </w:hyperlink>
        </w:p>
        <w:p w14:paraId="439DCCF6" w14:textId="7AA8E3DA" w:rsidR="00F1548C" w:rsidRDefault="00F1548C">
          <w:r>
            <w:rPr>
              <w:b/>
              <w:bCs/>
              <w:noProof/>
            </w:rPr>
            <w:fldChar w:fldCharType="end"/>
          </w:r>
        </w:p>
      </w:sdtContent>
    </w:sdt>
    <w:p w14:paraId="41478C8D" w14:textId="70E06171" w:rsidR="002C4AE7" w:rsidRDefault="00C42094">
      <w:pPr>
        <w:spacing w:line="259" w:lineRule="auto"/>
        <w:rPr>
          <w:rFonts w:cstheme="minorHAnsi"/>
        </w:rPr>
      </w:pPr>
      <w:r>
        <w:rPr>
          <w:rFonts w:cstheme="minorHAnsi"/>
        </w:rPr>
        <w:br w:type="page"/>
      </w:r>
    </w:p>
    <w:p w14:paraId="212A5266" w14:textId="52C5D0AB" w:rsidR="00301AC4" w:rsidRPr="00301AC4" w:rsidRDefault="00392DDB" w:rsidP="00301AC4">
      <w:pPr>
        <w:pStyle w:val="Title"/>
        <w:rPr>
          <w:rFonts w:asciiTheme="minorHAnsi" w:hAnsiTheme="minorHAnsi" w:cstheme="minorHAnsi"/>
        </w:rPr>
      </w:pPr>
      <w:r>
        <w:rPr>
          <w:rFonts w:asciiTheme="minorHAnsi" w:hAnsiTheme="minorHAnsi" w:cstheme="minorHAnsi"/>
        </w:rPr>
        <w:lastRenderedPageBreak/>
        <w:t xml:space="preserve">HHS </w:t>
      </w:r>
      <w:r w:rsidR="00896DA2">
        <w:rPr>
          <w:rFonts w:asciiTheme="minorHAnsi" w:hAnsiTheme="minorHAnsi" w:cstheme="minorHAnsi"/>
        </w:rPr>
        <w:t>Solving Sepsis</w:t>
      </w:r>
      <w:r w:rsidR="00543316">
        <w:rPr>
          <w:rFonts w:asciiTheme="minorHAnsi" w:hAnsiTheme="minorHAnsi" w:cstheme="minorHAnsi"/>
        </w:rPr>
        <w:t xml:space="preserve"> Frame</w:t>
      </w:r>
      <w:r w:rsidR="00AB64A7">
        <w:rPr>
          <w:rFonts w:asciiTheme="minorHAnsi" w:hAnsiTheme="minorHAnsi" w:cstheme="minorHAnsi"/>
        </w:rPr>
        <w:t>work and Analytical Specifications</w:t>
      </w:r>
    </w:p>
    <w:p w14:paraId="32FEB0D8" w14:textId="1B5260DF" w:rsidR="001951CD" w:rsidRPr="00A2456E" w:rsidRDefault="00D45218" w:rsidP="009106C6">
      <w:pPr>
        <w:pStyle w:val="Heading1"/>
      </w:pPr>
      <w:bookmarkStart w:id="0" w:name="_Toc32328710"/>
      <w:r w:rsidRPr="00A2456E">
        <w:t>Introduction</w:t>
      </w:r>
      <w:bookmarkEnd w:id="0"/>
    </w:p>
    <w:p w14:paraId="2DE6EE09" w14:textId="7DD0CD76" w:rsidR="00FC5427" w:rsidRDefault="00FC5427" w:rsidP="0002094A">
      <w:r w:rsidRPr="00FC5427">
        <w:t xml:space="preserve">According to the Center for Disease Control and Prevention (CDC), </w:t>
      </w:r>
      <w:r w:rsidR="00F26C3E">
        <w:t>an estimated</w:t>
      </w:r>
      <w:r w:rsidRPr="00FC5427">
        <w:t xml:space="preserve"> 1.7 million Americans </w:t>
      </w:r>
      <w:r w:rsidR="00F26C3E">
        <w:t>develop</w:t>
      </w:r>
      <w:r w:rsidR="00490A14">
        <w:t xml:space="preserve"> sepsis each year</w:t>
      </w:r>
      <w:r w:rsidR="00DE6434">
        <w:t>,</w:t>
      </w:r>
      <w:r w:rsidR="00490A14">
        <w:t xml:space="preserve"> resulting in around </w:t>
      </w:r>
      <w:r w:rsidRPr="00FC5427">
        <w:t>270,000</w:t>
      </w:r>
      <w:r w:rsidR="00490A14">
        <w:t xml:space="preserve"> deaths</w:t>
      </w:r>
      <w:r w:rsidRPr="00FC5427">
        <w:t>.</w:t>
      </w:r>
      <w:r w:rsidR="00A52489">
        <w:rPr>
          <w:rStyle w:val="FootnoteReference"/>
        </w:rPr>
        <w:footnoteReference w:id="1"/>
      </w:r>
      <w:r w:rsidRPr="00FC5427">
        <w:t xml:space="preserve"> </w:t>
      </w:r>
      <w:r w:rsidR="00F26C3E">
        <w:t>The</w:t>
      </w:r>
      <w:r w:rsidRPr="00FC5427">
        <w:t xml:space="preserve"> </w:t>
      </w:r>
      <w:r w:rsidR="00F26C3E">
        <w:t xml:space="preserve">World Health Organization (WHO) estimates that over 30 million people worldwide will acquire sepsis annually, potentially leading </w:t>
      </w:r>
      <w:r w:rsidRPr="00FC5427">
        <w:t xml:space="preserve">to </w:t>
      </w:r>
      <w:r w:rsidR="00A52489">
        <w:t>six</w:t>
      </w:r>
      <w:r w:rsidRPr="00FC5427">
        <w:t xml:space="preserve"> million deaths</w:t>
      </w:r>
      <w:r>
        <w:t xml:space="preserve">. </w:t>
      </w:r>
      <w:r w:rsidRPr="00FC5427">
        <w:t>While</w:t>
      </w:r>
      <w:r w:rsidR="00490A14">
        <w:t xml:space="preserve"> anyone can become infected with sepsis, </w:t>
      </w:r>
      <w:r w:rsidRPr="00FC5427">
        <w:t>newborns, older persons, and persons with chronic health problems are among the most vulnerable</w:t>
      </w:r>
      <w:r w:rsidR="00F26C3E">
        <w:t xml:space="preserve"> groups</w:t>
      </w:r>
      <w:r w:rsidRPr="00FC5427">
        <w:t>.</w:t>
      </w:r>
      <w:r w:rsidR="00A52489">
        <w:rPr>
          <w:rStyle w:val="FootnoteReference"/>
        </w:rPr>
        <w:footnoteReference w:id="2"/>
      </w:r>
    </w:p>
    <w:p w14:paraId="07A7F79C" w14:textId="35BEDB53" w:rsidR="006E10A2" w:rsidRDefault="006E10A2" w:rsidP="006E10A2">
      <w:r>
        <w:t>Given the severity of this</w:t>
      </w:r>
      <w:r w:rsidR="00F26C3E">
        <w:t xml:space="preserve"> life-threatening condition</w:t>
      </w:r>
      <w:r>
        <w:t xml:space="preserve">, </w:t>
      </w:r>
      <w:r w:rsidR="006534C1">
        <w:t>t</w:t>
      </w:r>
      <w:r>
        <w:t>he</w:t>
      </w:r>
      <w:r w:rsidR="006534C1">
        <w:t xml:space="preserve"> Assistant Secretary for Preparedness and Response</w:t>
      </w:r>
      <w:r>
        <w:t xml:space="preserve"> </w:t>
      </w:r>
      <w:r w:rsidR="006534C1">
        <w:t xml:space="preserve">(ASPR), the </w:t>
      </w:r>
      <w:r w:rsidRPr="00FC5427">
        <w:t xml:space="preserve">Biomedical Advanced Research and Development Authority </w:t>
      </w:r>
      <w:r>
        <w:t>(BARDA)</w:t>
      </w:r>
      <w:r w:rsidR="00A92099">
        <w:t>,</w:t>
      </w:r>
      <w:r>
        <w:t xml:space="preserve"> </w:t>
      </w:r>
      <w:r w:rsidRPr="00FC5427">
        <w:t xml:space="preserve">and </w:t>
      </w:r>
      <w:r>
        <w:t>the Center for Medicare and Medicaid Services (</w:t>
      </w:r>
      <w:r w:rsidRPr="00FC5427">
        <w:t>CMS</w:t>
      </w:r>
      <w:r>
        <w:t>)</w:t>
      </w:r>
      <w:r w:rsidRPr="00FC5427">
        <w:t xml:space="preserve">, worked together to report on </w:t>
      </w:r>
      <w:r w:rsidR="009B4687">
        <w:t>s</w:t>
      </w:r>
      <w:r w:rsidRPr="00FC5427">
        <w:t xml:space="preserve">epsis among Medicare </w:t>
      </w:r>
      <w:r w:rsidR="009B4687">
        <w:t>b</w:t>
      </w:r>
      <w:r w:rsidRPr="00FC5427">
        <w:t>eneficiaries</w:t>
      </w:r>
      <w:r w:rsidR="00F26C3E">
        <w:t xml:space="preserve">. The aim was to produce reports that can </w:t>
      </w:r>
      <w:r w:rsidR="009B4687">
        <w:t xml:space="preserve">support efforts to reduce sepsis mortality rates and build more resilient communities. </w:t>
      </w:r>
    </w:p>
    <w:p w14:paraId="4DF9733C" w14:textId="6C3CACEC" w:rsidR="00392DDB" w:rsidRPr="00172C03" w:rsidRDefault="00E43924" w:rsidP="0002094A">
      <w:pPr>
        <w:rPr>
          <w:highlight w:val="yellow"/>
        </w:rPr>
      </w:pPr>
      <w:r w:rsidRPr="001C60A8">
        <w:t xml:space="preserve">Some of the </w:t>
      </w:r>
      <w:r w:rsidR="00FC5427" w:rsidRPr="001C60A8">
        <w:t xml:space="preserve">key questions </w:t>
      </w:r>
      <w:r w:rsidR="00F26C3E">
        <w:t xml:space="preserve">that were addressed in these analyses included </w:t>
      </w:r>
      <w:r w:rsidR="006F4124">
        <w:t xml:space="preserve">identifying </w:t>
      </w:r>
      <w:r w:rsidR="001C60A8" w:rsidRPr="001C60A8">
        <w:t>and quantify</w:t>
      </w:r>
      <w:r w:rsidR="006F4124">
        <w:t xml:space="preserve">ing </w:t>
      </w:r>
      <w:r w:rsidR="001C60A8" w:rsidRPr="001C60A8">
        <w:t xml:space="preserve">sepsis </w:t>
      </w:r>
      <w:r w:rsidR="0048728D">
        <w:t>prevalence</w:t>
      </w:r>
      <w:r w:rsidR="001C60A8" w:rsidRPr="001C60A8">
        <w:t>, estimat</w:t>
      </w:r>
      <w:r w:rsidR="006F4124">
        <w:t xml:space="preserve">ing </w:t>
      </w:r>
      <w:r w:rsidR="001C60A8" w:rsidRPr="001C60A8">
        <w:t>the cost burden of sepsis, understanding the impact of sepsis on mortality</w:t>
      </w:r>
      <w:r w:rsidR="006F4124">
        <w:t xml:space="preserve"> and other health outcomes</w:t>
      </w:r>
      <w:r w:rsidR="001C60A8" w:rsidRPr="001C60A8">
        <w:t xml:space="preserve">, </w:t>
      </w:r>
      <w:r w:rsidR="006F4124">
        <w:t xml:space="preserve">understanding </w:t>
      </w:r>
      <w:r w:rsidR="001C60A8" w:rsidRPr="001C60A8">
        <w:t xml:space="preserve">the healthcare trajectories </w:t>
      </w:r>
      <w:r w:rsidR="006F4124">
        <w:t xml:space="preserve">of patients who survive sepsis as well as the factors that contribute to the risk of </w:t>
      </w:r>
      <w:r w:rsidR="001C60A8" w:rsidRPr="001C60A8">
        <w:t>acquiring sepsis both in and out of a hospital.</w:t>
      </w:r>
      <w:r w:rsidR="00783A0D">
        <w:t xml:space="preserve"> </w:t>
      </w:r>
      <w:r w:rsidR="002C485D" w:rsidRPr="00437992">
        <w:t>This document provides</w:t>
      </w:r>
      <w:r w:rsidR="00437992">
        <w:t xml:space="preserve"> an overview of the methodology and data</w:t>
      </w:r>
      <w:r w:rsidR="002D0601">
        <w:t xml:space="preserve"> types</w:t>
      </w:r>
      <w:r w:rsidR="00437992">
        <w:t xml:space="preserve"> used in performing the</w:t>
      </w:r>
      <w:r w:rsidR="00783A0D">
        <w:t>se</w:t>
      </w:r>
      <w:r w:rsidR="00437992">
        <w:t xml:space="preserve"> sepsis analyses</w:t>
      </w:r>
      <w:r w:rsidR="002C485D" w:rsidRPr="00437992">
        <w:t xml:space="preserve">. </w:t>
      </w:r>
    </w:p>
    <w:p w14:paraId="37CF8095" w14:textId="4ADA6F43" w:rsidR="008D4553" w:rsidRDefault="00490B7C">
      <w:pPr>
        <w:pStyle w:val="Heading1"/>
      </w:pPr>
      <w:bookmarkStart w:id="1" w:name="_Ref484442378"/>
      <w:bookmarkStart w:id="2" w:name="_Toc32328711"/>
      <w:r>
        <w:t>Analytic Framework</w:t>
      </w:r>
      <w:bookmarkEnd w:id="1"/>
      <w:bookmarkEnd w:id="2"/>
    </w:p>
    <w:p w14:paraId="078463E7" w14:textId="04E03152" w:rsidR="004F2C7C" w:rsidRPr="00B42DB6" w:rsidRDefault="00384360" w:rsidP="000606FE">
      <w:pPr>
        <w:rPr>
          <w:lang w:eastAsia="ja-JP"/>
        </w:rPr>
      </w:pPr>
      <w:r w:rsidRPr="00B42DB6">
        <w:rPr>
          <w:lang w:eastAsia="ja-JP"/>
        </w:rPr>
        <w:t>This section provides an overview of our general analytic framework.</w:t>
      </w:r>
      <w:r w:rsidR="00DE14A0" w:rsidRPr="00B42DB6">
        <w:rPr>
          <w:lang w:eastAsia="ja-JP"/>
        </w:rPr>
        <w:t xml:space="preserve"> </w:t>
      </w:r>
      <w:r w:rsidR="009409E3" w:rsidRPr="00B42DB6">
        <w:rPr>
          <w:lang w:eastAsia="ja-JP"/>
        </w:rPr>
        <w:t>For our analyses of sepsis cases in the Medicare population, w</w:t>
      </w:r>
      <w:r w:rsidR="001A3B8C" w:rsidRPr="00B42DB6">
        <w:rPr>
          <w:lang w:eastAsia="ja-JP"/>
        </w:rPr>
        <w:t xml:space="preserve">e </w:t>
      </w:r>
      <w:r w:rsidR="001B00E5" w:rsidRPr="00B42DB6">
        <w:rPr>
          <w:lang w:eastAsia="ja-JP"/>
        </w:rPr>
        <w:t xml:space="preserve">rely primarily on </w:t>
      </w:r>
      <w:r w:rsidR="00C50364" w:rsidRPr="00B42DB6">
        <w:rPr>
          <w:lang w:eastAsia="ja-JP"/>
        </w:rPr>
        <w:t xml:space="preserve">Medicare Fee-For-Service (FFS) claims data from the Common Working File (CWF), </w:t>
      </w:r>
      <w:r w:rsidR="001B00E5" w:rsidRPr="00B42DB6">
        <w:rPr>
          <w:lang w:eastAsia="ja-JP"/>
        </w:rPr>
        <w:t xml:space="preserve">the Medicare Enrollment Database (EDB), </w:t>
      </w:r>
      <w:r w:rsidR="00C50364" w:rsidRPr="00B42DB6">
        <w:rPr>
          <w:lang w:eastAsia="ja-JP"/>
        </w:rPr>
        <w:t xml:space="preserve">and </w:t>
      </w:r>
      <w:r w:rsidR="001B00E5" w:rsidRPr="00B42DB6">
        <w:rPr>
          <w:lang w:eastAsia="ja-JP"/>
        </w:rPr>
        <w:t xml:space="preserve">the Long-Term Care </w:t>
      </w:r>
      <w:r w:rsidR="00DE4710" w:rsidRPr="00B42DB6">
        <w:rPr>
          <w:lang w:eastAsia="ja-JP"/>
        </w:rPr>
        <w:t>Minimum</w:t>
      </w:r>
      <w:r w:rsidR="00C50364" w:rsidRPr="00B42DB6">
        <w:rPr>
          <w:lang w:eastAsia="ja-JP"/>
        </w:rPr>
        <w:t xml:space="preserve"> Dataset (MDS).</w:t>
      </w:r>
    </w:p>
    <w:p w14:paraId="1C90C27B" w14:textId="02511DB1" w:rsidR="000606FE" w:rsidRPr="00B42DB6" w:rsidRDefault="001B00E5" w:rsidP="000606FE">
      <w:pPr>
        <w:rPr>
          <w:lang w:eastAsia="ja-JP"/>
        </w:rPr>
      </w:pPr>
      <w:r w:rsidRPr="00B42DB6">
        <w:rPr>
          <w:lang w:eastAsia="ja-JP"/>
        </w:rPr>
        <w:t>S</w:t>
      </w:r>
      <w:r w:rsidR="004F2C7C" w:rsidRPr="00B42DB6">
        <w:rPr>
          <w:lang w:eastAsia="ja-JP"/>
        </w:rPr>
        <w:t>ection</w:t>
      </w:r>
      <w:r w:rsidR="0072521C" w:rsidRPr="00B42DB6">
        <w:rPr>
          <w:lang w:eastAsia="ja-JP"/>
        </w:rPr>
        <w:t xml:space="preserve"> </w:t>
      </w:r>
      <w:r w:rsidR="0072521C" w:rsidRPr="00B42DB6">
        <w:rPr>
          <w:lang w:eastAsia="ja-JP"/>
        </w:rPr>
        <w:fldChar w:fldCharType="begin"/>
      </w:r>
      <w:r w:rsidR="0072521C" w:rsidRPr="00B42DB6">
        <w:rPr>
          <w:lang w:eastAsia="ja-JP"/>
        </w:rPr>
        <w:instrText xml:space="preserve"> REF _Ref484597820 \r \h </w:instrText>
      </w:r>
      <w:r w:rsidR="002376FA" w:rsidRPr="00B42DB6">
        <w:rPr>
          <w:lang w:eastAsia="ja-JP"/>
        </w:rPr>
        <w:instrText xml:space="preserve"> \* MERGEFORMAT </w:instrText>
      </w:r>
      <w:r w:rsidR="0072521C" w:rsidRPr="00B42DB6">
        <w:rPr>
          <w:lang w:eastAsia="ja-JP"/>
        </w:rPr>
      </w:r>
      <w:r w:rsidR="0072521C" w:rsidRPr="00B42DB6">
        <w:rPr>
          <w:lang w:eastAsia="ja-JP"/>
        </w:rPr>
        <w:fldChar w:fldCharType="separate"/>
      </w:r>
      <w:r w:rsidR="00897485" w:rsidRPr="00B42DB6">
        <w:rPr>
          <w:lang w:eastAsia="ja-JP"/>
        </w:rPr>
        <w:t>2.1</w:t>
      </w:r>
      <w:r w:rsidR="0072521C" w:rsidRPr="00B42DB6">
        <w:rPr>
          <w:lang w:eastAsia="ja-JP"/>
        </w:rPr>
        <w:fldChar w:fldCharType="end"/>
      </w:r>
      <w:r w:rsidR="004F2C7C" w:rsidRPr="00B42DB6">
        <w:rPr>
          <w:lang w:eastAsia="ja-JP"/>
        </w:rPr>
        <w:t xml:space="preserve"> </w:t>
      </w:r>
      <w:r w:rsidRPr="00B42DB6">
        <w:rPr>
          <w:lang w:eastAsia="ja-JP"/>
        </w:rPr>
        <w:t xml:space="preserve">introduces </w:t>
      </w:r>
      <w:r w:rsidR="004F2C7C" w:rsidRPr="00B42DB6">
        <w:rPr>
          <w:lang w:eastAsia="ja-JP"/>
        </w:rPr>
        <w:t xml:space="preserve">the analytic framework </w:t>
      </w:r>
      <w:r w:rsidR="00E04361" w:rsidRPr="00B42DB6">
        <w:rPr>
          <w:lang w:eastAsia="ja-JP"/>
        </w:rPr>
        <w:t>that we use to identify and analyze cases of inpatient sepsis in the Medicare population.</w:t>
      </w:r>
    </w:p>
    <w:p w14:paraId="15FD1B51" w14:textId="5AD75B17" w:rsidR="004F2C7C" w:rsidRPr="00B42DB6" w:rsidRDefault="004F2C7C" w:rsidP="00DE2724">
      <w:pPr>
        <w:pStyle w:val="Heading2"/>
      </w:pPr>
      <w:bookmarkStart w:id="3" w:name="_Ref484597820"/>
      <w:bookmarkStart w:id="4" w:name="_Toc32328712"/>
      <w:r w:rsidRPr="00B42DB6">
        <w:t xml:space="preserve">Components of </w:t>
      </w:r>
      <w:r w:rsidR="00E67F38" w:rsidRPr="00B42DB6">
        <w:t xml:space="preserve">The </w:t>
      </w:r>
      <w:r w:rsidRPr="00B42DB6">
        <w:t>Analytic Framework</w:t>
      </w:r>
      <w:bookmarkEnd w:id="3"/>
      <w:bookmarkEnd w:id="4"/>
    </w:p>
    <w:p w14:paraId="300CD754" w14:textId="17FE3EF6" w:rsidR="001A3B8C" w:rsidRPr="00B42DB6" w:rsidRDefault="001A3B8C" w:rsidP="00F27B21">
      <w:pPr>
        <w:rPr>
          <w:lang w:eastAsia="ja-JP"/>
        </w:rPr>
      </w:pPr>
      <w:r w:rsidRPr="00B42DB6">
        <w:rPr>
          <w:lang w:eastAsia="ja-JP"/>
        </w:rPr>
        <w:t xml:space="preserve">The analytic framework can be separated into two stages: </w:t>
      </w:r>
      <w:r w:rsidR="006358D3" w:rsidRPr="00B42DB6">
        <w:rPr>
          <w:lang w:eastAsia="ja-JP"/>
        </w:rPr>
        <w:t xml:space="preserve">i) </w:t>
      </w:r>
      <w:r w:rsidRPr="00B42DB6">
        <w:rPr>
          <w:lang w:eastAsia="ja-JP"/>
        </w:rPr>
        <w:t xml:space="preserve">identification of beneficiaries and </w:t>
      </w:r>
      <w:r w:rsidR="006358D3" w:rsidRPr="00B42DB6">
        <w:rPr>
          <w:lang w:eastAsia="ja-JP"/>
        </w:rPr>
        <w:t xml:space="preserve">inpatient stays and ii) </w:t>
      </w:r>
      <w:r w:rsidRPr="00B42DB6">
        <w:rPr>
          <w:lang w:eastAsia="ja-JP"/>
        </w:rPr>
        <w:t xml:space="preserve">construction of analytic </w:t>
      </w:r>
      <w:r w:rsidR="00DE4710" w:rsidRPr="00B42DB6">
        <w:rPr>
          <w:lang w:eastAsia="ja-JP"/>
        </w:rPr>
        <w:t>datasets</w:t>
      </w:r>
      <w:r w:rsidR="006358D3" w:rsidRPr="00B42DB6">
        <w:rPr>
          <w:lang w:eastAsia="ja-JP"/>
        </w:rPr>
        <w:t xml:space="preserve"> combining information on inpatient stays and beneficiary characteristics</w:t>
      </w:r>
      <w:r w:rsidRPr="00B42DB6">
        <w:rPr>
          <w:lang w:eastAsia="ja-JP"/>
        </w:rPr>
        <w:t>.</w:t>
      </w:r>
    </w:p>
    <w:p w14:paraId="1405E14F" w14:textId="47D083D4" w:rsidR="00DE14A0" w:rsidRPr="00B42DB6" w:rsidRDefault="00D705F8" w:rsidP="00461BD3">
      <w:pPr>
        <w:pStyle w:val="Heading5"/>
        <w:rPr>
          <w:b/>
          <w:lang w:eastAsia="ja-JP"/>
        </w:rPr>
      </w:pPr>
      <w:r w:rsidRPr="00B42DB6">
        <w:rPr>
          <w:b/>
          <w:lang w:eastAsia="ja-JP"/>
        </w:rPr>
        <w:t>IDENTIFICATION OF BENEFICIARIES</w:t>
      </w:r>
      <w:r w:rsidR="00AE3FA4" w:rsidRPr="00B42DB6">
        <w:rPr>
          <w:b/>
          <w:lang w:eastAsia="ja-JP"/>
        </w:rPr>
        <w:t xml:space="preserve"> AND INPATIENT STAYS</w:t>
      </w:r>
    </w:p>
    <w:p w14:paraId="46746CDE" w14:textId="6BA5ED87" w:rsidR="00BD0A11" w:rsidRPr="00B42DB6" w:rsidRDefault="00384360" w:rsidP="000606FE">
      <w:pPr>
        <w:rPr>
          <w:lang w:eastAsia="ja-JP"/>
        </w:rPr>
      </w:pPr>
      <w:r w:rsidRPr="00B42DB6">
        <w:rPr>
          <w:lang w:eastAsia="ja-JP"/>
        </w:rPr>
        <w:t xml:space="preserve">The process </w:t>
      </w:r>
      <w:r w:rsidR="00D00D7E" w:rsidRPr="00B42DB6">
        <w:rPr>
          <w:lang w:eastAsia="ja-JP"/>
        </w:rPr>
        <w:t xml:space="preserve">for </w:t>
      </w:r>
      <w:r w:rsidRPr="00B42DB6">
        <w:rPr>
          <w:lang w:eastAsia="ja-JP"/>
        </w:rPr>
        <w:t xml:space="preserve">identifying </w:t>
      </w:r>
      <w:r w:rsidR="00B04F65" w:rsidRPr="00B42DB6">
        <w:rPr>
          <w:lang w:eastAsia="ja-JP"/>
        </w:rPr>
        <w:t xml:space="preserve">inpatient sepsis stays for </w:t>
      </w:r>
      <w:r w:rsidR="00DE14A0" w:rsidRPr="00B42DB6">
        <w:rPr>
          <w:lang w:eastAsia="ja-JP"/>
        </w:rPr>
        <w:t xml:space="preserve">Medicare </w:t>
      </w:r>
      <w:r w:rsidR="001303F7" w:rsidRPr="00B42DB6">
        <w:rPr>
          <w:lang w:eastAsia="ja-JP"/>
        </w:rPr>
        <w:t xml:space="preserve">Fee-for-Service (FFS) </w:t>
      </w:r>
      <w:r w:rsidR="00B04F65" w:rsidRPr="00B42DB6">
        <w:rPr>
          <w:lang w:eastAsia="ja-JP"/>
        </w:rPr>
        <w:t xml:space="preserve">beneficiaries </w:t>
      </w:r>
      <w:r w:rsidRPr="00B42DB6">
        <w:rPr>
          <w:lang w:eastAsia="ja-JP"/>
        </w:rPr>
        <w:t xml:space="preserve">consists of </w:t>
      </w:r>
      <w:r w:rsidR="00B04F65" w:rsidRPr="00B42DB6">
        <w:rPr>
          <w:lang w:eastAsia="ja-JP"/>
        </w:rPr>
        <w:t xml:space="preserve">three </w:t>
      </w:r>
      <w:r w:rsidR="00156A72" w:rsidRPr="00B42DB6">
        <w:rPr>
          <w:lang w:eastAsia="ja-JP"/>
        </w:rPr>
        <w:t xml:space="preserve">steps. The first </w:t>
      </w:r>
      <w:r w:rsidR="00B04F65" w:rsidRPr="00B42DB6">
        <w:rPr>
          <w:lang w:eastAsia="ja-JP"/>
        </w:rPr>
        <w:t xml:space="preserve">two </w:t>
      </w:r>
      <w:r w:rsidR="00D00D7E" w:rsidRPr="00B42DB6">
        <w:rPr>
          <w:lang w:eastAsia="ja-JP"/>
        </w:rPr>
        <w:t xml:space="preserve">steps, or analytic streams, </w:t>
      </w:r>
      <w:r w:rsidR="00156A72" w:rsidRPr="00B42DB6">
        <w:rPr>
          <w:lang w:eastAsia="ja-JP"/>
        </w:rPr>
        <w:t xml:space="preserve">occur </w:t>
      </w:r>
      <w:r w:rsidR="00DE14A0" w:rsidRPr="00B42DB6">
        <w:rPr>
          <w:lang w:eastAsia="ja-JP"/>
        </w:rPr>
        <w:t>independent</w:t>
      </w:r>
      <w:r w:rsidR="00156A72" w:rsidRPr="00B42DB6">
        <w:rPr>
          <w:lang w:eastAsia="ja-JP"/>
        </w:rPr>
        <w:t>ly</w:t>
      </w:r>
      <w:r w:rsidR="00460DF2" w:rsidRPr="00B42DB6">
        <w:rPr>
          <w:lang w:eastAsia="ja-JP"/>
        </w:rPr>
        <w:t>.</w:t>
      </w:r>
      <w:r w:rsidRPr="00B42DB6">
        <w:rPr>
          <w:lang w:eastAsia="ja-JP"/>
        </w:rPr>
        <w:t xml:space="preserve"> </w:t>
      </w:r>
      <w:r w:rsidR="00156A72" w:rsidRPr="00B42DB6">
        <w:rPr>
          <w:lang w:eastAsia="ja-JP"/>
        </w:rPr>
        <w:t xml:space="preserve">The </w:t>
      </w:r>
      <w:r w:rsidR="00B04F65" w:rsidRPr="00B42DB6">
        <w:rPr>
          <w:lang w:eastAsia="ja-JP"/>
        </w:rPr>
        <w:t xml:space="preserve">third </w:t>
      </w:r>
      <w:r w:rsidR="00156A72" w:rsidRPr="00B42DB6">
        <w:rPr>
          <w:lang w:eastAsia="ja-JP"/>
        </w:rPr>
        <w:t xml:space="preserve">step </w:t>
      </w:r>
      <w:r w:rsidR="003A6DAE" w:rsidRPr="00B42DB6">
        <w:rPr>
          <w:lang w:eastAsia="ja-JP"/>
        </w:rPr>
        <w:lastRenderedPageBreak/>
        <w:t xml:space="preserve">merges </w:t>
      </w:r>
      <w:r w:rsidR="00156A72" w:rsidRPr="00B42DB6">
        <w:rPr>
          <w:lang w:eastAsia="ja-JP"/>
        </w:rPr>
        <w:t xml:space="preserve">the </w:t>
      </w:r>
      <w:r w:rsidR="00460DF2" w:rsidRPr="00B42DB6">
        <w:rPr>
          <w:lang w:eastAsia="ja-JP"/>
        </w:rPr>
        <w:t xml:space="preserve">output of the </w:t>
      </w:r>
      <w:r w:rsidR="00B04F65" w:rsidRPr="00B42DB6">
        <w:rPr>
          <w:lang w:eastAsia="ja-JP"/>
        </w:rPr>
        <w:t xml:space="preserve">two </w:t>
      </w:r>
      <w:r w:rsidR="00156A72" w:rsidRPr="00B42DB6">
        <w:rPr>
          <w:lang w:eastAsia="ja-JP"/>
        </w:rPr>
        <w:t xml:space="preserve">analytic streams into a single </w:t>
      </w:r>
      <w:r w:rsidR="00C026FA" w:rsidRPr="00B42DB6">
        <w:rPr>
          <w:lang w:eastAsia="ja-JP"/>
        </w:rPr>
        <w:t xml:space="preserve">master </w:t>
      </w:r>
      <w:r w:rsidR="004F534D" w:rsidRPr="00B42DB6">
        <w:rPr>
          <w:lang w:eastAsia="ja-JP"/>
        </w:rPr>
        <w:t>inpatient stay</w:t>
      </w:r>
      <w:r w:rsidR="00156A72" w:rsidRPr="00B42DB6">
        <w:rPr>
          <w:lang w:eastAsia="ja-JP"/>
        </w:rPr>
        <w:t xml:space="preserve">-level </w:t>
      </w:r>
      <w:r w:rsidR="00EE41EE" w:rsidRPr="00B42DB6">
        <w:rPr>
          <w:lang w:eastAsia="ja-JP"/>
        </w:rPr>
        <w:t>dataset</w:t>
      </w:r>
      <w:r w:rsidR="00C026FA" w:rsidRPr="00B42DB6">
        <w:rPr>
          <w:lang w:eastAsia="ja-JP"/>
        </w:rPr>
        <w:t xml:space="preserve"> </w:t>
      </w:r>
      <w:r w:rsidR="005A46D7" w:rsidRPr="00B42DB6">
        <w:rPr>
          <w:lang w:eastAsia="ja-JP"/>
        </w:rPr>
        <w:t>that we use for our key analyses</w:t>
      </w:r>
      <w:r w:rsidR="00C026FA" w:rsidRPr="00B42DB6">
        <w:rPr>
          <w:lang w:eastAsia="ja-JP"/>
        </w:rPr>
        <w:t>.</w:t>
      </w:r>
      <w:r w:rsidR="00BD0A11" w:rsidRPr="00B42DB6">
        <w:rPr>
          <w:lang w:eastAsia="ja-JP"/>
        </w:rPr>
        <w:t xml:space="preserve"> </w:t>
      </w:r>
      <w:r w:rsidR="005A75AE" w:rsidRPr="00C67D82">
        <w:rPr>
          <w:lang w:eastAsia="ja-JP"/>
        </w:rPr>
        <w:t>The fourth step</w:t>
      </w:r>
      <w:r w:rsidR="00C67D82" w:rsidRPr="00C67D82">
        <w:rPr>
          <w:lang w:eastAsia="ja-JP"/>
        </w:rPr>
        <w:t xml:space="preserve"> </w:t>
      </w:r>
      <w:r w:rsidR="007A4DEB">
        <w:rPr>
          <w:lang w:eastAsia="ja-JP"/>
        </w:rPr>
        <w:t>create</w:t>
      </w:r>
      <w:r w:rsidR="00AC7A66">
        <w:rPr>
          <w:lang w:eastAsia="ja-JP"/>
        </w:rPr>
        <w:t xml:space="preserve">s </w:t>
      </w:r>
      <w:r w:rsidR="00C67D82" w:rsidRPr="00C67D82">
        <w:rPr>
          <w:lang w:eastAsia="ja-JP"/>
        </w:rPr>
        <w:t>measures of beneficiary health history and healthcare service use prior to inpatient admission. The fifth step identifies healthcare service use subsequent</w:t>
      </w:r>
      <w:r w:rsidR="00C67D82">
        <w:rPr>
          <w:lang w:eastAsia="ja-JP"/>
        </w:rPr>
        <w:t xml:space="preserve"> to an acute inpatient discharge.</w:t>
      </w:r>
      <w:r w:rsidR="005A75AE">
        <w:rPr>
          <w:lang w:eastAsia="ja-JP"/>
        </w:rPr>
        <w:t xml:space="preserve"> </w:t>
      </w:r>
      <w:r w:rsidR="00BD0A11" w:rsidRPr="00B42DB6">
        <w:rPr>
          <w:lang w:eastAsia="ja-JP"/>
        </w:rPr>
        <w:t>The implementation of each analytic stream is detailed in Section</w:t>
      </w:r>
      <w:r w:rsidR="00504B0B" w:rsidRPr="00B42DB6">
        <w:rPr>
          <w:lang w:eastAsia="ja-JP"/>
        </w:rPr>
        <w:t xml:space="preserve"> </w:t>
      </w:r>
      <w:r w:rsidR="00504B0B" w:rsidRPr="00B42DB6">
        <w:rPr>
          <w:lang w:eastAsia="ja-JP"/>
        </w:rPr>
        <w:fldChar w:fldCharType="begin"/>
      </w:r>
      <w:r w:rsidR="00504B0B" w:rsidRPr="00B42DB6">
        <w:rPr>
          <w:lang w:eastAsia="ja-JP"/>
        </w:rPr>
        <w:instrText xml:space="preserve"> REF _Ref484597620 \r \h </w:instrText>
      </w:r>
      <w:r w:rsidR="002376FA" w:rsidRPr="00B42DB6">
        <w:rPr>
          <w:lang w:eastAsia="ja-JP"/>
        </w:rPr>
        <w:instrText xml:space="preserve"> \* MERGEFORMAT </w:instrText>
      </w:r>
      <w:r w:rsidR="00504B0B" w:rsidRPr="00B42DB6">
        <w:rPr>
          <w:lang w:eastAsia="ja-JP"/>
        </w:rPr>
      </w:r>
      <w:r w:rsidR="00504B0B" w:rsidRPr="00B42DB6">
        <w:rPr>
          <w:lang w:eastAsia="ja-JP"/>
        </w:rPr>
        <w:fldChar w:fldCharType="separate"/>
      </w:r>
      <w:r w:rsidR="00897485" w:rsidRPr="00B42DB6">
        <w:rPr>
          <w:lang w:eastAsia="ja-JP"/>
        </w:rPr>
        <w:t>4</w:t>
      </w:r>
      <w:r w:rsidR="00504B0B" w:rsidRPr="00B42DB6">
        <w:rPr>
          <w:lang w:eastAsia="ja-JP"/>
        </w:rPr>
        <w:fldChar w:fldCharType="end"/>
      </w:r>
      <w:r w:rsidR="00BD0A11" w:rsidRPr="00B42DB6">
        <w:rPr>
          <w:lang w:eastAsia="ja-JP"/>
        </w:rPr>
        <w:t xml:space="preserve">. </w:t>
      </w:r>
    </w:p>
    <w:p w14:paraId="748B6F3B" w14:textId="7B815F34" w:rsidR="000606FE" w:rsidRPr="00B42DB6" w:rsidRDefault="000606FE" w:rsidP="000606FE">
      <w:pPr>
        <w:rPr>
          <w:lang w:eastAsia="ja-JP"/>
        </w:rPr>
      </w:pPr>
      <w:r w:rsidRPr="00B42DB6">
        <w:rPr>
          <w:lang w:eastAsia="ja-JP"/>
        </w:rPr>
        <w:t>Each stream provides answers to the following questions:</w:t>
      </w:r>
    </w:p>
    <w:p w14:paraId="24371E33" w14:textId="6BFBA53F" w:rsidR="000606FE" w:rsidRPr="00B42DB6" w:rsidRDefault="001303F7" w:rsidP="00A82906">
      <w:pPr>
        <w:pStyle w:val="ListParagraph"/>
        <w:numPr>
          <w:ilvl w:val="0"/>
          <w:numId w:val="8"/>
        </w:numPr>
        <w:rPr>
          <w:lang w:eastAsia="ja-JP"/>
        </w:rPr>
      </w:pPr>
      <w:r w:rsidRPr="00B42DB6">
        <w:rPr>
          <w:rFonts w:asciiTheme="majorHAnsi" w:hAnsiTheme="majorHAnsi" w:cstheme="majorHAnsi"/>
          <w:sz w:val="20"/>
          <w:lang w:eastAsia="ja-JP"/>
        </w:rPr>
        <w:t xml:space="preserve">Who is alive and enrolled in FFS </w:t>
      </w:r>
      <w:r w:rsidR="000606FE" w:rsidRPr="00B42DB6">
        <w:rPr>
          <w:rFonts w:asciiTheme="majorHAnsi" w:hAnsiTheme="majorHAnsi" w:cstheme="majorHAnsi"/>
          <w:sz w:val="20"/>
          <w:lang w:eastAsia="ja-JP"/>
        </w:rPr>
        <w:t>Medicare</w:t>
      </w:r>
      <w:r w:rsidR="00FC249D" w:rsidRPr="00B42DB6">
        <w:rPr>
          <w:rFonts w:asciiTheme="majorHAnsi" w:hAnsiTheme="majorHAnsi" w:cstheme="majorHAnsi"/>
          <w:sz w:val="20"/>
          <w:lang w:eastAsia="ja-JP"/>
        </w:rPr>
        <w:t xml:space="preserve"> in each month</w:t>
      </w:r>
      <w:r w:rsidR="000606FE" w:rsidRPr="00B42DB6">
        <w:rPr>
          <w:rFonts w:asciiTheme="majorHAnsi" w:hAnsiTheme="majorHAnsi" w:cstheme="majorHAnsi"/>
          <w:sz w:val="20"/>
          <w:lang w:eastAsia="ja-JP"/>
        </w:rPr>
        <w:t xml:space="preserve"> and could potentially </w:t>
      </w:r>
      <w:r w:rsidR="00B04F65" w:rsidRPr="00B42DB6">
        <w:rPr>
          <w:rFonts w:asciiTheme="majorHAnsi" w:hAnsiTheme="majorHAnsi" w:cstheme="majorHAnsi"/>
          <w:sz w:val="20"/>
          <w:lang w:eastAsia="ja-JP"/>
        </w:rPr>
        <w:t>have an inpatient stay</w:t>
      </w:r>
      <w:r w:rsidR="000606FE" w:rsidRPr="00B42DB6">
        <w:rPr>
          <w:rFonts w:asciiTheme="majorHAnsi" w:hAnsiTheme="majorHAnsi" w:cstheme="majorHAnsi"/>
          <w:sz w:val="20"/>
          <w:lang w:eastAsia="ja-JP"/>
        </w:rPr>
        <w:t>?</w:t>
      </w:r>
    </w:p>
    <w:p w14:paraId="37B3D104" w14:textId="5216C114" w:rsidR="000606FE" w:rsidRPr="00B42DB6" w:rsidRDefault="000606FE" w:rsidP="00B04F65">
      <w:pPr>
        <w:pStyle w:val="ListParagraph"/>
        <w:numPr>
          <w:ilvl w:val="0"/>
          <w:numId w:val="8"/>
        </w:numPr>
        <w:rPr>
          <w:lang w:eastAsia="ja-JP"/>
        </w:rPr>
      </w:pPr>
      <w:r w:rsidRPr="00B42DB6">
        <w:rPr>
          <w:rFonts w:asciiTheme="majorHAnsi" w:hAnsiTheme="majorHAnsi" w:cstheme="majorHAnsi"/>
          <w:sz w:val="20"/>
          <w:lang w:eastAsia="ja-JP"/>
        </w:rPr>
        <w:t xml:space="preserve">Who </w:t>
      </w:r>
      <w:r w:rsidR="00B04F65" w:rsidRPr="00B42DB6">
        <w:rPr>
          <w:rFonts w:asciiTheme="majorHAnsi" w:hAnsiTheme="majorHAnsi" w:cstheme="majorHAnsi"/>
          <w:sz w:val="20"/>
          <w:lang w:eastAsia="ja-JP"/>
        </w:rPr>
        <w:t>had an inpatient stay in each month</w:t>
      </w:r>
      <w:r w:rsidRPr="00B42DB6">
        <w:rPr>
          <w:rFonts w:asciiTheme="majorHAnsi" w:hAnsiTheme="majorHAnsi" w:cstheme="majorHAnsi"/>
          <w:sz w:val="20"/>
          <w:lang w:eastAsia="ja-JP"/>
        </w:rPr>
        <w:t>?</w:t>
      </w:r>
      <w:r w:rsidR="00B04F65" w:rsidRPr="00B42DB6">
        <w:rPr>
          <w:rFonts w:asciiTheme="majorHAnsi" w:hAnsiTheme="majorHAnsi" w:cstheme="majorHAnsi"/>
          <w:sz w:val="20"/>
          <w:lang w:eastAsia="ja-JP"/>
        </w:rPr>
        <w:t xml:space="preserve"> How many of those inpatient stays included a sepsis diagnosis?</w:t>
      </w:r>
    </w:p>
    <w:p w14:paraId="4DF9EC97" w14:textId="77777777" w:rsidR="00B04F65" w:rsidRPr="00B42DB6" w:rsidRDefault="00B04F65" w:rsidP="00B04F65">
      <w:pPr>
        <w:pStyle w:val="ListParagraph"/>
        <w:rPr>
          <w:lang w:eastAsia="ja-JP"/>
        </w:rPr>
      </w:pPr>
    </w:p>
    <w:p w14:paraId="4CB84591" w14:textId="0FD4B2AB" w:rsidR="007F7949" w:rsidRPr="00B42DB6" w:rsidRDefault="006306BF" w:rsidP="00A82906">
      <w:pPr>
        <w:pStyle w:val="ListParagraph"/>
        <w:numPr>
          <w:ilvl w:val="0"/>
          <w:numId w:val="12"/>
        </w:numPr>
        <w:tabs>
          <w:tab w:val="left" w:pos="900"/>
        </w:tabs>
        <w:ind w:left="900" w:hanging="180"/>
        <w:rPr>
          <w:rFonts w:asciiTheme="majorHAnsi" w:hAnsiTheme="majorHAnsi" w:cstheme="majorHAnsi"/>
          <w:b/>
          <w:lang w:eastAsia="ja-JP"/>
        </w:rPr>
      </w:pPr>
      <w:r w:rsidRPr="00B42DB6">
        <w:rPr>
          <w:rFonts w:asciiTheme="majorHAnsi" w:hAnsiTheme="majorHAnsi" w:cstheme="majorHAnsi"/>
          <w:b/>
          <w:sz w:val="20"/>
          <w:szCs w:val="20"/>
          <w:lang w:eastAsia="ja-JP"/>
        </w:rPr>
        <w:t>Identify</w:t>
      </w:r>
      <w:r w:rsidR="00DE14A0" w:rsidRPr="00B42DB6">
        <w:rPr>
          <w:rFonts w:asciiTheme="majorHAnsi" w:hAnsiTheme="majorHAnsi" w:cstheme="majorHAnsi"/>
          <w:b/>
          <w:sz w:val="20"/>
          <w:szCs w:val="20"/>
          <w:lang w:eastAsia="ja-JP"/>
        </w:rPr>
        <w:t xml:space="preserve"> beneficiaries who are alive and enrolled in </w:t>
      </w:r>
      <w:r w:rsidR="00FD1137" w:rsidRPr="00B42DB6">
        <w:rPr>
          <w:rFonts w:asciiTheme="majorHAnsi" w:hAnsiTheme="majorHAnsi" w:cstheme="majorHAnsi"/>
          <w:b/>
          <w:sz w:val="20"/>
          <w:szCs w:val="20"/>
          <w:lang w:eastAsia="ja-JP"/>
        </w:rPr>
        <w:t xml:space="preserve">Fee-for-Service </w:t>
      </w:r>
      <w:r w:rsidR="00DE14A0" w:rsidRPr="00B42DB6">
        <w:rPr>
          <w:rFonts w:asciiTheme="majorHAnsi" w:hAnsiTheme="majorHAnsi" w:cstheme="majorHAnsi"/>
          <w:b/>
          <w:sz w:val="20"/>
          <w:szCs w:val="20"/>
          <w:lang w:eastAsia="ja-JP"/>
        </w:rPr>
        <w:t xml:space="preserve">Medicare </w:t>
      </w:r>
      <w:r w:rsidR="00FD1137" w:rsidRPr="00B42DB6">
        <w:rPr>
          <w:rFonts w:asciiTheme="majorHAnsi" w:hAnsiTheme="majorHAnsi" w:cstheme="majorHAnsi"/>
          <w:b/>
          <w:sz w:val="20"/>
          <w:szCs w:val="20"/>
          <w:lang w:eastAsia="ja-JP"/>
        </w:rPr>
        <w:t>(Parts A and B but not</w:t>
      </w:r>
      <w:r w:rsidR="003E3C76" w:rsidRPr="00B42DB6">
        <w:rPr>
          <w:rFonts w:asciiTheme="majorHAnsi" w:hAnsiTheme="majorHAnsi" w:cstheme="majorHAnsi"/>
          <w:b/>
          <w:sz w:val="20"/>
          <w:szCs w:val="20"/>
          <w:lang w:eastAsia="ja-JP"/>
        </w:rPr>
        <w:t xml:space="preserve"> </w:t>
      </w:r>
      <w:r w:rsidR="00DE14A0" w:rsidRPr="00B42DB6">
        <w:rPr>
          <w:rFonts w:asciiTheme="majorHAnsi" w:hAnsiTheme="majorHAnsi" w:cstheme="majorHAnsi"/>
          <w:b/>
          <w:sz w:val="20"/>
          <w:szCs w:val="20"/>
          <w:lang w:eastAsia="ja-JP"/>
        </w:rPr>
        <w:t>C)</w:t>
      </w:r>
      <w:r w:rsidR="003E3C76" w:rsidRPr="00B42DB6">
        <w:rPr>
          <w:rFonts w:asciiTheme="majorHAnsi" w:hAnsiTheme="majorHAnsi" w:cstheme="majorHAnsi"/>
          <w:b/>
          <w:sz w:val="20"/>
          <w:szCs w:val="20"/>
          <w:lang w:eastAsia="ja-JP"/>
        </w:rPr>
        <w:t xml:space="preserve"> in the month</w:t>
      </w:r>
      <w:r w:rsidR="00DE14A0" w:rsidRPr="00B42DB6">
        <w:rPr>
          <w:rFonts w:asciiTheme="majorHAnsi" w:hAnsiTheme="majorHAnsi" w:cstheme="majorHAnsi"/>
          <w:b/>
          <w:sz w:val="20"/>
          <w:szCs w:val="20"/>
          <w:lang w:eastAsia="ja-JP"/>
        </w:rPr>
        <w:t>.</w:t>
      </w:r>
      <w:r w:rsidR="003A6DAE" w:rsidRPr="00B42DB6">
        <w:rPr>
          <w:rFonts w:asciiTheme="majorHAnsi" w:hAnsiTheme="majorHAnsi" w:cstheme="majorHAnsi"/>
          <w:b/>
          <w:sz w:val="20"/>
          <w:szCs w:val="20"/>
          <w:lang w:eastAsia="ja-JP"/>
        </w:rPr>
        <w:t xml:space="preserve"> </w:t>
      </w:r>
    </w:p>
    <w:p w14:paraId="77456923" w14:textId="77777777" w:rsidR="007F7949" w:rsidRPr="00B42DB6" w:rsidRDefault="007F7949" w:rsidP="00461BD3">
      <w:pPr>
        <w:pStyle w:val="ListParagraph"/>
        <w:tabs>
          <w:tab w:val="left" w:pos="900"/>
        </w:tabs>
        <w:ind w:left="900" w:hanging="180"/>
        <w:rPr>
          <w:rFonts w:asciiTheme="majorHAnsi" w:hAnsiTheme="majorHAnsi" w:cstheme="majorHAnsi"/>
          <w:lang w:eastAsia="ja-JP"/>
        </w:rPr>
      </w:pPr>
    </w:p>
    <w:p w14:paraId="3D9BB133" w14:textId="473BDAE9" w:rsidR="003E3C76" w:rsidRPr="00B42DB6" w:rsidRDefault="003A6DAE" w:rsidP="00B04F65">
      <w:pPr>
        <w:pStyle w:val="ListParagraph"/>
        <w:tabs>
          <w:tab w:val="left" w:pos="900"/>
        </w:tabs>
        <w:ind w:left="900"/>
        <w:rPr>
          <w:rFonts w:asciiTheme="majorHAnsi" w:hAnsiTheme="majorHAnsi" w:cstheme="majorHAnsi"/>
          <w:lang w:eastAsia="ja-JP"/>
        </w:rPr>
      </w:pPr>
      <w:r w:rsidRPr="00B42DB6">
        <w:rPr>
          <w:rFonts w:asciiTheme="majorHAnsi" w:hAnsiTheme="majorHAnsi" w:cstheme="majorHAnsi"/>
          <w:sz w:val="20"/>
          <w:szCs w:val="20"/>
          <w:lang w:eastAsia="ja-JP"/>
        </w:rPr>
        <w:t xml:space="preserve">In this </w:t>
      </w:r>
      <w:r w:rsidR="003E3C76" w:rsidRPr="00B42DB6">
        <w:rPr>
          <w:rFonts w:asciiTheme="majorHAnsi" w:hAnsiTheme="majorHAnsi" w:cstheme="majorHAnsi"/>
          <w:sz w:val="20"/>
          <w:szCs w:val="20"/>
          <w:lang w:eastAsia="ja-JP"/>
        </w:rPr>
        <w:t>step</w:t>
      </w:r>
      <w:r w:rsidR="00E27BD4">
        <w:rPr>
          <w:rFonts w:asciiTheme="majorHAnsi" w:hAnsiTheme="majorHAnsi" w:cstheme="majorHAnsi"/>
          <w:sz w:val="20"/>
          <w:szCs w:val="20"/>
          <w:lang w:eastAsia="ja-JP"/>
        </w:rPr>
        <w:t>,</w:t>
      </w:r>
      <w:r w:rsidRPr="00B42DB6">
        <w:rPr>
          <w:rFonts w:asciiTheme="majorHAnsi" w:hAnsiTheme="majorHAnsi" w:cstheme="majorHAnsi"/>
          <w:sz w:val="20"/>
          <w:szCs w:val="20"/>
          <w:lang w:eastAsia="ja-JP"/>
        </w:rPr>
        <w:t xml:space="preserve"> we also gather information about </w:t>
      </w:r>
      <w:r w:rsidR="006306BF" w:rsidRPr="00B42DB6">
        <w:rPr>
          <w:rFonts w:asciiTheme="majorHAnsi" w:hAnsiTheme="majorHAnsi" w:cstheme="majorHAnsi"/>
          <w:sz w:val="20"/>
          <w:szCs w:val="20"/>
          <w:lang w:eastAsia="ja-JP"/>
        </w:rPr>
        <w:t>each</w:t>
      </w:r>
      <w:r w:rsidRPr="00B42DB6">
        <w:rPr>
          <w:rFonts w:asciiTheme="majorHAnsi" w:hAnsiTheme="majorHAnsi" w:cstheme="majorHAnsi"/>
          <w:sz w:val="20"/>
          <w:szCs w:val="20"/>
          <w:lang w:eastAsia="ja-JP"/>
        </w:rPr>
        <w:t xml:space="preserve"> beneficiary’s zip code, Medicare-Medicaid d</w:t>
      </w:r>
      <w:r w:rsidR="009A424F" w:rsidRPr="00B42DB6">
        <w:rPr>
          <w:rFonts w:asciiTheme="majorHAnsi" w:hAnsiTheme="majorHAnsi" w:cstheme="majorHAnsi"/>
          <w:sz w:val="20"/>
          <w:szCs w:val="20"/>
          <w:lang w:eastAsia="ja-JP"/>
        </w:rPr>
        <w:t>ual eligibility status, address</w:t>
      </w:r>
      <w:r w:rsidR="00F81160" w:rsidRPr="00B42DB6">
        <w:rPr>
          <w:rFonts w:asciiTheme="majorHAnsi" w:hAnsiTheme="majorHAnsi" w:cstheme="majorHAnsi"/>
          <w:sz w:val="20"/>
          <w:szCs w:val="20"/>
          <w:lang w:eastAsia="ja-JP"/>
        </w:rPr>
        <w:t>,</w:t>
      </w:r>
      <w:r w:rsidRPr="00B42DB6">
        <w:rPr>
          <w:rFonts w:asciiTheme="majorHAnsi" w:hAnsiTheme="majorHAnsi" w:cstheme="majorHAnsi"/>
          <w:sz w:val="20"/>
          <w:szCs w:val="20"/>
          <w:lang w:eastAsia="ja-JP"/>
        </w:rPr>
        <w:t xml:space="preserve"> and name information</w:t>
      </w:r>
      <w:r w:rsidR="00AC7A66">
        <w:rPr>
          <w:rFonts w:asciiTheme="majorHAnsi" w:hAnsiTheme="majorHAnsi" w:cstheme="majorHAnsi"/>
          <w:sz w:val="20"/>
          <w:szCs w:val="20"/>
          <w:lang w:eastAsia="ja-JP"/>
        </w:rPr>
        <w:t xml:space="preserve"> from the Medicare EDB</w:t>
      </w:r>
      <w:r w:rsidRPr="00B42DB6">
        <w:rPr>
          <w:rFonts w:asciiTheme="majorHAnsi" w:hAnsiTheme="majorHAnsi" w:cstheme="majorHAnsi"/>
          <w:sz w:val="20"/>
          <w:szCs w:val="20"/>
          <w:lang w:eastAsia="ja-JP"/>
        </w:rPr>
        <w:t xml:space="preserve">. </w:t>
      </w:r>
      <w:r w:rsidR="00700FF5" w:rsidRPr="00B42DB6">
        <w:rPr>
          <w:rFonts w:asciiTheme="majorHAnsi" w:hAnsiTheme="majorHAnsi" w:cstheme="majorHAnsi"/>
          <w:sz w:val="20"/>
          <w:szCs w:val="20"/>
          <w:lang w:eastAsia="ja-JP"/>
        </w:rPr>
        <w:t xml:space="preserve">We supplement the EDB data with an </w:t>
      </w:r>
      <w:r w:rsidR="008910DE" w:rsidRPr="00B42DB6">
        <w:rPr>
          <w:rFonts w:asciiTheme="majorHAnsi" w:hAnsiTheme="majorHAnsi" w:cstheme="majorHAnsi"/>
          <w:sz w:val="20"/>
          <w:szCs w:val="20"/>
          <w:lang w:eastAsia="ja-JP"/>
        </w:rPr>
        <w:t>Integrated Data Repository (</w:t>
      </w:r>
      <w:r w:rsidR="00700FF5" w:rsidRPr="00B42DB6">
        <w:rPr>
          <w:rFonts w:asciiTheme="majorHAnsi" w:hAnsiTheme="majorHAnsi" w:cstheme="majorHAnsi"/>
          <w:sz w:val="20"/>
          <w:szCs w:val="20"/>
          <w:lang w:eastAsia="ja-JP"/>
        </w:rPr>
        <w:t>IDR</w:t>
      </w:r>
      <w:r w:rsidR="008910DE" w:rsidRPr="00B42DB6">
        <w:rPr>
          <w:rFonts w:asciiTheme="majorHAnsi" w:hAnsiTheme="majorHAnsi" w:cstheme="majorHAnsi"/>
          <w:sz w:val="20"/>
          <w:szCs w:val="20"/>
          <w:lang w:eastAsia="ja-JP"/>
        </w:rPr>
        <w:t>)</w:t>
      </w:r>
      <w:r w:rsidR="00700FF5" w:rsidRPr="00B42DB6">
        <w:rPr>
          <w:rFonts w:asciiTheme="majorHAnsi" w:hAnsiTheme="majorHAnsi" w:cstheme="majorHAnsi"/>
          <w:sz w:val="20"/>
          <w:szCs w:val="20"/>
          <w:lang w:eastAsia="ja-JP"/>
        </w:rPr>
        <w:t xml:space="preserve"> dual eligibility file to specifically identify dual eligible beneficiaries in US territories. </w:t>
      </w:r>
    </w:p>
    <w:p w14:paraId="6DE9DBA6" w14:textId="77777777" w:rsidR="003E3C76" w:rsidRPr="00B42DB6" w:rsidRDefault="003E3C76" w:rsidP="00B04F65">
      <w:pPr>
        <w:tabs>
          <w:tab w:val="left" w:pos="900"/>
        </w:tabs>
        <w:rPr>
          <w:rFonts w:asciiTheme="majorHAnsi" w:hAnsiTheme="majorHAnsi" w:cstheme="majorHAnsi"/>
          <w:lang w:eastAsia="ja-JP"/>
        </w:rPr>
      </w:pPr>
    </w:p>
    <w:p w14:paraId="177F1FE6" w14:textId="2DADCDD4" w:rsidR="003E3C76" w:rsidRPr="00B42DB6" w:rsidRDefault="006306BF" w:rsidP="00A82906">
      <w:pPr>
        <w:pStyle w:val="ListParagraph"/>
        <w:numPr>
          <w:ilvl w:val="0"/>
          <w:numId w:val="12"/>
        </w:numPr>
        <w:tabs>
          <w:tab w:val="left" w:pos="900"/>
        </w:tabs>
        <w:ind w:left="900" w:hanging="180"/>
        <w:rPr>
          <w:rFonts w:asciiTheme="majorHAnsi" w:hAnsiTheme="majorHAnsi" w:cstheme="majorHAnsi"/>
          <w:b/>
          <w:lang w:eastAsia="ja-JP"/>
        </w:rPr>
      </w:pPr>
      <w:r w:rsidRPr="00B42DB6">
        <w:rPr>
          <w:rFonts w:asciiTheme="majorHAnsi" w:hAnsiTheme="majorHAnsi" w:cstheme="majorHAnsi"/>
          <w:b/>
          <w:sz w:val="20"/>
          <w:szCs w:val="20"/>
          <w:lang w:eastAsia="ja-JP"/>
        </w:rPr>
        <w:t>Identify</w:t>
      </w:r>
      <w:r w:rsidR="00DE14A0" w:rsidRPr="00B42DB6">
        <w:rPr>
          <w:rFonts w:asciiTheme="majorHAnsi" w:hAnsiTheme="majorHAnsi" w:cstheme="majorHAnsi"/>
          <w:b/>
          <w:sz w:val="20"/>
          <w:szCs w:val="20"/>
          <w:lang w:eastAsia="ja-JP"/>
        </w:rPr>
        <w:t xml:space="preserve"> </w:t>
      </w:r>
      <w:r w:rsidR="00DB6482" w:rsidRPr="00B42DB6">
        <w:rPr>
          <w:rFonts w:asciiTheme="majorHAnsi" w:hAnsiTheme="majorHAnsi" w:cstheme="majorHAnsi"/>
          <w:b/>
          <w:sz w:val="20"/>
          <w:szCs w:val="20"/>
          <w:lang w:eastAsia="ja-JP"/>
        </w:rPr>
        <w:t>inpatient stays in each month, both overall and those with a sepsis diagnosis</w:t>
      </w:r>
      <w:r w:rsidR="00AE5998" w:rsidRPr="00B42DB6">
        <w:rPr>
          <w:rFonts w:asciiTheme="majorHAnsi" w:hAnsiTheme="majorHAnsi" w:cstheme="majorHAnsi"/>
          <w:b/>
          <w:sz w:val="20"/>
          <w:szCs w:val="20"/>
          <w:lang w:eastAsia="ja-JP"/>
        </w:rPr>
        <w:t>.</w:t>
      </w:r>
    </w:p>
    <w:p w14:paraId="1C9B9BB7" w14:textId="77777777" w:rsidR="007F7949" w:rsidRPr="00B42DB6" w:rsidRDefault="007F7949" w:rsidP="00461BD3">
      <w:pPr>
        <w:pStyle w:val="ListParagraph"/>
        <w:tabs>
          <w:tab w:val="left" w:pos="900"/>
        </w:tabs>
        <w:ind w:left="900" w:hanging="180"/>
        <w:rPr>
          <w:rFonts w:asciiTheme="majorHAnsi" w:hAnsiTheme="majorHAnsi" w:cstheme="majorHAnsi"/>
          <w:lang w:eastAsia="ja-JP"/>
        </w:rPr>
      </w:pPr>
    </w:p>
    <w:p w14:paraId="3F0063B3" w14:textId="3A8744F3" w:rsidR="00D00D7E" w:rsidRDefault="00D00D7E" w:rsidP="00DB6482">
      <w:pPr>
        <w:pStyle w:val="ListParagraph"/>
        <w:tabs>
          <w:tab w:val="left" w:pos="900"/>
        </w:tabs>
        <w:ind w:left="900"/>
        <w:rPr>
          <w:rFonts w:asciiTheme="majorHAnsi" w:hAnsiTheme="majorHAnsi" w:cstheme="majorHAnsi"/>
          <w:sz w:val="20"/>
          <w:szCs w:val="20"/>
          <w:lang w:eastAsia="ja-JP"/>
        </w:rPr>
      </w:pPr>
      <w:r w:rsidRPr="00B42DB6">
        <w:rPr>
          <w:rFonts w:asciiTheme="majorHAnsi" w:hAnsiTheme="majorHAnsi" w:cstheme="majorHAnsi"/>
          <w:sz w:val="20"/>
          <w:szCs w:val="20"/>
          <w:lang w:eastAsia="ja-JP"/>
        </w:rPr>
        <w:t xml:space="preserve">The primary source of data </w:t>
      </w:r>
      <w:r w:rsidR="00774A83">
        <w:rPr>
          <w:rFonts w:asciiTheme="majorHAnsi" w:hAnsiTheme="majorHAnsi" w:cstheme="majorHAnsi"/>
          <w:sz w:val="20"/>
          <w:szCs w:val="20"/>
          <w:lang w:eastAsia="ja-JP"/>
        </w:rPr>
        <w:t>is</w:t>
      </w:r>
      <w:r w:rsidRPr="00B42DB6">
        <w:rPr>
          <w:rFonts w:asciiTheme="majorHAnsi" w:hAnsiTheme="majorHAnsi" w:cstheme="majorHAnsi"/>
          <w:sz w:val="20"/>
          <w:szCs w:val="20"/>
          <w:lang w:eastAsia="ja-JP"/>
        </w:rPr>
        <w:t xml:space="preserve"> CWF </w:t>
      </w:r>
      <w:r w:rsidR="00774A83">
        <w:rPr>
          <w:rFonts w:asciiTheme="majorHAnsi" w:hAnsiTheme="majorHAnsi" w:cstheme="majorHAnsi"/>
          <w:sz w:val="20"/>
          <w:szCs w:val="20"/>
          <w:lang w:eastAsia="ja-JP"/>
        </w:rPr>
        <w:t>claims</w:t>
      </w:r>
      <w:r w:rsidRPr="00B42DB6">
        <w:rPr>
          <w:rFonts w:asciiTheme="majorHAnsi" w:hAnsiTheme="majorHAnsi" w:cstheme="majorHAnsi"/>
          <w:sz w:val="20"/>
          <w:szCs w:val="20"/>
          <w:lang w:eastAsia="ja-JP"/>
        </w:rPr>
        <w:t>.</w:t>
      </w:r>
      <w:r w:rsidRPr="00B42DB6">
        <w:rPr>
          <w:rFonts w:asciiTheme="majorHAnsi" w:hAnsiTheme="majorHAnsi" w:cstheme="majorHAnsi"/>
          <w:sz w:val="20"/>
          <w:szCs w:val="20"/>
          <w:lang w:eastAsia="ja-JP"/>
        </w:rPr>
        <w:tab/>
      </w:r>
      <w:r w:rsidRPr="00B42DB6">
        <w:rPr>
          <w:rFonts w:asciiTheme="majorHAnsi" w:hAnsiTheme="majorHAnsi" w:cstheme="majorHAnsi"/>
          <w:sz w:val="20"/>
          <w:szCs w:val="20"/>
          <w:lang w:eastAsia="ja-JP"/>
        </w:rPr>
        <w:tab/>
      </w:r>
    </w:p>
    <w:p w14:paraId="3F9C50A3" w14:textId="77777777" w:rsidR="003E3C76" w:rsidRPr="00B42DB6" w:rsidRDefault="003E3C76" w:rsidP="00461BD3">
      <w:pPr>
        <w:pStyle w:val="ListParagraph"/>
        <w:tabs>
          <w:tab w:val="left" w:pos="900"/>
        </w:tabs>
        <w:ind w:left="900" w:hanging="180"/>
        <w:rPr>
          <w:rFonts w:asciiTheme="majorHAnsi" w:hAnsiTheme="majorHAnsi" w:cstheme="majorHAnsi"/>
          <w:lang w:eastAsia="ja-JP"/>
        </w:rPr>
      </w:pPr>
    </w:p>
    <w:p w14:paraId="4A9F1ADD" w14:textId="72D260E6" w:rsidR="003A6DAE" w:rsidRPr="00B42DB6" w:rsidRDefault="006306BF" w:rsidP="00A82906">
      <w:pPr>
        <w:pStyle w:val="ListParagraph"/>
        <w:numPr>
          <w:ilvl w:val="0"/>
          <w:numId w:val="12"/>
        </w:numPr>
        <w:tabs>
          <w:tab w:val="left" w:pos="900"/>
        </w:tabs>
        <w:ind w:left="900" w:hanging="180"/>
        <w:rPr>
          <w:rFonts w:asciiTheme="majorHAnsi" w:hAnsiTheme="majorHAnsi" w:cstheme="majorHAnsi"/>
          <w:b/>
          <w:lang w:eastAsia="ja-JP"/>
        </w:rPr>
      </w:pPr>
      <w:r w:rsidRPr="00B42DB6">
        <w:rPr>
          <w:rFonts w:asciiTheme="majorHAnsi" w:hAnsiTheme="majorHAnsi" w:cstheme="majorHAnsi"/>
          <w:b/>
          <w:sz w:val="20"/>
          <w:szCs w:val="20"/>
          <w:lang w:eastAsia="ja-JP"/>
        </w:rPr>
        <w:t>Construct</w:t>
      </w:r>
      <w:r w:rsidR="003E3C76" w:rsidRPr="00B42DB6">
        <w:rPr>
          <w:rFonts w:asciiTheme="majorHAnsi" w:hAnsiTheme="majorHAnsi" w:cstheme="majorHAnsi"/>
          <w:b/>
          <w:sz w:val="20"/>
          <w:szCs w:val="20"/>
          <w:lang w:eastAsia="ja-JP"/>
        </w:rPr>
        <w:t xml:space="preserve"> master </w:t>
      </w:r>
      <w:r w:rsidR="00DB6482" w:rsidRPr="00B42DB6">
        <w:rPr>
          <w:rFonts w:asciiTheme="majorHAnsi" w:hAnsiTheme="majorHAnsi" w:cstheme="majorHAnsi"/>
          <w:b/>
          <w:sz w:val="20"/>
          <w:szCs w:val="20"/>
          <w:lang w:eastAsia="ja-JP"/>
        </w:rPr>
        <w:t>inpatient stay</w:t>
      </w:r>
      <w:r w:rsidR="003E3C76" w:rsidRPr="00B42DB6">
        <w:rPr>
          <w:rFonts w:asciiTheme="majorHAnsi" w:hAnsiTheme="majorHAnsi" w:cstheme="majorHAnsi"/>
          <w:b/>
          <w:sz w:val="20"/>
          <w:szCs w:val="20"/>
          <w:lang w:eastAsia="ja-JP"/>
        </w:rPr>
        <w:t xml:space="preserve">-level dataset. </w:t>
      </w:r>
    </w:p>
    <w:p w14:paraId="31B2E180" w14:textId="77777777" w:rsidR="005F6E0A" w:rsidRPr="00B42DB6" w:rsidRDefault="005F6E0A" w:rsidP="00461BD3">
      <w:pPr>
        <w:pStyle w:val="ListParagraph"/>
        <w:tabs>
          <w:tab w:val="left" w:pos="900"/>
        </w:tabs>
        <w:ind w:left="900" w:hanging="180"/>
        <w:rPr>
          <w:rFonts w:asciiTheme="majorHAnsi" w:hAnsiTheme="majorHAnsi" w:cstheme="majorHAnsi"/>
          <w:b/>
          <w:lang w:eastAsia="ja-JP"/>
        </w:rPr>
      </w:pPr>
    </w:p>
    <w:p w14:paraId="665AECC3" w14:textId="58907CD0" w:rsidR="003631B0" w:rsidRPr="00AA531C" w:rsidRDefault="006306BF" w:rsidP="000A1011">
      <w:pPr>
        <w:pStyle w:val="ListParagraph"/>
        <w:tabs>
          <w:tab w:val="left" w:pos="900"/>
        </w:tabs>
        <w:ind w:left="900"/>
        <w:rPr>
          <w:rFonts w:asciiTheme="majorHAnsi" w:hAnsiTheme="majorHAnsi" w:cstheme="majorHAnsi"/>
          <w:sz w:val="20"/>
          <w:szCs w:val="20"/>
          <w:lang w:eastAsia="ja-JP"/>
        </w:rPr>
      </w:pPr>
      <w:r w:rsidRPr="00AA531C">
        <w:rPr>
          <w:rFonts w:asciiTheme="majorHAnsi" w:hAnsiTheme="majorHAnsi" w:cstheme="majorHAnsi"/>
          <w:sz w:val="20"/>
          <w:szCs w:val="20"/>
          <w:lang w:eastAsia="ja-JP"/>
        </w:rPr>
        <w:t>In this step</w:t>
      </w:r>
      <w:r w:rsidR="0033684E" w:rsidRPr="00AA531C">
        <w:rPr>
          <w:rFonts w:asciiTheme="majorHAnsi" w:hAnsiTheme="majorHAnsi" w:cstheme="majorHAnsi"/>
          <w:sz w:val="20"/>
          <w:szCs w:val="20"/>
          <w:lang w:eastAsia="ja-JP"/>
        </w:rPr>
        <w:t>,</w:t>
      </w:r>
      <w:r w:rsidR="003E3C76" w:rsidRPr="00AA531C">
        <w:rPr>
          <w:rFonts w:asciiTheme="majorHAnsi" w:hAnsiTheme="majorHAnsi" w:cstheme="majorHAnsi"/>
          <w:sz w:val="20"/>
          <w:szCs w:val="20"/>
          <w:lang w:eastAsia="ja-JP"/>
        </w:rPr>
        <w:t xml:space="preserve"> </w:t>
      </w:r>
      <w:r w:rsidRPr="00AA531C">
        <w:rPr>
          <w:rFonts w:asciiTheme="majorHAnsi" w:hAnsiTheme="majorHAnsi" w:cstheme="majorHAnsi"/>
          <w:sz w:val="20"/>
          <w:szCs w:val="20"/>
          <w:lang w:eastAsia="ja-JP"/>
        </w:rPr>
        <w:t xml:space="preserve">we </w:t>
      </w:r>
      <w:r w:rsidR="00C026FA" w:rsidRPr="00AA531C">
        <w:rPr>
          <w:rFonts w:asciiTheme="majorHAnsi" w:hAnsiTheme="majorHAnsi" w:cstheme="majorHAnsi"/>
          <w:sz w:val="20"/>
          <w:szCs w:val="20"/>
          <w:lang w:eastAsia="ja-JP"/>
        </w:rPr>
        <w:t>merg</w:t>
      </w:r>
      <w:r w:rsidRPr="00AA531C">
        <w:rPr>
          <w:rFonts w:asciiTheme="majorHAnsi" w:hAnsiTheme="majorHAnsi" w:cstheme="majorHAnsi"/>
          <w:sz w:val="20"/>
          <w:szCs w:val="20"/>
          <w:lang w:eastAsia="ja-JP"/>
        </w:rPr>
        <w:t>e</w:t>
      </w:r>
      <w:r w:rsidR="00254D54" w:rsidRPr="00AA531C">
        <w:rPr>
          <w:rFonts w:asciiTheme="majorHAnsi" w:hAnsiTheme="majorHAnsi" w:cstheme="majorHAnsi"/>
          <w:sz w:val="20"/>
          <w:szCs w:val="20"/>
          <w:lang w:eastAsia="ja-JP"/>
        </w:rPr>
        <w:t xml:space="preserve"> the output from Steps 1 and 2 </w:t>
      </w:r>
      <w:r w:rsidRPr="00AA531C">
        <w:rPr>
          <w:rFonts w:asciiTheme="majorHAnsi" w:hAnsiTheme="majorHAnsi" w:cstheme="majorHAnsi"/>
          <w:sz w:val="20"/>
          <w:szCs w:val="20"/>
          <w:lang w:eastAsia="ja-JP"/>
        </w:rPr>
        <w:t>and</w:t>
      </w:r>
      <w:r w:rsidR="00C026FA" w:rsidRPr="00AA531C">
        <w:rPr>
          <w:rFonts w:asciiTheme="majorHAnsi" w:hAnsiTheme="majorHAnsi" w:cstheme="majorHAnsi"/>
          <w:sz w:val="20"/>
          <w:szCs w:val="20"/>
          <w:lang w:eastAsia="ja-JP"/>
        </w:rPr>
        <w:t xml:space="preserve"> </w:t>
      </w:r>
      <w:r w:rsidR="003E3C76" w:rsidRPr="00AA531C">
        <w:rPr>
          <w:rFonts w:asciiTheme="majorHAnsi" w:hAnsiTheme="majorHAnsi" w:cstheme="majorHAnsi"/>
          <w:sz w:val="20"/>
          <w:szCs w:val="20"/>
          <w:lang w:eastAsia="ja-JP"/>
        </w:rPr>
        <w:t xml:space="preserve">we </w:t>
      </w:r>
      <w:r w:rsidR="004560C9" w:rsidRPr="00AA531C">
        <w:rPr>
          <w:rFonts w:asciiTheme="majorHAnsi" w:hAnsiTheme="majorHAnsi" w:cstheme="majorHAnsi"/>
          <w:sz w:val="20"/>
          <w:szCs w:val="20"/>
          <w:lang w:eastAsia="ja-JP"/>
        </w:rPr>
        <w:t>flag</w:t>
      </w:r>
      <w:r w:rsidR="003E3C76" w:rsidRPr="00AA531C">
        <w:rPr>
          <w:rFonts w:asciiTheme="majorHAnsi" w:hAnsiTheme="majorHAnsi" w:cstheme="majorHAnsi"/>
          <w:sz w:val="20"/>
          <w:szCs w:val="20"/>
          <w:lang w:eastAsia="ja-JP"/>
        </w:rPr>
        <w:t xml:space="preserve"> </w:t>
      </w:r>
      <w:r w:rsidR="00DB6482" w:rsidRPr="00AA531C">
        <w:rPr>
          <w:rFonts w:asciiTheme="majorHAnsi" w:hAnsiTheme="majorHAnsi" w:cstheme="majorHAnsi"/>
          <w:sz w:val="20"/>
          <w:szCs w:val="20"/>
          <w:lang w:eastAsia="ja-JP"/>
        </w:rPr>
        <w:t xml:space="preserve">inpatient stays for </w:t>
      </w:r>
      <w:r w:rsidR="003E3C76" w:rsidRPr="00AA531C">
        <w:rPr>
          <w:rFonts w:asciiTheme="majorHAnsi" w:hAnsiTheme="majorHAnsi" w:cstheme="majorHAnsi"/>
          <w:sz w:val="20"/>
          <w:szCs w:val="20"/>
          <w:lang w:eastAsia="ja-JP"/>
        </w:rPr>
        <w:t>beneficiaries who are alive and enrolled in Medicare</w:t>
      </w:r>
      <w:r w:rsidR="00DB6482" w:rsidRPr="00AA531C">
        <w:rPr>
          <w:rFonts w:asciiTheme="majorHAnsi" w:hAnsiTheme="majorHAnsi" w:cstheme="majorHAnsi"/>
          <w:sz w:val="20"/>
          <w:szCs w:val="20"/>
          <w:lang w:eastAsia="ja-JP"/>
        </w:rPr>
        <w:t xml:space="preserve"> Parts A/B but not C</w:t>
      </w:r>
      <w:r w:rsidR="00D00D7E" w:rsidRPr="00AA531C">
        <w:rPr>
          <w:rFonts w:asciiTheme="majorHAnsi" w:hAnsiTheme="majorHAnsi" w:cstheme="majorHAnsi"/>
          <w:sz w:val="20"/>
          <w:szCs w:val="20"/>
          <w:lang w:eastAsia="ja-JP"/>
        </w:rPr>
        <w:t>.</w:t>
      </w:r>
    </w:p>
    <w:p w14:paraId="77764E35" w14:textId="7F1A0619" w:rsidR="003631B0" w:rsidRPr="00B42DB6" w:rsidRDefault="003631B0" w:rsidP="00B727B0">
      <w:pPr>
        <w:pStyle w:val="ListParagraph"/>
        <w:tabs>
          <w:tab w:val="left" w:pos="900"/>
        </w:tabs>
        <w:ind w:left="900"/>
        <w:rPr>
          <w:rFonts w:asciiTheme="majorHAnsi" w:hAnsiTheme="majorHAnsi" w:cstheme="majorHAnsi"/>
          <w:sz w:val="20"/>
          <w:szCs w:val="20"/>
          <w:lang w:eastAsia="ja-JP"/>
        </w:rPr>
      </w:pPr>
    </w:p>
    <w:p w14:paraId="39AD4A87" w14:textId="20585579" w:rsidR="003631B0" w:rsidRPr="00712EE3" w:rsidRDefault="003631B0" w:rsidP="003631B0">
      <w:pPr>
        <w:pStyle w:val="ListParagraph"/>
        <w:numPr>
          <w:ilvl w:val="0"/>
          <w:numId w:val="12"/>
        </w:numPr>
        <w:tabs>
          <w:tab w:val="left" w:pos="900"/>
        </w:tabs>
        <w:ind w:left="900" w:hanging="180"/>
        <w:rPr>
          <w:rFonts w:asciiTheme="majorHAnsi" w:hAnsiTheme="majorHAnsi" w:cstheme="majorHAnsi"/>
          <w:b/>
          <w:lang w:eastAsia="ja-JP"/>
        </w:rPr>
      </w:pPr>
      <w:r w:rsidRPr="00B42DB6">
        <w:rPr>
          <w:rFonts w:asciiTheme="majorHAnsi" w:hAnsiTheme="majorHAnsi" w:cstheme="majorHAnsi"/>
          <w:b/>
          <w:sz w:val="20"/>
          <w:szCs w:val="20"/>
          <w:lang w:eastAsia="ja-JP"/>
        </w:rPr>
        <w:t>Develop measures of beneficiary health history and healthcare service use prior to inpatient admission.</w:t>
      </w:r>
    </w:p>
    <w:p w14:paraId="4F631DD4" w14:textId="77777777" w:rsidR="00AA531C" w:rsidRDefault="00AA531C" w:rsidP="00712EE3">
      <w:pPr>
        <w:pStyle w:val="ListParagraph"/>
        <w:tabs>
          <w:tab w:val="left" w:pos="900"/>
        </w:tabs>
        <w:ind w:left="900"/>
        <w:rPr>
          <w:rFonts w:asciiTheme="majorHAnsi" w:hAnsiTheme="majorHAnsi" w:cstheme="majorHAnsi"/>
          <w:color w:val="FF0000"/>
          <w:sz w:val="20"/>
          <w:szCs w:val="20"/>
          <w:lang w:eastAsia="ja-JP"/>
        </w:rPr>
      </w:pPr>
    </w:p>
    <w:p w14:paraId="32128BF6" w14:textId="5ACD792E" w:rsidR="00E96004" w:rsidRPr="00E96004" w:rsidRDefault="00712EE3" w:rsidP="00712EE3">
      <w:pPr>
        <w:pStyle w:val="ListParagraph"/>
        <w:tabs>
          <w:tab w:val="left" w:pos="900"/>
        </w:tabs>
        <w:ind w:left="900"/>
        <w:rPr>
          <w:rFonts w:asciiTheme="majorHAnsi" w:hAnsiTheme="majorHAnsi" w:cstheme="majorHAnsi"/>
          <w:sz w:val="20"/>
          <w:szCs w:val="20"/>
          <w:lang w:eastAsia="ja-JP"/>
        </w:rPr>
      </w:pPr>
      <w:r w:rsidRPr="00E96004">
        <w:rPr>
          <w:rFonts w:asciiTheme="majorHAnsi" w:hAnsiTheme="majorHAnsi" w:cstheme="majorHAnsi"/>
          <w:sz w:val="20"/>
          <w:szCs w:val="20"/>
          <w:lang w:eastAsia="ja-JP"/>
        </w:rPr>
        <w:t xml:space="preserve">In this step, we </w:t>
      </w:r>
      <w:r w:rsidR="006956B8" w:rsidRPr="00E96004">
        <w:rPr>
          <w:rFonts w:asciiTheme="majorHAnsi" w:hAnsiTheme="majorHAnsi" w:cstheme="majorHAnsi"/>
          <w:sz w:val="20"/>
          <w:szCs w:val="20"/>
          <w:lang w:eastAsia="ja-JP"/>
        </w:rPr>
        <w:t>use</w:t>
      </w:r>
      <w:r w:rsidR="00AA531C" w:rsidRPr="00E96004">
        <w:rPr>
          <w:rFonts w:asciiTheme="majorHAnsi" w:hAnsiTheme="majorHAnsi" w:cstheme="majorHAnsi"/>
          <w:sz w:val="20"/>
          <w:szCs w:val="20"/>
          <w:lang w:eastAsia="ja-JP"/>
        </w:rPr>
        <w:t xml:space="preserve"> hierarchical condition categories (HCC</w:t>
      </w:r>
      <w:r w:rsidR="00F15804">
        <w:rPr>
          <w:rFonts w:asciiTheme="majorHAnsi" w:hAnsiTheme="majorHAnsi" w:cstheme="majorHAnsi"/>
          <w:sz w:val="20"/>
          <w:szCs w:val="20"/>
          <w:lang w:eastAsia="ja-JP"/>
        </w:rPr>
        <w:t>s</w:t>
      </w:r>
      <w:r w:rsidR="00AA531C" w:rsidRPr="00E96004">
        <w:rPr>
          <w:rFonts w:asciiTheme="majorHAnsi" w:hAnsiTheme="majorHAnsi" w:cstheme="majorHAnsi"/>
          <w:sz w:val="20"/>
          <w:szCs w:val="20"/>
          <w:lang w:eastAsia="ja-JP"/>
        </w:rPr>
        <w:t xml:space="preserve">) </w:t>
      </w:r>
      <w:r w:rsidR="006956B8" w:rsidRPr="00E96004">
        <w:rPr>
          <w:rFonts w:asciiTheme="majorHAnsi" w:hAnsiTheme="majorHAnsi" w:cstheme="majorHAnsi"/>
          <w:sz w:val="20"/>
          <w:szCs w:val="20"/>
          <w:lang w:eastAsia="ja-JP"/>
        </w:rPr>
        <w:t xml:space="preserve">to </w:t>
      </w:r>
      <w:r w:rsidR="00F15804">
        <w:rPr>
          <w:rFonts w:asciiTheme="majorHAnsi" w:hAnsiTheme="majorHAnsi" w:cstheme="majorHAnsi"/>
          <w:sz w:val="20"/>
          <w:szCs w:val="20"/>
          <w:lang w:eastAsia="ja-JP"/>
        </w:rPr>
        <w:t xml:space="preserve">identify </w:t>
      </w:r>
      <w:r w:rsidR="006956B8" w:rsidRPr="00E96004">
        <w:rPr>
          <w:rFonts w:asciiTheme="majorHAnsi" w:hAnsiTheme="majorHAnsi" w:cstheme="majorHAnsi"/>
          <w:sz w:val="20"/>
          <w:szCs w:val="20"/>
          <w:lang w:eastAsia="ja-JP"/>
        </w:rPr>
        <w:t xml:space="preserve">comorbidities for each </w:t>
      </w:r>
      <w:r w:rsidR="00F15804">
        <w:rPr>
          <w:rFonts w:asciiTheme="majorHAnsi" w:hAnsiTheme="majorHAnsi" w:cstheme="majorHAnsi"/>
          <w:sz w:val="20"/>
          <w:szCs w:val="20"/>
          <w:lang w:eastAsia="ja-JP"/>
        </w:rPr>
        <w:t xml:space="preserve">beneficiary with an </w:t>
      </w:r>
      <w:r w:rsidR="006956B8" w:rsidRPr="00E96004">
        <w:rPr>
          <w:rFonts w:asciiTheme="majorHAnsi" w:hAnsiTheme="majorHAnsi" w:cstheme="majorHAnsi"/>
          <w:sz w:val="20"/>
          <w:szCs w:val="20"/>
          <w:lang w:eastAsia="ja-JP"/>
        </w:rPr>
        <w:t xml:space="preserve">inpatient stay based on diagnoses reported on inpatient, outpatient, and professional claims from 12 months prior to, and inclusive of, the index admission. We used Version 22 of the CMS-HCC risk adjustment model. </w:t>
      </w:r>
    </w:p>
    <w:p w14:paraId="237E48A2" w14:textId="77777777" w:rsidR="00E96004" w:rsidRPr="00E96004" w:rsidRDefault="00E96004" w:rsidP="00712EE3">
      <w:pPr>
        <w:pStyle w:val="ListParagraph"/>
        <w:tabs>
          <w:tab w:val="left" w:pos="900"/>
        </w:tabs>
        <w:ind w:left="900"/>
        <w:rPr>
          <w:rFonts w:asciiTheme="majorHAnsi" w:hAnsiTheme="majorHAnsi" w:cstheme="majorHAnsi"/>
          <w:sz w:val="20"/>
          <w:szCs w:val="20"/>
          <w:lang w:eastAsia="ja-JP"/>
        </w:rPr>
      </w:pPr>
    </w:p>
    <w:p w14:paraId="5413E332" w14:textId="17AEBB7F" w:rsidR="00E43315" w:rsidRPr="00AA531C" w:rsidRDefault="006956B8" w:rsidP="00712EE3">
      <w:pPr>
        <w:pStyle w:val="ListParagraph"/>
        <w:tabs>
          <w:tab w:val="left" w:pos="900"/>
        </w:tabs>
        <w:ind w:left="900"/>
        <w:rPr>
          <w:rFonts w:asciiTheme="majorHAnsi" w:hAnsiTheme="majorHAnsi" w:cstheme="majorHAnsi"/>
          <w:b/>
          <w:lang w:eastAsia="ja-JP"/>
        </w:rPr>
      </w:pPr>
      <w:r w:rsidRPr="00E96004">
        <w:rPr>
          <w:rFonts w:asciiTheme="majorHAnsi" w:hAnsiTheme="majorHAnsi" w:cstheme="majorHAnsi"/>
          <w:sz w:val="20"/>
          <w:szCs w:val="20"/>
          <w:lang w:eastAsia="ja-JP"/>
        </w:rPr>
        <w:t xml:space="preserve">We also </w:t>
      </w:r>
      <w:r w:rsidR="00AA531C" w:rsidRPr="00E96004">
        <w:rPr>
          <w:rFonts w:asciiTheme="majorHAnsi" w:hAnsiTheme="majorHAnsi" w:cstheme="majorHAnsi"/>
          <w:sz w:val="20"/>
          <w:szCs w:val="20"/>
          <w:lang w:eastAsia="ja-JP"/>
        </w:rPr>
        <w:t>create</w:t>
      </w:r>
      <w:r w:rsidR="00712EE3" w:rsidRPr="00E96004">
        <w:rPr>
          <w:rFonts w:asciiTheme="majorHAnsi" w:hAnsiTheme="majorHAnsi" w:cstheme="majorHAnsi"/>
          <w:sz w:val="20"/>
          <w:szCs w:val="20"/>
          <w:lang w:eastAsia="ja-JP"/>
        </w:rPr>
        <w:t xml:space="preserve"> preceding healthcare use flags </w:t>
      </w:r>
      <w:r w:rsidR="00AA531C" w:rsidRPr="00E96004">
        <w:rPr>
          <w:rFonts w:asciiTheme="majorHAnsi" w:hAnsiTheme="majorHAnsi" w:cstheme="majorHAnsi"/>
          <w:sz w:val="20"/>
          <w:szCs w:val="20"/>
          <w:lang w:eastAsia="ja-JP"/>
        </w:rPr>
        <w:t>based on</w:t>
      </w:r>
      <w:r w:rsidR="00AA531C" w:rsidRPr="00E96004">
        <w:t xml:space="preserve"> </w:t>
      </w:r>
      <w:r w:rsidR="00AA531C" w:rsidRPr="00E96004">
        <w:rPr>
          <w:rFonts w:asciiTheme="majorHAnsi" w:hAnsiTheme="majorHAnsi" w:cstheme="majorHAnsi"/>
          <w:sz w:val="20"/>
          <w:szCs w:val="20"/>
          <w:lang w:eastAsia="ja-JP"/>
        </w:rPr>
        <w:t xml:space="preserve">inpatient, outpatient, professional, home health, hospice, </w:t>
      </w:r>
      <w:r w:rsidR="00F15804">
        <w:rPr>
          <w:rFonts w:asciiTheme="majorHAnsi" w:hAnsiTheme="majorHAnsi" w:cstheme="majorHAnsi"/>
          <w:sz w:val="20"/>
          <w:szCs w:val="20"/>
          <w:lang w:eastAsia="ja-JP"/>
        </w:rPr>
        <w:t>and</w:t>
      </w:r>
      <w:r w:rsidR="00AA531C" w:rsidRPr="00E96004">
        <w:rPr>
          <w:rFonts w:asciiTheme="majorHAnsi" w:hAnsiTheme="majorHAnsi" w:cstheme="majorHAnsi"/>
          <w:sz w:val="20"/>
          <w:szCs w:val="20"/>
          <w:lang w:eastAsia="ja-JP"/>
        </w:rPr>
        <w:t xml:space="preserve"> SNF claims </w:t>
      </w:r>
      <w:r w:rsidR="00F15804">
        <w:rPr>
          <w:rFonts w:asciiTheme="majorHAnsi" w:hAnsiTheme="majorHAnsi" w:cstheme="majorHAnsi"/>
          <w:sz w:val="20"/>
          <w:szCs w:val="20"/>
          <w:lang w:eastAsia="ja-JP"/>
        </w:rPr>
        <w:t xml:space="preserve">and MDS assessment data </w:t>
      </w:r>
      <w:r w:rsidR="00AA531C" w:rsidRPr="00E96004">
        <w:rPr>
          <w:rFonts w:asciiTheme="majorHAnsi" w:hAnsiTheme="majorHAnsi" w:cstheme="majorHAnsi"/>
          <w:sz w:val="20"/>
          <w:szCs w:val="20"/>
          <w:lang w:eastAsia="ja-JP"/>
        </w:rPr>
        <w:t>in the week prior to a beneficiary’s acute inpatient admission.</w:t>
      </w:r>
    </w:p>
    <w:p w14:paraId="5EAC35B5" w14:textId="77777777" w:rsidR="00B77720" w:rsidRPr="00B77720" w:rsidRDefault="00B77720" w:rsidP="00B77720">
      <w:pPr>
        <w:pStyle w:val="ListParagraph"/>
        <w:tabs>
          <w:tab w:val="left" w:pos="900"/>
        </w:tabs>
        <w:ind w:left="1440"/>
        <w:rPr>
          <w:rFonts w:asciiTheme="majorHAnsi" w:hAnsiTheme="majorHAnsi" w:cstheme="majorHAnsi"/>
          <w:lang w:eastAsia="ja-JP"/>
        </w:rPr>
      </w:pPr>
    </w:p>
    <w:p w14:paraId="2468DB4E" w14:textId="6B965E31" w:rsidR="003631B0" w:rsidRPr="00712EE3" w:rsidRDefault="00E43315" w:rsidP="00712EE3">
      <w:pPr>
        <w:pStyle w:val="ListParagraph"/>
        <w:numPr>
          <w:ilvl w:val="0"/>
          <w:numId w:val="12"/>
        </w:numPr>
        <w:tabs>
          <w:tab w:val="left" w:pos="900"/>
        </w:tabs>
        <w:ind w:left="900" w:hanging="180"/>
        <w:rPr>
          <w:rFonts w:asciiTheme="majorHAnsi" w:hAnsiTheme="majorHAnsi" w:cstheme="majorHAnsi"/>
          <w:b/>
          <w:lang w:eastAsia="ja-JP"/>
        </w:rPr>
      </w:pPr>
      <w:r w:rsidRPr="005A75AE">
        <w:rPr>
          <w:rFonts w:asciiTheme="majorHAnsi" w:hAnsiTheme="majorHAnsi" w:cstheme="majorHAnsi"/>
          <w:b/>
          <w:sz w:val="20"/>
          <w:szCs w:val="20"/>
          <w:lang w:eastAsia="ja-JP"/>
        </w:rPr>
        <w:t xml:space="preserve">Identify </w:t>
      </w:r>
      <w:r w:rsidR="00AE5998" w:rsidRPr="005A75AE">
        <w:rPr>
          <w:rFonts w:asciiTheme="majorHAnsi" w:hAnsiTheme="majorHAnsi" w:cstheme="majorHAnsi"/>
          <w:b/>
          <w:sz w:val="20"/>
          <w:szCs w:val="20"/>
          <w:lang w:eastAsia="ja-JP"/>
        </w:rPr>
        <w:t xml:space="preserve">healthcare </w:t>
      </w:r>
      <w:r w:rsidRPr="005A75AE">
        <w:rPr>
          <w:rFonts w:asciiTheme="majorHAnsi" w:hAnsiTheme="majorHAnsi" w:cstheme="majorHAnsi"/>
          <w:b/>
          <w:sz w:val="20"/>
          <w:szCs w:val="20"/>
          <w:lang w:eastAsia="ja-JP"/>
        </w:rPr>
        <w:t>service use subsequent to an acute inpatient discharge.</w:t>
      </w:r>
    </w:p>
    <w:p w14:paraId="0FDF6191" w14:textId="77777777" w:rsidR="00AA531C" w:rsidRDefault="00AA531C" w:rsidP="00712EE3">
      <w:pPr>
        <w:tabs>
          <w:tab w:val="left" w:pos="900"/>
        </w:tabs>
        <w:ind w:left="900"/>
        <w:rPr>
          <w:rFonts w:asciiTheme="majorHAnsi" w:hAnsiTheme="majorHAnsi" w:cstheme="majorHAnsi"/>
          <w:highlight w:val="yellow"/>
          <w:lang w:eastAsia="ja-JP"/>
        </w:rPr>
      </w:pPr>
    </w:p>
    <w:p w14:paraId="7041C042" w14:textId="5D4E05AB" w:rsidR="00712EE3" w:rsidRPr="00712EE3" w:rsidRDefault="00AA531C" w:rsidP="00712EE3">
      <w:pPr>
        <w:tabs>
          <w:tab w:val="left" w:pos="900"/>
        </w:tabs>
        <w:ind w:left="900"/>
        <w:rPr>
          <w:rFonts w:asciiTheme="majorHAnsi" w:hAnsiTheme="majorHAnsi" w:cstheme="majorHAnsi"/>
          <w:highlight w:val="yellow"/>
          <w:lang w:eastAsia="ja-JP"/>
        </w:rPr>
        <w:sectPr w:rsidR="00712EE3" w:rsidRPr="00712EE3" w:rsidSect="00392DDB">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299"/>
        </w:sectPr>
      </w:pPr>
      <w:r w:rsidRPr="005B3F56">
        <w:rPr>
          <w:rFonts w:asciiTheme="majorHAnsi" w:hAnsiTheme="majorHAnsi" w:cstheme="majorHAnsi"/>
          <w:lang w:eastAsia="ja-JP"/>
        </w:rPr>
        <w:t>In this</w:t>
      </w:r>
      <w:r w:rsidR="00712EE3" w:rsidRPr="005B3F56">
        <w:rPr>
          <w:rFonts w:asciiTheme="majorHAnsi" w:hAnsiTheme="majorHAnsi" w:cstheme="majorHAnsi"/>
          <w:lang w:eastAsia="ja-JP"/>
        </w:rPr>
        <w:t xml:space="preserve"> step, we </w:t>
      </w:r>
      <w:r w:rsidR="00F15804">
        <w:rPr>
          <w:rFonts w:asciiTheme="majorHAnsi" w:hAnsiTheme="majorHAnsi" w:cstheme="majorHAnsi"/>
          <w:lang w:eastAsia="ja-JP"/>
        </w:rPr>
        <w:t>use inpatient</w:t>
      </w:r>
      <w:r w:rsidR="00F15804" w:rsidRPr="00E96004">
        <w:rPr>
          <w:rFonts w:asciiTheme="majorHAnsi" w:hAnsiTheme="majorHAnsi" w:cstheme="majorHAnsi"/>
          <w:lang w:eastAsia="ja-JP"/>
        </w:rPr>
        <w:t xml:space="preserve">, </w:t>
      </w:r>
      <w:r w:rsidR="00F15804">
        <w:rPr>
          <w:rFonts w:asciiTheme="majorHAnsi" w:hAnsiTheme="majorHAnsi" w:cstheme="majorHAnsi"/>
          <w:lang w:eastAsia="ja-JP"/>
        </w:rPr>
        <w:t>SNF, home health, and hospice</w:t>
      </w:r>
      <w:r w:rsidR="00F15804" w:rsidRPr="00E96004">
        <w:rPr>
          <w:rFonts w:asciiTheme="majorHAnsi" w:hAnsiTheme="majorHAnsi" w:cstheme="majorHAnsi"/>
          <w:lang w:eastAsia="ja-JP"/>
        </w:rPr>
        <w:t xml:space="preserve"> claims </w:t>
      </w:r>
      <w:r w:rsidR="00F15804">
        <w:rPr>
          <w:rFonts w:asciiTheme="majorHAnsi" w:hAnsiTheme="majorHAnsi" w:cstheme="majorHAnsi"/>
          <w:lang w:eastAsia="ja-JP"/>
        </w:rPr>
        <w:t xml:space="preserve">and MDS assessment data </w:t>
      </w:r>
      <w:r w:rsidR="005B3F56" w:rsidRPr="005B3F56">
        <w:rPr>
          <w:rFonts w:asciiTheme="majorHAnsi" w:hAnsiTheme="majorHAnsi" w:cstheme="majorHAnsi"/>
          <w:lang w:eastAsia="ja-JP"/>
        </w:rPr>
        <w:t>identify healthcare service use subsequent to an acute inpatient discharge</w:t>
      </w:r>
      <w:r w:rsidR="005B3F56">
        <w:rPr>
          <w:rFonts w:asciiTheme="majorHAnsi" w:hAnsiTheme="majorHAnsi" w:cstheme="majorHAnsi"/>
          <w:lang w:eastAsia="ja-JP"/>
        </w:rPr>
        <w:t>.</w:t>
      </w:r>
    </w:p>
    <w:p w14:paraId="3860F845" w14:textId="1F096A00" w:rsidR="00CA3E18" w:rsidRDefault="00CA3E18">
      <w:pPr>
        <w:pStyle w:val="Heading1"/>
      </w:pPr>
      <w:bookmarkStart w:id="5" w:name="_Ref484597897"/>
      <w:bookmarkStart w:id="6" w:name="_Toc32328713"/>
      <w:r>
        <w:lastRenderedPageBreak/>
        <w:t>Medicare Data</w:t>
      </w:r>
      <w:bookmarkEnd w:id="5"/>
      <w:bookmarkEnd w:id="6"/>
    </w:p>
    <w:p w14:paraId="3EBFE538" w14:textId="48E977FE" w:rsidR="00D833C7" w:rsidRPr="00711E4A" w:rsidRDefault="00D833C7" w:rsidP="00D833C7">
      <w:pPr>
        <w:rPr>
          <w:lang w:eastAsia="ja-JP"/>
        </w:rPr>
      </w:pPr>
      <w:r w:rsidRPr="00711E4A">
        <w:rPr>
          <w:lang w:eastAsia="ja-JP"/>
        </w:rPr>
        <w:t xml:space="preserve">This section provides an overview of the data sources and </w:t>
      </w:r>
      <w:r w:rsidR="00943A43" w:rsidRPr="00711E4A">
        <w:rPr>
          <w:lang w:eastAsia="ja-JP"/>
        </w:rPr>
        <w:t xml:space="preserve">Medicare claim </w:t>
      </w:r>
      <w:r w:rsidRPr="00711E4A">
        <w:rPr>
          <w:lang w:eastAsia="ja-JP"/>
        </w:rPr>
        <w:t xml:space="preserve">settings that we use in </w:t>
      </w:r>
      <w:r w:rsidR="00BA5C01" w:rsidRPr="00711E4A">
        <w:rPr>
          <w:lang w:eastAsia="ja-JP"/>
        </w:rPr>
        <w:t>our analyses</w:t>
      </w:r>
      <w:r w:rsidRPr="00711E4A">
        <w:rPr>
          <w:lang w:eastAsia="ja-JP"/>
        </w:rPr>
        <w:t xml:space="preserve">. Section </w:t>
      </w:r>
      <w:r w:rsidR="0072521C" w:rsidRPr="00711E4A">
        <w:rPr>
          <w:lang w:eastAsia="ja-JP"/>
        </w:rPr>
        <w:fldChar w:fldCharType="begin"/>
      </w:r>
      <w:r w:rsidR="0072521C" w:rsidRPr="00711E4A">
        <w:rPr>
          <w:lang w:eastAsia="ja-JP"/>
        </w:rPr>
        <w:instrText xml:space="preserve"> REF _Ref484597897 \r \h </w:instrText>
      </w:r>
      <w:r w:rsidR="002376FA" w:rsidRPr="00711E4A">
        <w:rPr>
          <w:lang w:eastAsia="ja-JP"/>
        </w:rPr>
        <w:instrText xml:space="preserve"> \* MERGEFORMAT </w:instrText>
      </w:r>
      <w:r w:rsidR="0072521C" w:rsidRPr="00711E4A">
        <w:rPr>
          <w:lang w:eastAsia="ja-JP"/>
        </w:rPr>
      </w:r>
      <w:r w:rsidR="0072521C" w:rsidRPr="00711E4A">
        <w:rPr>
          <w:lang w:eastAsia="ja-JP"/>
        </w:rPr>
        <w:fldChar w:fldCharType="separate"/>
      </w:r>
      <w:r w:rsidR="00897485" w:rsidRPr="00711E4A">
        <w:rPr>
          <w:lang w:eastAsia="ja-JP"/>
        </w:rPr>
        <w:t>3</w:t>
      </w:r>
      <w:r w:rsidR="0072521C" w:rsidRPr="00711E4A">
        <w:rPr>
          <w:lang w:eastAsia="ja-JP"/>
        </w:rPr>
        <w:fldChar w:fldCharType="end"/>
      </w:r>
      <w:r w:rsidR="0072521C" w:rsidRPr="00711E4A">
        <w:rPr>
          <w:lang w:eastAsia="ja-JP"/>
        </w:rPr>
        <w:t>.1</w:t>
      </w:r>
      <w:r w:rsidRPr="00711E4A">
        <w:rPr>
          <w:lang w:eastAsia="ja-JP"/>
        </w:rPr>
        <w:t xml:space="preserve"> discusses the data sources at a high level</w:t>
      </w:r>
      <w:r w:rsidR="00943A43" w:rsidRPr="00711E4A">
        <w:rPr>
          <w:lang w:eastAsia="ja-JP"/>
        </w:rPr>
        <w:t xml:space="preserve">, </w:t>
      </w:r>
      <w:r w:rsidRPr="00711E4A">
        <w:rPr>
          <w:lang w:eastAsia="ja-JP"/>
        </w:rPr>
        <w:t xml:space="preserve">Section </w:t>
      </w:r>
      <w:r w:rsidR="0072521C" w:rsidRPr="00711E4A">
        <w:rPr>
          <w:lang w:eastAsia="ja-JP"/>
        </w:rPr>
        <w:fldChar w:fldCharType="begin"/>
      </w:r>
      <w:r w:rsidR="0072521C" w:rsidRPr="00711E4A">
        <w:rPr>
          <w:lang w:eastAsia="ja-JP"/>
        </w:rPr>
        <w:instrText xml:space="preserve"> REF _Ref484442400 \r \h </w:instrText>
      </w:r>
      <w:r w:rsidR="002376FA" w:rsidRPr="00711E4A">
        <w:rPr>
          <w:lang w:eastAsia="ja-JP"/>
        </w:rPr>
        <w:instrText xml:space="preserve"> \* MERGEFORMAT </w:instrText>
      </w:r>
      <w:r w:rsidR="0072521C" w:rsidRPr="00711E4A">
        <w:rPr>
          <w:lang w:eastAsia="ja-JP"/>
        </w:rPr>
      </w:r>
      <w:r w:rsidR="0072521C" w:rsidRPr="00711E4A">
        <w:rPr>
          <w:lang w:eastAsia="ja-JP"/>
        </w:rPr>
        <w:fldChar w:fldCharType="separate"/>
      </w:r>
      <w:r w:rsidR="00897485" w:rsidRPr="00711E4A">
        <w:rPr>
          <w:lang w:eastAsia="ja-JP"/>
        </w:rPr>
        <w:t>3.2</w:t>
      </w:r>
      <w:r w:rsidR="0072521C" w:rsidRPr="00711E4A">
        <w:rPr>
          <w:lang w:eastAsia="ja-JP"/>
        </w:rPr>
        <w:fldChar w:fldCharType="end"/>
      </w:r>
      <w:r w:rsidRPr="00711E4A">
        <w:rPr>
          <w:lang w:eastAsia="ja-JP"/>
        </w:rPr>
        <w:t xml:space="preserve"> provides more </w:t>
      </w:r>
      <w:r w:rsidR="004518C6">
        <w:rPr>
          <w:lang w:eastAsia="ja-JP"/>
        </w:rPr>
        <w:t xml:space="preserve">detailed </w:t>
      </w:r>
      <w:r w:rsidRPr="00711E4A">
        <w:rPr>
          <w:lang w:eastAsia="ja-JP"/>
        </w:rPr>
        <w:t>information on Medicare claims data</w:t>
      </w:r>
      <w:r w:rsidR="004518C6">
        <w:rPr>
          <w:lang w:eastAsia="ja-JP"/>
        </w:rPr>
        <w:t xml:space="preserve"> specifically</w:t>
      </w:r>
      <w:r w:rsidR="00943A43" w:rsidRPr="00711E4A">
        <w:rPr>
          <w:lang w:eastAsia="ja-JP"/>
        </w:rPr>
        <w:t xml:space="preserve">, and Section </w:t>
      </w:r>
      <w:r w:rsidR="0072521C" w:rsidRPr="00711E4A">
        <w:rPr>
          <w:lang w:eastAsia="ja-JP"/>
        </w:rPr>
        <w:fldChar w:fldCharType="begin"/>
      </w:r>
      <w:r w:rsidR="0072521C" w:rsidRPr="00711E4A">
        <w:rPr>
          <w:lang w:eastAsia="ja-JP"/>
        </w:rPr>
        <w:instrText xml:space="preserve"> REF _Ref484597917 \r \h </w:instrText>
      </w:r>
      <w:r w:rsidR="002376FA" w:rsidRPr="00711E4A">
        <w:rPr>
          <w:lang w:eastAsia="ja-JP"/>
        </w:rPr>
        <w:instrText xml:space="preserve"> \* MERGEFORMAT </w:instrText>
      </w:r>
      <w:r w:rsidR="0072521C" w:rsidRPr="00711E4A">
        <w:rPr>
          <w:lang w:eastAsia="ja-JP"/>
        </w:rPr>
      </w:r>
      <w:r w:rsidR="0072521C" w:rsidRPr="00711E4A">
        <w:rPr>
          <w:lang w:eastAsia="ja-JP"/>
        </w:rPr>
        <w:fldChar w:fldCharType="separate"/>
      </w:r>
      <w:r w:rsidR="00897485" w:rsidRPr="00711E4A">
        <w:rPr>
          <w:lang w:eastAsia="ja-JP"/>
        </w:rPr>
        <w:t>3.3</w:t>
      </w:r>
      <w:r w:rsidR="0072521C" w:rsidRPr="00711E4A">
        <w:rPr>
          <w:lang w:eastAsia="ja-JP"/>
        </w:rPr>
        <w:fldChar w:fldCharType="end"/>
      </w:r>
      <w:r w:rsidR="00943A43" w:rsidRPr="00711E4A">
        <w:rPr>
          <w:lang w:eastAsia="ja-JP"/>
        </w:rPr>
        <w:t xml:space="preserve"> looks at </w:t>
      </w:r>
      <w:r w:rsidR="00504B0B" w:rsidRPr="00711E4A">
        <w:rPr>
          <w:lang w:eastAsia="ja-JP"/>
        </w:rPr>
        <w:t>coding systems used.</w:t>
      </w:r>
    </w:p>
    <w:p w14:paraId="037BC45E" w14:textId="76F96EB8" w:rsidR="00461BD3" w:rsidRPr="00711E4A" w:rsidRDefault="00461BD3" w:rsidP="00CA3E18">
      <w:pPr>
        <w:pStyle w:val="Heading2"/>
      </w:pPr>
      <w:bookmarkStart w:id="7" w:name="_Data_Sources"/>
      <w:bookmarkStart w:id="8" w:name="_Ref484442327"/>
      <w:bookmarkStart w:id="9" w:name="_Toc32328714"/>
      <w:bookmarkEnd w:id="7"/>
      <w:r w:rsidRPr="00711E4A">
        <w:t>Data Sources</w:t>
      </w:r>
      <w:bookmarkEnd w:id="8"/>
      <w:bookmarkEnd w:id="9"/>
    </w:p>
    <w:p w14:paraId="3E28F562" w14:textId="48FA13D1" w:rsidR="00461BD3" w:rsidRDefault="00461BD3" w:rsidP="00CA3E18">
      <w:pPr>
        <w:rPr>
          <w:lang w:eastAsia="ja-JP"/>
        </w:rPr>
      </w:pPr>
      <w:r w:rsidRPr="00711E4A">
        <w:rPr>
          <w:lang w:eastAsia="ja-JP"/>
        </w:rPr>
        <w:t xml:space="preserve">We use </w:t>
      </w:r>
      <w:r w:rsidR="00A73458" w:rsidRPr="00711E4A">
        <w:rPr>
          <w:lang w:eastAsia="ja-JP"/>
        </w:rPr>
        <w:t xml:space="preserve">four </w:t>
      </w:r>
      <w:r w:rsidRPr="00711E4A">
        <w:rPr>
          <w:lang w:eastAsia="ja-JP"/>
        </w:rPr>
        <w:t xml:space="preserve">data sources to construct </w:t>
      </w:r>
      <w:r w:rsidR="00F61CB6" w:rsidRPr="00711E4A">
        <w:rPr>
          <w:lang w:eastAsia="ja-JP"/>
        </w:rPr>
        <w:t>the analytic datasets</w:t>
      </w:r>
      <w:r w:rsidRPr="00711E4A">
        <w:rPr>
          <w:lang w:eastAsia="ja-JP"/>
        </w:rPr>
        <w:t xml:space="preserve">. </w:t>
      </w:r>
      <w:r w:rsidR="003914F8" w:rsidRPr="00711E4A">
        <w:rPr>
          <w:lang w:eastAsia="ja-JP"/>
        </w:rPr>
        <w:fldChar w:fldCharType="begin"/>
      </w:r>
      <w:r w:rsidR="003914F8" w:rsidRPr="00711E4A">
        <w:rPr>
          <w:lang w:eastAsia="ja-JP"/>
        </w:rPr>
        <w:instrText xml:space="preserve"> REF _Ref484442488 \h </w:instrText>
      </w:r>
      <w:r w:rsidR="002376FA" w:rsidRPr="00711E4A">
        <w:rPr>
          <w:lang w:eastAsia="ja-JP"/>
        </w:rPr>
        <w:instrText xml:space="preserve"> \* MERGEFORMAT </w:instrText>
      </w:r>
      <w:r w:rsidR="003914F8" w:rsidRPr="00711E4A">
        <w:rPr>
          <w:lang w:eastAsia="ja-JP"/>
        </w:rPr>
      </w:r>
      <w:r w:rsidR="003914F8" w:rsidRPr="00711E4A">
        <w:rPr>
          <w:lang w:eastAsia="ja-JP"/>
        </w:rPr>
        <w:fldChar w:fldCharType="separate"/>
      </w:r>
      <w:r w:rsidR="00EE37E1" w:rsidRPr="00996FC7">
        <w:t xml:space="preserve">Table </w:t>
      </w:r>
      <w:r w:rsidR="00EE37E1">
        <w:rPr>
          <w:noProof/>
        </w:rPr>
        <w:t>1.1</w:t>
      </w:r>
      <w:r w:rsidR="003914F8" w:rsidRPr="00711E4A">
        <w:rPr>
          <w:lang w:eastAsia="ja-JP"/>
        </w:rPr>
        <w:fldChar w:fldCharType="end"/>
      </w:r>
      <w:r w:rsidR="003914F8" w:rsidRPr="00711E4A">
        <w:rPr>
          <w:lang w:eastAsia="ja-JP"/>
        </w:rPr>
        <w:t xml:space="preserve"> </w:t>
      </w:r>
      <w:r w:rsidRPr="00711E4A">
        <w:rPr>
          <w:lang w:eastAsia="ja-JP"/>
        </w:rPr>
        <w:t>provides a</w:t>
      </w:r>
      <w:r w:rsidR="00407D00" w:rsidRPr="00711E4A">
        <w:rPr>
          <w:lang w:eastAsia="ja-JP"/>
        </w:rPr>
        <w:t>n unofficial</w:t>
      </w:r>
      <w:r w:rsidRPr="00711E4A">
        <w:rPr>
          <w:lang w:eastAsia="ja-JP"/>
        </w:rPr>
        <w:t xml:space="preserve"> description of each data source and the information </w:t>
      </w:r>
      <w:r w:rsidR="00F10CDE" w:rsidRPr="00711E4A">
        <w:rPr>
          <w:lang w:eastAsia="ja-JP"/>
        </w:rPr>
        <w:t>each source provides for our analyses</w:t>
      </w:r>
      <w:r w:rsidRPr="00711E4A">
        <w:rPr>
          <w:lang w:eastAsia="ja-JP"/>
        </w:rPr>
        <w:t>.</w:t>
      </w:r>
    </w:p>
    <w:p w14:paraId="445A8306" w14:textId="0745F368" w:rsidR="00461BD3" w:rsidRPr="00996FC7" w:rsidRDefault="00461BD3" w:rsidP="00CA3E18">
      <w:pPr>
        <w:pStyle w:val="Caption"/>
        <w:keepNext/>
        <w:rPr>
          <w:sz w:val="20"/>
        </w:rPr>
      </w:pPr>
      <w:bookmarkStart w:id="10" w:name="_Ref484442488"/>
      <w:r w:rsidRPr="00996FC7">
        <w:rPr>
          <w:sz w:val="20"/>
        </w:rPr>
        <w:t xml:space="preserve">Table </w:t>
      </w:r>
      <w:r w:rsidR="00EE37E1">
        <w:rPr>
          <w:sz w:val="20"/>
        </w:rPr>
        <w:t>1</w:t>
      </w:r>
      <w:r w:rsidR="00345C96">
        <w:rPr>
          <w:sz w:val="20"/>
        </w:rPr>
        <w:t>.</w:t>
      </w:r>
      <w:r w:rsidR="00345C96">
        <w:rPr>
          <w:sz w:val="20"/>
        </w:rPr>
        <w:fldChar w:fldCharType="begin"/>
      </w:r>
      <w:r w:rsidR="00345C96">
        <w:rPr>
          <w:sz w:val="20"/>
        </w:rPr>
        <w:instrText xml:space="preserve"> SEQ Table \* ARABIC \s 1 </w:instrText>
      </w:r>
      <w:r w:rsidR="00345C96">
        <w:rPr>
          <w:sz w:val="20"/>
        </w:rPr>
        <w:fldChar w:fldCharType="separate"/>
      </w:r>
      <w:r w:rsidR="00897485">
        <w:rPr>
          <w:noProof/>
          <w:sz w:val="20"/>
        </w:rPr>
        <w:t>1</w:t>
      </w:r>
      <w:r w:rsidR="00345C96">
        <w:rPr>
          <w:sz w:val="20"/>
        </w:rPr>
        <w:fldChar w:fldCharType="end"/>
      </w:r>
      <w:bookmarkEnd w:id="10"/>
      <w:r w:rsidRPr="00996FC7">
        <w:rPr>
          <w:sz w:val="20"/>
        </w:rPr>
        <w:t xml:space="preserve"> Data Sources</w:t>
      </w:r>
    </w:p>
    <w:tbl>
      <w:tblPr>
        <w:tblStyle w:val="TableGrid"/>
        <w:tblW w:w="9360" w:type="dxa"/>
        <w:jc w:val="center"/>
        <w:tblLook w:val="04A0" w:firstRow="1" w:lastRow="0" w:firstColumn="1" w:lastColumn="0" w:noHBand="0" w:noVBand="1"/>
      </w:tblPr>
      <w:tblGrid>
        <w:gridCol w:w="2502"/>
        <w:gridCol w:w="2893"/>
        <w:gridCol w:w="3965"/>
      </w:tblGrid>
      <w:tr w:rsidR="00461BD3" w14:paraId="6A5F826B" w14:textId="77777777" w:rsidTr="00A85231">
        <w:trPr>
          <w:trHeight w:val="634"/>
          <w:tblHeader/>
          <w:jc w:val="center"/>
        </w:trPr>
        <w:tc>
          <w:tcPr>
            <w:tcW w:w="2502" w:type="dxa"/>
            <w:shd w:val="clear" w:color="auto" w:fill="D0E6F4" w:themeFill="accent5" w:themeFillTint="33"/>
            <w:vAlign w:val="center"/>
          </w:tcPr>
          <w:p w14:paraId="5F614F86" w14:textId="77777777" w:rsidR="00461BD3" w:rsidRPr="00996FC7" w:rsidRDefault="00461BD3" w:rsidP="00CA3E18">
            <w:pPr>
              <w:jc w:val="center"/>
              <w:rPr>
                <w:b/>
                <w:sz w:val="18"/>
              </w:rPr>
            </w:pPr>
            <w:r w:rsidRPr="00996FC7">
              <w:rPr>
                <w:b/>
                <w:sz w:val="18"/>
              </w:rPr>
              <w:t>Data Source</w:t>
            </w:r>
          </w:p>
        </w:tc>
        <w:tc>
          <w:tcPr>
            <w:tcW w:w="2893" w:type="dxa"/>
            <w:shd w:val="clear" w:color="auto" w:fill="D0E6F4" w:themeFill="accent5" w:themeFillTint="33"/>
            <w:vAlign w:val="center"/>
          </w:tcPr>
          <w:p w14:paraId="3334B96C" w14:textId="59DE61E8" w:rsidR="00461BD3" w:rsidRPr="00996FC7" w:rsidRDefault="00407D00" w:rsidP="00CA3E18">
            <w:pPr>
              <w:jc w:val="center"/>
              <w:rPr>
                <w:b/>
                <w:sz w:val="18"/>
              </w:rPr>
            </w:pPr>
            <w:r w:rsidRPr="00996FC7">
              <w:rPr>
                <w:b/>
                <w:sz w:val="18"/>
              </w:rPr>
              <w:t>Brief Data Description</w:t>
            </w:r>
            <w:r w:rsidRPr="00996FC7">
              <w:rPr>
                <w:rStyle w:val="FootnoteReference"/>
                <w:b/>
                <w:sz w:val="18"/>
              </w:rPr>
              <w:footnoteReference w:id="3"/>
            </w:r>
          </w:p>
        </w:tc>
        <w:tc>
          <w:tcPr>
            <w:tcW w:w="3965" w:type="dxa"/>
            <w:shd w:val="clear" w:color="auto" w:fill="D0E6F4" w:themeFill="accent5" w:themeFillTint="33"/>
            <w:vAlign w:val="center"/>
          </w:tcPr>
          <w:p w14:paraId="08BA33BD" w14:textId="72831363" w:rsidR="00461BD3" w:rsidRPr="00996FC7" w:rsidRDefault="00461BD3" w:rsidP="00B033EB">
            <w:pPr>
              <w:jc w:val="center"/>
              <w:rPr>
                <w:b/>
                <w:sz w:val="18"/>
              </w:rPr>
            </w:pPr>
            <w:r w:rsidRPr="00996FC7">
              <w:rPr>
                <w:b/>
                <w:sz w:val="18"/>
              </w:rPr>
              <w:t xml:space="preserve">Information </w:t>
            </w:r>
            <w:r w:rsidR="0083417D">
              <w:rPr>
                <w:b/>
                <w:sz w:val="18"/>
              </w:rPr>
              <w:t>U</w:t>
            </w:r>
            <w:r w:rsidR="00407D00" w:rsidRPr="00996FC7">
              <w:rPr>
                <w:b/>
                <w:sz w:val="18"/>
              </w:rPr>
              <w:t xml:space="preserve">sed in </w:t>
            </w:r>
            <w:r w:rsidR="00B033EB">
              <w:rPr>
                <w:b/>
                <w:sz w:val="18"/>
              </w:rPr>
              <w:t>Analyses</w:t>
            </w:r>
          </w:p>
        </w:tc>
      </w:tr>
      <w:tr w:rsidR="00461BD3" w14:paraId="5C54A502" w14:textId="77777777" w:rsidTr="00A85231">
        <w:trPr>
          <w:trHeight w:val="1440"/>
          <w:jc w:val="center"/>
        </w:trPr>
        <w:tc>
          <w:tcPr>
            <w:tcW w:w="2502" w:type="dxa"/>
            <w:vAlign w:val="center"/>
          </w:tcPr>
          <w:p w14:paraId="6D1B3BE1" w14:textId="77777777" w:rsidR="00461BD3" w:rsidRPr="00996FC7" w:rsidRDefault="00461BD3" w:rsidP="00CA3E18">
            <w:pPr>
              <w:rPr>
                <w:sz w:val="17"/>
                <w:szCs w:val="17"/>
              </w:rPr>
            </w:pPr>
            <w:r w:rsidRPr="00996FC7">
              <w:rPr>
                <w:sz w:val="17"/>
                <w:szCs w:val="17"/>
              </w:rPr>
              <w:t>Common Working File (CWF) Fee-For-Service (FFS) Claims</w:t>
            </w:r>
          </w:p>
        </w:tc>
        <w:tc>
          <w:tcPr>
            <w:tcW w:w="2893" w:type="dxa"/>
            <w:vAlign w:val="center"/>
          </w:tcPr>
          <w:p w14:paraId="48D50DFD" w14:textId="6762613D" w:rsidR="00461BD3" w:rsidRPr="00996FC7" w:rsidRDefault="00461BD3" w:rsidP="00CA3E18">
            <w:pPr>
              <w:rPr>
                <w:sz w:val="17"/>
                <w:szCs w:val="17"/>
              </w:rPr>
            </w:pPr>
            <w:r w:rsidRPr="00996FC7">
              <w:rPr>
                <w:sz w:val="17"/>
                <w:szCs w:val="17"/>
              </w:rPr>
              <w:t>Medicare Parts A and B utilization records</w:t>
            </w:r>
            <w:r w:rsidR="00407D00" w:rsidRPr="00996FC7">
              <w:rPr>
                <w:sz w:val="17"/>
                <w:szCs w:val="17"/>
              </w:rPr>
              <w:t xml:space="preserve"> </w:t>
            </w:r>
            <w:r w:rsidRPr="00996FC7">
              <w:rPr>
                <w:sz w:val="17"/>
                <w:szCs w:val="17"/>
              </w:rPr>
              <w:t>/ claims history for individual beneficiaries</w:t>
            </w:r>
          </w:p>
        </w:tc>
        <w:tc>
          <w:tcPr>
            <w:tcW w:w="3965" w:type="dxa"/>
            <w:vAlign w:val="center"/>
          </w:tcPr>
          <w:p w14:paraId="2F048AFC" w14:textId="2FB1A50C" w:rsidR="00461BD3" w:rsidRPr="00B727B0" w:rsidRDefault="00461BD3" w:rsidP="00B727B0">
            <w:pPr>
              <w:pStyle w:val="ListParagraph"/>
              <w:numPr>
                <w:ilvl w:val="0"/>
                <w:numId w:val="4"/>
              </w:numPr>
              <w:ind w:left="196" w:hanging="180"/>
              <w:rPr>
                <w:rFonts w:asciiTheme="minorHAnsi" w:hAnsiTheme="minorHAnsi" w:cstheme="minorHAnsi"/>
                <w:sz w:val="17"/>
                <w:szCs w:val="17"/>
              </w:rPr>
            </w:pPr>
            <w:r w:rsidRPr="00EA083B">
              <w:rPr>
                <w:rFonts w:asciiTheme="minorHAnsi" w:hAnsiTheme="minorHAnsi" w:cstheme="minorHAnsi"/>
                <w:sz w:val="17"/>
                <w:szCs w:val="17"/>
              </w:rPr>
              <w:t xml:space="preserve">Utilization of </w:t>
            </w:r>
            <w:r w:rsidR="00B727B0" w:rsidRPr="00EA083B">
              <w:rPr>
                <w:rFonts w:asciiTheme="minorHAnsi" w:hAnsiTheme="minorHAnsi" w:cstheme="minorHAnsi"/>
                <w:sz w:val="17"/>
                <w:szCs w:val="17"/>
              </w:rPr>
              <w:t xml:space="preserve">inpatient, </w:t>
            </w:r>
            <w:r w:rsidR="0086144F" w:rsidRPr="00EA083B">
              <w:rPr>
                <w:rFonts w:asciiTheme="minorHAnsi" w:hAnsiTheme="minorHAnsi" w:cstheme="minorHAnsi"/>
                <w:sz w:val="17"/>
                <w:szCs w:val="17"/>
              </w:rPr>
              <w:t xml:space="preserve">outpatient, </w:t>
            </w:r>
            <w:r w:rsidR="00B727B0" w:rsidRPr="00EA083B">
              <w:rPr>
                <w:rFonts w:asciiTheme="minorHAnsi" w:hAnsiTheme="minorHAnsi" w:cstheme="minorHAnsi"/>
                <w:sz w:val="17"/>
                <w:szCs w:val="17"/>
              </w:rPr>
              <w:t xml:space="preserve">skilled nursing facility, home health, </w:t>
            </w:r>
            <w:r w:rsidR="00847E57" w:rsidRPr="00EA083B">
              <w:rPr>
                <w:rFonts w:asciiTheme="minorHAnsi" w:hAnsiTheme="minorHAnsi" w:cstheme="minorHAnsi"/>
                <w:sz w:val="17"/>
                <w:szCs w:val="17"/>
              </w:rPr>
              <w:t xml:space="preserve">professional, </w:t>
            </w:r>
            <w:r w:rsidR="00B727B0" w:rsidRPr="00EA083B">
              <w:rPr>
                <w:rFonts w:asciiTheme="minorHAnsi" w:hAnsiTheme="minorHAnsi" w:cstheme="minorHAnsi"/>
                <w:sz w:val="17"/>
                <w:szCs w:val="17"/>
              </w:rPr>
              <w:t>and hospice</w:t>
            </w:r>
            <w:r w:rsidR="00407D00" w:rsidRPr="00EA083B">
              <w:rPr>
                <w:rFonts w:asciiTheme="minorHAnsi" w:hAnsiTheme="minorHAnsi" w:cstheme="minorHAnsi"/>
                <w:sz w:val="17"/>
                <w:szCs w:val="17"/>
              </w:rPr>
              <w:t xml:space="preserve"> services</w:t>
            </w:r>
          </w:p>
        </w:tc>
      </w:tr>
      <w:tr w:rsidR="00461BD3" w14:paraId="32382B86" w14:textId="77777777" w:rsidTr="00A85231">
        <w:trPr>
          <w:trHeight w:val="1440"/>
          <w:jc w:val="center"/>
        </w:trPr>
        <w:tc>
          <w:tcPr>
            <w:tcW w:w="2502" w:type="dxa"/>
            <w:vAlign w:val="center"/>
          </w:tcPr>
          <w:p w14:paraId="0781B0DB" w14:textId="77777777" w:rsidR="00461BD3" w:rsidRPr="00CD530D" w:rsidRDefault="00461BD3" w:rsidP="00CA3E18">
            <w:pPr>
              <w:rPr>
                <w:sz w:val="17"/>
                <w:szCs w:val="17"/>
              </w:rPr>
            </w:pPr>
            <w:r w:rsidRPr="00CD530D">
              <w:rPr>
                <w:sz w:val="17"/>
                <w:szCs w:val="17"/>
              </w:rPr>
              <w:t>Long-Term Care Minimum Data Set (MDS) Assessments</w:t>
            </w:r>
          </w:p>
        </w:tc>
        <w:tc>
          <w:tcPr>
            <w:tcW w:w="2893" w:type="dxa"/>
            <w:vAlign w:val="center"/>
          </w:tcPr>
          <w:p w14:paraId="156A68C0" w14:textId="38236A4E" w:rsidR="00461BD3" w:rsidRPr="00CD530D" w:rsidRDefault="00461BD3" w:rsidP="00CA3E18">
            <w:pPr>
              <w:rPr>
                <w:sz w:val="17"/>
                <w:szCs w:val="17"/>
              </w:rPr>
            </w:pPr>
            <w:r w:rsidRPr="00CD530D">
              <w:rPr>
                <w:sz w:val="17"/>
                <w:szCs w:val="17"/>
              </w:rPr>
              <w:t xml:space="preserve">Clinical assessments of </w:t>
            </w:r>
            <w:r w:rsidR="003914F8" w:rsidRPr="00CD530D">
              <w:rPr>
                <w:sz w:val="17"/>
                <w:szCs w:val="17"/>
              </w:rPr>
              <w:t xml:space="preserve">residents </w:t>
            </w:r>
            <w:r w:rsidRPr="00CD530D">
              <w:rPr>
                <w:sz w:val="17"/>
                <w:szCs w:val="17"/>
              </w:rPr>
              <w:t>in nursing homes</w:t>
            </w:r>
            <w:r w:rsidR="00101381" w:rsidRPr="00CD530D">
              <w:rPr>
                <w:sz w:val="17"/>
                <w:szCs w:val="17"/>
              </w:rPr>
              <w:t xml:space="preserve"> and beneficiaries using swing beds</w:t>
            </w:r>
          </w:p>
        </w:tc>
        <w:tc>
          <w:tcPr>
            <w:tcW w:w="3965" w:type="dxa"/>
            <w:vAlign w:val="center"/>
          </w:tcPr>
          <w:p w14:paraId="2E414127" w14:textId="77777777" w:rsidR="00461BD3" w:rsidRPr="00CD530D" w:rsidRDefault="00461BD3" w:rsidP="00A82906">
            <w:pPr>
              <w:pStyle w:val="ListParagraph"/>
              <w:numPr>
                <w:ilvl w:val="0"/>
                <w:numId w:val="4"/>
              </w:numPr>
              <w:ind w:left="196" w:hanging="180"/>
              <w:rPr>
                <w:rFonts w:asciiTheme="minorHAnsi" w:hAnsiTheme="minorHAnsi" w:cstheme="minorHAnsi"/>
                <w:sz w:val="17"/>
                <w:szCs w:val="17"/>
              </w:rPr>
            </w:pPr>
            <w:r w:rsidRPr="00CD530D">
              <w:rPr>
                <w:rFonts w:asciiTheme="minorHAnsi" w:hAnsiTheme="minorHAnsi" w:cstheme="minorHAnsi"/>
                <w:sz w:val="17"/>
                <w:szCs w:val="17"/>
              </w:rPr>
              <w:t>Admission date to nursing home</w:t>
            </w:r>
          </w:p>
          <w:p w14:paraId="47D582DF" w14:textId="77777777" w:rsidR="00461BD3" w:rsidRPr="00CD530D" w:rsidRDefault="00461BD3" w:rsidP="00A82906">
            <w:pPr>
              <w:pStyle w:val="ListParagraph"/>
              <w:numPr>
                <w:ilvl w:val="0"/>
                <w:numId w:val="4"/>
              </w:numPr>
              <w:ind w:left="196" w:hanging="180"/>
              <w:rPr>
                <w:rFonts w:asciiTheme="minorHAnsi" w:hAnsiTheme="minorHAnsi" w:cstheme="minorHAnsi"/>
                <w:sz w:val="17"/>
                <w:szCs w:val="17"/>
              </w:rPr>
            </w:pPr>
            <w:r w:rsidRPr="00CD530D">
              <w:rPr>
                <w:rFonts w:asciiTheme="minorHAnsi" w:hAnsiTheme="minorHAnsi" w:cstheme="minorHAnsi"/>
                <w:sz w:val="17"/>
                <w:szCs w:val="17"/>
              </w:rPr>
              <w:t>Discharge date from nursing home</w:t>
            </w:r>
          </w:p>
          <w:p w14:paraId="650A8EF5" w14:textId="1907ACB0" w:rsidR="00033F12" w:rsidRPr="00CD530D" w:rsidRDefault="00033F12" w:rsidP="00A82906">
            <w:pPr>
              <w:pStyle w:val="ListParagraph"/>
              <w:numPr>
                <w:ilvl w:val="0"/>
                <w:numId w:val="4"/>
              </w:numPr>
              <w:ind w:left="196" w:hanging="180"/>
              <w:rPr>
                <w:rFonts w:asciiTheme="minorHAnsi" w:hAnsiTheme="minorHAnsi" w:cstheme="minorHAnsi"/>
                <w:sz w:val="17"/>
                <w:szCs w:val="17"/>
              </w:rPr>
            </w:pPr>
            <w:r w:rsidRPr="00CD530D">
              <w:rPr>
                <w:rFonts w:asciiTheme="minorHAnsi" w:hAnsiTheme="minorHAnsi" w:cstheme="minorHAnsi"/>
                <w:sz w:val="17"/>
                <w:szCs w:val="17"/>
              </w:rPr>
              <w:t xml:space="preserve">Start date of </w:t>
            </w:r>
            <w:r w:rsidR="00D9609E" w:rsidRPr="00CD530D">
              <w:rPr>
                <w:rFonts w:asciiTheme="minorHAnsi" w:hAnsiTheme="minorHAnsi" w:cstheme="minorHAnsi"/>
                <w:sz w:val="17"/>
                <w:szCs w:val="17"/>
              </w:rPr>
              <w:t xml:space="preserve">swing bed use  </w:t>
            </w:r>
          </w:p>
          <w:p w14:paraId="186D3FE0" w14:textId="6E820687" w:rsidR="00033F12" w:rsidRPr="00CD530D" w:rsidRDefault="00033F12" w:rsidP="00A82906">
            <w:pPr>
              <w:pStyle w:val="ListParagraph"/>
              <w:numPr>
                <w:ilvl w:val="0"/>
                <w:numId w:val="4"/>
              </w:numPr>
              <w:ind w:left="196" w:hanging="180"/>
              <w:rPr>
                <w:rFonts w:asciiTheme="minorHAnsi" w:hAnsiTheme="minorHAnsi" w:cstheme="minorHAnsi"/>
                <w:sz w:val="17"/>
                <w:szCs w:val="17"/>
              </w:rPr>
            </w:pPr>
            <w:r w:rsidRPr="00CD530D">
              <w:rPr>
                <w:rFonts w:asciiTheme="minorHAnsi" w:hAnsiTheme="minorHAnsi" w:cstheme="minorHAnsi"/>
                <w:sz w:val="17"/>
                <w:szCs w:val="17"/>
              </w:rPr>
              <w:t>End date of swing bed use</w:t>
            </w:r>
          </w:p>
        </w:tc>
      </w:tr>
      <w:tr w:rsidR="00461BD3" w14:paraId="4F8DC09E" w14:textId="77777777" w:rsidTr="00A85231">
        <w:trPr>
          <w:trHeight w:val="1440"/>
          <w:jc w:val="center"/>
        </w:trPr>
        <w:tc>
          <w:tcPr>
            <w:tcW w:w="2502" w:type="dxa"/>
            <w:vAlign w:val="center"/>
          </w:tcPr>
          <w:p w14:paraId="2FEA8188" w14:textId="611B470F" w:rsidR="00461BD3" w:rsidRPr="00996FC7" w:rsidRDefault="00461BD3" w:rsidP="00CA3E18">
            <w:pPr>
              <w:rPr>
                <w:sz w:val="17"/>
                <w:szCs w:val="17"/>
              </w:rPr>
            </w:pPr>
            <w:r w:rsidRPr="00996FC7">
              <w:rPr>
                <w:sz w:val="17"/>
                <w:szCs w:val="17"/>
              </w:rPr>
              <w:t>Enrollment Data Base (EDB)</w:t>
            </w:r>
            <w:r w:rsidR="00CA3E18">
              <w:rPr>
                <w:rStyle w:val="FootnoteReference"/>
                <w:sz w:val="17"/>
                <w:szCs w:val="17"/>
              </w:rPr>
              <w:footnoteReference w:id="4"/>
            </w:r>
          </w:p>
        </w:tc>
        <w:tc>
          <w:tcPr>
            <w:tcW w:w="2893" w:type="dxa"/>
            <w:vAlign w:val="center"/>
          </w:tcPr>
          <w:p w14:paraId="52780DAE" w14:textId="77777777" w:rsidR="00461BD3" w:rsidRPr="00996FC7" w:rsidRDefault="00461BD3" w:rsidP="00CA3E18">
            <w:pPr>
              <w:rPr>
                <w:sz w:val="17"/>
                <w:szCs w:val="17"/>
              </w:rPr>
            </w:pPr>
            <w:r w:rsidRPr="00996FC7">
              <w:rPr>
                <w:sz w:val="17"/>
                <w:szCs w:val="17"/>
              </w:rPr>
              <w:t>Enrollment and other demographic information for all Medicare beneficiaries</w:t>
            </w:r>
          </w:p>
        </w:tc>
        <w:tc>
          <w:tcPr>
            <w:tcW w:w="3965" w:type="dxa"/>
            <w:vAlign w:val="center"/>
          </w:tcPr>
          <w:p w14:paraId="62B1ACCB" w14:textId="10FF84DE" w:rsidR="00461BD3" w:rsidRPr="00996FC7" w:rsidRDefault="00886415" w:rsidP="00A82906">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name</w:t>
            </w:r>
          </w:p>
          <w:p w14:paraId="553EC6C1" w14:textId="46BE5843" w:rsidR="00461BD3" w:rsidRPr="00996FC7" w:rsidRDefault="00886415" w:rsidP="00A82906">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date of birth</w:t>
            </w:r>
          </w:p>
          <w:p w14:paraId="645BC03D" w14:textId="136559DA" w:rsidR="00461BD3" w:rsidRPr="00996FC7" w:rsidRDefault="00886415" w:rsidP="00A82906">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date of death</w:t>
            </w:r>
          </w:p>
          <w:p w14:paraId="2EEAD41B" w14:textId="2A4825E2" w:rsidR="00461BD3" w:rsidRPr="00996FC7" w:rsidRDefault="00886415" w:rsidP="00A82906">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mailing address</w:t>
            </w:r>
          </w:p>
          <w:p w14:paraId="29EE2563" w14:textId="78D6D36A" w:rsidR="00461BD3" w:rsidRDefault="00886415" w:rsidP="00A82906">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dual eligibility status</w:t>
            </w:r>
          </w:p>
          <w:p w14:paraId="01D7D186" w14:textId="7FE77E4E" w:rsidR="003168E4" w:rsidRPr="00996FC7" w:rsidRDefault="00886415" w:rsidP="00A82906">
            <w:pPr>
              <w:pStyle w:val="ListParagraph"/>
              <w:numPr>
                <w:ilvl w:val="0"/>
                <w:numId w:val="4"/>
              </w:numPr>
              <w:ind w:left="196" w:hanging="180"/>
              <w:rPr>
                <w:rFonts w:asciiTheme="minorHAnsi" w:hAnsiTheme="minorHAnsi" w:cstheme="minorHAnsi"/>
                <w:sz w:val="17"/>
                <w:szCs w:val="17"/>
              </w:rPr>
            </w:pPr>
            <w:r>
              <w:rPr>
                <w:rFonts w:asciiTheme="minorHAnsi" w:hAnsiTheme="minorHAnsi" w:cstheme="minorHAnsi"/>
                <w:sz w:val="17"/>
                <w:szCs w:val="17"/>
              </w:rPr>
              <w:t>Beneficiary Medicare enrollment i</w:t>
            </w:r>
            <w:r w:rsidR="003168E4">
              <w:rPr>
                <w:rFonts w:asciiTheme="minorHAnsi" w:hAnsiTheme="minorHAnsi" w:cstheme="minorHAnsi"/>
                <w:sz w:val="17"/>
                <w:szCs w:val="17"/>
              </w:rPr>
              <w:t>nformation</w:t>
            </w:r>
          </w:p>
        </w:tc>
      </w:tr>
      <w:tr w:rsidR="00700FF5" w14:paraId="16C094BB" w14:textId="77777777" w:rsidTr="00A85231">
        <w:trPr>
          <w:trHeight w:val="1440"/>
          <w:jc w:val="center"/>
        </w:trPr>
        <w:tc>
          <w:tcPr>
            <w:tcW w:w="2502" w:type="dxa"/>
            <w:vAlign w:val="center"/>
          </w:tcPr>
          <w:p w14:paraId="39194343" w14:textId="262B5C3B" w:rsidR="00700FF5" w:rsidRPr="00996FC7" w:rsidRDefault="007E6D82" w:rsidP="007E6D82">
            <w:pPr>
              <w:rPr>
                <w:sz w:val="17"/>
                <w:szCs w:val="17"/>
              </w:rPr>
            </w:pPr>
            <w:r>
              <w:rPr>
                <w:sz w:val="17"/>
                <w:szCs w:val="17"/>
              </w:rPr>
              <w:t>Integrated Data Repository (IDR) Dual Eligibility Data</w:t>
            </w:r>
          </w:p>
        </w:tc>
        <w:tc>
          <w:tcPr>
            <w:tcW w:w="2893" w:type="dxa"/>
            <w:vAlign w:val="center"/>
          </w:tcPr>
          <w:p w14:paraId="193642E6" w14:textId="49F1776E" w:rsidR="00700FF5" w:rsidRPr="00996FC7" w:rsidRDefault="00700FF5" w:rsidP="00CA3E18">
            <w:pPr>
              <w:rPr>
                <w:sz w:val="17"/>
                <w:szCs w:val="17"/>
              </w:rPr>
            </w:pPr>
            <w:r>
              <w:rPr>
                <w:sz w:val="17"/>
                <w:szCs w:val="17"/>
              </w:rPr>
              <w:t>B</w:t>
            </w:r>
            <w:r w:rsidRPr="00700FF5">
              <w:rPr>
                <w:sz w:val="17"/>
                <w:szCs w:val="17"/>
              </w:rPr>
              <w:t>eneficiary dual Medicare/Medicaid eligibility status</w:t>
            </w:r>
            <w:r>
              <w:rPr>
                <w:sz w:val="17"/>
                <w:szCs w:val="17"/>
              </w:rPr>
              <w:t xml:space="preserve"> information </w:t>
            </w:r>
          </w:p>
        </w:tc>
        <w:tc>
          <w:tcPr>
            <w:tcW w:w="3965" w:type="dxa"/>
            <w:vAlign w:val="center"/>
          </w:tcPr>
          <w:p w14:paraId="1DBD1D9B" w14:textId="72DF0B03" w:rsidR="007E6D82" w:rsidRPr="00996FC7" w:rsidRDefault="00886415" w:rsidP="007E6D82">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name</w:t>
            </w:r>
          </w:p>
          <w:p w14:paraId="33D45219" w14:textId="00766B8C" w:rsidR="007E6D82" w:rsidRDefault="00886415" w:rsidP="007E6D82">
            <w:pPr>
              <w:pStyle w:val="ListParagraph"/>
              <w:numPr>
                <w:ilvl w:val="0"/>
                <w:numId w:val="4"/>
              </w:numPr>
              <w:ind w:left="196" w:hanging="180"/>
              <w:rPr>
                <w:rFonts w:asciiTheme="minorHAnsi" w:hAnsiTheme="minorHAnsi" w:cstheme="minorHAnsi"/>
                <w:sz w:val="17"/>
                <w:szCs w:val="17"/>
              </w:rPr>
            </w:pPr>
            <w:r w:rsidRPr="00996FC7">
              <w:rPr>
                <w:rFonts w:asciiTheme="minorHAnsi" w:hAnsiTheme="minorHAnsi" w:cstheme="minorHAnsi"/>
                <w:sz w:val="17"/>
                <w:szCs w:val="17"/>
              </w:rPr>
              <w:t>Beneficiary dual eligibility status</w:t>
            </w:r>
          </w:p>
          <w:p w14:paraId="51B13810" w14:textId="01483D3E" w:rsidR="00700FF5" w:rsidRPr="00996FC7" w:rsidRDefault="00700FF5" w:rsidP="007E6D82">
            <w:pPr>
              <w:pStyle w:val="ListParagraph"/>
              <w:ind w:left="196"/>
              <w:rPr>
                <w:rFonts w:asciiTheme="minorHAnsi" w:hAnsiTheme="minorHAnsi" w:cstheme="minorHAnsi"/>
                <w:sz w:val="17"/>
                <w:szCs w:val="17"/>
              </w:rPr>
            </w:pPr>
          </w:p>
        </w:tc>
      </w:tr>
    </w:tbl>
    <w:p w14:paraId="02A5CDA2" w14:textId="0246E4A2" w:rsidR="00461BD3" w:rsidRDefault="00461BD3" w:rsidP="00B727B0">
      <w:pPr>
        <w:rPr>
          <w:i/>
          <w:sz w:val="16"/>
          <w:lang w:eastAsia="ja-JP"/>
        </w:rPr>
      </w:pPr>
    </w:p>
    <w:p w14:paraId="2DCE6518" w14:textId="6A9AD0D9" w:rsidR="00461BD3" w:rsidRDefault="00407D00" w:rsidP="00CA3E18">
      <w:pPr>
        <w:pStyle w:val="Heading2"/>
      </w:pPr>
      <w:bookmarkStart w:id="11" w:name="_Toc32328715"/>
      <w:bookmarkStart w:id="12" w:name="_Ref484442400"/>
      <w:r>
        <w:lastRenderedPageBreak/>
        <w:t>Medicare Claim File</w:t>
      </w:r>
      <w:r w:rsidR="007628B0">
        <w:t>s</w:t>
      </w:r>
      <w:bookmarkEnd w:id="11"/>
      <w:r>
        <w:t xml:space="preserve"> </w:t>
      </w:r>
      <w:bookmarkEnd w:id="12"/>
    </w:p>
    <w:p w14:paraId="349A27AE" w14:textId="34AE10D6" w:rsidR="007F5CA1" w:rsidRDefault="007F5CA1" w:rsidP="00461BD3">
      <w:pPr>
        <w:rPr>
          <w:lang w:eastAsia="ja-JP"/>
        </w:rPr>
      </w:pPr>
      <w:r>
        <w:rPr>
          <w:lang w:eastAsia="ja-JP"/>
        </w:rPr>
        <w:t xml:space="preserve">Medicare uses two claim forms for submitting health care claims, commonly known as the institutional (CMD-1450/UB-04) </w:t>
      </w:r>
      <w:r w:rsidR="003914F8">
        <w:rPr>
          <w:lang w:eastAsia="ja-JP"/>
        </w:rPr>
        <w:t xml:space="preserve">and professional (CMS-1500) </w:t>
      </w:r>
      <w:r>
        <w:rPr>
          <w:lang w:eastAsia="ja-JP"/>
        </w:rPr>
        <w:t xml:space="preserve">claim forms. Each Medicare benefit is associated with one of these claim types. </w:t>
      </w:r>
    </w:p>
    <w:p w14:paraId="65CD50F1" w14:textId="77777777" w:rsidR="007F5CA1" w:rsidRDefault="007F5CA1" w:rsidP="00461BD3">
      <w:pPr>
        <w:rPr>
          <w:lang w:eastAsia="ja-JP"/>
        </w:rPr>
      </w:pPr>
      <w:r>
        <w:rPr>
          <w:lang w:eastAsia="ja-JP"/>
        </w:rPr>
        <w:t xml:space="preserve">Institutional claims can be further divided based on the type of bill. Different types of facilities use different types of bills when submitting a claim. The type of bill is comprised of three digits where the first digit indicates the facility type, the second digit indicates the bill classification, and the third digit defines the claim (nonpayment, late charge, etc.). The third number is typically not considered when identifying different types of facilities. </w:t>
      </w:r>
    </w:p>
    <w:p w14:paraId="3C33E5E3" w14:textId="153E7961" w:rsidR="007F5CA1" w:rsidRDefault="007F5CA1" w:rsidP="00461BD3">
      <w:pPr>
        <w:rPr>
          <w:lang w:eastAsia="ja-JP"/>
        </w:rPr>
      </w:pPr>
      <w:r>
        <w:rPr>
          <w:lang w:eastAsia="ja-JP"/>
        </w:rPr>
        <w:t xml:space="preserve">Professional claims can be further divided based on </w:t>
      </w:r>
      <w:r w:rsidR="00CE1C66">
        <w:rPr>
          <w:lang w:eastAsia="ja-JP"/>
        </w:rPr>
        <w:t>the provider or supplier type on the claim.</w:t>
      </w:r>
    </w:p>
    <w:p w14:paraId="7CB617FC" w14:textId="4E817DA5" w:rsidR="007F5CA1" w:rsidRDefault="003914F8" w:rsidP="00461BD3">
      <w:pPr>
        <w:rPr>
          <w:lang w:eastAsia="ja-JP"/>
        </w:rPr>
      </w:pPr>
      <w:r w:rsidRPr="00B42DB6">
        <w:rPr>
          <w:lang w:eastAsia="ja-JP"/>
        </w:rPr>
        <w:fldChar w:fldCharType="begin"/>
      </w:r>
      <w:r w:rsidRPr="00B42DB6">
        <w:rPr>
          <w:lang w:eastAsia="ja-JP"/>
        </w:rPr>
        <w:instrText xml:space="preserve"> REF _Ref484443358 \h </w:instrText>
      </w:r>
      <w:r w:rsidR="00E9399C" w:rsidRPr="00B42DB6">
        <w:rPr>
          <w:lang w:eastAsia="ja-JP"/>
        </w:rPr>
        <w:instrText xml:space="preserve"> \* MERGEFORMAT </w:instrText>
      </w:r>
      <w:r w:rsidRPr="00B42DB6">
        <w:rPr>
          <w:lang w:eastAsia="ja-JP"/>
        </w:rPr>
      </w:r>
      <w:r w:rsidRPr="00B42DB6">
        <w:rPr>
          <w:lang w:eastAsia="ja-JP"/>
        </w:rPr>
        <w:fldChar w:fldCharType="separate"/>
      </w:r>
      <w:r w:rsidR="00EE37E1">
        <w:t xml:space="preserve">Table </w:t>
      </w:r>
      <w:r w:rsidR="00EE37E1">
        <w:rPr>
          <w:noProof/>
        </w:rPr>
        <w:t>1.2</w:t>
      </w:r>
      <w:r w:rsidRPr="00B42DB6">
        <w:rPr>
          <w:lang w:eastAsia="ja-JP"/>
        </w:rPr>
        <w:fldChar w:fldCharType="end"/>
      </w:r>
      <w:r w:rsidR="007F5CA1" w:rsidRPr="00B42DB6">
        <w:rPr>
          <w:lang w:eastAsia="ja-JP"/>
        </w:rPr>
        <w:t xml:space="preserve"> includes all of the file settings used in </w:t>
      </w:r>
      <w:r w:rsidR="00FC249D" w:rsidRPr="00B42DB6">
        <w:rPr>
          <w:lang w:eastAsia="ja-JP"/>
        </w:rPr>
        <w:t>our sepsis analyses</w:t>
      </w:r>
      <w:r w:rsidR="007F5CA1" w:rsidRPr="00B42DB6">
        <w:rPr>
          <w:lang w:eastAsia="ja-JP"/>
        </w:rPr>
        <w:t>, classified as institutional or professional, along with the corresponding types of bill for institutional claims. We also include an unofficial mapping to the National Claims History (NCH) as another mode of reference.</w:t>
      </w:r>
    </w:p>
    <w:p w14:paraId="0F7B9D9B" w14:textId="4D2195AF" w:rsidR="00461BD3" w:rsidRDefault="00461BD3" w:rsidP="00461BD3">
      <w:pPr>
        <w:pStyle w:val="Caption"/>
        <w:keepNext/>
      </w:pPr>
      <w:bookmarkStart w:id="13" w:name="_Ref484443358"/>
      <w:r>
        <w:t xml:space="preserve">Table </w:t>
      </w:r>
      <w:r w:rsidR="00EE37E1">
        <w:rPr>
          <w:noProof/>
        </w:rPr>
        <w:t>1</w:t>
      </w:r>
      <w:r w:rsidR="00345C96">
        <w:t>.</w:t>
      </w:r>
      <w:r w:rsidR="00700FF5">
        <w:rPr>
          <w:noProof/>
        </w:rPr>
        <w:fldChar w:fldCharType="begin"/>
      </w:r>
      <w:r w:rsidR="00700FF5">
        <w:rPr>
          <w:noProof/>
        </w:rPr>
        <w:instrText xml:space="preserve"> SEQ Table \* ARABIC \s 1 </w:instrText>
      </w:r>
      <w:r w:rsidR="00700FF5">
        <w:rPr>
          <w:noProof/>
        </w:rPr>
        <w:fldChar w:fldCharType="separate"/>
      </w:r>
      <w:r w:rsidR="00897485">
        <w:rPr>
          <w:noProof/>
        </w:rPr>
        <w:t>2</w:t>
      </w:r>
      <w:r w:rsidR="00700FF5">
        <w:rPr>
          <w:noProof/>
        </w:rPr>
        <w:fldChar w:fldCharType="end"/>
      </w:r>
      <w:bookmarkEnd w:id="13"/>
      <w:r>
        <w:t xml:space="preserve"> Medicare Benefits</w:t>
      </w:r>
      <w:r w:rsidR="00866127">
        <w:t xml:space="preserve"> Included in Analyses</w:t>
      </w:r>
    </w:p>
    <w:tbl>
      <w:tblPr>
        <w:tblStyle w:val="TableGrid"/>
        <w:tblW w:w="0" w:type="auto"/>
        <w:jc w:val="center"/>
        <w:tblLayout w:type="fixed"/>
        <w:tblLook w:val="04A0" w:firstRow="1" w:lastRow="0" w:firstColumn="1" w:lastColumn="0" w:noHBand="0" w:noVBand="1"/>
      </w:tblPr>
      <w:tblGrid>
        <w:gridCol w:w="1482"/>
        <w:gridCol w:w="1483"/>
        <w:gridCol w:w="2070"/>
        <w:gridCol w:w="1620"/>
        <w:gridCol w:w="2610"/>
      </w:tblGrid>
      <w:tr w:rsidR="000606FE" w14:paraId="51E4EFCC" w14:textId="77777777" w:rsidTr="00C03EFA">
        <w:trPr>
          <w:trHeight w:val="634"/>
          <w:tblHeader/>
          <w:jc w:val="center"/>
        </w:trPr>
        <w:tc>
          <w:tcPr>
            <w:tcW w:w="1482" w:type="dxa"/>
            <w:shd w:val="clear" w:color="auto" w:fill="D0E6F4" w:themeFill="accent5" w:themeFillTint="33"/>
            <w:vAlign w:val="center"/>
          </w:tcPr>
          <w:p w14:paraId="145A0E04" w14:textId="77777777" w:rsidR="00996FC7" w:rsidRPr="00E73DBA" w:rsidRDefault="00996FC7" w:rsidP="00377AC3">
            <w:pPr>
              <w:jc w:val="center"/>
              <w:rPr>
                <w:b/>
                <w:sz w:val="18"/>
              </w:rPr>
            </w:pPr>
            <w:r w:rsidRPr="00E73DBA">
              <w:rPr>
                <w:b/>
                <w:sz w:val="18"/>
              </w:rPr>
              <w:t>Setting</w:t>
            </w:r>
          </w:p>
        </w:tc>
        <w:tc>
          <w:tcPr>
            <w:tcW w:w="1483" w:type="dxa"/>
            <w:shd w:val="clear" w:color="auto" w:fill="D0E6F4" w:themeFill="accent5" w:themeFillTint="33"/>
            <w:vAlign w:val="center"/>
          </w:tcPr>
          <w:p w14:paraId="7534F553" w14:textId="06C194CD" w:rsidR="00996FC7" w:rsidRPr="00E73DBA" w:rsidRDefault="00996FC7">
            <w:pPr>
              <w:jc w:val="center"/>
              <w:rPr>
                <w:b/>
                <w:sz w:val="18"/>
              </w:rPr>
            </w:pPr>
            <w:r w:rsidRPr="00E73DBA">
              <w:rPr>
                <w:b/>
                <w:sz w:val="18"/>
              </w:rPr>
              <w:t>Type of Claim</w:t>
            </w:r>
          </w:p>
        </w:tc>
        <w:tc>
          <w:tcPr>
            <w:tcW w:w="2070" w:type="dxa"/>
            <w:shd w:val="clear" w:color="auto" w:fill="D0E6F4" w:themeFill="accent5" w:themeFillTint="33"/>
            <w:vAlign w:val="center"/>
          </w:tcPr>
          <w:p w14:paraId="5383B229" w14:textId="13BA82B4" w:rsidR="00996FC7" w:rsidRPr="00E73DBA" w:rsidRDefault="00996FC7">
            <w:pPr>
              <w:jc w:val="center"/>
              <w:rPr>
                <w:b/>
                <w:sz w:val="18"/>
              </w:rPr>
            </w:pPr>
            <w:r w:rsidRPr="00E73DBA">
              <w:rPr>
                <w:b/>
                <w:sz w:val="18"/>
              </w:rPr>
              <w:t>Type of Bill</w:t>
            </w:r>
          </w:p>
        </w:tc>
        <w:tc>
          <w:tcPr>
            <w:tcW w:w="1620" w:type="dxa"/>
            <w:shd w:val="clear" w:color="auto" w:fill="D0E6F4" w:themeFill="accent5" w:themeFillTint="33"/>
            <w:vAlign w:val="center"/>
          </w:tcPr>
          <w:p w14:paraId="71C8817C" w14:textId="5B554AA3" w:rsidR="00996FC7" w:rsidRPr="00E73DBA" w:rsidRDefault="00996FC7">
            <w:pPr>
              <w:jc w:val="center"/>
              <w:rPr>
                <w:b/>
                <w:sz w:val="18"/>
              </w:rPr>
            </w:pPr>
            <w:r w:rsidRPr="00E73DBA">
              <w:rPr>
                <w:b/>
                <w:sz w:val="18"/>
              </w:rPr>
              <w:t>NCH Claim Type</w:t>
            </w:r>
          </w:p>
        </w:tc>
        <w:tc>
          <w:tcPr>
            <w:tcW w:w="2610" w:type="dxa"/>
            <w:shd w:val="clear" w:color="auto" w:fill="D0E6F4" w:themeFill="accent5" w:themeFillTint="33"/>
            <w:vAlign w:val="center"/>
          </w:tcPr>
          <w:p w14:paraId="5DD86699" w14:textId="008E6515" w:rsidR="00996FC7" w:rsidRPr="00E73DBA" w:rsidRDefault="00996FC7" w:rsidP="00377AC3">
            <w:pPr>
              <w:jc w:val="center"/>
              <w:rPr>
                <w:b/>
                <w:sz w:val="18"/>
              </w:rPr>
            </w:pPr>
            <w:r w:rsidRPr="00E73DBA">
              <w:rPr>
                <w:b/>
                <w:sz w:val="18"/>
              </w:rPr>
              <w:t>Description</w:t>
            </w:r>
          </w:p>
        </w:tc>
      </w:tr>
      <w:tr w:rsidR="000606FE" w14:paraId="37540E16" w14:textId="77777777" w:rsidTr="00E73DBA">
        <w:trPr>
          <w:trHeight w:val="864"/>
          <w:jc w:val="center"/>
        </w:trPr>
        <w:tc>
          <w:tcPr>
            <w:tcW w:w="1482" w:type="dxa"/>
            <w:vAlign w:val="center"/>
          </w:tcPr>
          <w:p w14:paraId="56D03462" w14:textId="0031B03B" w:rsidR="00996FC7" w:rsidRPr="00E73DBA" w:rsidRDefault="00996FC7" w:rsidP="00377AC3">
            <w:pPr>
              <w:rPr>
                <w:sz w:val="17"/>
                <w:szCs w:val="17"/>
              </w:rPr>
            </w:pPr>
            <w:r w:rsidRPr="00E73DBA">
              <w:rPr>
                <w:sz w:val="17"/>
                <w:szCs w:val="17"/>
              </w:rPr>
              <w:t xml:space="preserve">Inpatient </w:t>
            </w:r>
            <w:r w:rsidR="000606FE">
              <w:rPr>
                <w:sz w:val="17"/>
                <w:szCs w:val="17"/>
              </w:rPr>
              <w:br/>
            </w:r>
            <w:r w:rsidRPr="00E73DBA">
              <w:rPr>
                <w:i/>
                <w:sz w:val="17"/>
                <w:szCs w:val="17"/>
              </w:rPr>
              <w:t>(IP)</w:t>
            </w:r>
          </w:p>
        </w:tc>
        <w:tc>
          <w:tcPr>
            <w:tcW w:w="1483" w:type="dxa"/>
            <w:vAlign w:val="center"/>
          </w:tcPr>
          <w:p w14:paraId="23878C27" w14:textId="4B76398A" w:rsidR="00996FC7" w:rsidRPr="00E73DBA" w:rsidRDefault="00996FC7" w:rsidP="00E73DBA">
            <w:pPr>
              <w:jc w:val="center"/>
              <w:rPr>
                <w:sz w:val="17"/>
                <w:szCs w:val="17"/>
              </w:rPr>
            </w:pPr>
            <w:r w:rsidRPr="00E73DBA">
              <w:rPr>
                <w:sz w:val="17"/>
                <w:szCs w:val="17"/>
              </w:rPr>
              <w:t>Institutional</w:t>
            </w:r>
          </w:p>
        </w:tc>
        <w:tc>
          <w:tcPr>
            <w:tcW w:w="2070" w:type="dxa"/>
            <w:vAlign w:val="center"/>
          </w:tcPr>
          <w:p w14:paraId="5EA80504" w14:textId="0BB46B5D" w:rsidR="00996FC7" w:rsidRPr="00E73DBA" w:rsidRDefault="00996FC7" w:rsidP="00E73DBA">
            <w:pPr>
              <w:jc w:val="center"/>
              <w:rPr>
                <w:sz w:val="17"/>
                <w:szCs w:val="17"/>
              </w:rPr>
            </w:pPr>
            <w:r w:rsidRPr="00E73DBA">
              <w:rPr>
                <w:sz w:val="17"/>
                <w:szCs w:val="17"/>
              </w:rPr>
              <w:t>11x</w:t>
            </w:r>
          </w:p>
        </w:tc>
        <w:tc>
          <w:tcPr>
            <w:tcW w:w="1620" w:type="dxa"/>
            <w:vAlign w:val="center"/>
          </w:tcPr>
          <w:p w14:paraId="41C26543" w14:textId="308BFAAF" w:rsidR="00996FC7" w:rsidRPr="00E73DBA" w:rsidRDefault="00996FC7" w:rsidP="00E73DBA">
            <w:pPr>
              <w:jc w:val="center"/>
              <w:rPr>
                <w:sz w:val="17"/>
                <w:szCs w:val="17"/>
              </w:rPr>
            </w:pPr>
            <w:r w:rsidRPr="00E73DBA">
              <w:rPr>
                <w:sz w:val="17"/>
                <w:szCs w:val="17"/>
              </w:rPr>
              <w:t>60, 61, 62, 63, 64</w:t>
            </w:r>
          </w:p>
        </w:tc>
        <w:tc>
          <w:tcPr>
            <w:tcW w:w="2610" w:type="dxa"/>
            <w:vAlign w:val="center"/>
          </w:tcPr>
          <w:p w14:paraId="0C767430" w14:textId="341C6E5B" w:rsidR="00996FC7" w:rsidRPr="00E73DBA" w:rsidRDefault="00996FC7" w:rsidP="00377AC3">
            <w:pPr>
              <w:rPr>
                <w:sz w:val="17"/>
                <w:szCs w:val="17"/>
              </w:rPr>
            </w:pPr>
            <w:r w:rsidRPr="00E73DBA">
              <w:rPr>
                <w:sz w:val="17"/>
                <w:szCs w:val="17"/>
              </w:rPr>
              <w:t>Services provided to a patient in a hospital (e.g., surgeries)</w:t>
            </w:r>
          </w:p>
        </w:tc>
      </w:tr>
      <w:tr w:rsidR="000606FE" w14:paraId="4637D629" w14:textId="77777777" w:rsidTr="00E73DBA">
        <w:trPr>
          <w:trHeight w:val="864"/>
          <w:jc w:val="center"/>
        </w:trPr>
        <w:tc>
          <w:tcPr>
            <w:tcW w:w="1482" w:type="dxa"/>
            <w:vAlign w:val="center"/>
          </w:tcPr>
          <w:p w14:paraId="2EAD21C2" w14:textId="3E7095DA" w:rsidR="00996FC7" w:rsidRPr="00E73DBA" w:rsidRDefault="00996FC7" w:rsidP="00377AC3">
            <w:pPr>
              <w:rPr>
                <w:sz w:val="17"/>
                <w:szCs w:val="17"/>
              </w:rPr>
            </w:pPr>
            <w:r w:rsidRPr="00E73DBA">
              <w:rPr>
                <w:sz w:val="17"/>
                <w:szCs w:val="17"/>
              </w:rPr>
              <w:t xml:space="preserve">Outpatient </w:t>
            </w:r>
            <w:r w:rsidR="000606FE">
              <w:rPr>
                <w:sz w:val="17"/>
                <w:szCs w:val="17"/>
              </w:rPr>
              <w:br/>
            </w:r>
            <w:r w:rsidRPr="00E73DBA">
              <w:rPr>
                <w:i/>
                <w:sz w:val="17"/>
                <w:szCs w:val="17"/>
              </w:rPr>
              <w:t>(OP)</w:t>
            </w:r>
          </w:p>
        </w:tc>
        <w:tc>
          <w:tcPr>
            <w:tcW w:w="1483" w:type="dxa"/>
            <w:vAlign w:val="center"/>
          </w:tcPr>
          <w:p w14:paraId="21B0E40D" w14:textId="7F888BAB" w:rsidR="00996FC7" w:rsidRPr="00E73DBA" w:rsidRDefault="00996FC7" w:rsidP="00E73DBA">
            <w:pPr>
              <w:jc w:val="center"/>
              <w:rPr>
                <w:sz w:val="17"/>
                <w:szCs w:val="17"/>
              </w:rPr>
            </w:pPr>
            <w:r w:rsidRPr="00E73DBA">
              <w:rPr>
                <w:sz w:val="17"/>
                <w:szCs w:val="17"/>
              </w:rPr>
              <w:t>Institutional</w:t>
            </w:r>
          </w:p>
        </w:tc>
        <w:tc>
          <w:tcPr>
            <w:tcW w:w="2070" w:type="dxa"/>
            <w:vAlign w:val="center"/>
          </w:tcPr>
          <w:p w14:paraId="095BA3E2" w14:textId="05A70AD3" w:rsidR="00996FC7" w:rsidRPr="00E73DBA" w:rsidRDefault="00996FC7" w:rsidP="00C64172">
            <w:pPr>
              <w:jc w:val="center"/>
              <w:rPr>
                <w:sz w:val="17"/>
                <w:szCs w:val="17"/>
              </w:rPr>
            </w:pPr>
            <w:r w:rsidRPr="00E73DBA">
              <w:rPr>
                <w:sz w:val="17"/>
                <w:szCs w:val="17"/>
              </w:rPr>
              <w:t>12x, 13x, 14x, 22x, 23x, 34x,</w:t>
            </w:r>
            <w:r w:rsidR="00C64172">
              <w:rPr>
                <w:sz w:val="17"/>
                <w:szCs w:val="17"/>
              </w:rPr>
              <w:t xml:space="preserve"> 43x, </w:t>
            </w:r>
            <w:r w:rsidRPr="00E73DBA">
              <w:rPr>
                <w:sz w:val="17"/>
                <w:szCs w:val="17"/>
              </w:rPr>
              <w:t>71x, 72x, 73x, 74x, 75x, 76x 77x, 83x, 85x</w:t>
            </w:r>
          </w:p>
        </w:tc>
        <w:tc>
          <w:tcPr>
            <w:tcW w:w="1620" w:type="dxa"/>
            <w:vAlign w:val="center"/>
          </w:tcPr>
          <w:p w14:paraId="57DF495C" w14:textId="61F850D5" w:rsidR="00996FC7" w:rsidRPr="00E73DBA" w:rsidRDefault="00996FC7" w:rsidP="00E73DBA">
            <w:pPr>
              <w:jc w:val="center"/>
              <w:rPr>
                <w:sz w:val="17"/>
                <w:szCs w:val="17"/>
              </w:rPr>
            </w:pPr>
            <w:r w:rsidRPr="00E73DBA">
              <w:rPr>
                <w:sz w:val="17"/>
                <w:szCs w:val="17"/>
              </w:rPr>
              <w:t>40</w:t>
            </w:r>
            <w:r w:rsidR="00B82ACC">
              <w:rPr>
                <w:sz w:val="17"/>
                <w:szCs w:val="17"/>
              </w:rPr>
              <w:t>, 41, 42</w:t>
            </w:r>
          </w:p>
        </w:tc>
        <w:tc>
          <w:tcPr>
            <w:tcW w:w="2610" w:type="dxa"/>
            <w:vAlign w:val="center"/>
          </w:tcPr>
          <w:p w14:paraId="42F4D90E" w14:textId="59B38AC3" w:rsidR="00996FC7" w:rsidRPr="00E73DBA" w:rsidRDefault="00996FC7" w:rsidP="00377AC3">
            <w:pPr>
              <w:rPr>
                <w:sz w:val="17"/>
                <w:szCs w:val="17"/>
              </w:rPr>
            </w:pPr>
            <w:r w:rsidRPr="00E73DBA">
              <w:rPr>
                <w:sz w:val="17"/>
                <w:szCs w:val="17"/>
              </w:rPr>
              <w:t>Non-inpatient services provided to a patient in a hospital (e.g., x-rays)</w:t>
            </w:r>
          </w:p>
        </w:tc>
      </w:tr>
      <w:tr w:rsidR="000606FE" w14:paraId="206FD1C2" w14:textId="77777777" w:rsidTr="00E73DBA">
        <w:trPr>
          <w:trHeight w:val="864"/>
          <w:jc w:val="center"/>
        </w:trPr>
        <w:tc>
          <w:tcPr>
            <w:tcW w:w="1482" w:type="dxa"/>
            <w:vAlign w:val="center"/>
          </w:tcPr>
          <w:p w14:paraId="671FC832" w14:textId="2D87E1E3" w:rsidR="00996FC7" w:rsidRPr="00E73DBA" w:rsidRDefault="00996FC7" w:rsidP="00377AC3">
            <w:pPr>
              <w:rPr>
                <w:sz w:val="17"/>
                <w:szCs w:val="17"/>
              </w:rPr>
            </w:pPr>
            <w:r w:rsidRPr="00E73DBA">
              <w:rPr>
                <w:sz w:val="17"/>
                <w:szCs w:val="17"/>
              </w:rPr>
              <w:t xml:space="preserve">Skilled Nursing Facilities </w:t>
            </w:r>
            <w:r w:rsidR="000606FE">
              <w:rPr>
                <w:sz w:val="17"/>
                <w:szCs w:val="17"/>
              </w:rPr>
              <w:br/>
            </w:r>
            <w:r w:rsidRPr="00E73DBA">
              <w:rPr>
                <w:i/>
                <w:sz w:val="17"/>
                <w:szCs w:val="17"/>
              </w:rPr>
              <w:t>(SNF)</w:t>
            </w:r>
          </w:p>
        </w:tc>
        <w:tc>
          <w:tcPr>
            <w:tcW w:w="1483" w:type="dxa"/>
            <w:vAlign w:val="center"/>
          </w:tcPr>
          <w:p w14:paraId="442DA91B" w14:textId="34631D4D" w:rsidR="00996FC7" w:rsidRPr="00E73DBA" w:rsidRDefault="00996FC7" w:rsidP="00E73DBA">
            <w:pPr>
              <w:jc w:val="center"/>
              <w:rPr>
                <w:sz w:val="17"/>
                <w:szCs w:val="17"/>
              </w:rPr>
            </w:pPr>
            <w:r w:rsidRPr="00E73DBA">
              <w:rPr>
                <w:sz w:val="17"/>
                <w:szCs w:val="17"/>
              </w:rPr>
              <w:t>Institutional</w:t>
            </w:r>
          </w:p>
        </w:tc>
        <w:tc>
          <w:tcPr>
            <w:tcW w:w="2070" w:type="dxa"/>
            <w:vAlign w:val="center"/>
          </w:tcPr>
          <w:p w14:paraId="03141979" w14:textId="1A2979AD" w:rsidR="00996FC7" w:rsidRPr="00E73DBA" w:rsidRDefault="00996FC7" w:rsidP="00E73DBA">
            <w:pPr>
              <w:jc w:val="center"/>
              <w:rPr>
                <w:sz w:val="17"/>
                <w:szCs w:val="17"/>
              </w:rPr>
            </w:pPr>
            <w:r w:rsidRPr="00E73DBA">
              <w:rPr>
                <w:sz w:val="17"/>
                <w:szCs w:val="17"/>
              </w:rPr>
              <w:t>18x, 21x</w:t>
            </w:r>
          </w:p>
        </w:tc>
        <w:tc>
          <w:tcPr>
            <w:tcW w:w="1620" w:type="dxa"/>
            <w:vAlign w:val="center"/>
          </w:tcPr>
          <w:p w14:paraId="35B58951" w14:textId="3FCEC6ED" w:rsidR="00996FC7" w:rsidRPr="00E73DBA" w:rsidRDefault="00996FC7" w:rsidP="00E73DBA">
            <w:pPr>
              <w:jc w:val="center"/>
              <w:rPr>
                <w:sz w:val="17"/>
                <w:szCs w:val="17"/>
              </w:rPr>
            </w:pPr>
            <w:r w:rsidRPr="00E73DBA">
              <w:rPr>
                <w:sz w:val="17"/>
                <w:szCs w:val="17"/>
              </w:rPr>
              <w:t>20, 30</w:t>
            </w:r>
          </w:p>
        </w:tc>
        <w:tc>
          <w:tcPr>
            <w:tcW w:w="2610" w:type="dxa"/>
            <w:vAlign w:val="center"/>
          </w:tcPr>
          <w:p w14:paraId="4950162E" w14:textId="2C0E2531" w:rsidR="00996FC7" w:rsidRPr="00E73DBA" w:rsidRDefault="00996FC7" w:rsidP="00377AC3">
            <w:pPr>
              <w:rPr>
                <w:sz w:val="17"/>
                <w:szCs w:val="17"/>
              </w:rPr>
            </w:pPr>
            <w:r w:rsidRPr="00E73DBA">
              <w:rPr>
                <w:sz w:val="17"/>
                <w:szCs w:val="17"/>
              </w:rPr>
              <w:t>Short-term nursing and rehabilitation services following inpatient stays (e.g., physical therapy)</w:t>
            </w:r>
          </w:p>
        </w:tc>
      </w:tr>
      <w:tr w:rsidR="000606FE" w14:paraId="441A1370" w14:textId="77777777" w:rsidTr="00E73DBA">
        <w:trPr>
          <w:trHeight w:val="864"/>
          <w:jc w:val="center"/>
        </w:trPr>
        <w:tc>
          <w:tcPr>
            <w:tcW w:w="1482" w:type="dxa"/>
            <w:vAlign w:val="center"/>
          </w:tcPr>
          <w:p w14:paraId="0F696832" w14:textId="0DB05C14" w:rsidR="00996FC7" w:rsidRPr="00E73DBA" w:rsidRDefault="00996FC7" w:rsidP="00996FC7">
            <w:pPr>
              <w:rPr>
                <w:sz w:val="17"/>
                <w:szCs w:val="17"/>
              </w:rPr>
            </w:pPr>
            <w:r w:rsidRPr="00E73DBA">
              <w:rPr>
                <w:sz w:val="17"/>
                <w:szCs w:val="17"/>
              </w:rPr>
              <w:t xml:space="preserve">Home Health </w:t>
            </w:r>
            <w:r w:rsidRPr="00E73DBA">
              <w:rPr>
                <w:i/>
                <w:sz w:val="17"/>
                <w:szCs w:val="17"/>
              </w:rPr>
              <w:t>(HH)</w:t>
            </w:r>
          </w:p>
        </w:tc>
        <w:tc>
          <w:tcPr>
            <w:tcW w:w="1483" w:type="dxa"/>
            <w:vAlign w:val="center"/>
          </w:tcPr>
          <w:p w14:paraId="4567452D" w14:textId="5967E851" w:rsidR="00996FC7" w:rsidRPr="00E73DBA" w:rsidRDefault="00996FC7" w:rsidP="00E73DBA">
            <w:pPr>
              <w:jc w:val="center"/>
              <w:rPr>
                <w:sz w:val="17"/>
                <w:szCs w:val="17"/>
              </w:rPr>
            </w:pPr>
            <w:r w:rsidRPr="00E73DBA">
              <w:rPr>
                <w:sz w:val="17"/>
                <w:szCs w:val="17"/>
              </w:rPr>
              <w:t>Institutional</w:t>
            </w:r>
          </w:p>
        </w:tc>
        <w:tc>
          <w:tcPr>
            <w:tcW w:w="2070" w:type="dxa"/>
            <w:vAlign w:val="center"/>
          </w:tcPr>
          <w:p w14:paraId="59CF0E2B" w14:textId="0A913D4B" w:rsidR="00996FC7" w:rsidRPr="00E73DBA" w:rsidRDefault="00996FC7" w:rsidP="006736FE">
            <w:pPr>
              <w:jc w:val="center"/>
              <w:rPr>
                <w:sz w:val="17"/>
                <w:szCs w:val="17"/>
              </w:rPr>
            </w:pPr>
            <w:r w:rsidRPr="00E73DBA">
              <w:rPr>
                <w:sz w:val="17"/>
                <w:szCs w:val="17"/>
              </w:rPr>
              <w:t>32x</w:t>
            </w:r>
          </w:p>
        </w:tc>
        <w:tc>
          <w:tcPr>
            <w:tcW w:w="1620" w:type="dxa"/>
            <w:vAlign w:val="center"/>
          </w:tcPr>
          <w:p w14:paraId="775F76D0" w14:textId="5EE34BB5" w:rsidR="00996FC7" w:rsidRPr="00E73DBA" w:rsidRDefault="00996FC7" w:rsidP="00E73DBA">
            <w:pPr>
              <w:jc w:val="center"/>
              <w:rPr>
                <w:sz w:val="17"/>
                <w:szCs w:val="17"/>
              </w:rPr>
            </w:pPr>
            <w:r w:rsidRPr="00E73DBA">
              <w:rPr>
                <w:sz w:val="17"/>
                <w:szCs w:val="17"/>
              </w:rPr>
              <w:t>10</w:t>
            </w:r>
          </w:p>
        </w:tc>
        <w:tc>
          <w:tcPr>
            <w:tcW w:w="2610" w:type="dxa"/>
            <w:vAlign w:val="center"/>
          </w:tcPr>
          <w:p w14:paraId="245DF8AF" w14:textId="50DC42C8" w:rsidR="00996FC7" w:rsidRPr="00E73DBA" w:rsidRDefault="00996FC7" w:rsidP="00996FC7">
            <w:pPr>
              <w:rPr>
                <w:sz w:val="17"/>
                <w:szCs w:val="17"/>
              </w:rPr>
            </w:pPr>
            <w:r w:rsidRPr="00E73DBA">
              <w:rPr>
                <w:sz w:val="17"/>
                <w:szCs w:val="17"/>
              </w:rPr>
              <w:t>Services furnished in patient’s home (e.g., assistance for mobility impaired)</w:t>
            </w:r>
          </w:p>
        </w:tc>
      </w:tr>
      <w:tr w:rsidR="003914F8" w14:paraId="03631F24" w14:textId="77777777" w:rsidTr="00E73DBA">
        <w:trPr>
          <w:trHeight w:val="864"/>
          <w:jc w:val="center"/>
        </w:trPr>
        <w:tc>
          <w:tcPr>
            <w:tcW w:w="1482" w:type="dxa"/>
            <w:vAlign w:val="center"/>
          </w:tcPr>
          <w:p w14:paraId="60D81D1E" w14:textId="1A59ACF9" w:rsidR="003914F8" w:rsidRPr="003914F8" w:rsidRDefault="003914F8" w:rsidP="00996FC7">
            <w:pPr>
              <w:rPr>
                <w:sz w:val="17"/>
                <w:szCs w:val="17"/>
              </w:rPr>
            </w:pPr>
            <w:r>
              <w:rPr>
                <w:sz w:val="17"/>
                <w:szCs w:val="17"/>
              </w:rPr>
              <w:t xml:space="preserve">Hospice </w:t>
            </w:r>
            <w:r>
              <w:rPr>
                <w:i/>
                <w:sz w:val="17"/>
                <w:szCs w:val="17"/>
              </w:rPr>
              <w:t>(HS)</w:t>
            </w:r>
          </w:p>
        </w:tc>
        <w:tc>
          <w:tcPr>
            <w:tcW w:w="1483" w:type="dxa"/>
            <w:vAlign w:val="center"/>
          </w:tcPr>
          <w:p w14:paraId="5DE1E63B" w14:textId="7D4D8C4B" w:rsidR="003914F8" w:rsidRPr="00E73DBA" w:rsidRDefault="003914F8" w:rsidP="00E73DBA">
            <w:pPr>
              <w:jc w:val="center"/>
              <w:rPr>
                <w:sz w:val="17"/>
                <w:szCs w:val="17"/>
              </w:rPr>
            </w:pPr>
            <w:r>
              <w:rPr>
                <w:sz w:val="17"/>
                <w:szCs w:val="17"/>
              </w:rPr>
              <w:t>Institutional</w:t>
            </w:r>
          </w:p>
        </w:tc>
        <w:tc>
          <w:tcPr>
            <w:tcW w:w="2070" w:type="dxa"/>
            <w:vAlign w:val="center"/>
          </w:tcPr>
          <w:p w14:paraId="3E4A5993" w14:textId="73C7243A" w:rsidR="003914F8" w:rsidRPr="00E73DBA" w:rsidRDefault="003914F8" w:rsidP="00E73DBA">
            <w:pPr>
              <w:jc w:val="center"/>
              <w:rPr>
                <w:sz w:val="17"/>
                <w:szCs w:val="17"/>
              </w:rPr>
            </w:pPr>
            <w:r>
              <w:rPr>
                <w:sz w:val="17"/>
                <w:szCs w:val="17"/>
              </w:rPr>
              <w:t>81x, 82x</w:t>
            </w:r>
          </w:p>
        </w:tc>
        <w:tc>
          <w:tcPr>
            <w:tcW w:w="1620" w:type="dxa"/>
            <w:vAlign w:val="center"/>
          </w:tcPr>
          <w:p w14:paraId="455B24B5" w14:textId="2C642398" w:rsidR="003914F8" w:rsidRPr="00E73DBA" w:rsidRDefault="003914F8" w:rsidP="00E73DBA">
            <w:pPr>
              <w:jc w:val="center"/>
              <w:rPr>
                <w:sz w:val="17"/>
                <w:szCs w:val="17"/>
              </w:rPr>
            </w:pPr>
            <w:r>
              <w:rPr>
                <w:sz w:val="17"/>
                <w:szCs w:val="17"/>
              </w:rPr>
              <w:t>50</w:t>
            </w:r>
          </w:p>
        </w:tc>
        <w:tc>
          <w:tcPr>
            <w:tcW w:w="2610" w:type="dxa"/>
            <w:vAlign w:val="center"/>
          </w:tcPr>
          <w:p w14:paraId="549C1875" w14:textId="39C5BE88" w:rsidR="003914F8" w:rsidRPr="00E73DBA" w:rsidRDefault="003914F8" w:rsidP="00996FC7">
            <w:pPr>
              <w:rPr>
                <w:sz w:val="17"/>
                <w:szCs w:val="17"/>
              </w:rPr>
            </w:pPr>
            <w:r>
              <w:rPr>
                <w:sz w:val="17"/>
                <w:szCs w:val="17"/>
              </w:rPr>
              <w:t>Palliative care for people with less than six months to live (e.g., counseling, physical care)</w:t>
            </w:r>
          </w:p>
        </w:tc>
      </w:tr>
      <w:tr w:rsidR="000606FE" w14:paraId="6D3DBBBC" w14:textId="77777777" w:rsidTr="00E73DBA">
        <w:trPr>
          <w:trHeight w:val="864"/>
          <w:jc w:val="center"/>
        </w:trPr>
        <w:tc>
          <w:tcPr>
            <w:tcW w:w="1482" w:type="dxa"/>
            <w:vAlign w:val="center"/>
          </w:tcPr>
          <w:p w14:paraId="7CCEBA4B" w14:textId="50F17E15" w:rsidR="00996FC7" w:rsidRPr="00E73DBA" w:rsidRDefault="00996FC7" w:rsidP="00996FC7">
            <w:pPr>
              <w:rPr>
                <w:sz w:val="17"/>
                <w:szCs w:val="17"/>
              </w:rPr>
            </w:pPr>
            <w:r w:rsidRPr="00E73DBA">
              <w:rPr>
                <w:sz w:val="17"/>
                <w:szCs w:val="17"/>
              </w:rPr>
              <w:t xml:space="preserve">Physician Services </w:t>
            </w:r>
            <w:r w:rsidR="000606FE">
              <w:rPr>
                <w:sz w:val="17"/>
                <w:szCs w:val="17"/>
              </w:rPr>
              <w:br/>
            </w:r>
            <w:r w:rsidRPr="00E73DBA">
              <w:rPr>
                <w:i/>
                <w:sz w:val="17"/>
                <w:szCs w:val="17"/>
              </w:rPr>
              <w:t>(PB or Carrier)</w:t>
            </w:r>
          </w:p>
        </w:tc>
        <w:tc>
          <w:tcPr>
            <w:tcW w:w="1483" w:type="dxa"/>
            <w:vAlign w:val="center"/>
          </w:tcPr>
          <w:p w14:paraId="125DB5E1" w14:textId="3B430921" w:rsidR="00996FC7" w:rsidRPr="00E73DBA" w:rsidRDefault="007F5CA1" w:rsidP="00E73DBA">
            <w:pPr>
              <w:jc w:val="center"/>
              <w:rPr>
                <w:sz w:val="17"/>
                <w:szCs w:val="17"/>
              </w:rPr>
            </w:pPr>
            <w:r w:rsidRPr="00E73DBA">
              <w:rPr>
                <w:sz w:val="17"/>
                <w:szCs w:val="17"/>
              </w:rPr>
              <w:t>Professional</w:t>
            </w:r>
          </w:p>
        </w:tc>
        <w:tc>
          <w:tcPr>
            <w:tcW w:w="2070" w:type="dxa"/>
            <w:vAlign w:val="center"/>
          </w:tcPr>
          <w:p w14:paraId="73649C64" w14:textId="5FFDB433" w:rsidR="00996FC7" w:rsidRPr="00E73DBA" w:rsidRDefault="00CE1C66" w:rsidP="00E73DBA">
            <w:pPr>
              <w:jc w:val="center"/>
              <w:rPr>
                <w:sz w:val="17"/>
                <w:szCs w:val="17"/>
              </w:rPr>
            </w:pPr>
            <w:r>
              <w:rPr>
                <w:sz w:val="17"/>
                <w:szCs w:val="17"/>
              </w:rPr>
              <w:t>N/A</w:t>
            </w:r>
          </w:p>
        </w:tc>
        <w:tc>
          <w:tcPr>
            <w:tcW w:w="1620" w:type="dxa"/>
            <w:vAlign w:val="center"/>
          </w:tcPr>
          <w:p w14:paraId="0DE88499" w14:textId="25675BAE" w:rsidR="00996FC7" w:rsidRPr="00E73DBA" w:rsidRDefault="00996FC7" w:rsidP="00E73DBA">
            <w:pPr>
              <w:jc w:val="center"/>
              <w:rPr>
                <w:sz w:val="17"/>
                <w:szCs w:val="17"/>
              </w:rPr>
            </w:pPr>
            <w:r w:rsidRPr="00E73DBA">
              <w:rPr>
                <w:sz w:val="17"/>
                <w:szCs w:val="17"/>
              </w:rPr>
              <w:t>71, 72</w:t>
            </w:r>
            <w:r w:rsidR="00037884">
              <w:rPr>
                <w:sz w:val="17"/>
                <w:szCs w:val="17"/>
              </w:rPr>
              <w:t>, 73</w:t>
            </w:r>
          </w:p>
        </w:tc>
        <w:tc>
          <w:tcPr>
            <w:tcW w:w="2610" w:type="dxa"/>
            <w:vAlign w:val="center"/>
          </w:tcPr>
          <w:p w14:paraId="21CDBFA4" w14:textId="1061AAF7" w:rsidR="00996FC7" w:rsidRPr="00E73DBA" w:rsidRDefault="00996FC7" w:rsidP="00996FC7">
            <w:pPr>
              <w:rPr>
                <w:sz w:val="17"/>
                <w:szCs w:val="17"/>
              </w:rPr>
            </w:pPr>
            <w:r w:rsidRPr="00E73DBA">
              <w:rPr>
                <w:sz w:val="17"/>
                <w:szCs w:val="17"/>
              </w:rPr>
              <w:t>Services provided by non-institutional providers (e.g., physician office visits)</w:t>
            </w:r>
          </w:p>
        </w:tc>
      </w:tr>
    </w:tbl>
    <w:p w14:paraId="6B5FC5F0" w14:textId="77777777" w:rsidR="00461BD3" w:rsidRPr="00601ADD" w:rsidRDefault="00461BD3" w:rsidP="00461BD3">
      <w:pPr>
        <w:rPr>
          <w:lang w:eastAsia="ja-JP"/>
        </w:rPr>
      </w:pPr>
    </w:p>
    <w:p w14:paraId="7E117E94" w14:textId="7BFFFEBD" w:rsidR="00943A43" w:rsidRDefault="004D3BAF">
      <w:pPr>
        <w:pStyle w:val="Heading2"/>
      </w:pPr>
      <w:bookmarkStart w:id="14" w:name="_Ref484597917"/>
      <w:bookmarkStart w:id="15" w:name="_Toc32328716"/>
      <w:bookmarkStart w:id="16" w:name="_Ref484442347"/>
      <w:bookmarkStart w:id="17" w:name="_Ref484505899"/>
      <w:r>
        <w:t xml:space="preserve">Diagnosis, Revenue Center, </w:t>
      </w:r>
      <w:r w:rsidR="00504B0B">
        <w:t xml:space="preserve">and </w:t>
      </w:r>
      <w:r w:rsidR="00B42DB6">
        <w:t xml:space="preserve">Related </w:t>
      </w:r>
      <w:r w:rsidR="00504B0B">
        <w:t xml:space="preserve">Condition </w:t>
      </w:r>
      <w:r w:rsidR="00943A43">
        <w:t>Codes</w:t>
      </w:r>
      <w:bookmarkEnd w:id="14"/>
      <w:bookmarkEnd w:id="15"/>
    </w:p>
    <w:p w14:paraId="003202A8" w14:textId="7EF7CDF1" w:rsidR="00943A43" w:rsidRDefault="00943A43" w:rsidP="00943A43">
      <w:pPr>
        <w:rPr>
          <w:lang w:eastAsia="ja-JP"/>
        </w:rPr>
      </w:pPr>
      <w:r w:rsidRPr="00B42DB6">
        <w:rPr>
          <w:lang w:eastAsia="ja-JP"/>
        </w:rPr>
        <w:t>We use</w:t>
      </w:r>
      <w:r w:rsidR="002E1263" w:rsidRPr="00B42DB6">
        <w:rPr>
          <w:lang w:eastAsia="ja-JP"/>
        </w:rPr>
        <w:t xml:space="preserve"> </w:t>
      </w:r>
      <w:r w:rsidR="0050400D" w:rsidRPr="00B42DB6">
        <w:rPr>
          <w:lang w:eastAsia="ja-JP"/>
        </w:rPr>
        <w:t>International Statistical Classification of Diseases and Related Health Problems (ICD) diagnosis</w:t>
      </w:r>
      <w:r w:rsidR="002E1263" w:rsidRPr="00B42DB6">
        <w:rPr>
          <w:lang w:eastAsia="ja-JP"/>
        </w:rPr>
        <w:t xml:space="preserve"> codes on claims to</w:t>
      </w:r>
      <w:r w:rsidR="0050400D" w:rsidRPr="00B42DB6">
        <w:rPr>
          <w:lang w:eastAsia="ja-JP"/>
        </w:rPr>
        <w:t xml:space="preserve"> identify inpatient sepsis cases</w:t>
      </w:r>
      <w:r w:rsidR="002E1263" w:rsidRPr="00B42DB6">
        <w:rPr>
          <w:lang w:eastAsia="ja-JP"/>
        </w:rPr>
        <w:t xml:space="preserve">. </w:t>
      </w:r>
      <w:r w:rsidR="0050400D" w:rsidRPr="00B42DB6">
        <w:rPr>
          <w:lang w:eastAsia="ja-JP"/>
        </w:rPr>
        <w:t>Because our analyses span both pre- and post-2015, when coding practices changed from ICD version 9 to ICD version 10, we include both ICD-9 and ICD-10 codes in our analysis. We also use condition codes on I</w:t>
      </w:r>
      <w:r w:rsidR="00504B0B" w:rsidRPr="00B42DB6">
        <w:rPr>
          <w:lang w:eastAsia="ja-JP"/>
        </w:rPr>
        <w:t>P</w:t>
      </w:r>
      <w:r w:rsidR="00AC4C7F" w:rsidRPr="00B42DB6">
        <w:rPr>
          <w:lang w:eastAsia="ja-JP"/>
        </w:rPr>
        <w:t xml:space="preserve"> claims</w:t>
      </w:r>
      <w:r w:rsidR="00504B0B" w:rsidRPr="00B42DB6">
        <w:rPr>
          <w:lang w:eastAsia="ja-JP"/>
        </w:rPr>
        <w:t xml:space="preserve"> to identify </w:t>
      </w:r>
      <w:r w:rsidR="0050400D" w:rsidRPr="00B42DB6">
        <w:rPr>
          <w:lang w:eastAsia="ja-JP"/>
        </w:rPr>
        <w:t xml:space="preserve">“shadow billed” no-pay claims </w:t>
      </w:r>
      <w:r w:rsidR="0050400D" w:rsidRPr="00B42DB6">
        <w:rPr>
          <w:lang w:eastAsia="ja-JP"/>
        </w:rPr>
        <w:lastRenderedPageBreak/>
        <w:t>for Medicare Advantage</w:t>
      </w:r>
      <w:r w:rsidR="00AB5BE1">
        <w:rPr>
          <w:lang w:eastAsia="ja-JP"/>
        </w:rPr>
        <w:t xml:space="preserve"> (MA)</w:t>
      </w:r>
      <w:r w:rsidR="0050400D" w:rsidRPr="00B42DB6">
        <w:rPr>
          <w:lang w:eastAsia="ja-JP"/>
        </w:rPr>
        <w:t xml:space="preserve"> beneficiaries</w:t>
      </w:r>
      <w:r w:rsidR="005B757B">
        <w:rPr>
          <w:lang w:eastAsia="ja-JP"/>
        </w:rPr>
        <w:t xml:space="preserve"> that are reported for information only</w:t>
      </w:r>
      <w:r w:rsidR="00504B0B" w:rsidRPr="00B42DB6">
        <w:rPr>
          <w:lang w:eastAsia="ja-JP"/>
        </w:rPr>
        <w:t xml:space="preserve">. </w:t>
      </w:r>
      <w:r w:rsidR="0050400D" w:rsidRPr="00B42DB6">
        <w:rPr>
          <w:lang w:eastAsia="ja-JP"/>
        </w:rPr>
        <w:t xml:space="preserve">Lastly, we use revenue center codes on IP and OP claims to identify emergency room </w:t>
      </w:r>
      <w:r w:rsidR="00AB5BE1">
        <w:rPr>
          <w:lang w:eastAsia="ja-JP"/>
        </w:rPr>
        <w:t xml:space="preserve">(ER) </w:t>
      </w:r>
      <w:r w:rsidR="0050400D" w:rsidRPr="00B42DB6">
        <w:rPr>
          <w:lang w:eastAsia="ja-JP"/>
        </w:rPr>
        <w:t xml:space="preserve">services preceding an inpatient stay. </w:t>
      </w:r>
      <w:r w:rsidR="00504B0B" w:rsidRPr="00B42DB6">
        <w:rPr>
          <w:lang w:eastAsia="ja-JP"/>
        </w:rPr>
        <w:fldChar w:fldCharType="begin"/>
      </w:r>
      <w:r w:rsidR="00504B0B" w:rsidRPr="00B42DB6">
        <w:rPr>
          <w:lang w:eastAsia="ja-JP"/>
        </w:rPr>
        <w:instrText xml:space="preserve"> REF _Ref484597474 \h </w:instrText>
      </w:r>
      <w:r w:rsidR="00E9399C" w:rsidRPr="00B42DB6">
        <w:rPr>
          <w:lang w:eastAsia="ja-JP"/>
        </w:rPr>
        <w:instrText xml:space="preserve"> \* MERGEFORMAT </w:instrText>
      </w:r>
      <w:r w:rsidR="00504B0B" w:rsidRPr="00B42DB6">
        <w:rPr>
          <w:lang w:eastAsia="ja-JP"/>
        </w:rPr>
      </w:r>
      <w:r w:rsidR="00504B0B" w:rsidRPr="00B42DB6">
        <w:rPr>
          <w:lang w:eastAsia="ja-JP"/>
        </w:rPr>
        <w:fldChar w:fldCharType="separate"/>
      </w:r>
      <w:r w:rsidR="00EE37E1">
        <w:t xml:space="preserve">Table </w:t>
      </w:r>
      <w:r w:rsidR="00EE37E1">
        <w:rPr>
          <w:noProof/>
        </w:rPr>
        <w:t>1.3</w:t>
      </w:r>
      <w:r w:rsidR="00504B0B" w:rsidRPr="00B42DB6">
        <w:rPr>
          <w:lang w:eastAsia="ja-JP"/>
        </w:rPr>
        <w:fldChar w:fldCharType="end"/>
      </w:r>
      <w:r w:rsidR="00504B0B" w:rsidRPr="00B42DB6">
        <w:rPr>
          <w:lang w:eastAsia="ja-JP"/>
        </w:rPr>
        <w:t xml:space="preserve"> provides more detail on these </w:t>
      </w:r>
      <w:r w:rsidR="0050400D" w:rsidRPr="00B42DB6">
        <w:rPr>
          <w:lang w:eastAsia="ja-JP"/>
        </w:rPr>
        <w:t xml:space="preserve">four </w:t>
      </w:r>
      <w:r w:rsidR="00504B0B" w:rsidRPr="00B42DB6">
        <w:rPr>
          <w:lang w:eastAsia="ja-JP"/>
        </w:rPr>
        <w:t>code types.</w:t>
      </w:r>
    </w:p>
    <w:p w14:paraId="6BE1C4D4" w14:textId="4C45C3BF" w:rsidR="00504B0B" w:rsidRDefault="00504B0B" w:rsidP="00504B0B">
      <w:pPr>
        <w:pStyle w:val="Caption"/>
        <w:keepNext/>
      </w:pPr>
      <w:bookmarkStart w:id="18" w:name="_Ref484597474"/>
      <w:bookmarkStart w:id="19" w:name="_Ref484597468"/>
      <w:r>
        <w:t xml:space="preserve">Table </w:t>
      </w:r>
      <w:r w:rsidR="00EE37E1">
        <w:rPr>
          <w:noProof/>
        </w:rPr>
        <w:t>1</w:t>
      </w:r>
      <w:r w:rsidR="00345C96">
        <w:t>.</w:t>
      </w:r>
      <w:r w:rsidR="00700FF5">
        <w:rPr>
          <w:noProof/>
        </w:rPr>
        <w:fldChar w:fldCharType="begin"/>
      </w:r>
      <w:r w:rsidR="00700FF5">
        <w:rPr>
          <w:noProof/>
        </w:rPr>
        <w:instrText xml:space="preserve"> SEQ Table \* ARABIC \s 1 </w:instrText>
      </w:r>
      <w:r w:rsidR="00700FF5">
        <w:rPr>
          <w:noProof/>
        </w:rPr>
        <w:fldChar w:fldCharType="separate"/>
      </w:r>
      <w:r w:rsidR="00897485">
        <w:rPr>
          <w:noProof/>
        </w:rPr>
        <w:t>3</w:t>
      </w:r>
      <w:r w:rsidR="00700FF5">
        <w:rPr>
          <w:noProof/>
        </w:rPr>
        <w:fldChar w:fldCharType="end"/>
      </w:r>
      <w:bookmarkEnd w:id="18"/>
      <w:r>
        <w:t xml:space="preserve"> </w:t>
      </w:r>
      <w:r w:rsidR="00B42DB6">
        <w:t xml:space="preserve">Diagnosis, Revenue Center, </w:t>
      </w:r>
      <w:r>
        <w:t xml:space="preserve">and </w:t>
      </w:r>
      <w:r w:rsidR="00B42DB6">
        <w:t xml:space="preserve">Related </w:t>
      </w:r>
      <w:r>
        <w:t>Condition Codes</w:t>
      </w:r>
      <w:bookmarkEnd w:id="19"/>
    </w:p>
    <w:tbl>
      <w:tblPr>
        <w:tblStyle w:val="TableGrid"/>
        <w:tblW w:w="0" w:type="auto"/>
        <w:jc w:val="center"/>
        <w:tblLayout w:type="fixed"/>
        <w:tblLook w:val="04A0" w:firstRow="1" w:lastRow="0" w:firstColumn="1" w:lastColumn="0" w:noHBand="0" w:noVBand="1"/>
      </w:tblPr>
      <w:tblGrid>
        <w:gridCol w:w="2503"/>
        <w:gridCol w:w="1722"/>
        <w:gridCol w:w="3521"/>
      </w:tblGrid>
      <w:tr w:rsidR="00504B0B" w14:paraId="7F79DC5C" w14:textId="77777777" w:rsidTr="002E08FB">
        <w:trPr>
          <w:trHeight w:val="665"/>
          <w:tblHeader/>
          <w:jc w:val="center"/>
        </w:trPr>
        <w:tc>
          <w:tcPr>
            <w:tcW w:w="2503" w:type="dxa"/>
            <w:shd w:val="clear" w:color="auto" w:fill="D0E6F4" w:themeFill="accent5" w:themeFillTint="33"/>
            <w:vAlign w:val="center"/>
          </w:tcPr>
          <w:p w14:paraId="0EC4927D" w14:textId="2AD44469" w:rsidR="00504B0B" w:rsidRPr="00E73DBA" w:rsidRDefault="00504B0B" w:rsidP="009A1F94">
            <w:pPr>
              <w:jc w:val="center"/>
              <w:rPr>
                <w:b/>
                <w:sz w:val="18"/>
              </w:rPr>
            </w:pPr>
            <w:r>
              <w:rPr>
                <w:b/>
                <w:sz w:val="18"/>
              </w:rPr>
              <w:t>Code Type</w:t>
            </w:r>
          </w:p>
        </w:tc>
        <w:tc>
          <w:tcPr>
            <w:tcW w:w="1722" w:type="dxa"/>
            <w:shd w:val="clear" w:color="auto" w:fill="D0E6F4" w:themeFill="accent5" w:themeFillTint="33"/>
            <w:vAlign w:val="center"/>
          </w:tcPr>
          <w:p w14:paraId="263490B7" w14:textId="5C548391" w:rsidR="00504B0B" w:rsidRPr="00E73DBA" w:rsidRDefault="00504B0B" w:rsidP="009A1F94">
            <w:pPr>
              <w:jc w:val="center"/>
              <w:rPr>
                <w:b/>
                <w:sz w:val="18"/>
              </w:rPr>
            </w:pPr>
            <w:r>
              <w:rPr>
                <w:b/>
                <w:sz w:val="18"/>
              </w:rPr>
              <w:t>Setting</w:t>
            </w:r>
          </w:p>
        </w:tc>
        <w:tc>
          <w:tcPr>
            <w:tcW w:w="3521" w:type="dxa"/>
            <w:shd w:val="clear" w:color="auto" w:fill="D0E6F4" w:themeFill="accent5" w:themeFillTint="33"/>
            <w:vAlign w:val="center"/>
          </w:tcPr>
          <w:p w14:paraId="2E1B9756" w14:textId="61173C21" w:rsidR="00504B0B" w:rsidRPr="00E73DBA" w:rsidRDefault="00504B0B" w:rsidP="009A1F94">
            <w:pPr>
              <w:jc w:val="center"/>
              <w:rPr>
                <w:b/>
                <w:sz w:val="18"/>
              </w:rPr>
            </w:pPr>
            <w:r>
              <w:rPr>
                <w:b/>
                <w:sz w:val="18"/>
              </w:rPr>
              <w:t>Uses</w:t>
            </w:r>
          </w:p>
        </w:tc>
      </w:tr>
      <w:tr w:rsidR="00504B0B" w14:paraId="02B8816E" w14:textId="77777777" w:rsidTr="00C03EFA">
        <w:trPr>
          <w:trHeight w:val="331"/>
          <w:jc w:val="center"/>
        </w:trPr>
        <w:tc>
          <w:tcPr>
            <w:tcW w:w="2503" w:type="dxa"/>
            <w:vAlign w:val="center"/>
          </w:tcPr>
          <w:p w14:paraId="0107AF7C" w14:textId="3B30CDC0" w:rsidR="00504B0B" w:rsidRPr="00E73DBA" w:rsidRDefault="00504B0B" w:rsidP="00FA18FB">
            <w:pPr>
              <w:rPr>
                <w:sz w:val="17"/>
                <w:szCs w:val="17"/>
              </w:rPr>
            </w:pPr>
            <w:r>
              <w:rPr>
                <w:sz w:val="17"/>
                <w:szCs w:val="17"/>
              </w:rPr>
              <w:t xml:space="preserve">ICD-9 </w:t>
            </w:r>
            <w:r w:rsidR="00FA18FB">
              <w:rPr>
                <w:sz w:val="17"/>
                <w:szCs w:val="17"/>
              </w:rPr>
              <w:t>Diagnosis</w:t>
            </w:r>
            <w:r>
              <w:rPr>
                <w:sz w:val="17"/>
                <w:szCs w:val="17"/>
              </w:rPr>
              <w:t xml:space="preserve"> Codes</w:t>
            </w:r>
          </w:p>
        </w:tc>
        <w:tc>
          <w:tcPr>
            <w:tcW w:w="1722" w:type="dxa"/>
            <w:vAlign w:val="center"/>
          </w:tcPr>
          <w:p w14:paraId="1EE3D77B" w14:textId="39FCCC84" w:rsidR="00504B0B" w:rsidRPr="00E73DBA" w:rsidRDefault="00504B0B" w:rsidP="009A1F94">
            <w:pPr>
              <w:jc w:val="center"/>
              <w:rPr>
                <w:sz w:val="17"/>
                <w:szCs w:val="17"/>
              </w:rPr>
            </w:pPr>
            <w:r>
              <w:rPr>
                <w:sz w:val="17"/>
                <w:szCs w:val="17"/>
              </w:rPr>
              <w:t>IP</w:t>
            </w:r>
          </w:p>
        </w:tc>
        <w:tc>
          <w:tcPr>
            <w:tcW w:w="3521" w:type="dxa"/>
            <w:vAlign w:val="center"/>
          </w:tcPr>
          <w:p w14:paraId="73ED8C7D" w14:textId="328EA587" w:rsidR="00504B0B" w:rsidRPr="00C03EFA" w:rsidRDefault="00770601" w:rsidP="00504B0B">
            <w:pPr>
              <w:pStyle w:val="ListParagraph"/>
              <w:numPr>
                <w:ilvl w:val="0"/>
                <w:numId w:val="4"/>
              </w:numPr>
              <w:ind w:left="196" w:hanging="180"/>
              <w:rPr>
                <w:rFonts w:asciiTheme="minorHAnsi" w:hAnsiTheme="minorHAnsi" w:cstheme="minorHAnsi"/>
                <w:sz w:val="17"/>
                <w:szCs w:val="17"/>
              </w:rPr>
            </w:pPr>
            <w:r>
              <w:rPr>
                <w:rFonts w:asciiTheme="minorHAnsi" w:hAnsiTheme="minorHAnsi" w:cstheme="minorHAnsi"/>
                <w:sz w:val="17"/>
                <w:szCs w:val="17"/>
              </w:rPr>
              <w:t>Identification of sepsis inpatient stays</w:t>
            </w:r>
          </w:p>
        </w:tc>
      </w:tr>
      <w:tr w:rsidR="00770601" w14:paraId="47A8ABDE" w14:textId="77777777" w:rsidTr="00C03EFA">
        <w:trPr>
          <w:trHeight w:val="331"/>
          <w:jc w:val="center"/>
        </w:trPr>
        <w:tc>
          <w:tcPr>
            <w:tcW w:w="2503" w:type="dxa"/>
            <w:vAlign w:val="center"/>
          </w:tcPr>
          <w:p w14:paraId="7B4A023E" w14:textId="70B2865D" w:rsidR="00770601" w:rsidRPr="00E73DBA" w:rsidRDefault="00770601" w:rsidP="00FA18FB">
            <w:pPr>
              <w:rPr>
                <w:sz w:val="17"/>
                <w:szCs w:val="17"/>
              </w:rPr>
            </w:pPr>
            <w:r>
              <w:rPr>
                <w:sz w:val="17"/>
                <w:szCs w:val="17"/>
              </w:rPr>
              <w:t xml:space="preserve">ICD-10 </w:t>
            </w:r>
            <w:r w:rsidR="00FA18FB">
              <w:rPr>
                <w:sz w:val="17"/>
                <w:szCs w:val="17"/>
              </w:rPr>
              <w:t>Diagnosis</w:t>
            </w:r>
            <w:r>
              <w:rPr>
                <w:sz w:val="17"/>
                <w:szCs w:val="17"/>
              </w:rPr>
              <w:t xml:space="preserve"> Codes</w:t>
            </w:r>
          </w:p>
        </w:tc>
        <w:tc>
          <w:tcPr>
            <w:tcW w:w="1722" w:type="dxa"/>
            <w:vAlign w:val="center"/>
          </w:tcPr>
          <w:p w14:paraId="614507F3" w14:textId="51D9590B" w:rsidR="00770601" w:rsidRPr="00E73DBA" w:rsidRDefault="00770601" w:rsidP="00770601">
            <w:pPr>
              <w:jc w:val="center"/>
              <w:rPr>
                <w:sz w:val="17"/>
                <w:szCs w:val="17"/>
              </w:rPr>
            </w:pPr>
            <w:r>
              <w:rPr>
                <w:sz w:val="17"/>
                <w:szCs w:val="17"/>
              </w:rPr>
              <w:t>IP</w:t>
            </w:r>
          </w:p>
        </w:tc>
        <w:tc>
          <w:tcPr>
            <w:tcW w:w="3521" w:type="dxa"/>
            <w:vAlign w:val="center"/>
          </w:tcPr>
          <w:p w14:paraId="5B91B661" w14:textId="0088E7D1" w:rsidR="00770601" w:rsidRPr="00770601" w:rsidRDefault="00770601" w:rsidP="00770601">
            <w:pPr>
              <w:pStyle w:val="ListParagraph"/>
              <w:numPr>
                <w:ilvl w:val="0"/>
                <w:numId w:val="4"/>
              </w:numPr>
              <w:ind w:left="196" w:hanging="180"/>
              <w:rPr>
                <w:rFonts w:asciiTheme="minorHAnsi" w:hAnsiTheme="minorHAnsi" w:cstheme="minorHAnsi"/>
                <w:sz w:val="17"/>
                <w:szCs w:val="17"/>
              </w:rPr>
            </w:pPr>
            <w:r>
              <w:rPr>
                <w:rFonts w:asciiTheme="minorHAnsi" w:hAnsiTheme="minorHAnsi" w:cstheme="minorHAnsi"/>
                <w:sz w:val="17"/>
                <w:szCs w:val="17"/>
              </w:rPr>
              <w:t>Identification of sepsis inpatient stays</w:t>
            </w:r>
          </w:p>
        </w:tc>
      </w:tr>
      <w:tr w:rsidR="00770601" w14:paraId="106DF9ED" w14:textId="77777777" w:rsidTr="00C03EFA">
        <w:trPr>
          <w:trHeight w:val="331"/>
          <w:jc w:val="center"/>
        </w:trPr>
        <w:tc>
          <w:tcPr>
            <w:tcW w:w="2503" w:type="dxa"/>
            <w:vAlign w:val="center"/>
          </w:tcPr>
          <w:p w14:paraId="7B896002" w14:textId="6619A6E0" w:rsidR="00770601" w:rsidRDefault="00770601" w:rsidP="00770601">
            <w:pPr>
              <w:rPr>
                <w:sz w:val="17"/>
                <w:szCs w:val="17"/>
              </w:rPr>
            </w:pPr>
            <w:r>
              <w:rPr>
                <w:sz w:val="17"/>
                <w:szCs w:val="17"/>
              </w:rPr>
              <w:t>Related Condition Codes</w:t>
            </w:r>
          </w:p>
        </w:tc>
        <w:tc>
          <w:tcPr>
            <w:tcW w:w="1722" w:type="dxa"/>
            <w:vAlign w:val="center"/>
          </w:tcPr>
          <w:p w14:paraId="6035273C" w14:textId="462F671A" w:rsidR="00770601" w:rsidRDefault="00BC279C" w:rsidP="00770601">
            <w:pPr>
              <w:jc w:val="center"/>
              <w:rPr>
                <w:sz w:val="17"/>
                <w:szCs w:val="17"/>
              </w:rPr>
            </w:pPr>
            <w:r>
              <w:rPr>
                <w:sz w:val="17"/>
                <w:szCs w:val="17"/>
              </w:rPr>
              <w:t>I</w:t>
            </w:r>
            <w:r w:rsidR="00770601">
              <w:rPr>
                <w:sz w:val="17"/>
                <w:szCs w:val="17"/>
              </w:rPr>
              <w:t>P</w:t>
            </w:r>
          </w:p>
        </w:tc>
        <w:tc>
          <w:tcPr>
            <w:tcW w:w="3521" w:type="dxa"/>
            <w:vAlign w:val="center"/>
          </w:tcPr>
          <w:p w14:paraId="722F0209" w14:textId="03873847" w:rsidR="00770601" w:rsidRPr="00BC279C" w:rsidRDefault="00BC279C" w:rsidP="00770601">
            <w:pPr>
              <w:pStyle w:val="ListParagraph"/>
              <w:numPr>
                <w:ilvl w:val="0"/>
                <w:numId w:val="4"/>
              </w:numPr>
              <w:ind w:left="196" w:hanging="180"/>
              <w:rPr>
                <w:rFonts w:asciiTheme="minorHAnsi" w:hAnsiTheme="minorHAnsi" w:cstheme="minorHAnsi"/>
                <w:sz w:val="17"/>
                <w:szCs w:val="17"/>
              </w:rPr>
            </w:pPr>
            <w:r>
              <w:rPr>
                <w:rFonts w:asciiTheme="minorHAnsi" w:hAnsiTheme="minorHAnsi" w:cstheme="minorHAnsi"/>
                <w:sz w:val="17"/>
                <w:szCs w:val="17"/>
              </w:rPr>
              <w:t xml:space="preserve">Identification of “shadow billed” no-pay inpatient claims for MA beneficiaries </w:t>
            </w:r>
          </w:p>
        </w:tc>
      </w:tr>
      <w:tr w:rsidR="00EB7112" w14:paraId="51CAF409" w14:textId="77777777" w:rsidTr="00C03EFA">
        <w:trPr>
          <w:trHeight w:val="331"/>
          <w:jc w:val="center"/>
        </w:trPr>
        <w:tc>
          <w:tcPr>
            <w:tcW w:w="2503" w:type="dxa"/>
            <w:vAlign w:val="center"/>
          </w:tcPr>
          <w:p w14:paraId="0F33191C" w14:textId="69C96EF5" w:rsidR="00EB7112" w:rsidRDefault="00EB7112" w:rsidP="00770601">
            <w:pPr>
              <w:rPr>
                <w:sz w:val="17"/>
                <w:szCs w:val="17"/>
              </w:rPr>
            </w:pPr>
            <w:r>
              <w:rPr>
                <w:sz w:val="17"/>
                <w:szCs w:val="17"/>
              </w:rPr>
              <w:t>Revenue Center Codes</w:t>
            </w:r>
          </w:p>
        </w:tc>
        <w:tc>
          <w:tcPr>
            <w:tcW w:w="1722" w:type="dxa"/>
            <w:vAlign w:val="center"/>
          </w:tcPr>
          <w:p w14:paraId="3656F33B" w14:textId="377E79AD" w:rsidR="00EB7112" w:rsidRDefault="00EB7112" w:rsidP="00770601">
            <w:pPr>
              <w:jc w:val="center"/>
              <w:rPr>
                <w:sz w:val="17"/>
                <w:szCs w:val="17"/>
              </w:rPr>
            </w:pPr>
            <w:r>
              <w:rPr>
                <w:sz w:val="17"/>
                <w:szCs w:val="17"/>
              </w:rPr>
              <w:t>IP, OP</w:t>
            </w:r>
          </w:p>
        </w:tc>
        <w:tc>
          <w:tcPr>
            <w:tcW w:w="3521" w:type="dxa"/>
            <w:vAlign w:val="center"/>
          </w:tcPr>
          <w:p w14:paraId="40BDF0C8" w14:textId="20E11CD2" w:rsidR="00EB7112" w:rsidRDefault="00EB7112" w:rsidP="00EB7112">
            <w:pPr>
              <w:pStyle w:val="ListParagraph"/>
              <w:numPr>
                <w:ilvl w:val="0"/>
                <w:numId w:val="4"/>
              </w:numPr>
              <w:ind w:left="196" w:hanging="180"/>
              <w:rPr>
                <w:rFonts w:asciiTheme="minorHAnsi" w:hAnsiTheme="minorHAnsi" w:cstheme="minorHAnsi"/>
                <w:sz w:val="17"/>
                <w:szCs w:val="17"/>
              </w:rPr>
            </w:pPr>
            <w:r>
              <w:rPr>
                <w:rFonts w:asciiTheme="minorHAnsi" w:hAnsiTheme="minorHAnsi" w:cstheme="minorHAnsi"/>
                <w:sz w:val="17"/>
                <w:szCs w:val="17"/>
              </w:rPr>
              <w:t>Identification of emergency room services preceding an inpatient stay</w:t>
            </w:r>
          </w:p>
        </w:tc>
      </w:tr>
    </w:tbl>
    <w:p w14:paraId="302FD9FD" w14:textId="77777777" w:rsidR="002E1263" w:rsidRDefault="002E1263" w:rsidP="00943A43">
      <w:pPr>
        <w:rPr>
          <w:lang w:eastAsia="ja-JP"/>
        </w:rPr>
      </w:pPr>
    </w:p>
    <w:p w14:paraId="36CA81AC" w14:textId="5C46A145" w:rsidR="0072521C" w:rsidRDefault="0072521C">
      <w:pPr>
        <w:spacing w:line="259" w:lineRule="auto"/>
        <w:rPr>
          <w:lang w:eastAsia="ja-JP"/>
        </w:rPr>
      </w:pPr>
      <w:r>
        <w:rPr>
          <w:lang w:eastAsia="ja-JP"/>
        </w:rPr>
        <w:br w:type="page"/>
      </w:r>
    </w:p>
    <w:p w14:paraId="51CD802C" w14:textId="1B707D81" w:rsidR="009410CF" w:rsidRDefault="00EB1A8C" w:rsidP="009410CF">
      <w:pPr>
        <w:pStyle w:val="Heading1"/>
      </w:pPr>
      <w:bookmarkStart w:id="20" w:name="_Ref484597620"/>
      <w:bookmarkStart w:id="21" w:name="_Toc32328717"/>
      <w:r>
        <w:lastRenderedPageBreak/>
        <w:t>Implementation</w:t>
      </w:r>
      <w:r w:rsidR="009410CF">
        <w:t xml:space="preserve">: Identifying </w:t>
      </w:r>
      <w:r>
        <w:t>Beneficiaries</w:t>
      </w:r>
      <w:bookmarkEnd w:id="16"/>
      <w:bookmarkEnd w:id="17"/>
      <w:bookmarkEnd w:id="20"/>
      <w:bookmarkEnd w:id="21"/>
    </w:p>
    <w:p w14:paraId="06EEFF74" w14:textId="5770D3B7" w:rsidR="00DC4233" w:rsidRDefault="00DC4233" w:rsidP="00897DB2">
      <w:pPr>
        <w:rPr>
          <w:lang w:eastAsia="ja-JP"/>
        </w:rPr>
      </w:pPr>
      <w:r>
        <w:rPr>
          <w:lang w:eastAsia="ja-JP"/>
        </w:rPr>
        <w:t>This section provides specifications and steps to identifying beneficiaries in each of the following streams:</w:t>
      </w:r>
    </w:p>
    <w:p w14:paraId="0A226A0A" w14:textId="7D1BFA7A" w:rsidR="00DC4233" w:rsidRDefault="00DC4233" w:rsidP="00A82906">
      <w:pPr>
        <w:pStyle w:val="ListParagraph"/>
        <w:numPr>
          <w:ilvl w:val="0"/>
          <w:numId w:val="6"/>
        </w:numPr>
        <w:rPr>
          <w:rFonts w:asciiTheme="majorHAnsi" w:hAnsiTheme="majorHAnsi" w:cstheme="majorHAnsi"/>
          <w:sz w:val="20"/>
          <w:szCs w:val="20"/>
          <w:lang w:eastAsia="ja-JP"/>
        </w:rPr>
      </w:pPr>
      <w:r>
        <w:rPr>
          <w:rFonts w:asciiTheme="majorHAnsi" w:hAnsiTheme="majorHAnsi" w:cstheme="majorHAnsi"/>
          <w:sz w:val="20"/>
          <w:szCs w:val="20"/>
          <w:lang w:eastAsia="ja-JP"/>
        </w:rPr>
        <w:t>Alive and enrolled Medicare beneficiaries</w:t>
      </w:r>
    </w:p>
    <w:p w14:paraId="4841A11B" w14:textId="0AED6A05" w:rsidR="00C677AA" w:rsidRPr="007C61ED" w:rsidRDefault="00C677AA" w:rsidP="007C61ED">
      <w:pPr>
        <w:pStyle w:val="ListParagraph"/>
        <w:numPr>
          <w:ilvl w:val="0"/>
          <w:numId w:val="6"/>
        </w:numPr>
        <w:rPr>
          <w:rFonts w:asciiTheme="majorHAnsi" w:hAnsiTheme="majorHAnsi" w:cstheme="majorHAnsi"/>
          <w:sz w:val="20"/>
          <w:szCs w:val="20"/>
          <w:lang w:eastAsia="ja-JP"/>
        </w:rPr>
      </w:pPr>
      <w:r>
        <w:rPr>
          <w:rFonts w:asciiTheme="majorHAnsi" w:hAnsiTheme="majorHAnsi" w:cstheme="majorHAnsi"/>
          <w:sz w:val="20"/>
          <w:szCs w:val="20"/>
          <w:lang w:eastAsia="ja-JP"/>
        </w:rPr>
        <w:t>Individuals with inpatient stays</w:t>
      </w:r>
    </w:p>
    <w:p w14:paraId="475FA228" w14:textId="4CAAC32E" w:rsidR="00601ADD" w:rsidRDefault="00210033" w:rsidP="00DC4233">
      <w:pPr>
        <w:pStyle w:val="Heading2"/>
      </w:pPr>
      <w:bookmarkStart w:id="22" w:name="_Ref484449736"/>
      <w:bookmarkStart w:id="23" w:name="_Toc32328718"/>
      <w:r>
        <w:t>A</w:t>
      </w:r>
      <w:r w:rsidR="00CE1C66">
        <w:t>nal</w:t>
      </w:r>
      <w:r w:rsidR="00E9102C">
        <w:t>y</w:t>
      </w:r>
      <w:r w:rsidR="00CE1C66">
        <w:t>tic Stream 1</w:t>
      </w:r>
      <w:r>
        <w:t xml:space="preserve"> - </w:t>
      </w:r>
      <w:r w:rsidR="00601ADD">
        <w:t>Alive and Enrolled Medicare Beneficiaries</w:t>
      </w:r>
      <w:bookmarkEnd w:id="22"/>
      <w:bookmarkEnd w:id="23"/>
    </w:p>
    <w:p w14:paraId="3ADCBCF0" w14:textId="313DB488" w:rsidR="00601ADD" w:rsidRPr="00774A83" w:rsidRDefault="00243ABE" w:rsidP="00601ADD">
      <w:pPr>
        <w:rPr>
          <w:rFonts w:cstheme="minorHAnsi"/>
          <w:lang w:eastAsia="ja-JP"/>
        </w:rPr>
      </w:pPr>
      <w:r w:rsidRPr="00774A83">
        <w:rPr>
          <w:rFonts w:cstheme="minorHAnsi"/>
          <w:lang w:eastAsia="ja-JP"/>
        </w:rPr>
        <w:t>We determin</w:t>
      </w:r>
      <w:r w:rsidR="00377AC3" w:rsidRPr="00774A83">
        <w:rPr>
          <w:rFonts w:cstheme="minorHAnsi"/>
          <w:lang w:eastAsia="ja-JP"/>
        </w:rPr>
        <w:t>e</w:t>
      </w:r>
      <w:r w:rsidRPr="00774A83">
        <w:rPr>
          <w:rFonts w:cstheme="minorHAnsi"/>
          <w:lang w:eastAsia="ja-JP"/>
        </w:rPr>
        <w:t xml:space="preserve"> who is alive and currently enrolled in Medicare</w:t>
      </w:r>
      <w:r w:rsidR="00C677AA" w:rsidRPr="00774A83">
        <w:rPr>
          <w:rFonts w:cstheme="minorHAnsi"/>
          <w:lang w:eastAsia="ja-JP"/>
        </w:rPr>
        <w:t xml:space="preserve"> FFS</w:t>
      </w:r>
      <w:r w:rsidR="00377AC3" w:rsidRPr="00774A83">
        <w:rPr>
          <w:rFonts w:cstheme="minorHAnsi"/>
          <w:lang w:eastAsia="ja-JP"/>
        </w:rPr>
        <w:t xml:space="preserve"> </w:t>
      </w:r>
      <w:r w:rsidR="00A73D3F" w:rsidRPr="00774A83">
        <w:rPr>
          <w:rFonts w:cstheme="minorHAnsi"/>
          <w:lang w:eastAsia="ja-JP"/>
        </w:rPr>
        <w:t xml:space="preserve">in each month </w:t>
      </w:r>
      <w:r w:rsidR="00377AC3" w:rsidRPr="00774A83">
        <w:rPr>
          <w:rFonts w:cstheme="minorHAnsi"/>
          <w:lang w:eastAsia="ja-JP"/>
        </w:rPr>
        <w:t>to develop a baseline</w:t>
      </w:r>
      <w:r w:rsidR="001E73B7">
        <w:rPr>
          <w:rFonts w:cstheme="minorHAnsi"/>
          <w:lang w:eastAsia="ja-JP"/>
        </w:rPr>
        <w:t xml:space="preserve"> population</w:t>
      </w:r>
      <w:r w:rsidR="00377AC3" w:rsidRPr="00774A83">
        <w:rPr>
          <w:rFonts w:cstheme="minorHAnsi"/>
          <w:lang w:eastAsia="ja-JP"/>
        </w:rPr>
        <w:t xml:space="preserve"> for inclusion in </w:t>
      </w:r>
      <w:r w:rsidR="00C677AA" w:rsidRPr="00774A83">
        <w:rPr>
          <w:rFonts w:cstheme="minorHAnsi"/>
          <w:lang w:eastAsia="ja-JP"/>
        </w:rPr>
        <w:t>our analyses</w:t>
      </w:r>
      <w:r w:rsidRPr="00774A83">
        <w:rPr>
          <w:rFonts w:cstheme="minorHAnsi"/>
          <w:lang w:eastAsia="ja-JP"/>
        </w:rPr>
        <w:t xml:space="preserve">. </w:t>
      </w:r>
      <w:r w:rsidR="00377AC3" w:rsidRPr="00774A83">
        <w:rPr>
          <w:rFonts w:cstheme="minorHAnsi"/>
          <w:lang w:eastAsia="ja-JP"/>
        </w:rPr>
        <w:t>We also pull dual eligibility status</w:t>
      </w:r>
      <w:r w:rsidR="00C52E81" w:rsidRPr="00774A83">
        <w:rPr>
          <w:rFonts w:cstheme="minorHAnsi"/>
          <w:lang w:eastAsia="ja-JP"/>
        </w:rPr>
        <w:t xml:space="preserve"> and demographic information</w:t>
      </w:r>
      <w:r w:rsidR="00377AC3" w:rsidRPr="00774A83">
        <w:rPr>
          <w:rFonts w:cstheme="minorHAnsi"/>
          <w:lang w:eastAsia="ja-JP"/>
        </w:rPr>
        <w:t xml:space="preserve"> for each beneficiary </w:t>
      </w:r>
      <w:r w:rsidR="000D1BA8">
        <w:rPr>
          <w:rFonts w:cstheme="minorHAnsi"/>
          <w:lang w:eastAsia="ja-JP"/>
        </w:rPr>
        <w:t>at this stage</w:t>
      </w:r>
      <w:r w:rsidR="003C3072" w:rsidRPr="00774A83">
        <w:rPr>
          <w:rFonts w:cstheme="minorHAnsi"/>
          <w:lang w:eastAsia="ja-JP"/>
        </w:rPr>
        <w:t>.</w:t>
      </w:r>
    </w:p>
    <w:p w14:paraId="3322E4DC" w14:textId="77777777" w:rsidR="00EB1A8C" w:rsidRPr="00774A83" w:rsidRDefault="00601ADD" w:rsidP="00E73DBA">
      <w:pPr>
        <w:rPr>
          <w:rFonts w:cstheme="minorHAnsi"/>
          <w:b/>
          <w:lang w:eastAsia="ja-JP"/>
        </w:rPr>
      </w:pPr>
      <w:r w:rsidRPr="00774A83">
        <w:rPr>
          <w:rFonts w:cstheme="minorHAnsi"/>
          <w:b/>
          <w:lang w:eastAsia="ja-JP"/>
        </w:rPr>
        <w:t>Steps</w:t>
      </w:r>
    </w:p>
    <w:p w14:paraId="50D8D88B" w14:textId="4F983CCB" w:rsidR="00EB1A8C" w:rsidRPr="00774A83" w:rsidRDefault="00601ADD" w:rsidP="00A82906">
      <w:pPr>
        <w:pStyle w:val="ListParagraph"/>
        <w:numPr>
          <w:ilvl w:val="0"/>
          <w:numId w:val="15"/>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Identify alive beneficiaries</w:t>
      </w:r>
      <w:r w:rsidR="0025641B" w:rsidRPr="00774A83">
        <w:rPr>
          <w:rFonts w:asciiTheme="minorHAnsi" w:hAnsiTheme="minorHAnsi" w:cstheme="minorHAnsi"/>
          <w:sz w:val="20"/>
          <w:szCs w:val="20"/>
          <w:lang w:eastAsia="ja-JP"/>
        </w:rPr>
        <w:t>.</w:t>
      </w:r>
      <w:r w:rsidRPr="00774A83">
        <w:rPr>
          <w:rFonts w:asciiTheme="minorHAnsi" w:hAnsiTheme="minorHAnsi" w:cstheme="minorHAnsi"/>
          <w:sz w:val="20"/>
          <w:szCs w:val="20"/>
          <w:lang w:eastAsia="ja-JP"/>
        </w:rPr>
        <w:t xml:space="preserve"> </w:t>
      </w:r>
    </w:p>
    <w:p w14:paraId="552630EF" w14:textId="1E6120CC" w:rsidR="00EB1A8C" w:rsidRPr="00774A83" w:rsidRDefault="00601ADD" w:rsidP="00A82906">
      <w:pPr>
        <w:pStyle w:val="ListParagraph"/>
        <w:numPr>
          <w:ilvl w:val="0"/>
          <w:numId w:val="15"/>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Determine enrollment status</w:t>
      </w:r>
      <w:r w:rsidR="0025641B" w:rsidRPr="00774A83">
        <w:rPr>
          <w:rFonts w:asciiTheme="minorHAnsi" w:hAnsiTheme="minorHAnsi" w:cstheme="minorHAnsi"/>
          <w:sz w:val="20"/>
          <w:szCs w:val="20"/>
          <w:lang w:eastAsia="ja-JP"/>
        </w:rPr>
        <w:t>.</w:t>
      </w:r>
    </w:p>
    <w:p w14:paraId="0BA23F9C" w14:textId="42448C89" w:rsidR="00EB1A8C" w:rsidRPr="00774A83" w:rsidRDefault="00601ADD" w:rsidP="00A82906">
      <w:pPr>
        <w:pStyle w:val="ListParagraph"/>
        <w:numPr>
          <w:ilvl w:val="0"/>
          <w:numId w:val="15"/>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Determine Medicare-</w:t>
      </w:r>
      <w:r w:rsidR="00F40449" w:rsidRPr="00774A83">
        <w:rPr>
          <w:rFonts w:asciiTheme="minorHAnsi" w:hAnsiTheme="minorHAnsi" w:cstheme="minorHAnsi"/>
          <w:sz w:val="20"/>
          <w:szCs w:val="20"/>
          <w:lang w:eastAsia="ja-JP"/>
        </w:rPr>
        <w:t xml:space="preserve">Medicaid dual </w:t>
      </w:r>
      <w:r w:rsidRPr="00774A83">
        <w:rPr>
          <w:rFonts w:asciiTheme="minorHAnsi" w:hAnsiTheme="minorHAnsi" w:cstheme="minorHAnsi"/>
          <w:sz w:val="20"/>
          <w:szCs w:val="20"/>
          <w:lang w:eastAsia="ja-JP"/>
        </w:rPr>
        <w:t>eligibility status</w:t>
      </w:r>
      <w:r w:rsidR="0025641B" w:rsidRPr="00774A83">
        <w:rPr>
          <w:rFonts w:asciiTheme="minorHAnsi" w:hAnsiTheme="minorHAnsi" w:cstheme="minorHAnsi"/>
          <w:sz w:val="20"/>
          <w:szCs w:val="20"/>
          <w:lang w:eastAsia="ja-JP"/>
        </w:rPr>
        <w:t>.</w:t>
      </w:r>
    </w:p>
    <w:p w14:paraId="5AD03F2E" w14:textId="2EB2C4A0" w:rsidR="006052E3" w:rsidRPr="00774A83" w:rsidRDefault="006052E3" w:rsidP="00A82906">
      <w:pPr>
        <w:pStyle w:val="ListParagraph"/>
        <w:numPr>
          <w:ilvl w:val="0"/>
          <w:numId w:val="15"/>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Identify other beneficiary characteristics of interest.</w:t>
      </w:r>
    </w:p>
    <w:p w14:paraId="6616794D" w14:textId="77777777" w:rsidR="00601ADD" w:rsidRPr="00774A83" w:rsidRDefault="00601ADD" w:rsidP="00601ADD">
      <w:pPr>
        <w:pStyle w:val="ListParagraph"/>
        <w:rPr>
          <w:rFonts w:asciiTheme="minorHAnsi" w:hAnsiTheme="minorHAnsi" w:cstheme="minorHAnsi"/>
          <w:sz w:val="20"/>
          <w:szCs w:val="20"/>
          <w:lang w:eastAsia="ja-JP"/>
        </w:rPr>
      </w:pPr>
    </w:p>
    <w:p w14:paraId="5F56E6C6" w14:textId="02065402" w:rsidR="009A6059" w:rsidRPr="00774A83" w:rsidRDefault="00235D59" w:rsidP="005F0C4D">
      <w:pPr>
        <w:rPr>
          <w:rFonts w:cstheme="minorHAnsi"/>
          <w:lang w:eastAsia="ja-JP"/>
        </w:rPr>
      </w:pPr>
      <w:r w:rsidRPr="00774A83">
        <w:rPr>
          <w:rFonts w:cstheme="minorHAnsi"/>
          <w:b/>
          <w:lang w:eastAsia="ja-JP"/>
        </w:rPr>
        <w:t>Methodology</w:t>
      </w:r>
    </w:p>
    <w:p w14:paraId="024CF5E6" w14:textId="77777777" w:rsidR="005F0C4D" w:rsidRPr="00774A83" w:rsidRDefault="005F0C4D" w:rsidP="005F0C4D">
      <w:pPr>
        <w:spacing w:after="80"/>
        <w:ind w:left="360"/>
        <w:rPr>
          <w:rFonts w:cstheme="minorHAnsi"/>
          <w:lang w:eastAsia="ja-JP"/>
        </w:rPr>
      </w:pPr>
      <w:r w:rsidRPr="00774A83">
        <w:rPr>
          <w:rFonts w:cstheme="minorHAnsi"/>
          <w:lang w:eastAsia="ja-JP"/>
        </w:rPr>
        <w:t xml:space="preserve">For each month of the study period: </w:t>
      </w:r>
    </w:p>
    <w:p w14:paraId="7DA917F7" w14:textId="722CD43C" w:rsidR="00EB1A8C" w:rsidRPr="00774A83" w:rsidRDefault="00EB1A8C" w:rsidP="00A82906">
      <w:pPr>
        <w:pStyle w:val="ListParagraph"/>
        <w:numPr>
          <w:ilvl w:val="0"/>
          <w:numId w:val="4"/>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U</w:t>
      </w:r>
      <w:r w:rsidR="00235D59" w:rsidRPr="00774A83">
        <w:rPr>
          <w:rFonts w:asciiTheme="minorHAnsi" w:hAnsiTheme="minorHAnsi" w:cstheme="minorHAnsi"/>
          <w:sz w:val="20"/>
          <w:szCs w:val="20"/>
          <w:lang w:eastAsia="ja-JP"/>
        </w:rPr>
        <w:t xml:space="preserve">se the EDB to identify a beneficiary’s </w:t>
      </w:r>
      <w:r w:rsidR="00F728DA" w:rsidRPr="00774A83">
        <w:rPr>
          <w:rFonts w:asciiTheme="minorHAnsi" w:hAnsiTheme="minorHAnsi" w:cstheme="minorHAnsi"/>
          <w:sz w:val="20"/>
          <w:szCs w:val="20"/>
          <w:lang w:eastAsia="ja-JP"/>
        </w:rPr>
        <w:t xml:space="preserve">name and </w:t>
      </w:r>
      <w:r w:rsidR="00235D59" w:rsidRPr="00774A83">
        <w:rPr>
          <w:rFonts w:asciiTheme="minorHAnsi" w:hAnsiTheme="minorHAnsi" w:cstheme="minorHAnsi"/>
          <w:sz w:val="20"/>
          <w:szCs w:val="20"/>
          <w:lang w:eastAsia="ja-JP"/>
        </w:rPr>
        <w:t xml:space="preserve">date of death. If it is missing, a beneficiary is considered alive. If it is not missing, a beneficiary is considered deceased. </w:t>
      </w:r>
    </w:p>
    <w:p w14:paraId="45513FCC" w14:textId="36EC779C" w:rsidR="00235D59" w:rsidRPr="00774A83" w:rsidRDefault="00EB1A8C" w:rsidP="00A82906">
      <w:pPr>
        <w:pStyle w:val="ListParagraph"/>
        <w:numPr>
          <w:ilvl w:val="0"/>
          <w:numId w:val="4"/>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 xml:space="preserve">Use the EDB to identify </w:t>
      </w:r>
      <w:r w:rsidR="00235D59" w:rsidRPr="00774A83">
        <w:rPr>
          <w:rFonts w:asciiTheme="minorHAnsi" w:hAnsiTheme="minorHAnsi" w:cstheme="minorHAnsi"/>
          <w:sz w:val="20"/>
          <w:szCs w:val="20"/>
          <w:lang w:eastAsia="ja-JP"/>
        </w:rPr>
        <w:t xml:space="preserve">beneficiary’s birth date information. </w:t>
      </w:r>
    </w:p>
    <w:p w14:paraId="23E07378" w14:textId="28B55B70" w:rsidR="00EB1A8C" w:rsidRPr="00774A83" w:rsidRDefault="00EB1A8C" w:rsidP="00A82906">
      <w:pPr>
        <w:pStyle w:val="ListParagraph"/>
        <w:numPr>
          <w:ilvl w:val="0"/>
          <w:numId w:val="4"/>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U</w:t>
      </w:r>
      <w:r w:rsidR="00235D59" w:rsidRPr="00774A83">
        <w:rPr>
          <w:rFonts w:asciiTheme="minorHAnsi" w:hAnsiTheme="minorHAnsi" w:cstheme="minorHAnsi"/>
          <w:sz w:val="20"/>
          <w:szCs w:val="20"/>
          <w:lang w:eastAsia="ja-JP"/>
        </w:rPr>
        <w:t>se the EDB to determine beneficiary enrollment status</w:t>
      </w:r>
      <w:r w:rsidR="00235D59" w:rsidRPr="00774A83">
        <w:rPr>
          <w:rFonts w:asciiTheme="minorHAnsi" w:hAnsiTheme="minorHAnsi" w:cstheme="minorHAnsi"/>
          <w:i/>
          <w:sz w:val="20"/>
          <w:szCs w:val="20"/>
          <w:lang w:eastAsia="ja-JP"/>
        </w:rPr>
        <w:t xml:space="preserve">. </w:t>
      </w:r>
    </w:p>
    <w:p w14:paraId="5593CD09" w14:textId="1F07EA81" w:rsidR="00235D59" w:rsidRPr="00774A83" w:rsidRDefault="00EB1A8C" w:rsidP="00A82906">
      <w:pPr>
        <w:pStyle w:val="ListParagraph"/>
        <w:numPr>
          <w:ilvl w:val="0"/>
          <w:numId w:val="4"/>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U</w:t>
      </w:r>
      <w:r w:rsidR="00777B06" w:rsidRPr="00774A83">
        <w:rPr>
          <w:rFonts w:asciiTheme="minorHAnsi" w:hAnsiTheme="minorHAnsi" w:cstheme="minorHAnsi"/>
          <w:sz w:val="20"/>
          <w:szCs w:val="20"/>
          <w:lang w:eastAsia="ja-JP"/>
        </w:rPr>
        <w:t>se the EDB</w:t>
      </w:r>
      <w:r w:rsidR="003215F6" w:rsidRPr="00774A83">
        <w:rPr>
          <w:rFonts w:asciiTheme="minorHAnsi" w:hAnsiTheme="minorHAnsi" w:cstheme="minorHAnsi"/>
          <w:sz w:val="20"/>
          <w:szCs w:val="20"/>
          <w:lang w:eastAsia="ja-JP"/>
        </w:rPr>
        <w:t xml:space="preserve"> and IDR dual eligibility data</w:t>
      </w:r>
      <w:r w:rsidR="00777B06" w:rsidRPr="00774A83">
        <w:rPr>
          <w:rFonts w:asciiTheme="minorHAnsi" w:hAnsiTheme="minorHAnsi" w:cstheme="minorHAnsi"/>
          <w:sz w:val="20"/>
          <w:szCs w:val="20"/>
          <w:lang w:eastAsia="ja-JP"/>
        </w:rPr>
        <w:t xml:space="preserve"> to </w:t>
      </w:r>
      <w:r w:rsidRPr="00774A83">
        <w:rPr>
          <w:rFonts w:asciiTheme="minorHAnsi" w:hAnsiTheme="minorHAnsi" w:cstheme="minorHAnsi"/>
          <w:sz w:val="20"/>
          <w:szCs w:val="20"/>
          <w:lang w:eastAsia="ja-JP"/>
        </w:rPr>
        <w:t xml:space="preserve">identify a </w:t>
      </w:r>
      <w:r w:rsidR="00777B06" w:rsidRPr="00774A83">
        <w:rPr>
          <w:rFonts w:asciiTheme="minorHAnsi" w:hAnsiTheme="minorHAnsi" w:cstheme="minorHAnsi"/>
          <w:sz w:val="20"/>
          <w:szCs w:val="20"/>
          <w:lang w:eastAsia="ja-JP"/>
        </w:rPr>
        <w:t>beneficia</w:t>
      </w:r>
      <w:r w:rsidRPr="00774A83">
        <w:rPr>
          <w:rFonts w:asciiTheme="minorHAnsi" w:hAnsiTheme="minorHAnsi" w:cstheme="minorHAnsi"/>
          <w:sz w:val="20"/>
          <w:szCs w:val="20"/>
          <w:lang w:eastAsia="ja-JP"/>
        </w:rPr>
        <w:t>ry’s</w:t>
      </w:r>
      <w:r w:rsidR="00777B06" w:rsidRPr="00774A83">
        <w:rPr>
          <w:rFonts w:asciiTheme="minorHAnsi" w:hAnsiTheme="minorHAnsi" w:cstheme="minorHAnsi"/>
          <w:sz w:val="20"/>
          <w:szCs w:val="20"/>
          <w:lang w:eastAsia="ja-JP"/>
        </w:rPr>
        <w:t xml:space="preserve"> Medicare-Medicaid dual eligibility status.</w:t>
      </w:r>
    </w:p>
    <w:p w14:paraId="42B13FED" w14:textId="1C2EE8B8" w:rsidR="009A1F94" w:rsidRPr="00774A83" w:rsidRDefault="00EB1A8C" w:rsidP="009A1F94">
      <w:pPr>
        <w:pStyle w:val="ListParagraph"/>
        <w:numPr>
          <w:ilvl w:val="0"/>
          <w:numId w:val="4"/>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U</w:t>
      </w:r>
      <w:r w:rsidR="00235D59" w:rsidRPr="00774A83">
        <w:rPr>
          <w:rFonts w:asciiTheme="minorHAnsi" w:hAnsiTheme="minorHAnsi" w:cstheme="minorHAnsi"/>
          <w:sz w:val="20"/>
          <w:szCs w:val="20"/>
          <w:lang w:eastAsia="ja-JP"/>
        </w:rPr>
        <w:t>se the EDB to identify a beneficiary’s</w:t>
      </w:r>
      <w:r w:rsidR="00023679" w:rsidRPr="00774A83">
        <w:rPr>
          <w:rFonts w:asciiTheme="minorHAnsi" w:hAnsiTheme="minorHAnsi" w:cstheme="minorHAnsi"/>
          <w:sz w:val="20"/>
          <w:szCs w:val="20"/>
          <w:lang w:eastAsia="ja-JP"/>
        </w:rPr>
        <w:t xml:space="preserve"> state of residence</w:t>
      </w:r>
      <w:r w:rsidR="00235D59" w:rsidRPr="00774A83">
        <w:rPr>
          <w:rFonts w:asciiTheme="minorHAnsi" w:hAnsiTheme="minorHAnsi" w:cstheme="minorHAnsi"/>
          <w:sz w:val="20"/>
          <w:szCs w:val="20"/>
          <w:lang w:eastAsia="ja-JP"/>
        </w:rPr>
        <w:t xml:space="preserve">. </w:t>
      </w:r>
    </w:p>
    <w:p w14:paraId="268FBEC2" w14:textId="448938DA" w:rsidR="00262BD1" w:rsidRPr="00774A83" w:rsidRDefault="00262BD1" w:rsidP="009A6059">
      <w:pPr>
        <w:pStyle w:val="ListParagraph"/>
        <w:numPr>
          <w:ilvl w:val="0"/>
          <w:numId w:val="4"/>
        </w:numPr>
        <w:rPr>
          <w:rFonts w:asciiTheme="minorHAnsi" w:hAnsiTheme="minorHAnsi" w:cstheme="minorHAnsi"/>
          <w:sz w:val="20"/>
          <w:szCs w:val="20"/>
          <w:lang w:eastAsia="ja-JP"/>
        </w:rPr>
      </w:pPr>
      <w:r w:rsidRPr="00774A83">
        <w:rPr>
          <w:rFonts w:asciiTheme="minorHAnsi" w:hAnsiTheme="minorHAnsi" w:cstheme="minorHAnsi"/>
          <w:sz w:val="20"/>
          <w:szCs w:val="20"/>
          <w:lang w:eastAsia="ja-JP"/>
        </w:rPr>
        <w:t>Use the EDB to identify a beneficiary’s age</w:t>
      </w:r>
      <w:r w:rsidR="009A6059" w:rsidRPr="00774A83">
        <w:rPr>
          <w:rFonts w:asciiTheme="minorHAnsi" w:hAnsiTheme="minorHAnsi" w:cstheme="minorHAnsi"/>
          <w:sz w:val="20"/>
          <w:szCs w:val="20"/>
          <w:lang w:eastAsia="ja-JP"/>
        </w:rPr>
        <w:t>, sex, and race</w:t>
      </w:r>
      <w:r w:rsidRPr="00774A83">
        <w:rPr>
          <w:rFonts w:asciiTheme="minorHAnsi" w:hAnsiTheme="minorHAnsi" w:cstheme="minorHAnsi"/>
          <w:sz w:val="20"/>
          <w:szCs w:val="20"/>
          <w:lang w:eastAsia="ja-JP"/>
        </w:rPr>
        <w:t>.</w:t>
      </w:r>
    </w:p>
    <w:p w14:paraId="0E2BB343" w14:textId="2A85C341" w:rsidR="005F0C4D" w:rsidRPr="005F0C4D" w:rsidRDefault="00262BD1" w:rsidP="005F0C4D">
      <w:pPr>
        <w:pStyle w:val="ListParagraph"/>
        <w:numPr>
          <w:ilvl w:val="0"/>
          <w:numId w:val="4"/>
        </w:numPr>
        <w:rPr>
          <w:rFonts w:asciiTheme="majorHAnsi" w:hAnsiTheme="majorHAnsi" w:cstheme="majorHAnsi"/>
          <w:sz w:val="18"/>
          <w:szCs w:val="20"/>
          <w:lang w:eastAsia="ja-JP"/>
        </w:rPr>
      </w:pPr>
      <w:r w:rsidRPr="00774A83">
        <w:rPr>
          <w:rFonts w:asciiTheme="minorHAnsi" w:hAnsiTheme="minorHAnsi" w:cstheme="minorHAnsi"/>
          <w:sz w:val="20"/>
          <w:szCs w:val="20"/>
          <w:lang w:eastAsia="ja-JP"/>
        </w:rPr>
        <w:t>Use the EDB to identify a beneficiary’s</w:t>
      </w:r>
      <w:r w:rsidR="009A6059" w:rsidRPr="00774A83">
        <w:rPr>
          <w:rFonts w:asciiTheme="minorHAnsi" w:hAnsiTheme="minorHAnsi" w:cstheme="minorHAnsi"/>
          <w:sz w:val="20"/>
          <w:szCs w:val="20"/>
          <w:lang w:eastAsia="ja-JP"/>
        </w:rPr>
        <w:t xml:space="preserve"> reason for Medicare eligibility</w:t>
      </w:r>
      <w:r w:rsidR="009A6059">
        <w:rPr>
          <w:rFonts w:asciiTheme="majorHAnsi" w:hAnsiTheme="majorHAnsi" w:cstheme="majorHAnsi"/>
          <w:sz w:val="20"/>
          <w:lang w:eastAsia="ja-JP"/>
        </w:rPr>
        <w:t xml:space="preserve">. </w:t>
      </w:r>
    </w:p>
    <w:p w14:paraId="496761BB" w14:textId="77777777" w:rsidR="009A6059" w:rsidRPr="00262BD1" w:rsidRDefault="009A6059" w:rsidP="009A6059">
      <w:pPr>
        <w:pStyle w:val="ListParagraph"/>
        <w:rPr>
          <w:rFonts w:asciiTheme="majorHAnsi" w:hAnsiTheme="majorHAnsi" w:cstheme="majorHAnsi"/>
          <w:sz w:val="18"/>
          <w:szCs w:val="20"/>
          <w:lang w:eastAsia="ja-JP"/>
        </w:rPr>
      </w:pPr>
    </w:p>
    <w:p w14:paraId="5A1DDE6C" w14:textId="089945FF" w:rsidR="009A1F94" w:rsidRDefault="009A1F94" w:rsidP="009A1F94">
      <w:pPr>
        <w:pStyle w:val="Caption"/>
        <w:keepNext/>
      </w:pPr>
      <w:r>
        <w:t xml:space="preserve">Table </w:t>
      </w:r>
      <w:r w:rsidR="00EE37E1">
        <w:rPr>
          <w:noProof/>
        </w:rPr>
        <w:t>2</w:t>
      </w:r>
      <w:r w:rsidR="00345C96">
        <w:t>.</w:t>
      </w:r>
      <w:r w:rsidR="00700FF5">
        <w:rPr>
          <w:noProof/>
        </w:rPr>
        <w:fldChar w:fldCharType="begin"/>
      </w:r>
      <w:r w:rsidR="00700FF5">
        <w:rPr>
          <w:noProof/>
        </w:rPr>
        <w:instrText xml:space="preserve"> SEQ Table \* ARABIC \s 1 </w:instrText>
      </w:r>
      <w:r w:rsidR="00700FF5">
        <w:rPr>
          <w:noProof/>
        </w:rPr>
        <w:fldChar w:fldCharType="separate"/>
      </w:r>
      <w:r w:rsidR="00897485">
        <w:rPr>
          <w:noProof/>
        </w:rPr>
        <w:t>1</w:t>
      </w:r>
      <w:r w:rsidR="00700FF5">
        <w:rPr>
          <w:noProof/>
        </w:rPr>
        <w:fldChar w:fldCharType="end"/>
      </w:r>
      <w:r>
        <w:t xml:space="preserve"> Alive and Enrolled Beneficiaries Key Variables</w:t>
      </w:r>
    </w:p>
    <w:tbl>
      <w:tblPr>
        <w:tblStyle w:val="TableGrid"/>
        <w:tblW w:w="0" w:type="auto"/>
        <w:jc w:val="center"/>
        <w:tblLook w:val="04A0" w:firstRow="1" w:lastRow="0" w:firstColumn="1" w:lastColumn="0" w:noHBand="0" w:noVBand="1"/>
      </w:tblPr>
      <w:tblGrid>
        <w:gridCol w:w="3197"/>
        <w:gridCol w:w="4576"/>
        <w:gridCol w:w="1577"/>
      </w:tblGrid>
      <w:tr w:rsidR="009A1F94" w14:paraId="106E3F42" w14:textId="77777777" w:rsidTr="002E08FB">
        <w:trPr>
          <w:trHeight w:val="634"/>
          <w:tblHeader/>
          <w:jc w:val="center"/>
        </w:trPr>
        <w:tc>
          <w:tcPr>
            <w:tcW w:w="3197" w:type="dxa"/>
            <w:shd w:val="clear" w:color="auto" w:fill="D0E6F4" w:themeFill="accent5" w:themeFillTint="33"/>
            <w:vAlign w:val="center"/>
          </w:tcPr>
          <w:p w14:paraId="039E20EB" w14:textId="77777777" w:rsidR="009A1F94" w:rsidRPr="00102359" w:rsidRDefault="009A1F94" w:rsidP="009A1F94">
            <w:pPr>
              <w:jc w:val="center"/>
              <w:rPr>
                <w:b/>
                <w:sz w:val="18"/>
              </w:rPr>
            </w:pPr>
            <w:r w:rsidRPr="00102359">
              <w:rPr>
                <w:b/>
                <w:sz w:val="18"/>
              </w:rPr>
              <w:t>Variable Name</w:t>
            </w:r>
          </w:p>
        </w:tc>
        <w:tc>
          <w:tcPr>
            <w:tcW w:w="4576" w:type="dxa"/>
            <w:shd w:val="clear" w:color="auto" w:fill="D0E6F4" w:themeFill="accent5" w:themeFillTint="33"/>
            <w:vAlign w:val="center"/>
          </w:tcPr>
          <w:p w14:paraId="64618FA4" w14:textId="77777777" w:rsidR="009A1F94" w:rsidRPr="00102359" w:rsidRDefault="009A1F94" w:rsidP="009A1F94">
            <w:pPr>
              <w:jc w:val="center"/>
              <w:rPr>
                <w:b/>
                <w:sz w:val="18"/>
              </w:rPr>
            </w:pPr>
            <w:r w:rsidRPr="00102359">
              <w:rPr>
                <w:b/>
                <w:sz w:val="18"/>
              </w:rPr>
              <w:t>Description</w:t>
            </w:r>
          </w:p>
        </w:tc>
        <w:tc>
          <w:tcPr>
            <w:tcW w:w="1577" w:type="dxa"/>
            <w:shd w:val="clear" w:color="auto" w:fill="D0E6F4" w:themeFill="accent5" w:themeFillTint="33"/>
            <w:vAlign w:val="center"/>
          </w:tcPr>
          <w:p w14:paraId="0DD0703B" w14:textId="77777777" w:rsidR="009A1F94" w:rsidRPr="00102359" w:rsidRDefault="009A1F94" w:rsidP="009A1F94">
            <w:pPr>
              <w:jc w:val="center"/>
              <w:rPr>
                <w:b/>
                <w:sz w:val="18"/>
              </w:rPr>
            </w:pPr>
            <w:r w:rsidRPr="00102359">
              <w:rPr>
                <w:b/>
                <w:sz w:val="18"/>
              </w:rPr>
              <w:t>Data Source</w:t>
            </w:r>
          </w:p>
        </w:tc>
      </w:tr>
      <w:tr w:rsidR="009A1F94" w14:paraId="0E19D132" w14:textId="77777777" w:rsidTr="00334CB6">
        <w:trPr>
          <w:jc w:val="center"/>
        </w:trPr>
        <w:tc>
          <w:tcPr>
            <w:tcW w:w="3197" w:type="dxa"/>
            <w:vAlign w:val="center"/>
          </w:tcPr>
          <w:p w14:paraId="707D86D0" w14:textId="54251C50" w:rsidR="009A1F94" w:rsidRPr="00EB07F1" w:rsidRDefault="009A1F94" w:rsidP="009A1F94">
            <w:pPr>
              <w:rPr>
                <w:sz w:val="17"/>
                <w:szCs w:val="17"/>
              </w:rPr>
            </w:pPr>
            <w:r w:rsidRPr="00EB07F1">
              <w:rPr>
                <w:sz w:val="17"/>
                <w:szCs w:val="17"/>
              </w:rPr>
              <w:t>BENE_1ST_NAME</w:t>
            </w:r>
          </w:p>
        </w:tc>
        <w:tc>
          <w:tcPr>
            <w:tcW w:w="4576" w:type="dxa"/>
            <w:vAlign w:val="center"/>
          </w:tcPr>
          <w:p w14:paraId="1AA9D07A" w14:textId="7C77D8B8" w:rsidR="009A1F94" w:rsidRPr="00EB07F1" w:rsidRDefault="009A1F94" w:rsidP="009A1F94">
            <w:pPr>
              <w:rPr>
                <w:sz w:val="17"/>
                <w:szCs w:val="17"/>
              </w:rPr>
            </w:pPr>
            <w:r w:rsidRPr="00EB07F1">
              <w:rPr>
                <w:sz w:val="17"/>
                <w:szCs w:val="17"/>
              </w:rPr>
              <w:t>First Name of Beneficiary</w:t>
            </w:r>
          </w:p>
        </w:tc>
        <w:tc>
          <w:tcPr>
            <w:tcW w:w="1577" w:type="dxa"/>
            <w:vAlign w:val="center"/>
          </w:tcPr>
          <w:p w14:paraId="7FAF95FC" w14:textId="58A21A63" w:rsidR="009A1F94" w:rsidRPr="00EB07F1" w:rsidRDefault="009A1F94" w:rsidP="009A1F94">
            <w:pPr>
              <w:jc w:val="center"/>
              <w:rPr>
                <w:sz w:val="17"/>
                <w:szCs w:val="17"/>
              </w:rPr>
            </w:pPr>
            <w:r w:rsidRPr="00EB07F1">
              <w:rPr>
                <w:sz w:val="17"/>
                <w:szCs w:val="17"/>
              </w:rPr>
              <w:t>EDB</w:t>
            </w:r>
          </w:p>
        </w:tc>
      </w:tr>
      <w:tr w:rsidR="009A1F94" w14:paraId="4B1E5C8C" w14:textId="77777777" w:rsidTr="00334CB6">
        <w:trPr>
          <w:trHeight w:val="269"/>
          <w:jc w:val="center"/>
        </w:trPr>
        <w:tc>
          <w:tcPr>
            <w:tcW w:w="3197" w:type="dxa"/>
            <w:vAlign w:val="center"/>
          </w:tcPr>
          <w:p w14:paraId="0F7B2D54" w14:textId="3CD1B4CF" w:rsidR="009A1F94" w:rsidRPr="00EB07F1" w:rsidRDefault="009A1F94" w:rsidP="009A1F94">
            <w:pPr>
              <w:rPr>
                <w:sz w:val="17"/>
                <w:szCs w:val="17"/>
              </w:rPr>
            </w:pPr>
            <w:r w:rsidRPr="00EB07F1">
              <w:rPr>
                <w:sz w:val="17"/>
                <w:szCs w:val="17"/>
              </w:rPr>
              <w:t>BENE_LAST_NAME</w:t>
            </w:r>
          </w:p>
        </w:tc>
        <w:tc>
          <w:tcPr>
            <w:tcW w:w="4576" w:type="dxa"/>
            <w:vAlign w:val="center"/>
          </w:tcPr>
          <w:p w14:paraId="0386B1E8" w14:textId="5897AB5A" w:rsidR="009A1F94" w:rsidRPr="00EB07F1" w:rsidRDefault="009A1F94" w:rsidP="009A1F94">
            <w:pPr>
              <w:rPr>
                <w:sz w:val="17"/>
                <w:szCs w:val="17"/>
              </w:rPr>
            </w:pPr>
            <w:r w:rsidRPr="00EB07F1">
              <w:rPr>
                <w:sz w:val="17"/>
                <w:szCs w:val="17"/>
              </w:rPr>
              <w:t>Last Name of Beneficiary</w:t>
            </w:r>
          </w:p>
        </w:tc>
        <w:tc>
          <w:tcPr>
            <w:tcW w:w="1577" w:type="dxa"/>
            <w:vAlign w:val="center"/>
          </w:tcPr>
          <w:p w14:paraId="6163C235" w14:textId="7A5D73D8" w:rsidR="009A1F94" w:rsidRPr="00EB07F1" w:rsidRDefault="009A1F94" w:rsidP="009A1F94">
            <w:pPr>
              <w:jc w:val="center"/>
              <w:rPr>
                <w:sz w:val="17"/>
                <w:szCs w:val="17"/>
              </w:rPr>
            </w:pPr>
            <w:r w:rsidRPr="00EB07F1">
              <w:rPr>
                <w:sz w:val="17"/>
                <w:szCs w:val="17"/>
              </w:rPr>
              <w:t>EDB</w:t>
            </w:r>
          </w:p>
        </w:tc>
      </w:tr>
      <w:tr w:rsidR="009A1F94" w14:paraId="2B7EB1CB" w14:textId="77777777" w:rsidTr="00334CB6">
        <w:trPr>
          <w:jc w:val="center"/>
        </w:trPr>
        <w:tc>
          <w:tcPr>
            <w:tcW w:w="3197" w:type="dxa"/>
            <w:vAlign w:val="center"/>
          </w:tcPr>
          <w:p w14:paraId="66D132E9" w14:textId="120A899F" w:rsidR="009A1F94" w:rsidRPr="00EB07F1" w:rsidRDefault="009A1F94" w:rsidP="009A1F94">
            <w:pPr>
              <w:rPr>
                <w:sz w:val="17"/>
                <w:szCs w:val="17"/>
              </w:rPr>
            </w:pPr>
            <w:r w:rsidRPr="00EB07F1">
              <w:rPr>
                <w:sz w:val="17"/>
                <w:szCs w:val="17"/>
              </w:rPr>
              <w:t>BENE_MLG_CNTCT_ADR</w:t>
            </w:r>
          </w:p>
        </w:tc>
        <w:tc>
          <w:tcPr>
            <w:tcW w:w="4576" w:type="dxa"/>
            <w:vAlign w:val="center"/>
          </w:tcPr>
          <w:p w14:paraId="029AFC80" w14:textId="0B8A94F0" w:rsidR="009A1F94" w:rsidRPr="00EB07F1" w:rsidRDefault="009A1F94" w:rsidP="009A1F94">
            <w:pPr>
              <w:rPr>
                <w:sz w:val="17"/>
                <w:szCs w:val="17"/>
              </w:rPr>
            </w:pPr>
            <w:r w:rsidRPr="00EB07F1">
              <w:rPr>
                <w:sz w:val="17"/>
                <w:szCs w:val="17"/>
              </w:rPr>
              <w:t>Beneficiary Mailing Contact Address</w:t>
            </w:r>
          </w:p>
        </w:tc>
        <w:tc>
          <w:tcPr>
            <w:tcW w:w="1577" w:type="dxa"/>
            <w:vAlign w:val="center"/>
          </w:tcPr>
          <w:p w14:paraId="0ED5648A" w14:textId="5E808464" w:rsidR="009A1F94" w:rsidRPr="00EB07F1" w:rsidRDefault="009A1F94" w:rsidP="009A1F94">
            <w:pPr>
              <w:jc w:val="center"/>
              <w:rPr>
                <w:sz w:val="17"/>
                <w:szCs w:val="17"/>
              </w:rPr>
            </w:pPr>
            <w:r w:rsidRPr="00EB07F1">
              <w:rPr>
                <w:sz w:val="17"/>
                <w:szCs w:val="17"/>
              </w:rPr>
              <w:t>EDB</w:t>
            </w:r>
          </w:p>
        </w:tc>
      </w:tr>
      <w:tr w:rsidR="009A1F94" w14:paraId="61D19D7C" w14:textId="77777777" w:rsidTr="00334CB6">
        <w:trPr>
          <w:jc w:val="center"/>
        </w:trPr>
        <w:tc>
          <w:tcPr>
            <w:tcW w:w="3197" w:type="dxa"/>
            <w:vAlign w:val="center"/>
          </w:tcPr>
          <w:p w14:paraId="367770F1" w14:textId="28F8E6A5" w:rsidR="009A1F94" w:rsidRPr="00EB07F1" w:rsidRDefault="009A1F94" w:rsidP="009A1F94">
            <w:pPr>
              <w:rPr>
                <w:sz w:val="17"/>
                <w:szCs w:val="17"/>
              </w:rPr>
            </w:pPr>
            <w:r w:rsidRPr="00EB07F1">
              <w:rPr>
                <w:sz w:val="17"/>
                <w:szCs w:val="17"/>
              </w:rPr>
              <w:t>DUAL_MDCR</w:t>
            </w:r>
          </w:p>
        </w:tc>
        <w:tc>
          <w:tcPr>
            <w:tcW w:w="4576" w:type="dxa"/>
            <w:vAlign w:val="center"/>
          </w:tcPr>
          <w:p w14:paraId="1F34B03C" w14:textId="10290680" w:rsidR="009A1F94" w:rsidRPr="00EB07F1" w:rsidRDefault="009A1F94" w:rsidP="009A1F94">
            <w:pPr>
              <w:rPr>
                <w:sz w:val="17"/>
                <w:szCs w:val="17"/>
              </w:rPr>
            </w:pPr>
            <w:r w:rsidRPr="00EB07F1">
              <w:rPr>
                <w:sz w:val="17"/>
                <w:szCs w:val="17"/>
              </w:rPr>
              <w:t>Dual Eligibility Status</w:t>
            </w:r>
          </w:p>
        </w:tc>
        <w:tc>
          <w:tcPr>
            <w:tcW w:w="1577" w:type="dxa"/>
            <w:vAlign w:val="center"/>
          </w:tcPr>
          <w:p w14:paraId="4359A9BD" w14:textId="10EB0B55" w:rsidR="009A1F94" w:rsidRPr="00EB07F1" w:rsidRDefault="009A1F94" w:rsidP="009A1F94">
            <w:pPr>
              <w:jc w:val="center"/>
              <w:rPr>
                <w:sz w:val="17"/>
                <w:szCs w:val="17"/>
              </w:rPr>
            </w:pPr>
            <w:r w:rsidRPr="00EB07F1">
              <w:rPr>
                <w:sz w:val="17"/>
                <w:szCs w:val="17"/>
              </w:rPr>
              <w:t>EDB</w:t>
            </w:r>
          </w:p>
        </w:tc>
      </w:tr>
      <w:tr w:rsidR="00334CB6" w14:paraId="7FF553B9" w14:textId="77777777" w:rsidTr="00334CB6">
        <w:trPr>
          <w:jc w:val="center"/>
        </w:trPr>
        <w:tc>
          <w:tcPr>
            <w:tcW w:w="3197" w:type="dxa"/>
            <w:vAlign w:val="center"/>
          </w:tcPr>
          <w:p w14:paraId="42B3F7E3" w14:textId="75CFCC0B" w:rsidR="00334CB6" w:rsidRPr="00EB07F1" w:rsidRDefault="00334CB6" w:rsidP="00334CB6">
            <w:pPr>
              <w:rPr>
                <w:sz w:val="17"/>
                <w:szCs w:val="17"/>
              </w:rPr>
            </w:pPr>
            <w:r w:rsidRPr="00EB07F1">
              <w:rPr>
                <w:sz w:val="17"/>
                <w:szCs w:val="17"/>
                <w:lang w:val="es-MX"/>
              </w:rPr>
              <w:t>ENR_A, ENR_B, ENR_C, ENR_D</w:t>
            </w:r>
          </w:p>
        </w:tc>
        <w:tc>
          <w:tcPr>
            <w:tcW w:w="4576" w:type="dxa"/>
            <w:vAlign w:val="center"/>
          </w:tcPr>
          <w:p w14:paraId="0D399BA1" w14:textId="3FD3BB3B" w:rsidR="00334CB6" w:rsidRPr="00EB07F1" w:rsidRDefault="00334CB6" w:rsidP="00334CB6">
            <w:pPr>
              <w:rPr>
                <w:sz w:val="17"/>
                <w:szCs w:val="17"/>
              </w:rPr>
            </w:pPr>
            <w:r w:rsidRPr="00EB07F1">
              <w:rPr>
                <w:sz w:val="17"/>
                <w:szCs w:val="17"/>
              </w:rPr>
              <w:t>Beneficiary Medicare Enrollment Plans</w:t>
            </w:r>
          </w:p>
        </w:tc>
        <w:tc>
          <w:tcPr>
            <w:tcW w:w="1577" w:type="dxa"/>
            <w:vAlign w:val="center"/>
          </w:tcPr>
          <w:p w14:paraId="761432FF" w14:textId="38C29C61" w:rsidR="00334CB6" w:rsidRPr="00EB07F1" w:rsidRDefault="00334CB6" w:rsidP="00334CB6">
            <w:pPr>
              <w:jc w:val="center"/>
              <w:rPr>
                <w:sz w:val="17"/>
                <w:szCs w:val="17"/>
              </w:rPr>
            </w:pPr>
            <w:r w:rsidRPr="00EB07F1">
              <w:rPr>
                <w:sz w:val="17"/>
                <w:szCs w:val="17"/>
              </w:rPr>
              <w:t>EDB</w:t>
            </w:r>
          </w:p>
        </w:tc>
      </w:tr>
      <w:tr w:rsidR="00334CB6" w14:paraId="4FAC3BE5" w14:textId="77777777" w:rsidTr="00334CB6">
        <w:trPr>
          <w:jc w:val="center"/>
        </w:trPr>
        <w:tc>
          <w:tcPr>
            <w:tcW w:w="3197" w:type="dxa"/>
            <w:vAlign w:val="center"/>
          </w:tcPr>
          <w:p w14:paraId="1658CCA0" w14:textId="706AEFAA" w:rsidR="00334CB6" w:rsidRPr="00EB07F1" w:rsidRDefault="00334CB6" w:rsidP="00334CB6">
            <w:pPr>
              <w:rPr>
                <w:sz w:val="17"/>
                <w:szCs w:val="17"/>
              </w:rPr>
            </w:pPr>
            <w:r w:rsidRPr="00EB07F1">
              <w:rPr>
                <w:sz w:val="17"/>
                <w:szCs w:val="17"/>
              </w:rPr>
              <w:t xml:space="preserve">BENE_MDCD_ELGBLTY_BGN_DT </w:t>
            </w:r>
          </w:p>
        </w:tc>
        <w:tc>
          <w:tcPr>
            <w:tcW w:w="4576" w:type="dxa"/>
            <w:vAlign w:val="center"/>
          </w:tcPr>
          <w:p w14:paraId="67AEE59F" w14:textId="38624551" w:rsidR="00334CB6" w:rsidRPr="00EB07F1" w:rsidRDefault="00334CB6" w:rsidP="00334CB6">
            <w:pPr>
              <w:rPr>
                <w:sz w:val="17"/>
                <w:szCs w:val="17"/>
              </w:rPr>
            </w:pPr>
            <w:r w:rsidRPr="00EB07F1">
              <w:rPr>
                <w:sz w:val="17"/>
                <w:szCs w:val="17"/>
              </w:rPr>
              <w:t>Start Date of Dual Eligibility Period</w:t>
            </w:r>
          </w:p>
        </w:tc>
        <w:tc>
          <w:tcPr>
            <w:tcW w:w="1577" w:type="dxa"/>
            <w:vAlign w:val="center"/>
          </w:tcPr>
          <w:p w14:paraId="3BABFA40" w14:textId="6BA3A6F2" w:rsidR="00334CB6" w:rsidRPr="00EB07F1" w:rsidRDefault="00334CB6" w:rsidP="00334CB6">
            <w:pPr>
              <w:jc w:val="center"/>
              <w:rPr>
                <w:sz w:val="17"/>
                <w:szCs w:val="17"/>
              </w:rPr>
            </w:pPr>
            <w:r w:rsidRPr="00EB07F1">
              <w:rPr>
                <w:sz w:val="17"/>
                <w:szCs w:val="17"/>
              </w:rPr>
              <w:t>IDR</w:t>
            </w:r>
          </w:p>
        </w:tc>
      </w:tr>
      <w:tr w:rsidR="00334CB6" w14:paraId="6DC34832" w14:textId="77777777" w:rsidTr="00334CB6">
        <w:trPr>
          <w:jc w:val="center"/>
        </w:trPr>
        <w:tc>
          <w:tcPr>
            <w:tcW w:w="3197" w:type="dxa"/>
            <w:vAlign w:val="center"/>
          </w:tcPr>
          <w:p w14:paraId="4D686EEE" w14:textId="606ED830" w:rsidR="00334CB6" w:rsidRPr="00EB07F1" w:rsidRDefault="00FF0270" w:rsidP="00334CB6">
            <w:pPr>
              <w:rPr>
                <w:sz w:val="17"/>
                <w:szCs w:val="17"/>
              </w:rPr>
            </w:pPr>
            <w:r w:rsidRPr="00EB07F1">
              <w:rPr>
                <w:sz w:val="17"/>
                <w:szCs w:val="17"/>
              </w:rPr>
              <w:t>BENE_M</w:t>
            </w:r>
            <w:r w:rsidR="00334CB6" w:rsidRPr="00EB07F1">
              <w:rPr>
                <w:sz w:val="17"/>
                <w:szCs w:val="17"/>
              </w:rPr>
              <w:t>DCD_ELGBLTY_END_DT</w:t>
            </w:r>
          </w:p>
        </w:tc>
        <w:tc>
          <w:tcPr>
            <w:tcW w:w="4576" w:type="dxa"/>
            <w:vAlign w:val="center"/>
          </w:tcPr>
          <w:p w14:paraId="3A748C35" w14:textId="53EFE9E5" w:rsidR="00334CB6" w:rsidRPr="00EB07F1" w:rsidRDefault="00334CB6" w:rsidP="00334CB6">
            <w:pPr>
              <w:rPr>
                <w:sz w:val="17"/>
                <w:szCs w:val="17"/>
              </w:rPr>
            </w:pPr>
            <w:r w:rsidRPr="00EB07F1">
              <w:rPr>
                <w:sz w:val="17"/>
                <w:szCs w:val="17"/>
              </w:rPr>
              <w:t>End Date of Dual Eligibility Period</w:t>
            </w:r>
          </w:p>
        </w:tc>
        <w:tc>
          <w:tcPr>
            <w:tcW w:w="1577" w:type="dxa"/>
            <w:vAlign w:val="center"/>
          </w:tcPr>
          <w:p w14:paraId="2433AEBD" w14:textId="00487F63" w:rsidR="00334CB6" w:rsidRPr="00EB07F1" w:rsidRDefault="00334CB6" w:rsidP="00334CB6">
            <w:pPr>
              <w:jc w:val="center"/>
              <w:rPr>
                <w:sz w:val="17"/>
                <w:szCs w:val="17"/>
              </w:rPr>
            </w:pPr>
            <w:r w:rsidRPr="00EB07F1">
              <w:rPr>
                <w:sz w:val="17"/>
                <w:szCs w:val="17"/>
              </w:rPr>
              <w:t>IDR</w:t>
            </w:r>
          </w:p>
        </w:tc>
      </w:tr>
      <w:tr w:rsidR="00334CB6" w14:paraId="627D333C" w14:textId="77777777" w:rsidTr="00334CB6">
        <w:trPr>
          <w:jc w:val="center"/>
        </w:trPr>
        <w:tc>
          <w:tcPr>
            <w:tcW w:w="3197" w:type="dxa"/>
            <w:vAlign w:val="center"/>
          </w:tcPr>
          <w:p w14:paraId="4193987B" w14:textId="73B7CEA4" w:rsidR="00334CB6" w:rsidRPr="00EB07F1" w:rsidRDefault="00334CB6" w:rsidP="00334CB6">
            <w:pPr>
              <w:rPr>
                <w:sz w:val="17"/>
                <w:szCs w:val="17"/>
              </w:rPr>
            </w:pPr>
            <w:r w:rsidRPr="00EB07F1">
              <w:rPr>
                <w:sz w:val="17"/>
                <w:szCs w:val="17"/>
              </w:rPr>
              <w:t>BENE_DEATH_DT</w:t>
            </w:r>
          </w:p>
        </w:tc>
        <w:tc>
          <w:tcPr>
            <w:tcW w:w="4576" w:type="dxa"/>
            <w:vAlign w:val="center"/>
          </w:tcPr>
          <w:p w14:paraId="564D78E1" w14:textId="48E5139D" w:rsidR="00334CB6" w:rsidRPr="00EB07F1" w:rsidRDefault="00334CB6" w:rsidP="00334CB6">
            <w:pPr>
              <w:rPr>
                <w:sz w:val="17"/>
                <w:szCs w:val="17"/>
              </w:rPr>
            </w:pPr>
            <w:r w:rsidRPr="00EB07F1">
              <w:rPr>
                <w:sz w:val="17"/>
                <w:szCs w:val="17"/>
              </w:rPr>
              <w:t>Death Date</w:t>
            </w:r>
          </w:p>
        </w:tc>
        <w:tc>
          <w:tcPr>
            <w:tcW w:w="1577" w:type="dxa"/>
            <w:vAlign w:val="center"/>
          </w:tcPr>
          <w:p w14:paraId="7523338A" w14:textId="172E5178" w:rsidR="00334CB6" w:rsidRPr="00EB07F1" w:rsidRDefault="00334CB6" w:rsidP="00334CB6">
            <w:pPr>
              <w:jc w:val="center"/>
              <w:rPr>
                <w:sz w:val="17"/>
                <w:szCs w:val="17"/>
              </w:rPr>
            </w:pPr>
            <w:r w:rsidRPr="00EB07F1">
              <w:rPr>
                <w:sz w:val="17"/>
                <w:szCs w:val="17"/>
              </w:rPr>
              <w:t>MBD</w:t>
            </w:r>
          </w:p>
        </w:tc>
      </w:tr>
      <w:tr w:rsidR="00334CB6" w14:paraId="187CF586" w14:textId="77777777" w:rsidTr="00334CB6">
        <w:trPr>
          <w:jc w:val="center"/>
        </w:trPr>
        <w:tc>
          <w:tcPr>
            <w:tcW w:w="3197" w:type="dxa"/>
            <w:vAlign w:val="center"/>
          </w:tcPr>
          <w:p w14:paraId="7823799B" w14:textId="57904DC1" w:rsidR="00334CB6" w:rsidRPr="00EB07F1" w:rsidRDefault="00334CB6" w:rsidP="00334CB6">
            <w:pPr>
              <w:rPr>
                <w:sz w:val="17"/>
                <w:szCs w:val="17"/>
              </w:rPr>
            </w:pPr>
            <w:r w:rsidRPr="00EB07F1">
              <w:rPr>
                <w:sz w:val="17"/>
                <w:szCs w:val="17"/>
              </w:rPr>
              <w:t>BENE_BIRTH_DT</w:t>
            </w:r>
          </w:p>
        </w:tc>
        <w:tc>
          <w:tcPr>
            <w:tcW w:w="4576" w:type="dxa"/>
            <w:vAlign w:val="center"/>
          </w:tcPr>
          <w:p w14:paraId="03FD3655" w14:textId="6873CBCD" w:rsidR="00334CB6" w:rsidRPr="00EB07F1" w:rsidRDefault="00334CB6" w:rsidP="00334CB6">
            <w:pPr>
              <w:rPr>
                <w:sz w:val="17"/>
                <w:szCs w:val="17"/>
              </w:rPr>
            </w:pPr>
            <w:r w:rsidRPr="00EB07F1">
              <w:rPr>
                <w:sz w:val="17"/>
                <w:szCs w:val="17"/>
              </w:rPr>
              <w:t>Birth Date</w:t>
            </w:r>
          </w:p>
        </w:tc>
        <w:tc>
          <w:tcPr>
            <w:tcW w:w="1577" w:type="dxa"/>
            <w:vAlign w:val="center"/>
          </w:tcPr>
          <w:p w14:paraId="241A1AA5" w14:textId="3D5E7368" w:rsidR="00334CB6" w:rsidRPr="00EB07F1" w:rsidRDefault="00334CB6" w:rsidP="00334CB6">
            <w:pPr>
              <w:jc w:val="center"/>
              <w:rPr>
                <w:sz w:val="17"/>
                <w:szCs w:val="17"/>
              </w:rPr>
            </w:pPr>
            <w:r w:rsidRPr="00EB07F1">
              <w:rPr>
                <w:sz w:val="17"/>
                <w:szCs w:val="17"/>
              </w:rPr>
              <w:t>MBD</w:t>
            </w:r>
          </w:p>
        </w:tc>
      </w:tr>
    </w:tbl>
    <w:p w14:paraId="23B8C6C3" w14:textId="77777777" w:rsidR="0025641B" w:rsidRDefault="0025641B" w:rsidP="00601ADD">
      <w:pPr>
        <w:rPr>
          <w:rFonts w:asciiTheme="majorHAnsi" w:hAnsiTheme="majorHAnsi" w:cstheme="majorHAnsi"/>
          <w:b/>
          <w:lang w:eastAsia="ja-JP"/>
        </w:rPr>
      </w:pPr>
    </w:p>
    <w:p w14:paraId="07385E5C" w14:textId="3D7E4AB2" w:rsidR="00601ADD" w:rsidRDefault="00601ADD" w:rsidP="00601ADD">
      <w:pPr>
        <w:rPr>
          <w:rFonts w:asciiTheme="majorHAnsi" w:hAnsiTheme="majorHAnsi" w:cstheme="majorHAnsi"/>
          <w:lang w:eastAsia="ja-JP"/>
        </w:rPr>
      </w:pPr>
      <w:r w:rsidRPr="004244B8">
        <w:rPr>
          <w:rFonts w:asciiTheme="majorHAnsi" w:hAnsiTheme="majorHAnsi" w:cstheme="majorHAnsi"/>
          <w:b/>
          <w:lang w:eastAsia="ja-JP"/>
        </w:rPr>
        <w:t>Outcome</w:t>
      </w:r>
    </w:p>
    <w:p w14:paraId="1888ABAB" w14:textId="203F1FE7" w:rsidR="00601ADD" w:rsidRDefault="00601ADD" w:rsidP="00601ADD">
      <w:pPr>
        <w:rPr>
          <w:rFonts w:asciiTheme="majorHAnsi" w:hAnsiTheme="majorHAnsi" w:cstheme="majorHAnsi"/>
          <w:lang w:eastAsia="ja-JP"/>
        </w:rPr>
      </w:pPr>
      <w:r>
        <w:rPr>
          <w:rFonts w:asciiTheme="majorHAnsi" w:hAnsiTheme="majorHAnsi" w:cstheme="majorHAnsi"/>
          <w:lang w:eastAsia="ja-JP"/>
        </w:rPr>
        <w:t>After the conclusion of these steps, we have a dataset at the beneficiary</w:t>
      </w:r>
      <w:r w:rsidR="00703BAE">
        <w:rPr>
          <w:rFonts w:asciiTheme="majorHAnsi" w:hAnsiTheme="majorHAnsi" w:cstheme="majorHAnsi"/>
          <w:lang w:eastAsia="ja-JP"/>
        </w:rPr>
        <w:t>-month</w:t>
      </w:r>
      <w:r>
        <w:rPr>
          <w:rFonts w:asciiTheme="majorHAnsi" w:hAnsiTheme="majorHAnsi" w:cstheme="majorHAnsi"/>
          <w:lang w:eastAsia="ja-JP"/>
        </w:rPr>
        <w:t xml:space="preserve"> level with the following information: beneficiary </w:t>
      </w:r>
      <w:r w:rsidRPr="004244B8">
        <w:rPr>
          <w:rFonts w:asciiTheme="majorHAnsi" w:hAnsiTheme="majorHAnsi" w:cstheme="majorHAnsi"/>
          <w:lang w:eastAsia="ja-JP"/>
        </w:rPr>
        <w:t xml:space="preserve">name, date of birth, date of death, </w:t>
      </w:r>
      <w:r w:rsidR="00CE1C66">
        <w:rPr>
          <w:rFonts w:asciiTheme="majorHAnsi" w:hAnsiTheme="majorHAnsi" w:cstheme="majorHAnsi"/>
          <w:lang w:eastAsia="ja-JP"/>
        </w:rPr>
        <w:t xml:space="preserve">enrollment plan (FFS or MA), </w:t>
      </w:r>
      <w:r w:rsidR="00166296" w:rsidRPr="004244B8">
        <w:rPr>
          <w:rFonts w:asciiTheme="majorHAnsi" w:hAnsiTheme="majorHAnsi" w:cstheme="majorHAnsi"/>
          <w:lang w:eastAsia="ja-JP"/>
        </w:rPr>
        <w:t xml:space="preserve">dual eligibility </w:t>
      </w:r>
      <w:r w:rsidR="00166296" w:rsidRPr="007E2AB9">
        <w:rPr>
          <w:rFonts w:asciiTheme="majorHAnsi" w:hAnsiTheme="majorHAnsi" w:cstheme="majorHAnsi"/>
          <w:lang w:eastAsia="ja-JP"/>
        </w:rPr>
        <w:t>status</w:t>
      </w:r>
      <w:r w:rsidR="00627DDA" w:rsidRPr="007E2AB9">
        <w:rPr>
          <w:rFonts w:asciiTheme="majorHAnsi" w:hAnsiTheme="majorHAnsi" w:cstheme="majorHAnsi"/>
          <w:lang w:eastAsia="ja-JP"/>
        </w:rPr>
        <w:t>,</w:t>
      </w:r>
      <w:r w:rsidR="00166296" w:rsidRPr="007E2AB9">
        <w:rPr>
          <w:rFonts w:asciiTheme="majorHAnsi" w:hAnsiTheme="majorHAnsi" w:cstheme="majorHAnsi"/>
          <w:lang w:eastAsia="ja-JP"/>
        </w:rPr>
        <w:t xml:space="preserve"> </w:t>
      </w:r>
      <w:r w:rsidR="00166296">
        <w:rPr>
          <w:rFonts w:asciiTheme="majorHAnsi" w:hAnsiTheme="majorHAnsi" w:cstheme="majorHAnsi"/>
          <w:lang w:eastAsia="ja-JP"/>
        </w:rPr>
        <w:t>and U.S. Territory</w:t>
      </w:r>
      <w:r w:rsidR="00CE1C66">
        <w:rPr>
          <w:rFonts w:asciiTheme="majorHAnsi" w:hAnsiTheme="majorHAnsi" w:cstheme="majorHAnsi"/>
          <w:lang w:eastAsia="ja-JP"/>
        </w:rPr>
        <w:t xml:space="preserve">/state </w:t>
      </w:r>
      <w:r w:rsidR="000870CE">
        <w:rPr>
          <w:rFonts w:asciiTheme="majorHAnsi" w:hAnsiTheme="majorHAnsi" w:cstheme="majorHAnsi"/>
          <w:lang w:eastAsia="ja-JP"/>
        </w:rPr>
        <w:t xml:space="preserve">of residence </w:t>
      </w:r>
      <w:r w:rsidR="00CE1C66">
        <w:rPr>
          <w:rFonts w:asciiTheme="majorHAnsi" w:hAnsiTheme="majorHAnsi" w:cstheme="majorHAnsi"/>
          <w:lang w:eastAsia="ja-JP"/>
        </w:rPr>
        <w:t>information</w:t>
      </w:r>
      <w:r w:rsidRPr="004244B8">
        <w:rPr>
          <w:rFonts w:asciiTheme="majorHAnsi" w:hAnsiTheme="majorHAnsi" w:cstheme="majorHAnsi"/>
          <w:lang w:eastAsia="ja-JP"/>
        </w:rPr>
        <w:t>.</w:t>
      </w:r>
    </w:p>
    <w:p w14:paraId="3D3A88CF" w14:textId="6A8D6350" w:rsidR="00601ADD" w:rsidRDefault="00F67B24" w:rsidP="00DC4233">
      <w:pPr>
        <w:pStyle w:val="Heading2"/>
      </w:pPr>
      <w:bookmarkStart w:id="24" w:name="_Ref484449754"/>
      <w:bookmarkStart w:id="25" w:name="_Toc32328719"/>
      <w:r>
        <w:lastRenderedPageBreak/>
        <w:t>Analytic Stream 2</w:t>
      </w:r>
      <w:r w:rsidR="00CE1C66">
        <w:t xml:space="preserve"> </w:t>
      </w:r>
      <w:r>
        <w:t>–</w:t>
      </w:r>
      <w:r w:rsidR="00CE1C66">
        <w:t xml:space="preserve"> </w:t>
      </w:r>
      <w:bookmarkEnd w:id="24"/>
      <w:r>
        <w:t>Inpatient Stays</w:t>
      </w:r>
      <w:bookmarkEnd w:id="25"/>
    </w:p>
    <w:p w14:paraId="094C773D" w14:textId="59EA0173" w:rsidR="00E72A35" w:rsidRDefault="00DA29A6" w:rsidP="00601ADD">
      <w:pPr>
        <w:rPr>
          <w:lang w:eastAsia="ja-JP"/>
        </w:rPr>
      </w:pPr>
      <w:r>
        <w:rPr>
          <w:lang w:eastAsia="ja-JP"/>
        </w:rPr>
        <w:t>We identify</w:t>
      </w:r>
      <w:r w:rsidR="00F67B24" w:rsidRPr="00F67B24">
        <w:t xml:space="preserve"> </w:t>
      </w:r>
      <w:r w:rsidR="00F67B24" w:rsidRPr="00F67B24">
        <w:rPr>
          <w:lang w:eastAsia="ja-JP"/>
        </w:rPr>
        <w:t>inpatient stays in each month, both overall and those with a sepsis diagnosis</w:t>
      </w:r>
      <w:r>
        <w:rPr>
          <w:lang w:eastAsia="ja-JP"/>
        </w:rPr>
        <w:t xml:space="preserve">. </w:t>
      </w:r>
      <w:r w:rsidR="00500483">
        <w:rPr>
          <w:lang w:eastAsia="ja-JP"/>
        </w:rPr>
        <w:t xml:space="preserve">We also classify inpatient stays by provider type. </w:t>
      </w:r>
    </w:p>
    <w:p w14:paraId="01468474" w14:textId="2093A941" w:rsidR="006D1FA8" w:rsidRDefault="006D1FA8" w:rsidP="006D1FA8">
      <w:pPr>
        <w:pStyle w:val="Heading3"/>
      </w:pPr>
      <w:bookmarkStart w:id="26" w:name="_Toc32328720"/>
      <w:r>
        <w:t>Collapsing Claims to Stays and Constructing Stay-Level Measures</w:t>
      </w:r>
      <w:bookmarkEnd w:id="26"/>
    </w:p>
    <w:p w14:paraId="65EF138B" w14:textId="19190D59" w:rsidR="006558D7" w:rsidRDefault="00500483" w:rsidP="00E72A35">
      <w:pPr>
        <w:rPr>
          <w:lang w:eastAsia="ja-JP"/>
        </w:rPr>
      </w:pPr>
      <w:r>
        <w:rPr>
          <w:lang w:eastAsia="ja-JP"/>
        </w:rPr>
        <w:t xml:space="preserve">The inpatient file setting in CWF contains claims for provider types including acute inpatient facilities, long-term care hospitals, inpatient rehabilitation facilities, and inpatient psychiatric facilities. </w:t>
      </w:r>
      <w:r w:rsidR="00E72A35">
        <w:rPr>
          <w:lang w:eastAsia="ja-JP"/>
        </w:rPr>
        <w:t xml:space="preserve">While the vast majority of acute inpatient stays are billed using a single claim, </w:t>
      </w:r>
      <w:r>
        <w:rPr>
          <w:lang w:eastAsia="ja-JP"/>
        </w:rPr>
        <w:t>some other inpatient provider types, such as inpatient rehabilitation facilities, submit claims on a monthly consolidated billing schedule</w:t>
      </w:r>
      <w:r w:rsidR="00E72A35">
        <w:rPr>
          <w:lang w:eastAsia="ja-JP"/>
        </w:rPr>
        <w:t xml:space="preserve">. </w:t>
      </w:r>
      <w:r>
        <w:rPr>
          <w:lang w:eastAsia="ja-JP"/>
        </w:rPr>
        <w:t xml:space="preserve">This means that a stay spanning multiple months would be represented by multiple claims. </w:t>
      </w:r>
      <w:r w:rsidR="00E72A35">
        <w:rPr>
          <w:lang w:eastAsia="ja-JP"/>
        </w:rPr>
        <w:t>In cases when multiple claims are submitted, we group those that share the same beneficiary identifier, provider number</w:t>
      </w:r>
      <w:r w:rsidR="009C7F18">
        <w:rPr>
          <w:lang w:eastAsia="ja-JP"/>
        </w:rPr>
        <w:t xml:space="preserve"> (</w:t>
      </w:r>
      <w:r w:rsidR="009C7F18" w:rsidRPr="00BA2F9E">
        <w:rPr>
          <w:rFonts w:ascii="Courier New" w:hAnsi="Courier New" w:cs="Courier New"/>
          <w:lang w:eastAsia="ja-JP"/>
        </w:rPr>
        <w:t>PROVIDER</w:t>
      </w:r>
      <w:r w:rsidR="009C7F18">
        <w:rPr>
          <w:lang w:eastAsia="ja-JP"/>
        </w:rPr>
        <w:t>)</w:t>
      </w:r>
      <w:r w:rsidR="00E72A35">
        <w:rPr>
          <w:lang w:eastAsia="ja-JP"/>
        </w:rPr>
        <w:t>, and admission date</w:t>
      </w:r>
      <w:r w:rsidR="009C7F18">
        <w:rPr>
          <w:lang w:eastAsia="ja-JP"/>
        </w:rPr>
        <w:t xml:space="preserve"> (</w:t>
      </w:r>
      <w:r w:rsidR="009C7F18" w:rsidRPr="00BA2F9E">
        <w:rPr>
          <w:rFonts w:ascii="Courier New" w:hAnsi="Courier New" w:cs="Courier New"/>
          <w:lang w:eastAsia="ja-JP"/>
        </w:rPr>
        <w:t>ADMSN_DT</w:t>
      </w:r>
      <w:r w:rsidR="009C7F18">
        <w:rPr>
          <w:lang w:eastAsia="ja-JP"/>
        </w:rPr>
        <w:t>)</w:t>
      </w:r>
      <w:r w:rsidR="00E72A35">
        <w:rPr>
          <w:lang w:eastAsia="ja-JP"/>
        </w:rPr>
        <w:t xml:space="preserve">. </w:t>
      </w:r>
      <w:r w:rsidR="00900ABA">
        <w:rPr>
          <w:lang w:eastAsia="ja-JP"/>
        </w:rPr>
        <w:t>Medicare p</w:t>
      </w:r>
      <w:r w:rsidR="00571687">
        <w:rPr>
          <w:lang w:eastAsia="ja-JP"/>
        </w:rPr>
        <w:t>ayment data is summed across all of the claims in the stay</w:t>
      </w:r>
      <w:r w:rsidR="00F15450">
        <w:rPr>
          <w:lang w:eastAsia="ja-JP"/>
        </w:rPr>
        <w:t xml:space="preserve"> by aggregating the claim “</w:t>
      </w:r>
      <w:r w:rsidR="00F15450" w:rsidRPr="00BA2F9E">
        <w:rPr>
          <w:rFonts w:ascii="Courier New" w:hAnsi="Courier New" w:cs="Courier New"/>
          <w:lang w:eastAsia="ja-JP"/>
        </w:rPr>
        <w:t>PMT_AMT</w:t>
      </w:r>
      <w:r w:rsidR="00F15450">
        <w:rPr>
          <w:lang w:eastAsia="ja-JP"/>
        </w:rPr>
        <w:t>” variable</w:t>
      </w:r>
      <w:r w:rsidR="00571687">
        <w:rPr>
          <w:lang w:eastAsia="ja-JP"/>
        </w:rPr>
        <w:t>, while diagnosis information is retained only from the final claim in the stay.</w:t>
      </w:r>
      <w:r w:rsidR="00F15450">
        <w:rPr>
          <w:lang w:eastAsia="ja-JP"/>
        </w:rPr>
        <w:t xml:space="preserve"> </w:t>
      </w:r>
    </w:p>
    <w:p w14:paraId="1A1AA702" w14:textId="22685C7A" w:rsidR="00912071" w:rsidRDefault="009C7F18" w:rsidP="00E72A35">
      <w:pPr>
        <w:rPr>
          <w:lang w:eastAsia="ja-JP"/>
        </w:rPr>
      </w:pPr>
      <w:r>
        <w:rPr>
          <w:lang w:eastAsia="ja-JP"/>
        </w:rPr>
        <w:t xml:space="preserve">We also construct a length of stay measure. If </w:t>
      </w:r>
      <w:r w:rsidR="008B33B2">
        <w:rPr>
          <w:lang w:eastAsia="ja-JP"/>
        </w:rPr>
        <w:t xml:space="preserve">the </w:t>
      </w:r>
      <w:r>
        <w:rPr>
          <w:lang w:eastAsia="ja-JP"/>
        </w:rPr>
        <w:t>discharge date is available,</w:t>
      </w:r>
      <w:r w:rsidR="008B33B2">
        <w:rPr>
          <w:lang w:eastAsia="ja-JP"/>
        </w:rPr>
        <w:t xml:space="preserve"> then the</w:t>
      </w:r>
      <w:r>
        <w:rPr>
          <w:lang w:eastAsia="ja-JP"/>
        </w:rPr>
        <w:t xml:space="preserve"> length of stay is set equal to the difference between </w:t>
      </w:r>
      <w:r w:rsidR="008B33B2">
        <w:rPr>
          <w:lang w:eastAsia="ja-JP"/>
        </w:rPr>
        <w:t xml:space="preserve">the </w:t>
      </w:r>
      <w:r>
        <w:rPr>
          <w:lang w:eastAsia="ja-JP"/>
        </w:rPr>
        <w:t xml:space="preserve">discharge date and admission date or </w:t>
      </w:r>
      <w:r w:rsidR="006558D7">
        <w:rPr>
          <w:lang w:eastAsia="ja-JP"/>
        </w:rPr>
        <w:t>‘</w:t>
      </w:r>
      <w:r>
        <w:rPr>
          <w:lang w:eastAsia="ja-JP"/>
        </w:rPr>
        <w:t>1</w:t>
      </w:r>
      <w:r w:rsidR="006558D7">
        <w:rPr>
          <w:lang w:eastAsia="ja-JP"/>
        </w:rPr>
        <w:t>’</w:t>
      </w:r>
      <w:r>
        <w:rPr>
          <w:lang w:eastAsia="ja-JP"/>
        </w:rPr>
        <w:t xml:space="preserve">, whichever is greater. If </w:t>
      </w:r>
      <w:r w:rsidR="008B33B2">
        <w:rPr>
          <w:lang w:eastAsia="ja-JP"/>
        </w:rPr>
        <w:t xml:space="preserve">the </w:t>
      </w:r>
      <w:r>
        <w:rPr>
          <w:lang w:eastAsia="ja-JP"/>
        </w:rPr>
        <w:t>discharge date is not available,</w:t>
      </w:r>
      <w:r w:rsidR="008B33B2">
        <w:rPr>
          <w:lang w:eastAsia="ja-JP"/>
        </w:rPr>
        <w:t xml:space="preserve"> then the</w:t>
      </w:r>
      <w:r>
        <w:rPr>
          <w:lang w:eastAsia="ja-JP"/>
        </w:rPr>
        <w:t xml:space="preserve"> length of stay is set equal to the difference between the final claim’s through date and admission date or </w:t>
      </w:r>
      <w:r w:rsidR="006558D7">
        <w:rPr>
          <w:lang w:eastAsia="ja-JP"/>
        </w:rPr>
        <w:t>‘</w:t>
      </w:r>
      <w:r>
        <w:rPr>
          <w:lang w:eastAsia="ja-JP"/>
        </w:rPr>
        <w:t>1</w:t>
      </w:r>
      <w:r w:rsidR="006558D7">
        <w:rPr>
          <w:lang w:eastAsia="ja-JP"/>
        </w:rPr>
        <w:t>’</w:t>
      </w:r>
      <w:r>
        <w:rPr>
          <w:lang w:eastAsia="ja-JP"/>
        </w:rPr>
        <w:t>, whichever is greater.</w:t>
      </w:r>
    </w:p>
    <w:p w14:paraId="7C8FD5F3" w14:textId="436C26BB" w:rsidR="00FE0553" w:rsidRDefault="00BE6FA5" w:rsidP="00E72A35">
      <w:pPr>
        <w:rPr>
          <w:lang w:eastAsia="ja-JP"/>
        </w:rPr>
      </w:pPr>
      <w:r>
        <w:rPr>
          <w:lang w:eastAsia="ja-JP"/>
        </w:rPr>
        <w:t xml:space="preserve">We </w:t>
      </w:r>
      <w:r w:rsidR="00FE0553">
        <w:rPr>
          <w:lang w:eastAsia="ja-JP"/>
        </w:rPr>
        <w:t xml:space="preserve">identify ER </w:t>
      </w:r>
      <w:r w:rsidR="00CF1DEE">
        <w:rPr>
          <w:lang w:eastAsia="ja-JP"/>
        </w:rPr>
        <w:t>services</w:t>
      </w:r>
      <w:r w:rsidR="00FE0553">
        <w:rPr>
          <w:lang w:eastAsia="ja-JP"/>
        </w:rPr>
        <w:t xml:space="preserve"> in the IP claims data using ER revenue center codes. To do this, we check for the presence of a revenue condition code starting with “045” and ending with </w:t>
      </w:r>
      <w:r w:rsidR="00D0593A">
        <w:rPr>
          <w:lang w:eastAsia="ja-JP"/>
        </w:rPr>
        <w:t>“</w:t>
      </w:r>
      <w:r w:rsidR="00FE0553">
        <w:rPr>
          <w:lang w:eastAsia="ja-JP"/>
        </w:rPr>
        <w:t>0</w:t>
      </w:r>
      <w:r w:rsidR="00D0593A">
        <w:rPr>
          <w:lang w:eastAsia="ja-JP"/>
        </w:rPr>
        <w:t>”</w:t>
      </w:r>
      <w:r w:rsidR="00FE0553">
        <w:rPr>
          <w:lang w:eastAsia="ja-JP"/>
        </w:rPr>
        <w:t>,</w:t>
      </w:r>
      <w:r w:rsidR="00D0593A">
        <w:rPr>
          <w:lang w:eastAsia="ja-JP"/>
        </w:rPr>
        <w:t xml:space="preserve"> ”</w:t>
      </w:r>
      <w:r w:rsidR="00FE0553">
        <w:rPr>
          <w:lang w:eastAsia="ja-JP"/>
        </w:rPr>
        <w:t>1</w:t>
      </w:r>
      <w:r w:rsidR="00D0593A">
        <w:rPr>
          <w:lang w:eastAsia="ja-JP"/>
        </w:rPr>
        <w:t>”</w:t>
      </w:r>
      <w:r w:rsidR="00FE0553">
        <w:rPr>
          <w:lang w:eastAsia="ja-JP"/>
        </w:rPr>
        <w:t>,</w:t>
      </w:r>
      <w:r w:rsidR="00D0593A">
        <w:rPr>
          <w:lang w:eastAsia="ja-JP"/>
        </w:rPr>
        <w:t xml:space="preserve"> “</w:t>
      </w:r>
      <w:r w:rsidR="00FE0553">
        <w:rPr>
          <w:lang w:eastAsia="ja-JP"/>
        </w:rPr>
        <w:t>2</w:t>
      </w:r>
      <w:r w:rsidR="00D0593A">
        <w:rPr>
          <w:lang w:eastAsia="ja-JP"/>
        </w:rPr>
        <w:t>”</w:t>
      </w:r>
      <w:r w:rsidR="00FE0553">
        <w:rPr>
          <w:lang w:eastAsia="ja-JP"/>
        </w:rPr>
        <w:t>,</w:t>
      </w:r>
      <w:r w:rsidR="00D0593A">
        <w:rPr>
          <w:lang w:eastAsia="ja-JP"/>
        </w:rPr>
        <w:t xml:space="preserve"> “</w:t>
      </w:r>
      <w:r w:rsidR="00FE0553">
        <w:rPr>
          <w:lang w:eastAsia="ja-JP"/>
        </w:rPr>
        <w:t>6</w:t>
      </w:r>
      <w:r w:rsidR="00D0593A">
        <w:rPr>
          <w:lang w:eastAsia="ja-JP"/>
        </w:rPr>
        <w:t>”</w:t>
      </w:r>
      <w:r w:rsidR="00FE0553">
        <w:rPr>
          <w:lang w:eastAsia="ja-JP"/>
        </w:rPr>
        <w:t xml:space="preserve">, or </w:t>
      </w:r>
      <w:r w:rsidR="00D0593A">
        <w:rPr>
          <w:lang w:eastAsia="ja-JP"/>
        </w:rPr>
        <w:t>“</w:t>
      </w:r>
      <w:r w:rsidR="00FE0553">
        <w:rPr>
          <w:lang w:eastAsia="ja-JP"/>
        </w:rPr>
        <w:t>9</w:t>
      </w:r>
      <w:r w:rsidR="00D0593A">
        <w:rPr>
          <w:lang w:eastAsia="ja-JP"/>
        </w:rPr>
        <w:t>”</w:t>
      </w:r>
      <w:r w:rsidR="00FE0553">
        <w:rPr>
          <w:lang w:eastAsia="ja-JP"/>
        </w:rPr>
        <w:t xml:space="preserve">. If the ER code is not found in the IP data, then we repeat this step using outpatient claims data to check for ER </w:t>
      </w:r>
      <w:r w:rsidR="00CF1DEE">
        <w:rPr>
          <w:lang w:eastAsia="ja-JP"/>
        </w:rPr>
        <w:t>services</w:t>
      </w:r>
      <w:r w:rsidR="00FE0553">
        <w:rPr>
          <w:lang w:eastAsia="ja-JP"/>
        </w:rPr>
        <w:t xml:space="preserve"> that are within three days prior to the IP stay admission, including the day of admission. </w:t>
      </w:r>
    </w:p>
    <w:p w14:paraId="182A7741" w14:textId="28877A47" w:rsidR="006D1FA8" w:rsidRPr="00FE0553" w:rsidRDefault="00FE0553" w:rsidP="00FE0553">
      <w:pPr>
        <w:rPr>
          <w:lang w:eastAsia="ja-JP"/>
        </w:rPr>
      </w:pPr>
      <w:r w:rsidRPr="00320C2F">
        <w:rPr>
          <w:lang w:eastAsia="ja-JP"/>
        </w:rPr>
        <w:t xml:space="preserve">To identify </w:t>
      </w:r>
      <w:r w:rsidR="00320C2F" w:rsidRPr="00320C2F">
        <w:rPr>
          <w:lang w:eastAsia="ja-JP"/>
        </w:rPr>
        <w:t>“shadow billed” no-pay claims for Medicare Advantage (MA) beneficiaries</w:t>
      </w:r>
      <w:r w:rsidRPr="00320C2F">
        <w:rPr>
          <w:lang w:eastAsia="ja-JP"/>
        </w:rPr>
        <w:t>, we look for the presence of related condition code “04” on the IP claims</w:t>
      </w:r>
      <w:r>
        <w:rPr>
          <w:lang w:eastAsia="ja-JP"/>
        </w:rPr>
        <w:t>.</w:t>
      </w:r>
      <w:r>
        <w:rPr>
          <w:rStyle w:val="FootnoteReference"/>
          <w:lang w:eastAsia="ja-JP"/>
        </w:rPr>
        <w:footnoteReference w:id="5"/>
      </w:r>
      <w:r>
        <w:rPr>
          <w:lang w:eastAsia="ja-JP"/>
        </w:rPr>
        <w:t xml:space="preserve"> </w:t>
      </w:r>
    </w:p>
    <w:p w14:paraId="10556E54" w14:textId="5AD1364D" w:rsidR="001A4029" w:rsidRPr="00CB72A6" w:rsidRDefault="00E03851" w:rsidP="001A4029">
      <w:pPr>
        <w:rPr>
          <w:lang w:eastAsia="ja-JP"/>
        </w:rPr>
      </w:pPr>
      <w:r w:rsidRPr="00E03851">
        <w:rPr>
          <w:rFonts w:cstheme="minorHAnsi"/>
          <w:lang w:eastAsia="ja-JP"/>
        </w:rPr>
        <w:t xml:space="preserve">The final stay-level data is restricted to paid stays only where total payment (the sum of </w:t>
      </w:r>
      <w:r w:rsidRPr="00E03851">
        <w:rPr>
          <w:rFonts w:ascii="Courier New" w:hAnsi="Courier New" w:cs="Courier New"/>
          <w:lang w:eastAsia="ja-JP"/>
        </w:rPr>
        <w:t>PMT_AMT</w:t>
      </w:r>
      <w:r w:rsidRPr="00E03851">
        <w:rPr>
          <w:rFonts w:cstheme="minorHAnsi"/>
          <w:lang w:eastAsia="ja-JP"/>
        </w:rPr>
        <w:t xml:space="preserve">, </w:t>
      </w:r>
      <w:r w:rsidRPr="00E03851">
        <w:rPr>
          <w:rFonts w:ascii="Courier New" w:hAnsi="Courier New" w:cs="Courier New"/>
          <w:lang w:eastAsia="ja-JP"/>
        </w:rPr>
        <w:t>PRPAYMT</w:t>
      </w:r>
      <w:r w:rsidRPr="00E03851">
        <w:rPr>
          <w:rFonts w:cstheme="minorHAnsi"/>
          <w:lang w:eastAsia="ja-JP"/>
        </w:rPr>
        <w:t xml:space="preserve">, </w:t>
      </w:r>
      <w:r w:rsidRPr="00E03851">
        <w:rPr>
          <w:rFonts w:ascii="Courier New" w:hAnsi="Courier New" w:cs="Courier New"/>
          <w:lang w:eastAsia="ja-JP"/>
        </w:rPr>
        <w:t>DED_AMT</w:t>
      </w:r>
      <w:r w:rsidRPr="00E03851">
        <w:rPr>
          <w:rFonts w:cstheme="minorHAnsi"/>
          <w:lang w:eastAsia="ja-JP"/>
        </w:rPr>
        <w:t xml:space="preserve">, </w:t>
      </w:r>
      <w:r w:rsidRPr="00E03851">
        <w:rPr>
          <w:rFonts w:ascii="Courier New" w:hAnsi="Courier New" w:cs="Courier New"/>
          <w:lang w:eastAsia="ja-JP"/>
        </w:rPr>
        <w:t>COIN_AMT</w:t>
      </w:r>
      <w:r w:rsidRPr="00E03851">
        <w:rPr>
          <w:rFonts w:cstheme="minorHAnsi"/>
          <w:lang w:eastAsia="ja-JP"/>
        </w:rPr>
        <w:t xml:space="preserve">, </w:t>
      </w:r>
      <w:r w:rsidRPr="00E03851">
        <w:rPr>
          <w:rFonts w:ascii="Courier New" w:hAnsi="Courier New" w:cs="Courier New"/>
          <w:lang w:eastAsia="ja-JP"/>
        </w:rPr>
        <w:t>BLDDEDAM</w:t>
      </w:r>
      <w:r w:rsidRPr="00E03851">
        <w:rPr>
          <w:rFonts w:cstheme="minorHAnsi"/>
          <w:lang w:eastAsia="ja-JP"/>
        </w:rPr>
        <w:t xml:space="preserve">) is greater than zero. </w:t>
      </w:r>
    </w:p>
    <w:p w14:paraId="30E0DC6D" w14:textId="77777777" w:rsidR="001A4029" w:rsidRDefault="001A4029" w:rsidP="001A4029">
      <w:r w:rsidRPr="00E73DBA">
        <w:rPr>
          <w:i/>
        </w:rPr>
        <w:t>Key Variables</w:t>
      </w:r>
      <w:r w:rsidRPr="00F412D1">
        <w:rPr>
          <w:b/>
        </w:rPr>
        <w:t xml:space="preserve">: </w:t>
      </w:r>
      <w:r>
        <w:t xml:space="preserve">The table below lists the key variables we use in the inpatient stay creation algorithm. </w:t>
      </w:r>
    </w:p>
    <w:p w14:paraId="3D74FD2B" w14:textId="7086558E" w:rsidR="001A4029" w:rsidRDefault="001A4029" w:rsidP="001A4029">
      <w:pPr>
        <w:pStyle w:val="Caption"/>
        <w:keepNext/>
      </w:pPr>
      <w:r>
        <w:t xml:space="preserve">Table </w:t>
      </w:r>
      <w:r w:rsidR="00AF6579">
        <w:rPr>
          <w:noProof/>
        </w:rPr>
        <w:t>2</w:t>
      </w:r>
      <w:r>
        <w:t>.</w:t>
      </w:r>
      <w:r w:rsidR="00AF6579">
        <w:rPr>
          <w:noProof/>
        </w:rPr>
        <w:t>2</w:t>
      </w:r>
      <w:r>
        <w:t xml:space="preserve"> Inpatient Stay Creation</w:t>
      </w:r>
      <w:r w:rsidRPr="0073053F">
        <w:t xml:space="preserve"> Algorithm Key Variables</w:t>
      </w:r>
    </w:p>
    <w:tbl>
      <w:tblPr>
        <w:tblStyle w:val="TableGrid"/>
        <w:tblW w:w="0" w:type="auto"/>
        <w:jc w:val="center"/>
        <w:tblLook w:val="04A0" w:firstRow="1" w:lastRow="0" w:firstColumn="1" w:lastColumn="0" w:noHBand="0" w:noVBand="1"/>
      </w:tblPr>
      <w:tblGrid>
        <w:gridCol w:w="2387"/>
        <w:gridCol w:w="4770"/>
        <w:gridCol w:w="1620"/>
      </w:tblGrid>
      <w:tr w:rsidR="001A4029" w14:paraId="1B25E410" w14:textId="77777777" w:rsidTr="002E08FB">
        <w:trPr>
          <w:trHeight w:val="634"/>
          <w:tblHeader/>
          <w:jc w:val="center"/>
        </w:trPr>
        <w:tc>
          <w:tcPr>
            <w:tcW w:w="2387" w:type="dxa"/>
            <w:shd w:val="clear" w:color="auto" w:fill="D0E6F4" w:themeFill="accent5" w:themeFillTint="33"/>
            <w:vAlign w:val="center"/>
          </w:tcPr>
          <w:p w14:paraId="4C211D9B" w14:textId="77777777" w:rsidR="001A4029" w:rsidRPr="00102359" w:rsidRDefault="001A4029" w:rsidP="00530DC0">
            <w:pPr>
              <w:jc w:val="center"/>
              <w:rPr>
                <w:b/>
                <w:sz w:val="18"/>
              </w:rPr>
            </w:pPr>
            <w:r w:rsidRPr="00102359">
              <w:rPr>
                <w:b/>
                <w:sz w:val="18"/>
              </w:rPr>
              <w:t>Variable Name</w:t>
            </w:r>
          </w:p>
        </w:tc>
        <w:tc>
          <w:tcPr>
            <w:tcW w:w="4770" w:type="dxa"/>
            <w:shd w:val="clear" w:color="auto" w:fill="D0E6F4" w:themeFill="accent5" w:themeFillTint="33"/>
            <w:vAlign w:val="center"/>
          </w:tcPr>
          <w:p w14:paraId="2D79ABFC" w14:textId="77777777" w:rsidR="001A4029" w:rsidRPr="00102359" w:rsidRDefault="001A4029" w:rsidP="00530DC0">
            <w:pPr>
              <w:jc w:val="center"/>
              <w:rPr>
                <w:b/>
                <w:sz w:val="18"/>
              </w:rPr>
            </w:pPr>
            <w:r w:rsidRPr="00102359">
              <w:rPr>
                <w:b/>
                <w:sz w:val="18"/>
              </w:rPr>
              <w:t>Description</w:t>
            </w:r>
          </w:p>
        </w:tc>
        <w:tc>
          <w:tcPr>
            <w:tcW w:w="1620" w:type="dxa"/>
            <w:shd w:val="clear" w:color="auto" w:fill="D0E6F4" w:themeFill="accent5" w:themeFillTint="33"/>
            <w:vAlign w:val="center"/>
          </w:tcPr>
          <w:p w14:paraId="2FC7B2DF" w14:textId="77777777" w:rsidR="001A4029" w:rsidRPr="00102359" w:rsidRDefault="001A4029" w:rsidP="00530DC0">
            <w:pPr>
              <w:jc w:val="center"/>
              <w:rPr>
                <w:b/>
                <w:sz w:val="18"/>
              </w:rPr>
            </w:pPr>
            <w:r w:rsidRPr="00102359">
              <w:rPr>
                <w:b/>
                <w:sz w:val="18"/>
              </w:rPr>
              <w:t>Data Source</w:t>
            </w:r>
          </w:p>
        </w:tc>
      </w:tr>
      <w:tr w:rsidR="001A4029" w14:paraId="0B2CDF8B" w14:textId="77777777" w:rsidTr="00530DC0">
        <w:trPr>
          <w:jc w:val="center"/>
        </w:trPr>
        <w:tc>
          <w:tcPr>
            <w:tcW w:w="2387" w:type="dxa"/>
            <w:vAlign w:val="center"/>
          </w:tcPr>
          <w:p w14:paraId="17AB057E" w14:textId="77777777" w:rsidR="001A4029" w:rsidRPr="00EB07F1" w:rsidRDefault="001A4029" w:rsidP="00530DC0">
            <w:pPr>
              <w:rPr>
                <w:sz w:val="17"/>
                <w:szCs w:val="17"/>
              </w:rPr>
            </w:pPr>
            <w:r w:rsidRPr="00EB07F1">
              <w:rPr>
                <w:sz w:val="17"/>
                <w:szCs w:val="17"/>
              </w:rPr>
              <w:t>PROVIDER</w:t>
            </w:r>
          </w:p>
        </w:tc>
        <w:tc>
          <w:tcPr>
            <w:tcW w:w="4770" w:type="dxa"/>
            <w:vAlign w:val="center"/>
          </w:tcPr>
          <w:p w14:paraId="16FE77C9" w14:textId="77777777" w:rsidR="001A4029" w:rsidRPr="00EB07F1" w:rsidRDefault="001A4029" w:rsidP="00530DC0">
            <w:pPr>
              <w:rPr>
                <w:sz w:val="17"/>
                <w:szCs w:val="17"/>
              </w:rPr>
            </w:pPr>
            <w:r w:rsidRPr="00EB07F1">
              <w:rPr>
                <w:sz w:val="17"/>
                <w:szCs w:val="17"/>
              </w:rPr>
              <w:t>Provider Number</w:t>
            </w:r>
          </w:p>
        </w:tc>
        <w:tc>
          <w:tcPr>
            <w:tcW w:w="1620" w:type="dxa"/>
            <w:vAlign w:val="center"/>
          </w:tcPr>
          <w:p w14:paraId="3B4618A9" w14:textId="77777777" w:rsidR="001A4029" w:rsidRPr="00EB07F1" w:rsidRDefault="001A4029" w:rsidP="00530DC0">
            <w:pPr>
              <w:jc w:val="center"/>
              <w:rPr>
                <w:sz w:val="17"/>
                <w:szCs w:val="17"/>
              </w:rPr>
            </w:pPr>
            <w:r w:rsidRPr="00EB07F1">
              <w:rPr>
                <w:sz w:val="17"/>
                <w:szCs w:val="17"/>
              </w:rPr>
              <w:t>CWF</w:t>
            </w:r>
          </w:p>
        </w:tc>
      </w:tr>
      <w:tr w:rsidR="001A4029" w14:paraId="3DF6A8A4" w14:textId="77777777" w:rsidTr="00530DC0">
        <w:trPr>
          <w:jc w:val="center"/>
        </w:trPr>
        <w:tc>
          <w:tcPr>
            <w:tcW w:w="2387" w:type="dxa"/>
            <w:vAlign w:val="center"/>
          </w:tcPr>
          <w:p w14:paraId="53888A4C" w14:textId="77777777" w:rsidR="001A4029" w:rsidRPr="00EB07F1" w:rsidRDefault="001A4029" w:rsidP="00530DC0">
            <w:pPr>
              <w:rPr>
                <w:sz w:val="17"/>
                <w:szCs w:val="17"/>
              </w:rPr>
            </w:pPr>
            <w:r w:rsidRPr="00EB07F1">
              <w:rPr>
                <w:sz w:val="17"/>
                <w:szCs w:val="17"/>
              </w:rPr>
              <w:t>ADMSN_DT</w:t>
            </w:r>
          </w:p>
        </w:tc>
        <w:tc>
          <w:tcPr>
            <w:tcW w:w="4770" w:type="dxa"/>
            <w:vAlign w:val="center"/>
          </w:tcPr>
          <w:p w14:paraId="382E654B" w14:textId="77777777" w:rsidR="001A4029" w:rsidRPr="00EB07F1" w:rsidRDefault="001A4029" w:rsidP="00530DC0">
            <w:pPr>
              <w:rPr>
                <w:sz w:val="17"/>
                <w:szCs w:val="17"/>
              </w:rPr>
            </w:pPr>
            <w:r w:rsidRPr="00EB07F1">
              <w:rPr>
                <w:sz w:val="17"/>
                <w:szCs w:val="17"/>
              </w:rPr>
              <w:t>Claim Admission Date</w:t>
            </w:r>
          </w:p>
        </w:tc>
        <w:tc>
          <w:tcPr>
            <w:tcW w:w="1620" w:type="dxa"/>
            <w:vAlign w:val="center"/>
          </w:tcPr>
          <w:p w14:paraId="66F0C65C" w14:textId="77777777" w:rsidR="001A4029" w:rsidRPr="00EB07F1" w:rsidRDefault="001A4029" w:rsidP="00530DC0">
            <w:pPr>
              <w:jc w:val="center"/>
              <w:rPr>
                <w:sz w:val="17"/>
                <w:szCs w:val="17"/>
              </w:rPr>
            </w:pPr>
            <w:r w:rsidRPr="00EB07F1">
              <w:rPr>
                <w:sz w:val="17"/>
                <w:szCs w:val="17"/>
              </w:rPr>
              <w:t>CWF</w:t>
            </w:r>
          </w:p>
        </w:tc>
      </w:tr>
      <w:tr w:rsidR="001A4029" w14:paraId="10F95687" w14:textId="77777777" w:rsidTr="00530DC0">
        <w:trPr>
          <w:jc w:val="center"/>
        </w:trPr>
        <w:tc>
          <w:tcPr>
            <w:tcW w:w="2387" w:type="dxa"/>
            <w:vAlign w:val="center"/>
          </w:tcPr>
          <w:p w14:paraId="3AB060AA" w14:textId="77777777" w:rsidR="001A4029" w:rsidRPr="00EB07F1" w:rsidRDefault="001A4029" w:rsidP="00530DC0">
            <w:pPr>
              <w:rPr>
                <w:sz w:val="17"/>
                <w:szCs w:val="17"/>
              </w:rPr>
            </w:pPr>
            <w:r w:rsidRPr="00EB07F1">
              <w:rPr>
                <w:sz w:val="17"/>
                <w:szCs w:val="17"/>
              </w:rPr>
              <w:t>FROM_DT</w:t>
            </w:r>
          </w:p>
        </w:tc>
        <w:tc>
          <w:tcPr>
            <w:tcW w:w="4770" w:type="dxa"/>
            <w:vAlign w:val="center"/>
          </w:tcPr>
          <w:p w14:paraId="1B791F5E" w14:textId="77777777" w:rsidR="001A4029" w:rsidRPr="00EB07F1" w:rsidRDefault="001A4029" w:rsidP="00530DC0">
            <w:pPr>
              <w:rPr>
                <w:sz w:val="17"/>
                <w:szCs w:val="17"/>
              </w:rPr>
            </w:pPr>
            <w:r w:rsidRPr="00EB07F1">
              <w:rPr>
                <w:sz w:val="17"/>
                <w:szCs w:val="17"/>
              </w:rPr>
              <w:t>Claim From Date</w:t>
            </w:r>
          </w:p>
        </w:tc>
        <w:tc>
          <w:tcPr>
            <w:tcW w:w="1620" w:type="dxa"/>
            <w:vAlign w:val="center"/>
          </w:tcPr>
          <w:p w14:paraId="10B5292D" w14:textId="77777777" w:rsidR="001A4029" w:rsidRPr="00EB07F1" w:rsidRDefault="001A4029" w:rsidP="00530DC0">
            <w:pPr>
              <w:jc w:val="center"/>
              <w:rPr>
                <w:sz w:val="17"/>
                <w:szCs w:val="17"/>
              </w:rPr>
            </w:pPr>
            <w:r w:rsidRPr="00EB07F1">
              <w:rPr>
                <w:sz w:val="17"/>
                <w:szCs w:val="17"/>
              </w:rPr>
              <w:t>CWF</w:t>
            </w:r>
          </w:p>
        </w:tc>
      </w:tr>
      <w:tr w:rsidR="001A4029" w14:paraId="3F2FB87C" w14:textId="77777777" w:rsidTr="00530DC0">
        <w:trPr>
          <w:trHeight w:val="269"/>
          <w:jc w:val="center"/>
        </w:trPr>
        <w:tc>
          <w:tcPr>
            <w:tcW w:w="2387" w:type="dxa"/>
            <w:vAlign w:val="center"/>
          </w:tcPr>
          <w:p w14:paraId="48792ED7" w14:textId="77777777" w:rsidR="001A4029" w:rsidRPr="00EB07F1" w:rsidRDefault="001A4029" w:rsidP="00530DC0">
            <w:pPr>
              <w:rPr>
                <w:sz w:val="17"/>
                <w:szCs w:val="17"/>
              </w:rPr>
            </w:pPr>
            <w:r w:rsidRPr="00EB07F1">
              <w:rPr>
                <w:sz w:val="17"/>
                <w:szCs w:val="17"/>
              </w:rPr>
              <w:t>THRU_DT</w:t>
            </w:r>
          </w:p>
        </w:tc>
        <w:tc>
          <w:tcPr>
            <w:tcW w:w="4770" w:type="dxa"/>
            <w:vAlign w:val="center"/>
          </w:tcPr>
          <w:p w14:paraId="6C06D7FA" w14:textId="77777777" w:rsidR="001A4029" w:rsidRPr="00EB07F1" w:rsidRDefault="001A4029" w:rsidP="00530DC0">
            <w:pPr>
              <w:rPr>
                <w:sz w:val="17"/>
                <w:szCs w:val="17"/>
              </w:rPr>
            </w:pPr>
            <w:r w:rsidRPr="00EB07F1">
              <w:rPr>
                <w:sz w:val="17"/>
                <w:szCs w:val="17"/>
              </w:rPr>
              <w:t>Claim Thru Date</w:t>
            </w:r>
          </w:p>
        </w:tc>
        <w:tc>
          <w:tcPr>
            <w:tcW w:w="1620" w:type="dxa"/>
            <w:vAlign w:val="center"/>
          </w:tcPr>
          <w:p w14:paraId="5D9884E9" w14:textId="77777777" w:rsidR="001A4029" w:rsidRPr="00EB07F1" w:rsidRDefault="001A4029" w:rsidP="00530DC0">
            <w:pPr>
              <w:jc w:val="center"/>
              <w:rPr>
                <w:sz w:val="17"/>
                <w:szCs w:val="17"/>
              </w:rPr>
            </w:pPr>
            <w:r w:rsidRPr="00EB07F1">
              <w:rPr>
                <w:sz w:val="17"/>
                <w:szCs w:val="17"/>
              </w:rPr>
              <w:t>CWF</w:t>
            </w:r>
          </w:p>
        </w:tc>
      </w:tr>
      <w:tr w:rsidR="001A4029" w14:paraId="5703CFEE" w14:textId="77777777" w:rsidTr="00530DC0">
        <w:trPr>
          <w:trHeight w:val="269"/>
          <w:jc w:val="center"/>
        </w:trPr>
        <w:tc>
          <w:tcPr>
            <w:tcW w:w="2387" w:type="dxa"/>
            <w:vAlign w:val="center"/>
          </w:tcPr>
          <w:p w14:paraId="24C53EB8" w14:textId="77777777" w:rsidR="001A4029" w:rsidRPr="00EB07F1" w:rsidRDefault="001A4029" w:rsidP="00530DC0">
            <w:pPr>
              <w:rPr>
                <w:sz w:val="17"/>
                <w:szCs w:val="17"/>
              </w:rPr>
            </w:pPr>
            <w:r w:rsidRPr="00EB07F1">
              <w:rPr>
                <w:sz w:val="17"/>
                <w:szCs w:val="17"/>
              </w:rPr>
              <w:t>DSCHRGDT</w:t>
            </w:r>
          </w:p>
        </w:tc>
        <w:tc>
          <w:tcPr>
            <w:tcW w:w="4770" w:type="dxa"/>
            <w:vAlign w:val="center"/>
          </w:tcPr>
          <w:p w14:paraId="3E03F23C" w14:textId="77777777" w:rsidR="001A4029" w:rsidRPr="00EB07F1" w:rsidRDefault="001A4029" w:rsidP="00530DC0">
            <w:pPr>
              <w:rPr>
                <w:sz w:val="17"/>
                <w:szCs w:val="17"/>
              </w:rPr>
            </w:pPr>
            <w:r w:rsidRPr="00EB07F1">
              <w:rPr>
                <w:sz w:val="17"/>
                <w:szCs w:val="17"/>
              </w:rPr>
              <w:t>Claim Discharge Date</w:t>
            </w:r>
          </w:p>
        </w:tc>
        <w:tc>
          <w:tcPr>
            <w:tcW w:w="1620" w:type="dxa"/>
            <w:vAlign w:val="center"/>
          </w:tcPr>
          <w:p w14:paraId="3870B606" w14:textId="77777777" w:rsidR="001A4029" w:rsidRPr="00EB07F1" w:rsidRDefault="001A4029" w:rsidP="00530DC0">
            <w:pPr>
              <w:jc w:val="center"/>
              <w:rPr>
                <w:sz w:val="17"/>
                <w:szCs w:val="17"/>
              </w:rPr>
            </w:pPr>
            <w:r w:rsidRPr="00EB07F1">
              <w:rPr>
                <w:sz w:val="17"/>
                <w:szCs w:val="17"/>
              </w:rPr>
              <w:t>CWF</w:t>
            </w:r>
          </w:p>
        </w:tc>
      </w:tr>
      <w:tr w:rsidR="001A4029" w14:paraId="15D26A69" w14:textId="77777777" w:rsidTr="00530DC0">
        <w:trPr>
          <w:trHeight w:val="269"/>
          <w:jc w:val="center"/>
        </w:trPr>
        <w:tc>
          <w:tcPr>
            <w:tcW w:w="2387" w:type="dxa"/>
            <w:vAlign w:val="center"/>
          </w:tcPr>
          <w:p w14:paraId="484CCFCD" w14:textId="77777777" w:rsidR="001A4029" w:rsidRPr="00EB07F1" w:rsidRDefault="001A4029" w:rsidP="00530DC0">
            <w:pPr>
              <w:rPr>
                <w:sz w:val="17"/>
                <w:szCs w:val="17"/>
              </w:rPr>
            </w:pPr>
            <w:r w:rsidRPr="00EB07F1">
              <w:rPr>
                <w:sz w:val="17"/>
                <w:szCs w:val="17"/>
              </w:rPr>
              <w:t>PMT_AMT</w:t>
            </w:r>
          </w:p>
        </w:tc>
        <w:tc>
          <w:tcPr>
            <w:tcW w:w="4770" w:type="dxa"/>
            <w:vAlign w:val="center"/>
          </w:tcPr>
          <w:p w14:paraId="45CCCC5B" w14:textId="77777777" w:rsidR="001A4029" w:rsidRPr="00EB07F1" w:rsidRDefault="001A4029" w:rsidP="00530DC0">
            <w:pPr>
              <w:rPr>
                <w:sz w:val="17"/>
                <w:szCs w:val="17"/>
              </w:rPr>
            </w:pPr>
            <w:r w:rsidRPr="00EB07F1">
              <w:rPr>
                <w:sz w:val="17"/>
                <w:szCs w:val="17"/>
              </w:rPr>
              <w:t>Claim Payment Amount</w:t>
            </w:r>
          </w:p>
        </w:tc>
        <w:tc>
          <w:tcPr>
            <w:tcW w:w="1620" w:type="dxa"/>
            <w:vAlign w:val="center"/>
          </w:tcPr>
          <w:p w14:paraId="5CC89394" w14:textId="77777777" w:rsidR="001A4029" w:rsidRPr="00EB07F1" w:rsidRDefault="001A4029" w:rsidP="00530DC0">
            <w:pPr>
              <w:jc w:val="center"/>
              <w:rPr>
                <w:sz w:val="17"/>
                <w:szCs w:val="17"/>
              </w:rPr>
            </w:pPr>
            <w:r w:rsidRPr="00EB07F1">
              <w:rPr>
                <w:sz w:val="17"/>
                <w:szCs w:val="17"/>
              </w:rPr>
              <w:t>CWF</w:t>
            </w:r>
          </w:p>
        </w:tc>
      </w:tr>
      <w:tr w:rsidR="001A4029" w14:paraId="5151DB94" w14:textId="77777777" w:rsidTr="00530DC0">
        <w:trPr>
          <w:trHeight w:val="269"/>
          <w:jc w:val="center"/>
        </w:trPr>
        <w:tc>
          <w:tcPr>
            <w:tcW w:w="2387" w:type="dxa"/>
            <w:vAlign w:val="center"/>
          </w:tcPr>
          <w:p w14:paraId="44490939" w14:textId="77777777" w:rsidR="001A4029" w:rsidRPr="00EB07F1" w:rsidRDefault="001A4029" w:rsidP="00530DC0">
            <w:pPr>
              <w:rPr>
                <w:sz w:val="17"/>
                <w:szCs w:val="17"/>
              </w:rPr>
            </w:pPr>
            <w:r w:rsidRPr="00EB07F1">
              <w:rPr>
                <w:sz w:val="17"/>
                <w:szCs w:val="17"/>
              </w:rPr>
              <w:t>DRG_CD</w:t>
            </w:r>
          </w:p>
        </w:tc>
        <w:tc>
          <w:tcPr>
            <w:tcW w:w="4770" w:type="dxa"/>
            <w:vAlign w:val="center"/>
          </w:tcPr>
          <w:p w14:paraId="40F3A9B2" w14:textId="77777777" w:rsidR="001A4029" w:rsidRPr="00EB07F1" w:rsidRDefault="001A4029" w:rsidP="00530DC0">
            <w:pPr>
              <w:rPr>
                <w:sz w:val="17"/>
                <w:szCs w:val="17"/>
              </w:rPr>
            </w:pPr>
            <w:r w:rsidRPr="00EB07F1">
              <w:rPr>
                <w:sz w:val="17"/>
                <w:szCs w:val="17"/>
              </w:rPr>
              <w:t>Claim Diagnosis-Related Group</w:t>
            </w:r>
          </w:p>
        </w:tc>
        <w:tc>
          <w:tcPr>
            <w:tcW w:w="1620" w:type="dxa"/>
            <w:vAlign w:val="center"/>
          </w:tcPr>
          <w:p w14:paraId="5EC1F145" w14:textId="77777777" w:rsidR="001A4029" w:rsidRPr="00EB07F1" w:rsidRDefault="001A4029" w:rsidP="00530DC0">
            <w:pPr>
              <w:jc w:val="center"/>
              <w:rPr>
                <w:sz w:val="17"/>
                <w:szCs w:val="17"/>
              </w:rPr>
            </w:pPr>
            <w:r w:rsidRPr="00EB07F1">
              <w:rPr>
                <w:sz w:val="17"/>
                <w:szCs w:val="17"/>
              </w:rPr>
              <w:t>CWF</w:t>
            </w:r>
          </w:p>
        </w:tc>
      </w:tr>
      <w:tr w:rsidR="001A4029" w14:paraId="1945D73B" w14:textId="77777777" w:rsidTr="00530DC0">
        <w:trPr>
          <w:jc w:val="center"/>
        </w:trPr>
        <w:tc>
          <w:tcPr>
            <w:tcW w:w="2387" w:type="dxa"/>
            <w:vAlign w:val="center"/>
          </w:tcPr>
          <w:p w14:paraId="4C618BBD" w14:textId="77777777" w:rsidR="001A4029" w:rsidRPr="00EB07F1" w:rsidRDefault="001A4029" w:rsidP="00530DC0">
            <w:pPr>
              <w:rPr>
                <w:sz w:val="17"/>
                <w:szCs w:val="17"/>
              </w:rPr>
            </w:pPr>
            <w:r w:rsidRPr="00EB07F1">
              <w:rPr>
                <w:sz w:val="17"/>
                <w:szCs w:val="17"/>
              </w:rPr>
              <w:t>RLT_COND</w:t>
            </w:r>
          </w:p>
        </w:tc>
        <w:tc>
          <w:tcPr>
            <w:tcW w:w="4770" w:type="dxa"/>
            <w:vAlign w:val="center"/>
          </w:tcPr>
          <w:p w14:paraId="553ABCBB" w14:textId="77777777" w:rsidR="001A4029" w:rsidRPr="00EB07F1" w:rsidRDefault="001A4029" w:rsidP="00530DC0">
            <w:pPr>
              <w:rPr>
                <w:sz w:val="17"/>
                <w:szCs w:val="17"/>
              </w:rPr>
            </w:pPr>
            <w:r w:rsidRPr="00EB07F1">
              <w:rPr>
                <w:sz w:val="17"/>
                <w:szCs w:val="17"/>
              </w:rPr>
              <w:t>Claim Related Condition Code Array</w:t>
            </w:r>
          </w:p>
        </w:tc>
        <w:tc>
          <w:tcPr>
            <w:tcW w:w="1620" w:type="dxa"/>
            <w:vAlign w:val="center"/>
          </w:tcPr>
          <w:p w14:paraId="4967416D" w14:textId="77777777" w:rsidR="001A4029" w:rsidRPr="00EB07F1" w:rsidRDefault="001A4029" w:rsidP="00530DC0">
            <w:pPr>
              <w:jc w:val="center"/>
              <w:rPr>
                <w:sz w:val="17"/>
                <w:szCs w:val="17"/>
              </w:rPr>
            </w:pPr>
            <w:r w:rsidRPr="00EB07F1">
              <w:rPr>
                <w:sz w:val="17"/>
                <w:szCs w:val="17"/>
              </w:rPr>
              <w:t>CWF</w:t>
            </w:r>
          </w:p>
        </w:tc>
      </w:tr>
      <w:tr w:rsidR="001A4029" w14:paraId="580A6B45" w14:textId="77777777" w:rsidTr="00530DC0">
        <w:trPr>
          <w:jc w:val="center"/>
        </w:trPr>
        <w:tc>
          <w:tcPr>
            <w:tcW w:w="2387" w:type="dxa"/>
            <w:vAlign w:val="center"/>
          </w:tcPr>
          <w:p w14:paraId="275EA3BD" w14:textId="77777777" w:rsidR="001A4029" w:rsidRPr="00EB07F1" w:rsidRDefault="001A4029" w:rsidP="00530DC0">
            <w:pPr>
              <w:rPr>
                <w:sz w:val="17"/>
                <w:szCs w:val="17"/>
              </w:rPr>
            </w:pPr>
            <w:r w:rsidRPr="00EB07F1">
              <w:rPr>
                <w:sz w:val="17"/>
                <w:szCs w:val="17"/>
              </w:rPr>
              <w:lastRenderedPageBreak/>
              <w:t>RVCNTR</w:t>
            </w:r>
          </w:p>
        </w:tc>
        <w:tc>
          <w:tcPr>
            <w:tcW w:w="4770" w:type="dxa"/>
            <w:vAlign w:val="center"/>
          </w:tcPr>
          <w:p w14:paraId="74BC5110" w14:textId="77777777" w:rsidR="001A4029" w:rsidRPr="00EB07F1" w:rsidRDefault="001A4029" w:rsidP="00530DC0">
            <w:pPr>
              <w:rPr>
                <w:sz w:val="17"/>
                <w:szCs w:val="17"/>
              </w:rPr>
            </w:pPr>
            <w:r w:rsidRPr="00EB07F1">
              <w:rPr>
                <w:sz w:val="17"/>
                <w:szCs w:val="17"/>
              </w:rPr>
              <w:t>Claim Revenue Center Code Array</w:t>
            </w:r>
          </w:p>
        </w:tc>
        <w:tc>
          <w:tcPr>
            <w:tcW w:w="1620" w:type="dxa"/>
            <w:vAlign w:val="center"/>
          </w:tcPr>
          <w:p w14:paraId="777ED6FC" w14:textId="77777777" w:rsidR="001A4029" w:rsidRPr="00EB07F1" w:rsidRDefault="001A4029" w:rsidP="00530DC0">
            <w:pPr>
              <w:jc w:val="center"/>
              <w:rPr>
                <w:sz w:val="17"/>
                <w:szCs w:val="17"/>
              </w:rPr>
            </w:pPr>
            <w:r w:rsidRPr="00EB07F1">
              <w:rPr>
                <w:sz w:val="17"/>
                <w:szCs w:val="17"/>
              </w:rPr>
              <w:t>CWF</w:t>
            </w:r>
          </w:p>
        </w:tc>
      </w:tr>
      <w:tr w:rsidR="001A4029" w14:paraId="11EC69F4" w14:textId="77777777" w:rsidTr="00530DC0">
        <w:trPr>
          <w:jc w:val="center"/>
        </w:trPr>
        <w:tc>
          <w:tcPr>
            <w:tcW w:w="2387" w:type="dxa"/>
            <w:vAlign w:val="center"/>
          </w:tcPr>
          <w:p w14:paraId="22C21B4C" w14:textId="77777777" w:rsidR="001A4029" w:rsidRPr="00EB07F1" w:rsidRDefault="001A4029" w:rsidP="00530DC0">
            <w:pPr>
              <w:rPr>
                <w:sz w:val="17"/>
                <w:szCs w:val="17"/>
              </w:rPr>
            </w:pPr>
            <w:r w:rsidRPr="00EB07F1">
              <w:rPr>
                <w:sz w:val="17"/>
                <w:szCs w:val="17"/>
              </w:rPr>
              <w:t>DGNSCD</w:t>
            </w:r>
          </w:p>
        </w:tc>
        <w:tc>
          <w:tcPr>
            <w:tcW w:w="4770" w:type="dxa"/>
            <w:vAlign w:val="center"/>
          </w:tcPr>
          <w:p w14:paraId="0B9DF54D" w14:textId="77777777" w:rsidR="001A4029" w:rsidRPr="00EB07F1" w:rsidRDefault="001A4029" w:rsidP="00530DC0">
            <w:pPr>
              <w:rPr>
                <w:sz w:val="17"/>
                <w:szCs w:val="17"/>
              </w:rPr>
            </w:pPr>
            <w:r w:rsidRPr="00EB07F1">
              <w:rPr>
                <w:sz w:val="17"/>
                <w:szCs w:val="17"/>
              </w:rPr>
              <w:t>Claim Diagnosis Code Array</w:t>
            </w:r>
          </w:p>
        </w:tc>
        <w:tc>
          <w:tcPr>
            <w:tcW w:w="1620" w:type="dxa"/>
            <w:vAlign w:val="center"/>
          </w:tcPr>
          <w:p w14:paraId="45D83169" w14:textId="77777777" w:rsidR="001A4029" w:rsidRPr="00EB07F1" w:rsidRDefault="001A4029" w:rsidP="00530DC0">
            <w:pPr>
              <w:jc w:val="center"/>
              <w:rPr>
                <w:sz w:val="17"/>
                <w:szCs w:val="17"/>
              </w:rPr>
            </w:pPr>
            <w:r w:rsidRPr="00EB07F1">
              <w:rPr>
                <w:sz w:val="17"/>
                <w:szCs w:val="17"/>
              </w:rPr>
              <w:t>CWF</w:t>
            </w:r>
          </w:p>
        </w:tc>
      </w:tr>
      <w:tr w:rsidR="001A4029" w14:paraId="4412BFC0" w14:textId="77777777" w:rsidTr="00530DC0">
        <w:trPr>
          <w:jc w:val="center"/>
        </w:trPr>
        <w:tc>
          <w:tcPr>
            <w:tcW w:w="2387" w:type="dxa"/>
            <w:vAlign w:val="center"/>
          </w:tcPr>
          <w:p w14:paraId="35A98331" w14:textId="233309DE" w:rsidR="001A4029" w:rsidRPr="00EB07F1" w:rsidRDefault="001A4029" w:rsidP="00530DC0">
            <w:pPr>
              <w:rPr>
                <w:sz w:val="17"/>
                <w:szCs w:val="17"/>
              </w:rPr>
            </w:pPr>
            <w:r w:rsidRPr="00EB07F1">
              <w:rPr>
                <w:sz w:val="17"/>
                <w:szCs w:val="17"/>
              </w:rPr>
              <w:t>POA</w:t>
            </w:r>
            <w:r w:rsidR="005C3E8E" w:rsidRPr="00EB07F1">
              <w:rPr>
                <w:sz w:val="17"/>
                <w:szCs w:val="17"/>
              </w:rPr>
              <w:t>I</w:t>
            </w:r>
            <w:r w:rsidRPr="00EB07F1">
              <w:rPr>
                <w:sz w:val="17"/>
                <w:szCs w:val="17"/>
              </w:rPr>
              <w:t>N</w:t>
            </w:r>
            <w:r w:rsidR="005C3E8E" w:rsidRPr="00EB07F1">
              <w:rPr>
                <w:sz w:val="17"/>
                <w:szCs w:val="17"/>
              </w:rPr>
              <w:t>D</w:t>
            </w:r>
            <w:r w:rsidRPr="00EB07F1">
              <w:rPr>
                <w:sz w:val="17"/>
                <w:szCs w:val="17"/>
              </w:rPr>
              <w:t>CD</w:t>
            </w:r>
          </w:p>
        </w:tc>
        <w:tc>
          <w:tcPr>
            <w:tcW w:w="4770" w:type="dxa"/>
            <w:vAlign w:val="center"/>
          </w:tcPr>
          <w:p w14:paraId="431AC891" w14:textId="77777777" w:rsidR="001A4029" w:rsidRPr="00EB07F1" w:rsidRDefault="001A4029" w:rsidP="00530DC0">
            <w:pPr>
              <w:rPr>
                <w:sz w:val="17"/>
                <w:szCs w:val="17"/>
              </w:rPr>
            </w:pPr>
            <w:r w:rsidRPr="00EB07F1">
              <w:rPr>
                <w:sz w:val="17"/>
                <w:szCs w:val="17"/>
              </w:rPr>
              <w:t>Claim “Present on Admission” Diagnosis Flag Array</w:t>
            </w:r>
          </w:p>
        </w:tc>
        <w:tc>
          <w:tcPr>
            <w:tcW w:w="1620" w:type="dxa"/>
            <w:vAlign w:val="center"/>
          </w:tcPr>
          <w:p w14:paraId="758D2D60" w14:textId="77777777" w:rsidR="001A4029" w:rsidRPr="00EB07F1" w:rsidRDefault="001A4029" w:rsidP="00530DC0">
            <w:pPr>
              <w:jc w:val="center"/>
              <w:rPr>
                <w:sz w:val="17"/>
                <w:szCs w:val="17"/>
              </w:rPr>
            </w:pPr>
            <w:r w:rsidRPr="00EB07F1">
              <w:rPr>
                <w:sz w:val="17"/>
                <w:szCs w:val="17"/>
              </w:rPr>
              <w:t>CWF</w:t>
            </w:r>
          </w:p>
        </w:tc>
      </w:tr>
    </w:tbl>
    <w:p w14:paraId="509BF6B9" w14:textId="77777777" w:rsidR="001A4029" w:rsidRPr="001A4029" w:rsidRDefault="001A4029" w:rsidP="001A4029">
      <w:pPr>
        <w:rPr>
          <w:rFonts w:cstheme="minorHAnsi"/>
          <w:lang w:eastAsia="ja-JP"/>
        </w:rPr>
      </w:pPr>
    </w:p>
    <w:p w14:paraId="449648C0" w14:textId="1E0EA8D2" w:rsidR="006D1FA8" w:rsidRDefault="006D1FA8" w:rsidP="006D1FA8">
      <w:pPr>
        <w:pStyle w:val="Heading3"/>
      </w:pPr>
      <w:bookmarkStart w:id="27" w:name="_Toc32328721"/>
      <w:r>
        <w:t>Identifying Sepsis Stays</w:t>
      </w:r>
      <w:bookmarkEnd w:id="27"/>
    </w:p>
    <w:p w14:paraId="0E8237C4" w14:textId="686A511C" w:rsidR="00A54F85" w:rsidRPr="00912071" w:rsidRDefault="00A54F85" w:rsidP="00E72A35">
      <w:pPr>
        <w:rPr>
          <w:rFonts w:asciiTheme="majorHAnsi" w:hAnsiTheme="majorHAnsi" w:cstheme="majorHAnsi"/>
        </w:rPr>
      </w:pPr>
      <w:r>
        <w:rPr>
          <w:lang w:eastAsia="ja-JP"/>
        </w:rPr>
        <w:t xml:space="preserve">After </w:t>
      </w:r>
      <w:r w:rsidR="006D1FA8">
        <w:rPr>
          <w:lang w:eastAsia="ja-JP"/>
        </w:rPr>
        <w:t>collapsing claims to stays and constructing relevant stay-level metrics, we identify sep</w:t>
      </w:r>
      <w:r w:rsidR="0019241D">
        <w:rPr>
          <w:lang w:eastAsia="ja-JP"/>
        </w:rPr>
        <w:t xml:space="preserve">sis stays in the inpatient data using ICD-9 and ICD-10 codes listed in Table 2.3. </w:t>
      </w:r>
    </w:p>
    <w:p w14:paraId="79F6F582" w14:textId="77777777" w:rsidR="0091292C" w:rsidRPr="00E73DBA" w:rsidRDefault="0091292C" w:rsidP="0046586A">
      <w:pPr>
        <w:pStyle w:val="ListParagraph"/>
        <w:rPr>
          <w:rFonts w:asciiTheme="majorHAnsi" w:hAnsiTheme="majorHAnsi" w:cstheme="majorHAnsi"/>
        </w:rPr>
      </w:pPr>
    </w:p>
    <w:p w14:paraId="27CFC488" w14:textId="24D4C651" w:rsidR="0091292C" w:rsidRDefault="009C662F" w:rsidP="0091292C">
      <w:pPr>
        <w:pStyle w:val="Caption"/>
        <w:keepNext/>
      </w:pPr>
      <w:r>
        <w:t xml:space="preserve">Table </w:t>
      </w:r>
      <w:r>
        <w:rPr>
          <w:noProof/>
        </w:rPr>
        <w:t>2</w:t>
      </w:r>
      <w:r>
        <w:t>.</w:t>
      </w:r>
      <w:r>
        <w:rPr>
          <w:noProof/>
        </w:rPr>
        <w:t>3</w:t>
      </w:r>
      <w:r w:rsidR="003B198C">
        <w:rPr>
          <w:noProof/>
        </w:rPr>
        <w:t xml:space="preserve"> ICD9 and ICD10</w:t>
      </w:r>
      <w:r w:rsidR="0091292C">
        <w:t xml:space="preserve"> Codes</w:t>
      </w:r>
      <w:r w:rsidR="003B198C">
        <w:t xml:space="preserve"> Used to Identify Inpatient Sepsis </w:t>
      </w:r>
    </w:p>
    <w:tbl>
      <w:tblPr>
        <w:tblW w:w="5000" w:type="pct"/>
        <w:jc w:val="center"/>
        <w:tblLayout w:type="fixed"/>
        <w:tblLook w:val="04A0" w:firstRow="1" w:lastRow="0" w:firstColumn="1" w:lastColumn="0" w:noHBand="0" w:noVBand="1"/>
      </w:tblPr>
      <w:tblGrid>
        <w:gridCol w:w="1075"/>
        <w:gridCol w:w="3886"/>
        <w:gridCol w:w="4389"/>
      </w:tblGrid>
      <w:tr w:rsidR="00FF3594" w:rsidRPr="00106032" w14:paraId="5C8859D9" w14:textId="77777777" w:rsidTr="002E08FB">
        <w:trPr>
          <w:trHeight w:val="630"/>
          <w:jc w:val="center"/>
        </w:trPr>
        <w:tc>
          <w:tcPr>
            <w:tcW w:w="575" w:type="pct"/>
            <w:tcBorders>
              <w:top w:val="single" w:sz="4" w:space="0" w:color="auto"/>
              <w:left w:val="single" w:sz="4" w:space="0" w:color="auto"/>
              <w:bottom w:val="single" w:sz="4" w:space="0" w:color="auto"/>
              <w:right w:val="single" w:sz="4" w:space="0" w:color="auto"/>
            </w:tcBorders>
            <w:shd w:val="clear" w:color="auto" w:fill="D0E6F4" w:themeFill="accent5" w:themeFillTint="33"/>
            <w:vAlign w:val="center"/>
            <w:hideMark/>
          </w:tcPr>
          <w:p w14:paraId="68B36970" w14:textId="4D3BB41E" w:rsidR="00FF3594" w:rsidRPr="00102359" w:rsidRDefault="00FF3594" w:rsidP="00FF3594">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Code Set</w:t>
            </w:r>
          </w:p>
        </w:tc>
        <w:tc>
          <w:tcPr>
            <w:tcW w:w="2078" w:type="pct"/>
            <w:tcBorders>
              <w:top w:val="single" w:sz="4" w:space="0" w:color="auto"/>
              <w:left w:val="nil"/>
              <w:bottom w:val="single" w:sz="4" w:space="0" w:color="auto"/>
              <w:right w:val="single" w:sz="4" w:space="0" w:color="auto"/>
            </w:tcBorders>
            <w:shd w:val="clear" w:color="auto" w:fill="D0E6F4" w:themeFill="accent5" w:themeFillTint="33"/>
            <w:vAlign w:val="center"/>
          </w:tcPr>
          <w:p w14:paraId="70711D62" w14:textId="07731EB3" w:rsidR="00FF3594" w:rsidRDefault="00FF3594" w:rsidP="00FF3594">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Code Set Description</w:t>
            </w:r>
          </w:p>
        </w:tc>
        <w:tc>
          <w:tcPr>
            <w:tcW w:w="2347" w:type="pct"/>
            <w:tcBorders>
              <w:top w:val="single" w:sz="4" w:space="0" w:color="auto"/>
              <w:left w:val="single" w:sz="4" w:space="0" w:color="auto"/>
              <w:bottom w:val="single" w:sz="4" w:space="0" w:color="auto"/>
              <w:right w:val="single" w:sz="4" w:space="0" w:color="auto"/>
            </w:tcBorders>
            <w:shd w:val="clear" w:color="auto" w:fill="D0E6F4" w:themeFill="accent5" w:themeFillTint="33"/>
            <w:noWrap/>
            <w:vAlign w:val="center"/>
            <w:hideMark/>
          </w:tcPr>
          <w:p w14:paraId="45E0CF95" w14:textId="5C1D707C" w:rsidR="00FF3594" w:rsidRPr="00102359" w:rsidRDefault="00FF3594" w:rsidP="00D750DD">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 xml:space="preserve">Diagnosis </w:t>
            </w:r>
            <w:r w:rsidRPr="00102359">
              <w:rPr>
                <w:rFonts w:ascii="Arial" w:eastAsia="Times New Roman" w:hAnsi="Arial" w:cs="Arial"/>
                <w:b/>
                <w:bCs/>
                <w:color w:val="000000"/>
                <w:sz w:val="18"/>
              </w:rPr>
              <w:t xml:space="preserve">Code </w:t>
            </w:r>
            <w:r>
              <w:rPr>
                <w:rFonts w:ascii="Arial" w:eastAsia="Times New Roman" w:hAnsi="Arial" w:cs="Arial"/>
                <w:b/>
                <w:bCs/>
                <w:color w:val="000000"/>
                <w:sz w:val="18"/>
              </w:rPr>
              <w:t>List</w:t>
            </w:r>
          </w:p>
        </w:tc>
      </w:tr>
      <w:tr w:rsidR="00FF3594" w:rsidRPr="00106032" w14:paraId="03AF1D56" w14:textId="77777777" w:rsidTr="002E08FB">
        <w:trPr>
          <w:trHeight w:val="323"/>
          <w:jc w:val="center"/>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C80C" w14:textId="1F2D67D2" w:rsidR="00FF3594" w:rsidRPr="00EB07F1" w:rsidRDefault="00FF3594" w:rsidP="00FF3594">
            <w:pPr>
              <w:spacing w:after="0" w:line="240" w:lineRule="auto"/>
              <w:jc w:val="center"/>
              <w:rPr>
                <w:rFonts w:ascii="Arial" w:eastAsia="Times New Roman" w:hAnsi="Arial" w:cs="Arial"/>
                <w:color w:val="000000"/>
                <w:sz w:val="17"/>
                <w:szCs w:val="17"/>
              </w:rPr>
            </w:pPr>
            <w:r w:rsidRPr="00EB07F1">
              <w:rPr>
                <w:rFonts w:ascii="Arial" w:eastAsia="Times New Roman" w:hAnsi="Arial" w:cs="Arial"/>
                <w:color w:val="000000"/>
                <w:sz w:val="17"/>
                <w:szCs w:val="17"/>
              </w:rPr>
              <w:t>ICD-9</w:t>
            </w:r>
          </w:p>
        </w:tc>
        <w:tc>
          <w:tcPr>
            <w:tcW w:w="2078" w:type="pct"/>
            <w:tcBorders>
              <w:top w:val="single" w:sz="4" w:space="0" w:color="auto"/>
              <w:left w:val="nil"/>
              <w:bottom w:val="single" w:sz="4" w:space="0" w:color="auto"/>
              <w:right w:val="single" w:sz="4" w:space="0" w:color="auto"/>
            </w:tcBorders>
            <w:vAlign w:val="center"/>
          </w:tcPr>
          <w:p w14:paraId="7F501E70" w14:textId="668178F1" w:rsidR="00FF3594" w:rsidRPr="00EB07F1" w:rsidRDefault="00FF3594" w:rsidP="00C1540C">
            <w:pPr>
              <w:spacing w:after="0" w:line="240" w:lineRule="auto"/>
              <w:rPr>
                <w:rFonts w:ascii="Arial" w:eastAsia="Times New Roman" w:hAnsi="Arial" w:cs="Arial"/>
                <w:color w:val="000000"/>
                <w:sz w:val="17"/>
                <w:szCs w:val="17"/>
              </w:rPr>
            </w:pPr>
            <w:r w:rsidRPr="00EB07F1">
              <w:rPr>
                <w:rFonts w:ascii="Arial" w:hAnsi="Arial" w:cs="Arial"/>
                <w:color w:val="000000" w:themeColor="text1"/>
                <w:sz w:val="17"/>
                <w:szCs w:val="17"/>
              </w:rPr>
              <w:t>Explicit sepsis using ICD-9 codes</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14:paraId="71667BFA" w14:textId="0161A8A5" w:rsidR="00FF3594" w:rsidRPr="00EB07F1" w:rsidRDefault="00FF3594" w:rsidP="00FF3594">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038, 995.91, 995.92, 785.52</w:t>
            </w:r>
          </w:p>
        </w:tc>
      </w:tr>
      <w:tr w:rsidR="00FF3594" w:rsidRPr="00106032" w14:paraId="4CF1BC3D" w14:textId="77777777" w:rsidTr="002E08FB">
        <w:trPr>
          <w:trHeight w:val="350"/>
          <w:jc w:val="center"/>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514ED" w14:textId="6C4126C9" w:rsidR="00FF3594" w:rsidRPr="00EB07F1" w:rsidRDefault="00FF3594" w:rsidP="00FF3594">
            <w:pPr>
              <w:spacing w:after="0" w:line="240" w:lineRule="auto"/>
              <w:jc w:val="center"/>
              <w:rPr>
                <w:rFonts w:ascii="Arial" w:eastAsia="Times New Roman" w:hAnsi="Arial" w:cs="Arial"/>
                <w:color w:val="000000"/>
                <w:sz w:val="17"/>
                <w:szCs w:val="17"/>
              </w:rPr>
            </w:pPr>
            <w:r w:rsidRPr="00EB07F1">
              <w:rPr>
                <w:rFonts w:ascii="Arial" w:eastAsia="Times New Roman" w:hAnsi="Arial" w:cs="Arial"/>
                <w:color w:val="000000"/>
                <w:sz w:val="17"/>
                <w:szCs w:val="17"/>
              </w:rPr>
              <w:t>ICD-10 Crosswalk</w:t>
            </w:r>
          </w:p>
        </w:tc>
        <w:tc>
          <w:tcPr>
            <w:tcW w:w="2078" w:type="pct"/>
            <w:tcBorders>
              <w:top w:val="single" w:sz="4" w:space="0" w:color="auto"/>
              <w:left w:val="nil"/>
              <w:bottom w:val="single" w:sz="4" w:space="0" w:color="auto"/>
              <w:right w:val="single" w:sz="4" w:space="0" w:color="auto"/>
            </w:tcBorders>
            <w:vAlign w:val="center"/>
          </w:tcPr>
          <w:p w14:paraId="5DF7DB92" w14:textId="5ED639B5" w:rsidR="00FF3594" w:rsidRPr="00EB07F1" w:rsidRDefault="00FF3594"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Explicit sepsis using ICD-10 codes obtained using the CMS General Equivalence Mappings (GEMs) for the ICD-9 codes above</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14:paraId="0E00BA24" w14:textId="1298D4E2" w:rsidR="00FF3594" w:rsidRPr="00EB07F1" w:rsidRDefault="00FF3594" w:rsidP="004F2C7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A409, A412, A4101 A4102, A411, A403, A414, A4150, A413, A4151, A4152, A4153, A4159, A4189, A419, A419, R6520, R6521</w:t>
            </w:r>
          </w:p>
        </w:tc>
      </w:tr>
      <w:tr w:rsidR="00FF3594" w:rsidRPr="00106032" w14:paraId="6988704D" w14:textId="77777777" w:rsidTr="002E08FB">
        <w:trPr>
          <w:trHeight w:val="368"/>
          <w:jc w:val="center"/>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F3CBC" w14:textId="65FAB16E" w:rsidR="00FF3594" w:rsidRPr="00EB07F1" w:rsidRDefault="00FF3594" w:rsidP="00FF3594">
            <w:pPr>
              <w:spacing w:after="0" w:line="240" w:lineRule="auto"/>
              <w:jc w:val="center"/>
              <w:rPr>
                <w:rFonts w:ascii="Arial" w:eastAsia="Times New Roman" w:hAnsi="Arial" w:cs="Arial"/>
                <w:color w:val="000000"/>
                <w:sz w:val="17"/>
                <w:szCs w:val="17"/>
              </w:rPr>
            </w:pPr>
            <w:r w:rsidRPr="00EB07F1">
              <w:rPr>
                <w:rFonts w:ascii="Arial" w:eastAsia="Times New Roman" w:hAnsi="Arial" w:cs="Arial"/>
                <w:color w:val="000000"/>
                <w:sz w:val="17"/>
                <w:szCs w:val="17"/>
              </w:rPr>
              <w:t>ICD-10 SEP-1 metric</w:t>
            </w:r>
          </w:p>
        </w:tc>
        <w:tc>
          <w:tcPr>
            <w:tcW w:w="2078" w:type="pct"/>
            <w:tcBorders>
              <w:top w:val="single" w:sz="4" w:space="0" w:color="auto"/>
              <w:left w:val="nil"/>
              <w:bottom w:val="single" w:sz="4" w:space="0" w:color="auto"/>
              <w:right w:val="single" w:sz="4" w:space="0" w:color="auto"/>
            </w:tcBorders>
            <w:vAlign w:val="center"/>
          </w:tcPr>
          <w:p w14:paraId="4C15FBD8" w14:textId="264C3A99" w:rsidR="00FF3594" w:rsidRPr="00EB07F1" w:rsidRDefault="00FF3594"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Sepsis defined using ICD-10 codes for the SEP-1 metric</w:t>
            </w:r>
          </w:p>
        </w:tc>
        <w:tc>
          <w:tcPr>
            <w:tcW w:w="2347" w:type="pct"/>
            <w:tcBorders>
              <w:top w:val="single" w:sz="4" w:space="0" w:color="auto"/>
              <w:left w:val="single" w:sz="4" w:space="0" w:color="auto"/>
              <w:bottom w:val="single" w:sz="4" w:space="0" w:color="auto"/>
              <w:right w:val="single" w:sz="4" w:space="0" w:color="auto"/>
            </w:tcBorders>
            <w:shd w:val="clear" w:color="auto" w:fill="auto"/>
            <w:vAlign w:val="center"/>
          </w:tcPr>
          <w:p w14:paraId="5959EA90" w14:textId="443704FF" w:rsidR="00FF3594" w:rsidRPr="00EB07F1" w:rsidRDefault="00FF3594" w:rsidP="004F2C7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A021, A227, A267, A327, A400, A401, A403, A408, A409, A4101, A4102, A411, A412, A413, A414, A4150, A4151, A4152, A4153, A4159, A4181, A4189, A419, A427, A5486, B377, R6520, R6521</w:t>
            </w:r>
          </w:p>
        </w:tc>
      </w:tr>
    </w:tbl>
    <w:p w14:paraId="5F3D0671" w14:textId="77777777" w:rsidR="00912071" w:rsidRDefault="00912071" w:rsidP="00A07CE6">
      <w:pPr>
        <w:rPr>
          <w:i/>
        </w:rPr>
      </w:pPr>
    </w:p>
    <w:p w14:paraId="5594E27D" w14:textId="7AF0064A" w:rsidR="00C76EDD" w:rsidRDefault="00261A11" w:rsidP="00A07CE6">
      <w:r>
        <w:t>We categorize sepsis stays by whether at least one sepsis diagnosis on the claim was f</w:t>
      </w:r>
      <w:r w:rsidR="0019241D">
        <w:t>lagged as “Present on Admission</w:t>
      </w:r>
      <w:r>
        <w:t>”</w:t>
      </w:r>
      <w:r w:rsidR="0019241D">
        <w:t xml:space="preserve"> as described in Table. 2.4.</w:t>
      </w:r>
      <w:r>
        <w:t xml:space="preserve"> </w:t>
      </w:r>
    </w:p>
    <w:p w14:paraId="6F651BF7" w14:textId="417860E5" w:rsidR="00F76C1B" w:rsidRDefault="00F76C1B" w:rsidP="00F76C1B">
      <w:pPr>
        <w:pStyle w:val="Caption"/>
        <w:keepNext/>
      </w:pPr>
      <w:r>
        <w:t xml:space="preserve">Table </w:t>
      </w:r>
      <w:r w:rsidR="009C662F">
        <w:rPr>
          <w:noProof/>
        </w:rPr>
        <w:t>2.4</w:t>
      </w:r>
      <w:r>
        <w:rPr>
          <w:noProof/>
        </w:rPr>
        <w:t xml:space="preserve"> Sepsis “Present on Admission” Assignment Rules</w:t>
      </w:r>
      <w:r>
        <w:t xml:space="preserve"> </w:t>
      </w:r>
    </w:p>
    <w:tbl>
      <w:tblPr>
        <w:tblW w:w="4473" w:type="pct"/>
        <w:jc w:val="center"/>
        <w:tblLayout w:type="fixed"/>
        <w:tblLook w:val="04A0" w:firstRow="1" w:lastRow="0" w:firstColumn="1" w:lastColumn="0" w:noHBand="0" w:noVBand="1"/>
      </w:tblPr>
      <w:tblGrid>
        <w:gridCol w:w="2429"/>
        <w:gridCol w:w="5936"/>
      </w:tblGrid>
      <w:tr w:rsidR="00F76C1B" w:rsidRPr="00106032" w14:paraId="0325350E" w14:textId="77777777" w:rsidTr="002E08FB">
        <w:trPr>
          <w:trHeight w:val="630"/>
          <w:jc w:val="center"/>
        </w:trPr>
        <w:tc>
          <w:tcPr>
            <w:tcW w:w="1452" w:type="pct"/>
            <w:tcBorders>
              <w:top w:val="single" w:sz="4" w:space="0" w:color="auto"/>
              <w:left w:val="single" w:sz="4" w:space="0" w:color="auto"/>
              <w:bottom w:val="single" w:sz="4" w:space="0" w:color="auto"/>
              <w:right w:val="single" w:sz="4" w:space="0" w:color="auto"/>
            </w:tcBorders>
            <w:shd w:val="clear" w:color="auto" w:fill="D0E6F4" w:themeFill="accent5" w:themeFillTint="33"/>
            <w:vAlign w:val="center"/>
            <w:hideMark/>
          </w:tcPr>
          <w:p w14:paraId="14EEC23A" w14:textId="19F606BE" w:rsidR="00F76C1B" w:rsidRPr="00102359" w:rsidRDefault="00F76C1B" w:rsidP="00530DC0">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POA Category</w:t>
            </w:r>
          </w:p>
        </w:tc>
        <w:tc>
          <w:tcPr>
            <w:tcW w:w="3548" w:type="pct"/>
            <w:tcBorders>
              <w:top w:val="single" w:sz="4" w:space="0" w:color="auto"/>
              <w:left w:val="nil"/>
              <w:bottom w:val="single" w:sz="4" w:space="0" w:color="auto"/>
              <w:right w:val="single" w:sz="4" w:space="0" w:color="auto"/>
            </w:tcBorders>
            <w:shd w:val="clear" w:color="auto" w:fill="D0E6F4" w:themeFill="accent5" w:themeFillTint="33"/>
            <w:vAlign w:val="center"/>
          </w:tcPr>
          <w:p w14:paraId="269DE956" w14:textId="77777777" w:rsidR="00F76C1B" w:rsidRDefault="00F76C1B" w:rsidP="00530DC0">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Code Set Description</w:t>
            </w:r>
          </w:p>
        </w:tc>
      </w:tr>
      <w:tr w:rsidR="00F76C1B" w:rsidRPr="00106032" w14:paraId="23EA1275" w14:textId="77777777" w:rsidTr="002E08FB">
        <w:trPr>
          <w:trHeight w:val="323"/>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11188" w14:textId="7B2657F8" w:rsidR="00F76C1B" w:rsidRPr="00EB07F1" w:rsidRDefault="00F76C1B"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Sepsis Present on Admission</w:t>
            </w:r>
          </w:p>
        </w:tc>
        <w:tc>
          <w:tcPr>
            <w:tcW w:w="3548" w:type="pct"/>
            <w:tcBorders>
              <w:top w:val="single" w:sz="4" w:space="0" w:color="auto"/>
              <w:left w:val="nil"/>
              <w:bottom w:val="single" w:sz="4" w:space="0" w:color="auto"/>
              <w:right w:val="single" w:sz="4" w:space="0" w:color="auto"/>
            </w:tcBorders>
            <w:vAlign w:val="center"/>
          </w:tcPr>
          <w:p w14:paraId="1DBA7823" w14:textId="63A467EC" w:rsidR="00F76C1B" w:rsidRPr="00EB07F1" w:rsidRDefault="00F76C1B" w:rsidP="0098462E">
            <w:pPr>
              <w:spacing w:after="0" w:line="240" w:lineRule="auto"/>
              <w:rPr>
                <w:rFonts w:ascii="Arial" w:eastAsia="Times New Roman" w:hAnsi="Arial" w:cs="Arial"/>
                <w:color w:val="000000"/>
                <w:sz w:val="17"/>
                <w:szCs w:val="17"/>
              </w:rPr>
            </w:pPr>
            <w:r w:rsidRPr="00EB07F1">
              <w:rPr>
                <w:rFonts w:ascii="Arial" w:hAnsi="Arial" w:cs="Arial"/>
                <w:color w:val="000000" w:themeColor="text1"/>
                <w:sz w:val="17"/>
                <w:szCs w:val="17"/>
              </w:rPr>
              <w:t>At least one sepsis DGN on the last claim in the stay has a POA indicator of “Yes” (POA</w:t>
            </w:r>
            <w:r w:rsidR="005C3E8E" w:rsidRPr="00EB07F1">
              <w:rPr>
                <w:rFonts w:ascii="Arial" w:hAnsi="Arial" w:cs="Arial"/>
                <w:color w:val="000000" w:themeColor="text1"/>
                <w:sz w:val="17"/>
                <w:szCs w:val="17"/>
              </w:rPr>
              <w:t>I</w:t>
            </w:r>
            <w:r w:rsidRPr="00EB07F1">
              <w:rPr>
                <w:rFonts w:ascii="Arial" w:hAnsi="Arial" w:cs="Arial"/>
                <w:color w:val="000000" w:themeColor="text1"/>
                <w:sz w:val="17"/>
                <w:szCs w:val="17"/>
              </w:rPr>
              <w:t>N</w:t>
            </w:r>
            <w:r w:rsidR="005C3E8E" w:rsidRPr="00EB07F1">
              <w:rPr>
                <w:rFonts w:ascii="Arial" w:hAnsi="Arial" w:cs="Arial"/>
                <w:color w:val="000000" w:themeColor="text1"/>
                <w:sz w:val="17"/>
                <w:szCs w:val="17"/>
              </w:rPr>
              <w:t>D</w:t>
            </w:r>
            <w:r w:rsidRPr="00EB07F1">
              <w:rPr>
                <w:rFonts w:ascii="Arial" w:hAnsi="Arial" w:cs="Arial"/>
                <w:color w:val="000000" w:themeColor="text1"/>
                <w:sz w:val="17"/>
                <w:szCs w:val="17"/>
              </w:rPr>
              <w:t>CD = Y), indicating present on admission.</w:t>
            </w:r>
          </w:p>
        </w:tc>
      </w:tr>
      <w:tr w:rsidR="00F76C1B" w:rsidRPr="00106032" w14:paraId="2446C36C" w14:textId="77777777" w:rsidTr="002E08FB">
        <w:trPr>
          <w:trHeight w:val="350"/>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2E440" w14:textId="29AA8A3A" w:rsidR="00F76C1B" w:rsidRPr="00EB07F1" w:rsidRDefault="00F76C1B"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Sepsis Not Present on Admission</w:t>
            </w:r>
          </w:p>
        </w:tc>
        <w:tc>
          <w:tcPr>
            <w:tcW w:w="3548" w:type="pct"/>
            <w:tcBorders>
              <w:top w:val="single" w:sz="4" w:space="0" w:color="auto"/>
              <w:left w:val="nil"/>
              <w:bottom w:val="single" w:sz="4" w:space="0" w:color="auto"/>
              <w:right w:val="single" w:sz="4" w:space="0" w:color="auto"/>
            </w:tcBorders>
            <w:vAlign w:val="center"/>
          </w:tcPr>
          <w:p w14:paraId="668B4B9B" w14:textId="0B7A3928" w:rsidR="00F76C1B" w:rsidRPr="00EB07F1" w:rsidRDefault="00CC031B" w:rsidP="0098462E">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All sepsis DGNs on the last claim in the stay have POA indicator of “No” (POA</w:t>
            </w:r>
            <w:r w:rsidR="005C3E8E" w:rsidRPr="00EB07F1">
              <w:rPr>
                <w:rFonts w:ascii="Arial" w:eastAsia="Times New Roman" w:hAnsi="Arial" w:cs="Arial"/>
                <w:color w:val="000000"/>
                <w:sz w:val="17"/>
                <w:szCs w:val="17"/>
              </w:rPr>
              <w:t>I</w:t>
            </w:r>
            <w:r w:rsidRPr="00EB07F1">
              <w:rPr>
                <w:rFonts w:ascii="Arial" w:eastAsia="Times New Roman" w:hAnsi="Arial" w:cs="Arial"/>
                <w:color w:val="000000"/>
                <w:sz w:val="17"/>
                <w:szCs w:val="17"/>
              </w:rPr>
              <w:t>N</w:t>
            </w:r>
            <w:r w:rsidR="005C3E8E" w:rsidRPr="00EB07F1">
              <w:rPr>
                <w:rFonts w:ascii="Arial" w:eastAsia="Times New Roman" w:hAnsi="Arial" w:cs="Arial"/>
                <w:color w:val="000000"/>
                <w:sz w:val="17"/>
                <w:szCs w:val="17"/>
              </w:rPr>
              <w:t>D</w:t>
            </w:r>
            <w:r w:rsidRPr="00EB07F1">
              <w:rPr>
                <w:rFonts w:ascii="Arial" w:eastAsia="Times New Roman" w:hAnsi="Arial" w:cs="Arial"/>
                <w:color w:val="000000"/>
                <w:sz w:val="17"/>
                <w:szCs w:val="17"/>
              </w:rPr>
              <w:t>CD = N), indicating not present on admission.</w:t>
            </w:r>
          </w:p>
        </w:tc>
      </w:tr>
      <w:tr w:rsidR="00F76C1B" w:rsidRPr="00106032" w14:paraId="648FC501" w14:textId="77777777" w:rsidTr="002E08FB">
        <w:trPr>
          <w:trHeight w:val="368"/>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3CEB1" w14:textId="69D6D1D9" w:rsidR="00F76C1B" w:rsidRPr="00EB07F1" w:rsidRDefault="00F76C1B"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Sepsis Unknown Presence on Admission</w:t>
            </w:r>
          </w:p>
        </w:tc>
        <w:tc>
          <w:tcPr>
            <w:tcW w:w="3548" w:type="pct"/>
            <w:tcBorders>
              <w:top w:val="single" w:sz="4" w:space="0" w:color="auto"/>
              <w:left w:val="nil"/>
              <w:bottom w:val="single" w:sz="4" w:space="0" w:color="auto"/>
              <w:right w:val="single" w:sz="4" w:space="0" w:color="auto"/>
            </w:tcBorders>
            <w:vAlign w:val="center"/>
          </w:tcPr>
          <w:p w14:paraId="77DD2893" w14:textId="6062D22A" w:rsidR="00F76C1B" w:rsidRPr="00EB07F1" w:rsidRDefault="00AF4F53" w:rsidP="0098462E">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No sepsis DGN on the last claim in the stay has POA indicator</w:t>
            </w:r>
            <w:r w:rsidR="00DE1A9B" w:rsidRPr="00EB07F1">
              <w:rPr>
                <w:rFonts w:ascii="Arial" w:eastAsia="Times New Roman" w:hAnsi="Arial" w:cs="Arial"/>
                <w:color w:val="000000"/>
                <w:sz w:val="17"/>
                <w:szCs w:val="17"/>
              </w:rPr>
              <w:t xml:space="preserve"> of “Yes”</w:t>
            </w:r>
            <w:r w:rsidRPr="00EB07F1">
              <w:rPr>
                <w:rFonts w:ascii="Arial" w:eastAsia="Times New Roman" w:hAnsi="Arial" w:cs="Arial"/>
                <w:color w:val="000000"/>
                <w:sz w:val="17"/>
                <w:szCs w:val="17"/>
              </w:rPr>
              <w:t xml:space="preserve"> </w:t>
            </w:r>
            <w:r w:rsidR="00DE1A9B" w:rsidRPr="00EB07F1">
              <w:rPr>
                <w:rFonts w:ascii="Arial" w:eastAsia="Times New Roman" w:hAnsi="Arial" w:cs="Arial"/>
                <w:color w:val="000000"/>
                <w:sz w:val="17"/>
                <w:szCs w:val="17"/>
              </w:rPr>
              <w:t>(POA</w:t>
            </w:r>
            <w:r w:rsidR="005C3E8E" w:rsidRPr="00EB07F1">
              <w:rPr>
                <w:rFonts w:ascii="Arial" w:eastAsia="Times New Roman" w:hAnsi="Arial" w:cs="Arial"/>
                <w:color w:val="000000"/>
                <w:sz w:val="17"/>
                <w:szCs w:val="17"/>
              </w:rPr>
              <w:t>I</w:t>
            </w:r>
            <w:r w:rsidR="00DE1A9B" w:rsidRPr="00EB07F1">
              <w:rPr>
                <w:rFonts w:ascii="Arial" w:eastAsia="Times New Roman" w:hAnsi="Arial" w:cs="Arial"/>
                <w:color w:val="000000"/>
                <w:sz w:val="17"/>
                <w:szCs w:val="17"/>
              </w:rPr>
              <w:t>N</w:t>
            </w:r>
            <w:r w:rsidR="005C3E8E" w:rsidRPr="00EB07F1">
              <w:rPr>
                <w:rFonts w:ascii="Arial" w:eastAsia="Times New Roman" w:hAnsi="Arial" w:cs="Arial"/>
                <w:color w:val="000000"/>
                <w:sz w:val="17"/>
                <w:szCs w:val="17"/>
              </w:rPr>
              <w:t>D</w:t>
            </w:r>
            <w:r w:rsidR="00DE1A9B" w:rsidRPr="00EB07F1">
              <w:rPr>
                <w:rFonts w:ascii="Arial" w:eastAsia="Times New Roman" w:hAnsi="Arial" w:cs="Arial"/>
                <w:color w:val="000000"/>
                <w:sz w:val="17"/>
                <w:szCs w:val="17"/>
              </w:rPr>
              <w:t xml:space="preserve">CD </w:t>
            </w:r>
            <w:r w:rsidRPr="00EB07F1">
              <w:rPr>
                <w:rFonts w:ascii="Arial" w:eastAsia="Times New Roman" w:hAnsi="Arial" w:cs="Arial"/>
                <w:color w:val="000000"/>
                <w:sz w:val="17"/>
                <w:szCs w:val="17"/>
              </w:rPr>
              <w:t>= Y</w:t>
            </w:r>
            <w:r w:rsidR="00DE1A9B" w:rsidRPr="00EB07F1">
              <w:rPr>
                <w:rFonts w:ascii="Arial" w:eastAsia="Times New Roman" w:hAnsi="Arial" w:cs="Arial"/>
                <w:color w:val="000000"/>
                <w:sz w:val="17"/>
                <w:szCs w:val="17"/>
              </w:rPr>
              <w:t>)</w:t>
            </w:r>
            <w:r w:rsidRPr="00EB07F1">
              <w:rPr>
                <w:rFonts w:ascii="Arial" w:eastAsia="Times New Roman" w:hAnsi="Arial" w:cs="Arial"/>
                <w:color w:val="000000"/>
                <w:sz w:val="17"/>
                <w:szCs w:val="17"/>
              </w:rPr>
              <w:t xml:space="preserve"> and not all sepsis DGNs have POA indicator </w:t>
            </w:r>
            <w:r w:rsidR="00DE1A9B" w:rsidRPr="00EB07F1">
              <w:rPr>
                <w:rFonts w:ascii="Arial" w:eastAsia="Times New Roman" w:hAnsi="Arial" w:cs="Arial"/>
                <w:color w:val="000000"/>
                <w:sz w:val="17"/>
                <w:szCs w:val="17"/>
              </w:rPr>
              <w:t>of “No” (POA</w:t>
            </w:r>
            <w:r w:rsidR="005C3E8E" w:rsidRPr="00EB07F1">
              <w:rPr>
                <w:rFonts w:ascii="Arial" w:eastAsia="Times New Roman" w:hAnsi="Arial" w:cs="Arial"/>
                <w:color w:val="000000"/>
                <w:sz w:val="17"/>
                <w:szCs w:val="17"/>
              </w:rPr>
              <w:t>I</w:t>
            </w:r>
            <w:r w:rsidR="00DE1A9B" w:rsidRPr="00EB07F1">
              <w:rPr>
                <w:rFonts w:ascii="Arial" w:eastAsia="Times New Roman" w:hAnsi="Arial" w:cs="Arial"/>
                <w:color w:val="000000"/>
                <w:sz w:val="17"/>
                <w:szCs w:val="17"/>
              </w:rPr>
              <w:t>N</w:t>
            </w:r>
            <w:r w:rsidR="005C3E8E" w:rsidRPr="00EB07F1">
              <w:rPr>
                <w:rFonts w:ascii="Arial" w:eastAsia="Times New Roman" w:hAnsi="Arial" w:cs="Arial"/>
                <w:color w:val="000000"/>
                <w:sz w:val="17"/>
                <w:szCs w:val="17"/>
              </w:rPr>
              <w:t>D</w:t>
            </w:r>
            <w:r w:rsidR="00DE1A9B" w:rsidRPr="00EB07F1">
              <w:rPr>
                <w:rFonts w:ascii="Arial" w:eastAsia="Times New Roman" w:hAnsi="Arial" w:cs="Arial"/>
                <w:color w:val="000000"/>
                <w:sz w:val="17"/>
                <w:szCs w:val="17"/>
              </w:rPr>
              <w:t xml:space="preserve">CD = </w:t>
            </w:r>
            <w:r w:rsidRPr="00EB07F1">
              <w:rPr>
                <w:rFonts w:ascii="Arial" w:eastAsia="Times New Roman" w:hAnsi="Arial" w:cs="Arial"/>
                <w:color w:val="000000"/>
                <w:sz w:val="17"/>
                <w:szCs w:val="17"/>
              </w:rPr>
              <w:t>N</w:t>
            </w:r>
            <w:r w:rsidR="00DE1A9B" w:rsidRPr="00EB07F1">
              <w:rPr>
                <w:rFonts w:ascii="Arial" w:eastAsia="Times New Roman" w:hAnsi="Arial" w:cs="Arial"/>
                <w:color w:val="000000"/>
                <w:sz w:val="17"/>
                <w:szCs w:val="17"/>
              </w:rPr>
              <w:t>)</w:t>
            </w:r>
            <w:r w:rsidRPr="00EB07F1">
              <w:rPr>
                <w:rFonts w:ascii="Arial" w:eastAsia="Times New Roman" w:hAnsi="Arial" w:cs="Arial"/>
                <w:color w:val="000000"/>
                <w:sz w:val="17"/>
                <w:szCs w:val="17"/>
              </w:rPr>
              <w:t>. This means at least one sepsis DGN had unknown status on admission</w:t>
            </w:r>
            <w:r w:rsidR="005C3E8E" w:rsidRPr="00EB07F1">
              <w:rPr>
                <w:rFonts w:ascii="Arial" w:eastAsia="Times New Roman" w:hAnsi="Arial" w:cs="Arial"/>
                <w:color w:val="000000"/>
                <w:sz w:val="17"/>
                <w:szCs w:val="17"/>
              </w:rPr>
              <w:t xml:space="preserve"> (POAINDCD has a value other than Y or N)</w:t>
            </w:r>
            <w:r w:rsidRPr="00EB07F1">
              <w:rPr>
                <w:rFonts w:ascii="Arial" w:eastAsia="Times New Roman" w:hAnsi="Arial" w:cs="Arial"/>
                <w:color w:val="000000"/>
                <w:sz w:val="17"/>
                <w:szCs w:val="17"/>
              </w:rPr>
              <w:t>.</w:t>
            </w:r>
          </w:p>
        </w:tc>
      </w:tr>
    </w:tbl>
    <w:p w14:paraId="28CAA78D" w14:textId="77777777" w:rsidR="00F76C1B" w:rsidRDefault="00F76C1B" w:rsidP="00A07CE6"/>
    <w:p w14:paraId="652E37E5" w14:textId="5F076686" w:rsidR="009D5BC2" w:rsidRDefault="009D5BC2" w:rsidP="00A07CE6">
      <w:r w:rsidRPr="000D6878">
        <w:t xml:space="preserve">We also group </w:t>
      </w:r>
      <w:r w:rsidR="003F1528" w:rsidRPr="000D6878">
        <w:t xml:space="preserve">IP sepsis stays </w:t>
      </w:r>
      <w:r w:rsidRPr="000D6878">
        <w:t xml:space="preserve">by severity tiers </w:t>
      </w:r>
      <w:r w:rsidR="003F1528" w:rsidRPr="000D6878">
        <w:t>based on the most severe codes present on the claim as described in Table 2.5.</w:t>
      </w:r>
    </w:p>
    <w:p w14:paraId="0033603B" w14:textId="515FBC6D" w:rsidR="009D5BC2" w:rsidRDefault="009D5BC2" w:rsidP="009D5BC2">
      <w:pPr>
        <w:pStyle w:val="Caption"/>
        <w:keepNext/>
      </w:pPr>
      <w:bookmarkStart w:id="28" w:name="_Ref484442361"/>
      <w:bookmarkStart w:id="29" w:name="_Ref484597662"/>
      <w:r>
        <w:t xml:space="preserve">Table </w:t>
      </w:r>
      <w:r>
        <w:rPr>
          <w:noProof/>
        </w:rPr>
        <w:t>2.5 Sepsis “Present on Admission” Assignment Rules</w:t>
      </w:r>
      <w:r>
        <w:t xml:space="preserve"> </w:t>
      </w:r>
    </w:p>
    <w:tbl>
      <w:tblPr>
        <w:tblW w:w="4473" w:type="pct"/>
        <w:jc w:val="center"/>
        <w:tblLayout w:type="fixed"/>
        <w:tblLook w:val="04A0" w:firstRow="1" w:lastRow="0" w:firstColumn="1" w:lastColumn="0" w:noHBand="0" w:noVBand="1"/>
      </w:tblPr>
      <w:tblGrid>
        <w:gridCol w:w="2429"/>
        <w:gridCol w:w="5936"/>
      </w:tblGrid>
      <w:tr w:rsidR="009D5BC2" w:rsidRPr="00106032" w14:paraId="6C55355A" w14:textId="77777777" w:rsidTr="00774A83">
        <w:trPr>
          <w:trHeight w:val="630"/>
          <w:jc w:val="center"/>
        </w:trPr>
        <w:tc>
          <w:tcPr>
            <w:tcW w:w="1452" w:type="pct"/>
            <w:tcBorders>
              <w:top w:val="single" w:sz="4" w:space="0" w:color="auto"/>
              <w:left w:val="single" w:sz="4" w:space="0" w:color="auto"/>
              <w:bottom w:val="single" w:sz="4" w:space="0" w:color="auto"/>
              <w:right w:val="single" w:sz="4" w:space="0" w:color="auto"/>
            </w:tcBorders>
            <w:shd w:val="clear" w:color="auto" w:fill="D0E6F4" w:themeFill="accent5" w:themeFillTint="33"/>
            <w:vAlign w:val="center"/>
            <w:hideMark/>
          </w:tcPr>
          <w:p w14:paraId="4DFF5F99" w14:textId="6CECA24A" w:rsidR="009D5BC2" w:rsidRPr="00102359" w:rsidRDefault="0074350C" w:rsidP="00774A83">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Sepsis Severity</w:t>
            </w:r>
            <w:r w:rsidR="009D5BC2">
              <w:rPr>
                <w:rFonts w:ascii="Arial" w:eastAsia="Times New Roman" w:hAnsi="Arial" w:cs="Arial"/>
                <w:b/>
                <w:bCs/>
                <w:color w:val="000000"/>
                <w:sz w:val="18"/>
              </w:rPr>
              <w:t xml:space="preserve"> Category</w:t>
            </w:r>
          </w:p>
        </w:tc>
        <w:tc>
          <w:tcPr>
            <w:tcW w:w="3548" w:type="pct"/>
            <w:tcBorders>
              <w:top w:val="single" w:sz="4" w:space="0" w:color="auto"/>
              <w:left w:val="nil"/>
              <w:bottom w:val="single" w:sz="4" w:space="0" w:color="auto"/>
              <w:right w:val="single" w:sz="4" w:space="0" w:color="auto"/>
            </w:tcBorders>
            <w:shd w:val="clear" w:color="auto" w:fill="D0E6F4" w:themeFill="accent5" w:themeFillTint="33"/>
            <w:vAlign w:val="center"/>
          </w:tcPr>
          <w:p w14:paraId="59033D58" w14:textId="77777777" w:rsidR="009D5BC2" w:rsidRDefault="009D5BC2" w:rsidP="00774A83">
            <w:pPr>
              <w:spacing w:after="0" w:line="240" w:lineRule="auto"/>
              <w:jc w:val="center"/>
              <w:rPr>
                <w:rFonts w:ascii="Arial" w:eastAsia="Times New Roman" w:hAnsi="Arial" w:cs="Arial"/>
                <w:b/>
                <w:bCs/>
                <w:color w:val="000000"/>
                <w:sz w:val="18"/>
              </w:rPr>
            </w:pPr>
            <w:r>
              <w:rPr>
                <w:rFonts w:ascii="Arial" w:eastAsia="Times New Roman" w:hAnsi="Arial" w:cs="Arial"/>
                <w:b/>
                <w:bCs/>
                <w:color w:val="000000"/>
                <w:sz w:val="18"/>
              </w:rPr>
              <w:t>Code Set Description</w:t>
            </w:r>
          </w:p>
        </w:tc>
      </w:tr>
      <w:tr w:rsidR="009D5BC2" w:rsidRPr="00106032" w14:paraId="0848988A" w14:textId="77777777" w:rsidTr="00774A83">
        <w:trPr>
          <w:trHeight w:val="323"/>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CBC7A" w14:textId="6657388B" w:rsidR="009D5BC2" w:rsidRPr="00EB07F1" w:rsidRDefault="0074350C"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Septic</w:t>
            </w:r>
            <w:r w:rsidR="009D5BC2" w:rsidRPr="00EB07F1">
              <w:rPr>
                <w:rFonts w:ascii="Arial" w:eastAsia="Times New Roman" w:hAnsi="Arial" w:cs="Arial"/>
                <w:color w:val="000000"/>
                <w:sz w:val="17"/>
                <w:szCs w:val="17"/>
              </w:rPr>
              <w:t xml:space="preserve"> </w:t>
            </w:r>
            <w:r w:rsidR="0046545B" w:rsidRPr="00EB07F1">
              <w:rPr>
                <w:rFonts w:ascii="Arial" w:eastAsia="Times New Roman" w:hAnsi="Arial" w:cs="Arial"/>
                <w:color w:val="000000"/>
                <w:sz w:val="17"/>
                <w:szCs w:val="17"/>
              </w:rPr>
              <w:t>Shock</w:t>
            </w:r>
          </w:p>
        </w:tc>
        <w:tc>
          <w:tcPr>
            <w:tcW w:w="3548" w:type="pct"/>
            <w:tcBorders>
              <w:top w:val="single" w:sz="4" w:space="0" w:color="auto"/>
              <w:left w:val="nil"/>
              <w:bottom w:val="single" w:sz="4" w:space="0" w:color="auto"/>
              <w:right w:val="single" w:sz="4" w:space="0" w:color="auto"/>
            </w:tcBorders>
            <w:vAlign w:val="center"/>
          </w:tcPr>
          <w:p w14:paraId="640754AF" w14:textId="290EC53A" w:rsidR="009D5BC2" w:rsidRPr="00EB07F1" w:rsidRDefault="00397DB9" w:rsidP="001A7798">
            <w:pPr>
              <w:spacing w:after="0" w:line="240" w:lineRule="auto"/>
              <w:rPr>
                <w:rFonts w:ascii="Arial" w:eastAsia="Times New Roman" w:hAnsi="Arial" w:cs="Arial"/>
                <w:color w:val="000000"/>
                <w:sz w:val="17"/>
                <w:szCs w:val="17"/>
              </w:rPr>
            </w:pPr>
            <w:r w:rsidRPr="00EB07F1">
              <w:rPr>
                <w:rFonts w:ascii="Arial" w:hAnsi="Arial" w:cs="Arial"/>
                <w:color w:val="000000" w:themeColor="text1"/>
                <w:sz w:val="17"/>
                <w:szCs w:val="17"/>
              </w:rPr>
              <w:t xml:space="preserve">Specified by </w:t>
            </w:r>
            <w:r w:rsidR="0074350C" w:rsidRPr="00EB07F1">
              <w:rPr>
                <w:rFonts w:ascii="Arial" w:hAnsi="Arial" w:cs="Arial"/>
                <w:color w:val="000000" w:themeColor="text1"/>
                <w:sz w:val="17"/>
                <w:szCs w:val="17"/>
              </w:rPr>
              <w:t>ICD-</w:t>
            </w:r>
            <w:r w:rsidR="008D7F95">
              <w:rPr>
                <w:rFonts w:ascii="Arial" w:hAnsi="Arial" w:cs="Arial"/>
                <w:color w:val="000000" w:themeColor="text1"/>
                <w:sz w:val="17"/>
                <w:szCs w:val="17"/>
              </w:rPr>
              <w:t xml:space="preserve"> code 785.2 or ICD-10 code R6521</w:t>
            </w:r>
          </w:p>
        </w:tc>
      </w:tr>
      <w:tr w:rsidR="009D5BC2" w:rsidRPr="00106032" w14:paraId="2BB9B3B7" w14:textId="77777777" w:rsidTr="00774A83">
        <w:trPr>
          <w:trHeight w:val="350"/>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0AD3D" w14:textId="7E27D576" w:rsidR="009D5BC2" w:rsidRPr="00EB07F1" w:rsidRDefault="0074350C"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Severe Sepsis without Shock</w:t>
            </w:r>
          </w:p>
        </w:tc>
        <w:tc>
          <w:tcPr>
            <w:tcW w:w="3548" w:type="pct"/>
            <w:tcBorders>
              <w:top w:val="single" w:sz="4" w:space="0" w:color="auto"/>
              <w:left w:val="nil"/>
              <w:bottom w:val="single" w:sz="4" w:space="0" w:color="auto"/>
              <w:right w:val="single" w:sz="4" w:space="0" w:color="auto"/>
            </w:tcBorders>
            <w:vAlign w:val="center"/>
          </w:tcPr>
          <w:p w14:paraId="6ED2E575" w14:textId="6BFEC6FB" w:rsidR="009D5BC2" w:rsidRPr="00EB07F1" w:rsidRDefault="0074350C" w:rsidP="0098462E">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Specified by ICD-9 code 995.92 or ICD-10 code R6520, and no septic</w:t>
            </w:r>
            <w:r w:rsidR="004B1F86">
              <w:rPr>
                <w:rFonts w:ascii="Arial" w:eastAsia="Times New Roman" w:hAnsi="Arial" w:cs="Arial"/>
                <w:color w:val="000000"/>
                <w:sz w:val="17"/>
                <w:szCs w:val="17"/>
              </w:rPr>
              <w:t xml:space="preserve"> </w:t>
            </w:r>
            <w:r w:rsidR="00143A9A">
              <w:rPr>
                <w:rFonts w:ascii="Arial" w:eastAsia="Times New Roman" w:hAnsi="Arial" w:cs="Arial"/>
                <w:color w:val="000000"/>
                <w:sz w:val="17"/>
                <w:szCs w:val="17"/>
              </w:rPr>
              <w:t xml:space="preserve">shock </w:t>
            </w:r>
            <w:r w:rsidR="004B1F86">
              <w:rPr>
                <w:rFonts w:ascii="Arial" w:eastAsia="Times New Roman" w:hAnsi="Arial" w:cs="Arial"/>
                <w:color w:val="000000"/>
                <w:sz w:val="17"/>
                <w:szCs w:val="17"/>
              </w:rPr>
              <w:t>codes</w:t>
            </w:r>
            <w:bookmarkStart w:id="30" w:name="_GoBack"/>
            <w:bookmarkEnd w:id="30"/>
          </w:p>
        </w:tc>
      </w:tr>
      <w:tr w:rsidR="009D5BC2" w:rsidRPr="00106032" w14:paraId="3C7F9DCE" w14:textId="77777777" w:rsidTr="00774A83">
        <w:trPr>
          <w:trHeight w:val="368"/>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030DA" w14:textId="4731EE64" w:rsidR="009D5BC2" w:rsidRPr="00EB07F1" w:rsidRDefault="0074350C"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lastRenderedPageBreak/>
              <w:t>Non-Severe Sepsis, Organism-Specific</w:t>
            </w:r>
          </w:p>
        </w:tc>
        <w:tc>
          <w:tcPr>
            <w:tcW w:w="3548" w:type="pct"/>
            <w:tcBorders>
              <w:top w:val="single" w:sz="4" w:space="0" w:color="auto"/>
              <w:left w:val="nil"/>
              <w:bottom w:val="single" w:sz="4" w:space="0" w:color="auto"/>
              <w:right w:val="single" w:sz="4" w:space="0" w:color="auto"/>
            </w:tcBorders>
            <w:vAlign w:val="center"/>
          </w:tcPr>
          <w:p w14:paraId="69CEC59A" w14:textId="404ACE3F" w:rsidR="009D5BC2" w:rsidRPr="00EB07F1" w:rsidRDefault="0074350C" w:rsidP="0098462E">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Specified by organism-specific sepsis codes and no severe</w:t>
            </w:r>
            <w:r w:rsidR="0098462E" w:rsidRPr="00EB07F1">
              <w:rPr>
                <w:rFonts w:ascii="Arial" w:eastAsia="Times New Roman" w:hAnsi="Arial" w:cs="Arial"/>
                <w:color w:val="000000"/>
                <w:sz w:val="17"/>
                <w:szCs w:val="17"/>
              </w:rPr>
              <w:t xml:space="preserve"> </w:t>
            </w:r>
            <w:r w:rsidR="001A7798">
              <w:rPr>
                <w:rFonts w:ascii="Arial" w:eastAsia="Times New Roman" w:hAnsi="Arial" w:cs="Arial"/>
                <w:color w:val="000000"/>
                <w:sz w:val="17"/>
                <w:szCs w:val="17"/>
              </w:rPr>
              <w:t xml:space="preserve">sepsis </w:t>
            </w:r>
            <w:r w:rsidR="0098462E" w:rsidRPr="00EB07F1">
              <w:rPr>
                <w:rFonts w:ascii="Arial" w:eastAsia="Times New Roman" w:hAnsi="Arial" w:cs="Arial"/>
                <w:color w:val="000000"/>
                <w:sz w:val="17"/>
                <w:szCs w:val="17"/>
              </w:rPr>
              <w:t xml:space="preserve">or </w:t>
            </w:r>
            <w:r w:rsidR="001A7798">
              <w:rPr>
                <w:rFonts w:ascii="Arial" w:eastAsia="Times New Roman" w:hAnsi="Arial" w:cs="Arial"/>
                <w:color w:val="000000"/>
                <w:sz w:val="17"/>
                <w:szCs w:val="17"/>
              </w:rPr>
              <w:t xml:space="preserve">septic </w:t>
            </w:r>
            <w:r w:rsidR="0098462E" w:rsidRPr="00EB07F1">
              <w:rPr>
                <w:rFonts w:ascii="Arial" w:eastAsia="Times New Roman" w:hAnsi="Arial" w:cs="Arial"/>
                <w:color w:val="000000"/>
                <w:sz w:val="17"/>
                <w:szCs w:val="17"/>
              </w:rPr>
              <w:t>shock codes</w:t>
            </w:r>
          </w:p>
        </w:tc>
      </w:tr>
      <w:tr w:rsidR="0098462E" w:rsidRPr="00106032" w14:paraId="0AD4A630" w14:textId="77777777" w:rsidTr="00774A83">
        <w:trPr>
          <w:trHeight w:val="368"/>
          <w:jc w:val="center"/>
        </w:trPr>
        <w:tc>
          <w:tcPr>
            <w:tcW w:w="14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02A653" w14:textId="1AF83610" w:rsidR="0098462E" w:rsidRPr="00EB07F1" w:rsidRDefault="0098462E" w:rsidP="00C1540C">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 xml:space="preserve">Non-Severe Sepsis, Unspecified </w:t>
            </w:r>
          </w:p>
        </w:tc>
        <w:tc>
          <w:tcPr>
            <w:tcW w:w="3548" w:type="pct"/>
            <w:tcBorders>
              <w:top w:val="single" w:sz="4" w:space="0" w:color="auto"/>
              <w:left w:val="nil"/>
              <w:bottom w:val="single" w:sz="4" w:space="0" w:color="auto"/>
              <w:right w:val="single" w:sz="4" w:space="0" w:color="auto"/>
            </w:tcBorders>
            <w:vAlign w:val="center"/>
          </w:tcPr>
          <w:p w14:paraId="54B3A52E" w14:textId="19E39827" w:rsidR="0098462E" w:rsidRPr="00EB07F1" w:rsidRDefault="0098462E" w:rsidP="0098462E">
            <w:pPr>
              <w:spacing w:after="0" w:line="240" w:lineRule="auto"/>
              <w:rPr>
                <w:rFonts w:ascii="Arial" w:eastAsia="Times New Roman" w:hAnsi="Arial" w:cs="Arial"/>
                <w:color w:val="000000"/>
                <w:sz w:val="17"/>
                <w:szCs w:val="17"/>
              </w:rPr>
            </w:pPr>
            <w:r w:rsidRPr="00EB07F1">
              <w:rPr>
                <w:rFonts w:ascii="Arial" w:eastAsia="Times New Roman" w:hAnsi="Arial" w:cs="Arial"/>
                <w:color w:val="000000"/>
                <w:sz w:val="17"/>
                <w:szCs w:val="17"/>
              </w:rPr>
              <w:t xml:space="preserve">Specified by ICD-9 codes 0389 or 995.91 or ICD-10 code A419, and no severe, shock, or organism-specific </w:t>
            </w:r>
            <w:r w:rsidR="001A7798">
              <w:rPr>
                <w:rFonts w:ascii="Arial" w:eastAsia="Times New Roman" w:hAnsi="Arial" w:cs="Arial"/>
                <w:color w:val="000000"/>
                <w:sz w:val="17"/>
                <w:szCs w:val="17"/>
              </w:rPr>
              <w:t xml:space="preserve">sepsis </w:t>
            </w:r>
            <w:r w:rsidRPr="00EB07F1">
              <w:rPr>
                <w:rFonts w:ascii="Arial" w:eastAsia="Times New Roman" w:hAnsi="Arial" w:cs="Arial"/>
                <w:color w:val="000000"/>
                <w:sz w:val="17"/>
                <w:szCs w:val="17"/>
              </w:rPr>
              <w:t>codes</w:t>
            </w:r>
          </w:p>
        </w:tc>
      </w:tr>
    </w:tbl>
    <w:p w14:paraId="79CFFB67" w14:textId="075A4467" w:rsidR="00E97C6F" w:rsidRDefault="00CE1C66">
      <w:pPr>
        <w:pStyle w:val="Heading1"/>
      </w:pPr>
      <w:bookmarkStart w:id="31" w:name="_Toc32328722"/>
      <w:r>
        <w:t>Implementation: Construct</w:t>
      </w:r>
      <w:bookmarkEnd w:id="28"/>
      <w:bookmarkEnd w:id="29"/>
      <w:r w:rsidR="009073DC">
        <w:t xml:space="preserve"> Master Inpatient Stay-Level Dataset</w:t>
      </w:r>
      <w:bookmarkEnd w:id="31"/>
    </w:p>
    <w:p w14:paraId="31586DD4" w14:textId="23E121BD" w:rsidR="009C59D4" w:rsidRDefault="006F5D76" w:rsidP="009C59D4">
      <w:pPr>
        <w:rPr>
          <w:lang w:eastAsia="ja-JP"/>
        </w:rPr>
      </w:pPr>
      <w:r w:rsidRPr="00CC121B">
        <w:rPr>
          <w:lang w:eastAsia="ja-JP"/>
        </w:rPr>
        <w:t>We combine data from Analytic Streams 1 and 2 to construct a master inpatient</w:t>
      </w:r>
      <w:r>
        <w:rPr>
          <w:lang w:eastAsia="ja-JP"/>
        </w:rPr>
        <w:t xml:space="preserve"> stay-level dataset that also includes beneficiary enrollment, demographic, and mortality information</w:t>
      </w:r>
      <w:r w:rsidR="00C76EDD">
        <w:rPr>
          <w:lang w:eastAsia="ja-JP"/>
        </w:rPr>
        <w:t>.</w:t>
      </w:r>
    </w:p>
    <w:p w14:paraId="4FF77BC7" w14:textId="77777777" w:rsidR="0089358E" w:rsidRDefault="0089358E" w:rsidP="009C59D4">
      <w:pPr>
        <w:rPr>
          <w:lang w:eastAsia="ja-JP"/>
        </w:rPr>
      </w:pPr>
    </w:p>
    <w:p w14:paraId="6D2BA3B8" w14:textId="118F05F5" w:rsidR="006558D7" w:rsidRPr="006558D7" w:rsidRDefault="00AE5998" w:rsidP="006558D7">
      <w:pPr>
        <w:pStyle w:val="Heading1"/>
      </w:pPr>
      <w:bookmarkStart w:id="32" w:name="_Toc32328723"/>
      <w:r>
        <w:t xml:space="preserve">Implementation: </w:t>
      </w:r>
      <w:r w:rsidR="00CE122D" w:rsidRPr="00CE122D">
        <w:t xml:space="preserve">Develop </w:t>
      </w:r>
      <w:r w:rsidR="007C61ED">
        <w:t>M</w:t>
      </w:r>
      <w:r w:rsidR="00CE122D" w:rsidRPr="00CE122D">
        <w:t xml:space="preserve">easures of </w:t>
      </w:r>
      <w:r w:rsidR="007C61ED">
        <w:t>Health History and Healthcare Service Use Prior to Inpatient A</w:t>
      </w:r>
      <w:r w:rsidR="00CE122D">
        <w:t>dmission</w:t>
      </w:r>
      <w:bookmarkEnd w:id="32"/>
    </w:p>
    <w:p w14:paraId="11F1B437" w14:textId="744D5F78" w:rsidR="00AE5998" w:rsidRPr="006558D7" w:rsidRDefault="001C2711" w:rsidP="005B3F56">
      <w:pPr>
        <w:rPr>
          <w:rFonts w:cstheme="minorHAnsi"/>
          <w:lang w:eastAsia="ja-JP"/>
        </w:rPr>
      </w:pPr>
      <w:r>
        <w:rPr>
          <w:rFonts w:cstheme="minorHAnsi"/>
          <w:lang w:eastAsia="ja-JP"/>
        </w:rPr>
        <w:t>We use</w:t>
      </w:r>
      <w:r w:rsidR="008138FA" w:rsidRPr="006558D7">
        <w:rPr>
          <w:rFonts w:cstheme="minorHAnsi"/>
          <w:lang w:eastAsia="ja-JP"/>
        </w:rPr>
        <w:t xml:space="preserve"> hierarchical condition categories (HCC) to estimate the influence of comorbidities on the probability of sepsis hospitalization and </w:t>
      </w:r>
      <w:r w:rsidR="0041259D">
        <w:rPr>
          <w:rFonts w:cstheme="minorHAnsi"/>
          <w:lang w:eastAsia="ja-JP"/>
        </w:rPr>
        <w:t>the</w:t>
      </w:r>
      <w:r w:rsidR="008138FA" w:rsidRPr="006558D7">
        <w:rPr>
          <w:rFonts w:cstheme="minorHAnsi"/>
          <w:lang w:eastAsia="ja-JP"/>
        </w:rPr>
        <w:t xml:space="preserve"> outcomes of hospitalization. </w:t>
      </w:r>
      <w:r w:rsidR="00ED3CE8" w:rsidRPr="006558D7">
        <w:rPr>
          <w:rFonts w:cstheme="minorHAnsi"/>
          <w:lang w:eastAsia="ja-JP"/>
        </w:rPr>
        <w:t xml:space="preserve">CMS-HCC risk adjustment models are used to calculate risk scores that predict individual beneficiaries’ healthcare expenditures relative to the average beneficiary. CMS adjusts Part C payments and bids using risk scores to account for differences in health status (historic diagnoses data) and demographic characteristics (such as gender and age) of enrollees across health plans. The risk adjusted payment is largely based on assignment of diagnoses to disease groups (also known as Condition Categories (CCs)). The Condition Categories are placed into hierarchies (HCCs), reflecting severity and cost dominance. Beneficiaries get credit for the condition with the highest severity or that subsumes the costs of other conditions in the same group. Hierarchies allow for payment based on the most serious conditions when less serious conditions also exist in the respective groups. </w:t>
      </w:r>
      <w:r w:rsidR="008138FA" w:rsidRPr="006558D7">
        <w:rPr>
          <w:rFonts w:cstheme="minorHAnsi"/>
          <w:lang w:eastAsia="ja-JP"/>
        </w:rPr>
        <w:t>The associated comorbidities list for each inpatient stay was constructed using</w:t>
      </w:r>
      <w:r w:rsidR="009579FA" w:rsidRPr="006558D7">
        <w:rPr>
          <w:rFonts w:cstheme="minorHAnsi"/>
          <w:lang w:eastAsia="ja-JP"/>
        </w:rPr>
        <w:t xml:space="preserve"> diagnoses reported on</w:t>
      </w:r>
      <w:r w:rsidR="008138FA" w:rsidRPr="006558D7">
        <w:rPr>
          <w:rFonts w:cstheme="minorHAnsi"/>
          <w:lang w:eastAsia="ja-JP"/>
        </w:rPr>
        <w:t xml:space="preserve"> inpatient, outpatient, and professional claims from 12 months prior to, and inclusive of, the index admission.</w:t>
      </w:r>
      <w:r w:rsidR="00ED3CE8" w:rsidRPr="006558D7">
        <w:rPr>
          <w:rFonts w:cstheme="minorHAnsi"/>
          <w:lang w:eastAsia="ja-JP"/>
        </w:rPr>
        <w:t xml:space="preserve"> </w:t>
      </w:r>
      <w:r w:rsidR="002665EC">
        <w:rPr>
          <w:rFonts w:cstheme="minorHAnsi"/>
          <w:lang w:eastAsia="ja-JP"/>
        </w:rPr>
        <w:t>We use</w:t>
      </w:r>
      <w:r w:rsidR="001D0E9C" w:rsidRPr="006558D7">
        <w:rPr>
          <w:rFonts w:cstheme="minorHAnsi"/>
          <w:lang w:eastAsia="ja-JP"/>
        </w:rPr>
        <w:t xml:space="preserve"> Version 22 of the</w:t>
      </w:r>
      <w:r>
        <w:rPr>
          <w:rFonts w:cstheme="minorHAnsi"/>
          <w:lang w:eastAsia="ja-JP"/>
        </w:rPr>
        <w:t xml:space="preserve"> CMS-HCC risk adjustment model and t</w:t>
      </w:r>
      <w:r w:rsidR="00F52885" w:rsidRPr="006558D7">
        <w:rPr>
          <w:rFonts w:cstheme="minorHAnsi"/>
          <w:lang w:eastAsia="ja-JP"/>
        </w:rPr>
        <w:t>he diagnosis codes used to define each comorbidity are publically available on CMS’ website</w:t>
      </w:r>
      <w:r w:rsidR="006558D7">
        <w:rPr>
          <w:rFonts w:cstheme="minorHAnsi"/>
          <w:lang w:eastAsia="ja-JP"/>
        </w:rPr>
        <w:t xml:space="preserve"> </w:t>
      </w:r>
      <w:hyperlink r:id="rId12" w:history="1">
        <w:r w:rsidR="006558D7" w:rsidRPr="006558D7">
          <w:rPr>
            <w:rStyle w:val="Hyperlink"/>
            <w:rFonts w:cstheme="minorHAnsi"/>
            <w:lang w:eastAsia="ja-JP"/>
          </w:rPr>
          <w:t>here</w:t>
        </w:r>
      </w:hyperlink>
      <w:r w:rsidR="006558D7">
        <w:rPr>
          <w:rFonts w:cstheme="minorHAnsi"/>
          <w:lang w:eastAsia="ja-JP"/>
        </w:rPr>
        <w:t>.</w:t>
      </w:r>
    </w:p>
    <w:p w14:paraId="0C3537E3" w14:textId="082A9FAF" w:rsidR="00D616E0" w:rsidRPr="006558D7" w:rsidRDefault="006558D7" w:rsidP="005B3F56">
      <w:pPr>
        <w:rPr>
          <w:rFonts w:cstheme="minorHAnsi"/>
          <w:lang w:eastAsia="ja-JP"/>
        </w:rPr>
      </w:pPr>
      <w:r w:rsidRPr="006558D7">
        <w:rPr>
          <w:rFonts w:cstheme="minorHAnsi"/>
          <w:lang w:eastAsia="ja-JP"/>
        </w:rPr>
        <w:t>To calculate HCCs</w:t>
      </w:r>
      <w:r w:rsidR="00D616E0" w:rsidRPr="006558D7">
        <w:rPr>
          <w:rFonts w:cstheme="minorHAnsi"/>
          <w:lang w:eastAsia="ja-JP"/>
        </w:rPr>
        <w:t xml:space="preserve">, we must be able to observe all healthcare service use for the beneficiary in the year leading up to and including inpatient admission. Thus, beneficiaries </w:t>
      </w:r>
      <w:r w:rsidR="002665EC">
        <w:rPr>
          <w:rFonts w:cstheme="minorHAnsi"/>
          <w:lang w:eastAsia="ja-JP"/>
        </w:rPr>
        <w:t>are</w:t>
      </w:r>
      <w:r w:rsidR="00D616E0" w:rsidRPr="006558D7">
        <w:rPr>
          <w:rFonts w:cstheme="minorHAnsi"/>
          <w:lang w:eastAsia="ja-JP"/>
        </w:rPr>
        <w:t xml:space="preserve"> required to have continuous enrollment in Medicare Parts A and B but not C for the 12 months prior to their inpatient admission and the duration of their hospital stay.</w:t>
      </w:r>
    </w:p>
    <w:p w14:paraId="2D85E22C" w14:textId="1914A424" w:rsidR="00CE122D" w:rsidRPr="006558D7" w:rsidRDefault="002665EC" w:rsidP="005B3F56">
      <w:pPr>
        <w:rPr>
          <w:rFonts w:cstheme="minorHAnsi"/>
          <w:lang w:eastAsia="ja-JP"/>
        </w:rPr>
      </w:pPr>
      <w:r>
        <w:rPr>
          <w:rFonts w:cstheme="minorHAnsi"/>
          <w:lang w:eastAsia="ja-JP"/>
        </w:rPr>
        <w:t>We also create</w:t>
      </w:r>
      <w:r w:rsidR="006558D7" w:rsidRPr="006558D7">
        <w:rPr>
          <w:rFonts w:cstheme="minorHAnsi"/>
          <w:lang w:eastAsia="ja-JP"/>
        </w:rPr>
        <w:t xml:space="preserve"> p</w:t>
      </w:r>
      <w:r w:rsidR="00AE5998" w:rsidRPr="006558D7">
        <w:rPr>
          <w:rFonts w:cstheme="minorHAnsi"/>
          <w:lang w:eastAsia="ja-JP"/>
        </w:rPr>
        <w:t>receding healthcare use flags (i.e., preceding nursing facility use, preceding home health care claim)</w:t>
      </w:r>
      <w:r w:rsidR="006558D7">
        <w:rPr>
          <w:rFonts w:cstheme="minorHAnsi"/>
          <w:lang w:eastAsia="ja-JP"/>
        </w:rPr>
        <w:t xml:space="preserve"> by assessing </w:t>
      </w:r>
      <w:r>
        <w:rPr>
          <w:rFonts w:cstheme="minorHAnsi"/>
          <w:lang w:eastAsia="ja-JP"/>
        </w:rPr>
        <w:t>whether beneficiaries have</w:t>
      </w:r>
      <w:r w:rsidR="00944D2B" w:rsidRPr="006558D7">
        <w:rPr>
          <w:rFonts w:cstheme="minorHAnsi"/>
          <w:lang w:eastAsia="ja-JP"/>
        </w:rPr>
        <w:t xml:space="preserve"> any inpatient, outpatient, professional, home health, hospice, or SNF claims in the week prior to their acute inpatient admission. We also deter</w:t>
      </w:r>
      <w:r>
        <w:rPr>
          <w:rFonts w:cstheme="minorHAnsi"/>
          <w:lang w:eastAsia="ja-JP"/>
        </w:rPr>
        <w:t>mine if they have</w:t>
      </w:r>
      <w:r w:rsidR="00944D2B" w:rsidRPr="006558D7">
        <w:rPr>
          <w:rFonts w:cstheme="minorHAnsi"/>
          <w:lang w:eastAsia="ja-JP"/>
        </w:rPr>
        <w:t xml:space="preserve"> any </w:t>
      </w:r>
      <w:r w:rsidR="00D02F96" w:rsidRPr="006558D7">
        <w:rPr>
          <w:rFonts w:cstheme="minorHAnsi"/>
          <w:lang w:eastAsia="ja-JP"/>
        </w:rPr>
        <w:t xml:space="preserve">Long-Term Care Minimum Data Set (MDS) Assessments </w:t>
      </w:r>
      <w:r w:rsidR="00944D2B" w:rsidRPr="006558D7">
        <w:rPr>
          <w:rFonts w:cstheme="minorHAnsi"/>
          <w:lang w:eastAsia="ja-JP"/>
        </w:rPr>
        <w:t xml:space="preserve">in this time period indicating that they </w:t>
      </w:r>
      <w:r>
        <w:rPr>
          <w:rFonts w:cstheme="minorHAnsi"/>
          <w:lang w:eastAsia="ja-JP"/>
        </w:rPr>
        <w:t>are</w:t>
      </w:r>
      <w:r w:rsidR="00944D2B" w:rsidRPr="006558D7">
        <w:rPr>
          <w:rFonts w:cstheme="minorHAnsi"/>
          <w:lang w:eastAsia="ja-JP"/>
        </w:rPr>
        <w:t xml:space="preserve"> receiving unskilled care in a </w:t>
      </w:r>
      <w:r w:rsidR="00A55331" w:rsidRPr="006558D7">
        <w:rPr>
          <w:rFonts w:cstheme="minorHAnsi"/>
          <w:lang w:eastAsia="ja-JP"/>
        </w:rPr>
        <w:t xml:space="preserve">nursing </w:t>
      </w:r>
      <w:r w:rsidR="00944D2B" w:rsidRPr="006558D7">
        <w:rPr>
          <w:rFonts w:cstheme="minorHAnsi"/>
          <w:lang w:eastAsia="ja-JP"/>
        </w:rPr>
        <w:t>facility</w:t>
      </w:r>
      <w:r w:rsidR="00A55331" w:rsidRPr="006558D7">
        <w:rPr>
          <w:rFonts w:cstheme="minorHAnsi"/>
          <w:lang w:eastAsia="ja-JP"/>
        </w:rPr>
        <w:t xml:space="preserve"> in the week prior to </w:t>
      </w:r>
      <w:r w:rsidR="004E1F6A" w:rsidRPr="006558D7">
        <w:rPr>
          <w:rFonts w:cstheme="minorHAnsi"/>
          <w:lang w:eastAsia="ja-JP"/>
        </w:rPr>
        <w:t>their acute inpatient admission</w:t>
      </w:r>
      <w:r w:rsidR="00944D2B" w:rsidRPr="006558D7">
        <w:rPr>
          <w:rFonts w:cstheme="minorHAnsi"/>
          <w:lang w:eastAsia="ja-JP"/>
        </w:rPr>
        <w:t xml:space="preserve">. </w:t>
      </w:r>
      <w:r w:rsidR="00594E2E" w:rsidRPr="006558D7">
        <w:rPr>
          <w:rFonts w:cstheme="minorHAnsi"/>
          <w:lang w:eastAsia="ja-JP"/>
        </w:rPr>
        <w:t xml:space="preserve">All service types (except for professional claims, so that we could observe professional services associated with a global surgery period, and MDS assessments, which do not include payment data) </w:t>
      </w:r>
      <w:r>
        <w:rPr>
          <w:rFonts w:cstheme="minorHAnsi"/>
          <w:lang w:eastAsia="ja-JP"/>
        </w:rPr>
        <w:t>are</w:t>
      </w:r>
      <w:r w:rsidR="00594E2E" w:rsidRPr="006558D7">
        <w:rPr>
          <w:rFonts w:cstheme="minorHAnsi"/>
          <w:lang w:eastAsia="ja-JP"/>
        </w:rPr>
        <w:t xml:space="preserve"> restricted to those </w:t>
      </w:r>
      <w:r w:rsidR="000B7325" w:rsidRPr="006558D7">
        <w:rPr>
          <w:rFonts w:cstheme="minorHAnsi"/>
          <w:lang w:eastAsia="ja-JP"/>
        </w:rPr>
        <w:t>with</w:t>
      </w:r>
      <w:r w:rsidR="00594E2E" w:rsidRPr="006558D7">
        <w:rPr>
          <w:rFonts w:cstheme="minorHAnsi"/>
          <w:lang w:eastAsia="ja-JP"/>
        </w:rPr>
        <w:t xml:space="preserve"> positive payment amounts.</w:t>
      </w:r>
    </w:p>
    <w:p w14:paraId="080CB8A6" w14:textId="5091CAF6" w:rsidR="00857A0D" w:rsidRDefault="00AE5998" w:rsidP="00857A0D">
      <w:pPr>
        <w:pStyle w:val="Heading1"/>
      </w:pPr>
      <w:bookmarkStart w:id="33" w:name="_Toc32328724"/>
      <w:r>
        <w:t xml:space="preserve">Implementation: </w:t>
      </w:r>
      <w:r w:rsidR="007C61ED">
        <w:t>Identify Healthcare Service Use Subsequent to an Acute Inpatient D</w:t>
      </w:r>
      <w:r w:rsidRPr="00AE5998">
        <w:t>ischarge</w:t>
      </w:r>
      <w:bookmarkEnd w:id="33"/>
    </w:p>
    <w:p w14:paraId="758FB543" w14:textId="233643CB" w:rsidR="00AB64A7" w:rsidRPr="00B231D4" w:rsidRDefault="00B8632C" w:rsidP="00AB64A7">
      <w:pPr>
        <w:rPr>
          <w:rFonts w:cstheme="minorHAnsi"/>
          <w:lang w:eastAsia="ja-JP"/>
        </w:rPr>
      </w:pPr>
      <w:r>
        <w:rPr>
          <w:lang w:eastAsia="ja-JP"/>
        </w:rPr>
        <w:t xml:space="preserve">For two of our analyses, </w:t>
      </w:r>
      <w:r w:rsidR="000450FC">
        <w:rPr>
          <w:lang w:eastAsia="ja-JP"/>
        </w:rPr>
        <w:t xml:space="preserve">the </w:t>
      </w:r>
      <w:r>
        <w:rPr>
          <w:lang w:eastAsia="ja-JP"/>
        </w:rPr>
        <w:t>cost estimation an</w:t>
      </w:r>
      <w:r w:rsidR="000450FC">
        <w:rPr>
          <w:lang w:eastAsia="ja-JP"/>
        </w:rPr>
        <w:t>d post-sepsis trajectory analyse</w:t>
      </w:r>
      <w:r>
        <w:rPr>
          <w:lang w:eastAsia="ja-JP"/>
        </w:rPr>
        <w:t xml:space="preserve">s, we identify healthcare service use subsequent to an acute inpatient discharge. </w:t>
      </w:r>
      <w:r w:rsidR="009A77DB">
        <w:rPr>
          <w:lang w:eastAsia="ja-JP"/>
        </w:rPr>
        <w:t>For the c</w:t>
      </w:r>
      <w:r>
        <w:rPr>
          <w:lang w:eastAsia="ja-JP"/>
        </w:rPr>
        <w:t xml:space="preserve">ost analysis, </w:t>
      </w:r>
      <w:r>
        <w:rPr>
          <w:rFonts w:cstheme="minorHAnsi"/>
          <w:lang w:eastAsia="ja-JP"/>
        </w:rPr>
        <w:t>w</w:t>
      </w:r>
      <w:r w:rsidR="00404CDA" w:rsidRPr="00B8632C">
        <w:rPr>
          <w:rFonts w:cstheme="minorHAnsi"/>
          <w:lang w:eastAsia="ja-JP"/>
        </w:rPr>
        <w:t xml:space="preserve">e first require that a beneficiary be eligible to receive subsequent services by restricting to beneficiaries who did not die within </w:t>
      </w:r>
      <w:r w:rsidR="00404CDA" w:rsidRPr="00B8632C">
        <w:rPr>
          <w:rFonts w:cstheme="minorHAnsi"/>
          <w:lang w:eastAsia="ja-JP"/>
        </w:rPr>
        <w:lastRenderedPageBreak/>
        <w:t>a we</w:t>
      </w:r>
      <w:r>
        <w:rPr>
          <w:rFonts w:cstheme="minorHAnsi"/>
          <w:lang w:eastAsia="ja-JP"/>
        </w:rPr>
        <w:t xml:space="preserve">ek of their inpatient discharge. </w:t>
      </w:r>
      <w:r w:rsidR="00404CDA" w:rsidRPr="00181D27">
        <w:rPr>
          <w:rFonts w:cstheme="minorHAnsi"/>
          <w:lang w:eastAsia="ja-JP"/>
        </w:rPr>
        <w:t xml:space="preserve">For these beneficiaries, we then identify any subsequent SNF </w:t>
      </w:r>
      <w:r w:rsidR="00E96004" w:rsidRPr="00181D27">
        <w:rPr>
          <w:rFonts w:cstheme="minorHAnsi"/>
          <w:lang w:eastAsia="ja-JP"/>
        </w:rPr>
        <w:t>stays</w:t>
      </w:r>
      <w:r w:rsidR="00404CDA" w:rsidRPr="00181D27">
        <w:rPr>
          <w:rFonts w:cstheme="minorHAnsi"/>
          <w:lang w:eastAsia="ja-JP"/>
        </w:rPr>
        <w:t xml:space="preserve"> that have a start date within 90 days of inpatient discharge.</w:t>
      </w:r>
      <w:r w:rsidR="00396891" w:rsidRPr="00181D27">
        <w:rPr>
          <w:lang w:eastAsia="ja-JP"/>
        </w:rPr>
        <w:t xml:space="preserve"> We use the following </w:t>
      </w:r>
      <w:r w:rsidR="00396891" w:rsidRPr="00181D27">
        <w:rPr>
          <w:rFonts w:cstheme="minorHAnsi"/>
          <w:lang w:eastAsia="ja-JP"/>
        </w:rPr>
        <w:t>p</w:t>
      </w:r>
      <w:r w:rsidR="00615894" w:rsidRPr="00181D27">
        <w:rPr>
          <w:rFonts w:cstheme="minorHAnsi"/>
          <w:lang w:eastAsia="ja-JP"/>
        </w:rPr>
        <w:t xml:space="preserve">ayment variables to calculate </w:t>
      </w:r>
      <w:r w:rsidR="00E96004" w:rsidRPr="00181D27">
        <w:rPr>
          <w:rFonts w:cstheme="minorHAnsi"/>
          <w:lang w:eastAsia="ja-JP"/>
        </w:rPr>
        <w:t>total subsequent SNF</w:t>
      </w:r>
      <w:r w:rsidR="00615894" w:rsidRPr="00181D27">
        <w:rPr>
          <w:rFonts w:cstheme="minorHAnsi"/>
          <w:lang w:eastAsia="ja-JP"/>
        </w:rPr>
        <w:t xml:space="preserve"> </w:t>
      </w:r>
      <w:r w:rsidR="005414CE">
        <w:rPr>
          <w:rFonts w:cstheme="minorHAnsi"/>
          <w:lang w:eastAsia="ja-JP"/>
        </w:rPr>
        <w:t>payment</w:t>
      </w:r>
      <w:r w:rsidR="00396891" w:rsidRPr="00181D27">
        <w:rPr>
          <w:rFonts w:cstheme="minorHAnsi"/>
          <w:lang w:eastAsia="ja-JP"/>
        </w:rPr>
        <w:t>:</w:t>
      </w:r>
      <w:r w:rsidR="005414CE">
        <w:rPr>
          <w:rFonts w:cstheme="minorHAnsi"/>
          <w:lang w:eastAsia="ja-JP"/>
        </w:rPr>
        <w:t xml:space="preserve"> </w:t>
      </w:r>
      <w:r w:rsidR="00E03851" w:rsidRPr="00E03851">
        <w:rPr>
          <w:rFonts w:ascii="Courier New" w:hAnsi="Courier New" w:cs="Courier New"/>
          <w:lang w:eastAsia="ja-JP"/>
        </w:rPr>
        <w:t>PMT_AMT</w:t>
      </w:r>
      <w:r w:rsidR="00E03851">
        <w:rPr>
          <w:rFonts w:cstheme="minorHAnsi"/>
          <w:lang w:eastAsia="ja-JP"/>
        </w:rPr>
        <w:t xml:space="preserve">, </w:t>
      </w:r>
      <w:r w:rsidR="00B01A1F" w:rsidRPr="00181D27">
        <w:rPr>
          <w:rFonts w:ascii="Courier New" w:hAnsi="Courier New" w:cs="Courier New"/>
          <w:lang w:eastAsia="ja-JP"/>
        </w:rPr>
        <w:t>PRPAYMT</w:t>
      </w:r>
      <w:r w:rsidR="00B01A1F" w:rsidRPr="00181D27">
        <w:rPr>
          <w:rFonts w:cstheme="minorHAnsi"/>
          <w:lang w:eastAsia="ja-JP"/>
        </w:rPr>
        <w:t xml:space="preserve">, </w:t>
      </w:r>
      <w:r w:rsidR="00B01A1F" w:rsidRPr="00181D27">
        <w:rPr>
          <w:rFonts w:ascii="Courier New" w:hAnsi="Courier New" w:cs="Courier New"/>
          <w:lang w:eastAsia="ja-JP"/>
        </w:rPr>
        <w:t>DED_AMT</w:t>
      </w:r>
      <w:r w:rsidR="00B01A1F" w:rsidRPr="00181D27">
        <w:rPr>
          <w:rFonts w:cstheme="minorHAnsi"/>
          <w:lang w:eastAsia="ja-JP"/>
        </w:rPr>
        <w:t xml:space="preserve">, </w:t>
      </w:r>
      <w:r w:rsidR="00B01A1F" w:rsidRPr="00181D27">
        <w:rPr>
          <w:rFonts w:ascii="Courier New" w:hAnsi="Courier New" w:cs="Courier New"/>
          <w:lang w:eastAsia="ja-JP"/>
        </w:rPr>
        <w:t>COIN_AMT</w:t>
      </w:r>
      <w:r w:rsidR="00B01A1F" w:rsidRPr="00181D27">
        <w:rPr>
          <w:rFonts w:cstheme="minorHAnsi"/>
          <w:lang w:eastAsia="ja-JP"/>
        </w:rPr>
        <w:t xml:space="preserve">, </w:t>
      </w:r>
      <w:r w:rsidR="00B01A1F" w:rsidRPr="00181D27">
        <w:rPr>
          <w:rFonts w:ascii="Courier New" w:hAnsi="Courier New" w:cs="Courier New"/>
          <w:lang w:eastAsia="ja-JP"/>
        </w:rPr>
        <w:t>BLDDEDAM</w:t>
      </w:r>
      <w:r w:rsidR="00E96004" w:rsidRPr="00181D27">
        <w:rPr>
          <w:rFonts w:cstheme="minorHAnsi"/>
          <w:lang w:eastAsia="ja-JP"/>
        </w:rPr>
        <w:t>. We also calculate total SNF beneficiary payments using the following variables:</w:t>
      </w:r>
      <w:r w:rsidR="00B01A1F" w:rsidRPr="00181D27">
        <w:rPr>
          <w:rFonts w:cstheme="minorHAnsi"/>
          <w:lang w:eastAsia="ja-JP"/>
        </w:rPr>
        <w:t xml:space="preserve"> </w:t>
      </w:r>
      <w:r w:rsidR="00B01A1F" w:rsidRPr="00181D27">
        <w:rPr>
          <w:rFonts w:ascii="Courier New" w:hAnsi="Courier New" w:cs="Courier New"/>
          <w:lang w:eastAsia="ja-JP"/>
        </w:rPr>
        <w:t>DED_AMT</w:t>
      </w:r>
      <w:r w:rsidR="00B01A1F" w:rsidRPr="00181D27">
        <w:rPr>
          <w:rFonts w:cstheme="minorHAnsi"/>
          <w:lang w:eastAsia="ja-JP"/>
        </w:rPr>
        <w:t xml:space="preserve">, </w:t>
      </w:r>
      <w:r w:rsidR="00B01A1F" w:rsidRPr="00181D27">
        <w:rPr>
          <w:rFonts w:ascii="Courier New" w:hAnsi="Courier New" w:cs="Courier New"/>
          <w:lang w:eastAsia="ja-JP"/>
        </w:rPr>
        <w:t>COIN_AMT</w:t>
      </w:r>
      <w:r w:rsidR="00B01A1F" w:rsidRPr="00181D27">
        <w:rPr>
          <w:rFonts w:cstheme="minorHAnsi"/>
          <w:lang w:eastAsia="ja-JP"/>
        </w:rPr>
        <w:t xml:space="preserve">, </w:t>
      </w:r>
      <w:r w:rsidR="00B01A1F" w:rsidRPr="00181D27">
        <w:rPr>
          <w:rFonts w:ascii="Courier New" w:hAnsi="Courier New" w:cs="Courier New"/>
          <w:lang w:eastAsia="ja-JP"/>
        </w:rPr>
        <w:t>BLDDEDAM</w:t>
      </w:r>
      <w:r w:rsidR="00B231D4" w:rsidRPr="00181D27">
        <w:rPr>
          <w:rFonts w:cstheme="minorHAnsi"/>
          <w:lang w:eastAsia="ja-JP"/>
        </w:rPr>
        <w:t xml:space="preserve">. </w:t>
      </w:r>
      <w:r w:rsidR="00396891" w:rsidRPr="00181D27">
        <w:rPr>
          <w:lang w:eastAsia="ja-JP"/>
        </w:rPr>
        <w:t xml:space="preserve">Note that </w:t>
      </w:r>
      <w:r w:rsidR="00396891" w:rsidRPr="00181D27">
        <w:rPr>
          <w:rFonts w:cstheme="minorHAnsi"/>
          <w:lang w:eastAsia="ja-JP"/>
        </w:rPr>
        <w:t xml:space="preserve">we do not </w:t>
      </w:r>
      <w:r w:rsidR="00B231D4" w:rsidRPr="00181D27">
        <w:rPr>
          <w:rFonts w:cstheme="minorHAnsi"/>
          <w:lang w:eastAsia="ja-JP"/>
        </w:rPr>
        <w:t>impose</w:t>
      </w:r>
      <w:r w:rsidR="00396891" w:rsidRPr="00181D27">
        <w:rPr>
          <w:rFonts w:cstheme="minorHAnsi"/>
          <w:lang w:eastAsia="ja-JP"/>
        </w:rPr>
        <w:t xml:space="preserve"> a c</w:t>
      </w:r>
      <w:r w:rsidR="00B231D4" w:rsidRPr="00181D27">
        <w:rPr>
          <w:rFonts w:cstheme="minorHAnsi"/>
          <w:lang w:eastAsia="ja-JP"/>
        </w:rPr>
        <w:t xml:space="preserve">lean period restriction that would require beneficiaries to have had </w:t>
      </w:r>
      <w:r w:rsidR="002058E6">
        <w:rPr>
          <w:rFonts w:cstheme="minorHAnsi"/>
          <w:lang w:eastAsia="ja-JP"/>
        </w:rPr>
        <w:t>no</w:t>
      </w:r>
      <w:r w:rsidR="00B231D4" w:rsidRPr="00181D27">
        <w:rPr>
          <w:rFonts w:cstheme="minorHAnsi"/>
          <w:lang w:eastAsia="ja-JP"/>
        </w:rPr>
        <w:t xml:space="preserve"> prior IP sepsis stay.</w:t>
      </w:r>
      <w:r w:rsidR="00B231D4" w:rsidRPr="00B01A1F">
        <w:rPr>
          <w:rFonts w:cstheme="minorHAnsi"/>
          <w:lang w:eastAsia="ja-JP"/>
        </w:rPr>
        <w:t xml:space="preserve"> </w:t>
      </w:r>
    </w:p>
    <w:p w14:paraId="1E5A3490" w14:textId="141BAD2D" w:rsidR="00197C80" w:rsidRPr="009A77DB" w:rsidRDefault="009A77DB" w:rsidP="009A77DB">
      <w:pPr>
        <w:rPr>
          <w:rFonts w:cstheme="minorHAnsi"/>
          <w:lang w:eastAsia="ja-JP"/>
        </w:rPr>
      </w:pPr>
      <w:r>
        <w:rPr>
          <w:rFonts w:cstheme="minorHAnsi"/>
          <w:lang w:eastAsia="ja-JP"/>
        </w:rPr>
        <w:t>For the trajectories analysis</w:t>
      </w:r>
      <w:r w:rsidR="00273F87">
        <w:rPr>
          <w:rFonts w:cstheme="minorHAnsi"/>
          <w:lang w:eastAsia="ja-JP"/>
        </w:rPr>
        <w:t>,</w:t>
      </w:r>
      <w:r>
        <w:rPr>
          <w:rFonts w:cstheme="minorHAnsi"/>
          <w:lang w:eastAsia="ja-JP"/>
        </w:rPr>
        <w:t xml:space="preserve"> we restrict </w:t>
      </w:r>
      <w:r w:rsidR="009F2EDB" w:rsidRPr="009A77DB">
        <w:rPr>
          <w:rFonts w:ascii="Arial" w:hAnsi="Arial" w:cs="Arial"/>
          <w:lang w:eastAsia="ja-JP"/>
        </w:rPr>
        <w:t>IP stays at the beginning of a trajectory to Acute IP stays wi</w:t>
      </w:r>
      <w:r>
        <w:rPr>
          <w:rFonts w:ascii="Arial" w:hAnsi="Arial" w:cs="Arial"/>
          <w:lang w:eastAsia="ja-JP"/>
        </w:rPr>
        <w:t>th start dates between 2012 and 2017</w:t>
      </w:r>
      <w:r w:rsidR="009F2EDB" w:rsidRPr="009A77DB">
        <w:rPr>
          <w:rFonts w:ascii="Arial" w:hAnsi="Arial" w:cs="Arial"/>
          <w:lang w:eastAsia="ja-JP"/>
        </w:rPr>
        <w:t xml:space="preserve"> and those for which the beneficiary ha</w:t>
      </w:r>
      <w:r w:rsidR="002665EC">
        <w:rPr>
          <w:rFonts w:ascii="Arial" w:hAnsi="Arial" w:cs="Arial"/>
          <w:lang w:eastAsia="ja-JP"/>
        </w:rPr>
        <w:t>s</w:t>
      </w:r>
      <w:r w:rsidR="009F2EDB" w:rsidRPr="009A77DB">
        <w:rPr>
          <w:rFonts w:ascii="Arial" w:hAnsi="Arial" w:cs="Arial"/>
          <w:lang w:eastAsia="ja-JP"/>
        </w:rPr>
        <w:t xml:space="preserve"> no IP stays in the prior year. Subsequent IP, SNF</w:t>
      </w:r>
      <w:r w:rsidR="00774584" w:rsidRPr="009A77DB">
        <w:rPr>
          <w:rFonts w:ascii="Arial" w:hAnsi="Arial" w:cs="Arial"/>
          <w:lang w:eastAsia="ja-JP"/>
        </w:rPr>
        <w:t>,</w:t>
      </w:r>
      <w:r w:rsidR="009F2EDB" w:rsidRPr="009A77DB">
        <w:rPr>
          <w:rFonts w:ascii="Arial" w:hAnsi="Arial" w:cs="Arial"/>
          <w:lang w:eastAsia="ja-JP"/>
        </w:rPr>
        <w:t xml:space="preserve"> hospice </w:t>
      </w:r>
      <w:r w:rsidR="00822CBB">
        <w:rPr>
          <w:rFonts w:ascii="Arial" w:hAnsi="Arial" w:cs="Arial"/>
          <w:lang w:eastAsia="ja-JP"/>
        </w:rPr>
        <w:t xml:space="preserve">and home health </w:t>
      </w:r>
      <w:r w:rsidR="009F2EDB" w:rsidRPr="009A77DB">
        <w:rPr>
          <w:rFonts w:ascii="Arial" w:hAnsi="Arial" w:cs="Arial"/>
          <w:lang w:eastAsia="ja-JP"/>
        </w:rPr>
        <w:t>stays</w:t>
      </w:r>
      <w:r w:rsidR="007022A8" w:rsidRPr="009A77DB">
        <w:rPr>
          <w:rFonts w:ascii="Arial" w:hAnsi="Arial" w:cs="Arial"/>
          <w:lang w:eastAsia="ja-JP"/>
        </w:rPr>
        <w:t xml:space="preserve"> as well as MDS assessment</w:t>
      </w:r>
      <w:r w:rsidR="00A070F5">
        <w:rPr>
          <w:rFonts w:ascii="Arial" w:hAnsi="Arial" w:cs="Arial"/>
          <w:lang w:eastAsia="ja-JP"/>
        </w:rPr>
        <w:t>s</w:t>
      </w:r>
      <w:r w:rsidR="009F2EDB" w:rsidRPr="009A77DB">
        <w:rPr>
          <w:rFonts w:ascii="Arial" w:hAnsi="Arial" w:cs="Arial"/>
          <w:lang w:eastAsia="ja-JP"/>
        </w:rPr>
        <w:t xml:space="preserve"> </w:t>
      </w:r>
      <w:r w:rsidR="002665EC">
        <w:rPr>
          <w:rFonts w:ascii="Arial" w:hAnsi="Arial" w:cs="Arial"/>
          <w:lang w:eastAsia="ja-JP"/>
        </w:rPr>
        <w:t>are</w:t>
      </w:r>
      <w:r w:rsidR="009F2EDB" w:rsidRPr="009A77DB">
        <w:rPr>
          <w:rFonts w:ascii="Arial" w:hAnsi="Arial" w:cs="Arial"/>
          <w:lang w:eastAsia="ja-JP"/>
        </w:rPr>
        <w:t xml:space="preserve"> tracked over the 6-month period after the end of the initial Acute IP stay.</w:t>
      </w:r>
      <w:r w:rsidR="006F721E" w:rsidRPr="009A77DB">
        <w:rPr>
          <w:rFonts w:ascii="Arial" w:hAnsi="Arial" w:cs="Arial"/>
          <w:lang w:eastAsia="ja-JP"/>
        </w:rPr>
        <w:t xml:space="preserve"> All stays </w:t>
      </w:r>
      <w:r w:rsidR="002665EC">
        <w:rPr>
          <w:rFonts w:ascii="Arial" w:hAnsi="Arial" w:cs="Arial"/>
          <w:lang w:eastAsia="ja-JP"/>
        </w:rPr>
        <w:t>are</w:t>
      </w:r>
      <w:r w:rsidR="006F721E" w:rsidRPr="009A77DB">
        <w:rPr>
          <w:rFonts w:ascii="Arial" w:hAnsi="Arial" w:cs="Arial"/>
          <w:lang w:eastAsia="ja-JP"/>
        </w:rPr>
        <w:t xml:space="preserve"> restricted to those with positive payment amounts.</w:t>
      </w:r>
      <w:r>
        <w:rPr>
          <w:rFonts w:cstheme="minorHAnsi"/>
          <w:lang w:eastAsia="ja-JP"/>
        </w:rPr>
        <w:t xml:space="preserve"> The </w:t>
      </w:r>
      <w:r>
        <w:rPr>
          <w:rFonts w:ascii="Arial" w:hAnsi="Arial" w:cs="Arial"/>
        </w:rPr>
        <w:t>post-sepsis t</w:t>
      </w:r>
      <w:r w:rsidR="00181311" w:rsidRPr="009A77DB">
        <w:rPr>
          <w:rFonts w:ascii="Arial" w:hAnsi="Arial" w:cs="Arial"/>
        </w:rPr>
        <w:t xml:space="preserve">rajectories are restricted to those in which the beneficiary </w:t>
      </w:r>
      <w:r w:rsidR="002665EC">
        <w:rPr>
          <w:rFonts w:ascii="Arial" w:hAnsi="Arial" w:cs="Arial"/>
        </w:rPr>
        <w:t>is</w:t>
      </w:r>
      <w:r w:rsidR="00181311" w:rsidRPr="009A77DB">
        <w:rPr>
          <w:rFonts w:ascii="Arial" w:hAnsi="Arial" w:cs="Arial"/>
        </w:rPr>
        <w:t xml:space="preserve"> enrolled in Medicare Parts A and B but not Part C starting from the year prior to the start of their trajectory and continuing up until the beneficiary's death or until end of their 6-month trajectory period.</w:t>
      </w:r>
    </w:p>
    <w:p w14:paraId="47F2CBA7" w14:textId="77777777" w:rsidR="00AB64A7" w:rsidRDefault="00AB64A7" w:rsidP="009C59D4">
      <w:pPr>
        <w:contextualSpacing/>
      </w:pPr>
    </w:p>
    <w:p w14:paraId="42C5B8C7" w14:textId="15A1A485" w:rsidR="00AC6FD7" w:rsidRPr="0029481D" w:rsidRDefault="00AC6FD7">
      <w:pPr>
        <w:spacing w:line="259" w:lineRule="auto"/>
      </w:pPr>
    </w:p>
    <w:p w14:paraId="0323EF0A" w14:textId="77777777" w:rsidR="00DE52A8" w:rsidRDefault="00DE52A8">
      <w:pPr>
        <w:spacing w:line="259" w:lineRule="auto"/>
        <w:rPr>
          <w:rFonts w:ascii="Arial" w:eastAsiaTheme="majorEastAsia" w:hAnsi="Arial" w:cstheme="majorBidi"/>
          <w:bCs/>
          <w:caps/>
          <w:color w:val="595959" w:themeColor="text1" w:themeTint="A6"/>
          <w:sz w:val="24"/>
          <w:szCs w:val="24"/>
          <w:lang w:eastAsia="ja-JP"/>
        </w:rPr>
      </w:pPr>
      <w:r>
        <w:br w:type="page"/>
      </w:r>
    </w:p>
    <w:p w14:paraId="1D19D9F7" w14:textId="3C46CC99" w:rsidR="00F61C36" w:rsidRDefault="00F61C36" w:rsidP="00F61C36">
      <w:pPr>
        <w:pStyle w:val="Heading1"/>
        <w:numPr>
          <w:ilvl w:val="0"/>
          <w:numId w:val="0"/>
        </w:numPr>
        <w:ind w:left="432" w:hanging="432"/>
      </w:pPr>
      <w:bookmarkStart w:id="34" w:name="_Toc32328725"/>
      <w:r>
        <w:lastRenderedPageBreak/>
        <w:t>Appendix</w:t>
      </w:r>
      <w:r w:rsidR="00AC6FD7">
        <w:t xml:space="preserve"> A: Acronyms and Abbreviations</w:t>
      </w:r>
      <w:bookmarkEnd w:id="34"/>
    </w:p>
    <w:p w14:paraId="5E215939" w14:textId="1669D314" w:rsidR="00AC6FD7" w:rsidRDefault="00AC6FD7" w:rsidP="00AC6FD7">
      <w:pPr>
        <w:rPr>
          <w:lang w:eastAsia="ja-JP"/>
        </w:rPr>
      </w:pPr>
      <w:r>
        <w:rPr>
          <w:lang w:eastAsia="ja-JP"/>
        </w:rPr>
        <w:t>This section lists the acronyms and abbreviations referenced throughout this document.</w:t>
      </w:r>
    </w:p>
    <w:p w14:paraId="4B579093" w14:textId="77777777" w:rsidR="00AC6FD7" w:rsidRDefault="00AC6FD7" w:rsidP="00AC6FD7">
      <w:pPr>
        <w:rPr>
          <w:lang w:eastAsia="ja-JP"/>
        </w:rPr>
      </w:pPr>
    </w:p>
    <w:p w14:paraId="76BBEB8D" w14:textId="5BF8446C" w:rsidR="00DE4710" w:rsidRDefault="00DE4710" w:rsidP="00AC6FD7">
      <w:r>
        <w:t>CMS</w:t>
      </w:r>
      <w:r>
        <w:tab/>
      </w:r>
      <w:r>
        <w:tab/>
        <w:t>Centers for Medicare &amp; Medicaid Services</w:t>
      </w:r>
    </w:p>
    <w:p w14:paraId="2248648E" w14:textId="77777777" w:rsidR="00DE4710" w:rsidRDefault="00DE4710" w:rsidP="00AC6FD7">
      <w:pPr>
        <w:rPr>
          <w:lang w:eastAsia="ja-JP"/>
        </w:rPr>
      </w:pPr>
      <w:r>
        <w:rPr>
          <w:lang w:eastAsia="ja-JP"/>
        </w:rPr>
        <w:t>CWF</w:t>
      </w:r>
      <w:r>
        <w:rPr>
          <w:lang w:eastAsia="ja-JP"/>
        </w:rPr>
        <w:tab/>
      </w:r>
      <w:r>
        <w:rPr>
          <w:lang w:eastAsia="ja-JP"/>
        </w:rPr>
        <w:tab/>
        <w:t>Common Working File</w:t>
      </w:r>
    </w:p>
    <w:p w14:paraId="4E465774" w14:textId="77777777" w:rsidR="00DE4710" w:rsidRDefault="00DE4710" w:rsidP="00AC6FD7">
      <w:r>
        <w:t>DME</w:t>
      </w:r>
      <w:r>
        <w:tab/>
      </w:r>
      <w:r>
        <w:tab/>
        <w:t>Durable Medical Equipment</w:t>
      </w:r>
    </w:p>
    <w:p w14:paraId="7B95DBFF" w14:textId="77777777" w:rsidR="00DE4710" w:rsidRDefault="00DE4710" w:rsidP="00AC6FD7">
      <w:pPr>
        <w:rPr>
          <w:lang w:eastAsia="ja-JP"/>
        </w:rPr>
      </w:pPr>
      <w:r>
        <w:rPr>
          <w:lang w:eastAsia="ja-JP"/>
        </w:rPr>
        <w:t>EDB</w:t>
      </w:r>
      <w:r>
        <w:rPr>
          <w:lang w:eastAsia="ja-JP"/>
        </w:rPr>
        <w:tab/>
      </w:r>
      <w:r>
        <w:rPr>
          <w:lang w:eastAsia="ja-JP"/>
        </w:rPr>
        <w:tab/>
        <w:t>Enrollment Database</w:t>
      </w:r>
    </w:p>
    <w:p w14:paraId="3F25C431" w14:textId="77777777" w:rsidR="00DE4710" w:rsidRDefault="00DE4710" w:rsidP="00AC6FD7">
      <w:pPr>
        <w:rPr>
          <w:lang w:eastAsia="ja-JP"/>
        </w:rPr>
      </w:pPr>
      <w:r>
        <w:rPr>
          <w:lang w:eastAsia="ja-JP"/>
        </w:rPr>
        <w:t>EDS</w:t>
      </w:r>
      <w:r>
        <w:rPr>
          <w:lang w:eastAsia="ja-JP"/>
        </w:rPr>
        <w:tab/>
      </w:r>
      <w:r>
        <w:rPr>
          <w:lang w:eastAsia="ja-JP"/>
        </w:rPr>
        <w:tab/>
        <w:t>Encounter Data System</w:t>
      </w:r>
    </w:p>
    <w:p w14:paraId="26E45DB3" w14:textId="77777777" w:rsidR="00DE4710" w:rsidRDefault="00DE4710" w:rsidP="00AC6FD7">
      <w:pPr>
        <w:rPr>
          <w:lang w:eastAsia="ja-JP"/>
        </w:rPr>
      </w:pPr>
      <w:r>
        <w:rPr>
          <w:lang w:eastAsia="ja-JP"/>
        </w:rPr>
        <w:t>ESRD</w:t>
      </w:r>
      <w:r>
        <w:rPr>
          <w:lang w:eastAsia="ja-JP"/>
        </w:rPr>
        <w:tab/>
      </w:r>
      <w:r>
        <w:rPr>
          <w:lang w:eastAsia="ja-JP"/>
        </w:rPr>
        <w:tab/>
        <w:t>End-Stage Renal Disease</w:t>
      </w:r>
    </w:p>
    <w:p w14:paraId="21EB63F6" w14:textId="77777777" w:rsidR="00DE4710" w:rsidRDefault="00DE4710" w:rsidP="00AC6FD7">
      <w:pPr>
        <w:rPr>
          <w:lang w:eastAsia="ja-JP"/>
        </w:rPr>
      </w:pPr>
      <w:r>
        <w:rPr>
          <w:lang w:eastAsia="ja-JP"/>
        </w:rPr>
        <w:t>FFS</w:t>
      </w:r>
      <w:r>
        <w:rPr>
          <w:lang w:eastAsia="ja-JP"/>
        </w:rPr>
        <w:tab/>
      </w:r>
      <w:r>
        <w:rPr>
          <w:lang w:eastAsia="ja-JP"/>
        </w:rPr>
        <w:tab/>
        <w:t>Fee-For-Service</w:t>
      </w:r>
    </w:p>
    <w:p w14:paraId="5E66963A" w14:textId="77777777" w:rsidR="00DE4710" w:rsidRDefault="00DE4710" w:rsidP="00AC6FD7">
      <w:r>
        <w:t>HH</w:t>
      </w:r>
      <w:r>
        <w:tab/>
      </w:r>
      <w:r>
        <w:tab/>
        <w:t>Home Health</w:t>
      </w:r>
    </w:p>
    <w:p w14:paraId="209E2250" w14:textId="77777777" w:rsidR="00DE4710" w:rsidRPr="00AC6FD7" w:rsidRDefault="00DE4710" w:rsidP="00AC6FD7">
      <w:pPr>
        <w:rPr>
          <w:lang w:eastAsia="ja-JP"/>
        </w:rPr>
      </w:pPr>
      <w:r>
        <w:t>HS</w:t>
      </w:r>
      <w:r>
        <w:tab/>
      </w:r>
      <w:r>
        <w:tab/>
        <w:t>Hospice</w:t>
      </w:r>
    </w:p>
    <w:p w14:paraId="5867715C" w14:textId="1374C40C" w:rsidR="00792598" w:rsidRDefault="00792598" w:rsidP="00AC6FD7">
      <w:r>
        <w:t>IDR</w:t>
      </w:r>
      <w:r>
        <w:tab/>
      </w:r>
      <w:r>
        <w:tab/>
        <w:t>Integrated Data Repository</w:t>
      </w:r>
    </w:p>
    <w:p w14:paraId="6D971879" w14:textId="77777777" w:rsidR="00DE4710" w:rsidRDefault="00DE4710" w:rsidP="00AC6FD7">
      <w:r>
        <w:t>IP</w:t>
      </w:r>
      <w:r>
        <w:tab/>
      </w:r>
      <w:r>
        <w:tab/>
        <w:t>Inpatient</w:t>
      </w:r>
    </w:p>
    <w:p w14:paraId="5892C9C0" w14:textId="77777777" w:rsidR="00DE4710" w:rsidRDefault="00DE4710" w:rsidP="00AC6FD7">
      <w:pPr>
        <w:rPr>
          <w:lang w:eastAsia="ja-JP"/>
        </w:rPr>
      </w:pPr>
      <w:r>
        <w:rPr>
          <w:lang w:eastAsia="ja-JP"/>
        </w:rPr>
        <w:t>MA</w:t>
      </w:r>
      <w:r>
        <w:rPr>
          <w:lang w:eastAsia="ja-JP"/>
        </w:rPr>
        <w:tab/>
      </w:r>
      <w:r>
        <w:rPr>
          <w:lang w:eastAsia="ja-JP"/>
        </w:rPr>
        <w:tab/>
        <w:t>Medicare Advantage</w:t>
      </w:r>
    </w:p>
    <w:p w14:paraId="1252A4E4" w14:textId="77777777" w:rsidR="00DE4710" w:rsidRDefault="00DE4710" w:rsidP="00AC6FD7">
      <w:pPr>
        <w:rPr>
          <w:lang w:eastAsia="ja-JP"/>
        </w:rPr>
      </w:pPr>
      <w:r>
        <w:rPr>
          <w:lang w:eastAsia="ja-JP"/>
        </w:rPr>
        <w:t>MDS</w:t>
      </w:r>
      <w:r>
        <w:rPr>
          <w:lang w:eastAsia="ja-JP"/>
        </w:rPr>
        <w:tab/>
      </w:r>
      <w:r>
        <w:rPr>
          <w:lang w:eastAsia="ja-JP"/>
        </w:rPr>
        <w:tab/>
        <w:t>Long-Term Care Minimum Dataset</w:t>
      </w:r>
    </w:p>
    <w:p w14:paraId="078C8604" w14:textId="77777777" w:rsidR="00DE4710" w:rsidRPr="00217610" w:rsidRDefault="00DE4710" w:rsidP="00217610">
      <w:pPr>
        <w:pStyle w:val="Footer"/>
        <w:tabs>
          <w:tab w:val="clear" w:pos="4680"/>
          <w:tab w:val="clear" w:pos="9360"/>
        </w:tabs>
        <w:spacing w:after="160" w:line="276" w:lineRule="auto"/>
        <w:rPr>
          <w:rFonts w:asciiTheme="minorHAnsi" w:eastAsiaTheme="minorHAnsi" w:hAnsiTheme="minorHAnsi"/>
        </w:rPr>
      </w:pPr>
      <w:r w:rsidRPr="00217610">
        <w:rPr>
          <w:rFonts w:asciiTheme="minorHAnsi" w:eastAsiaTheme="minorHAnsi" w:hAnsiTheme="minorHAnsi"/>
        </w:rPr>
        <w:t>MMA</w:t>
      </w:r>
      <w:r w:rsidRPr="00217610">
        <w:rPr>
          <w:rFonts w:asciiTheme="minorHAnsi" w:eastAsiaTheme="minorHAnsi" w:hAnsiTheme="minorHAnsi"/>
        </w:rPr>
        <w:tab/>
      </w:r>
      <w:r w:rsidRPr="00217610">
        <w:rPr>
          <w:rFonts w:asciiTheme="minorHAnsi" w:eastAsiaTheme="minorHAnsi" w:hAnsiTheme="minorHAnsi"/>
        </w:rPr>
        <w:tab/>
        <w:t>Major Metropolitan Area</w:t>
      </w:r>
    </w:p>
    <w:p w14:paraId="34FDE9FF" w14:textId="77777777" w:rsidR="00DE4710" w:rsidRDefault="00DE4710" w:rsidP="00AC6FD7">
      <w:r>
        <w:rPr>
          <w:lang w:eastAsia="ja-JP"/>
        </w:rPr>
        <w:t>NPPES</w:t>
      </w:r>
      <w:r>
        <w:rPr>
          <w:lang w:eastAsia="ja-JP"/>
        </w:rPr>
        <w:tab/>
      </w:r>
      <w:r>
        <w:rPr>
          <w:lang w:eastAsia="ja-JP"/>
        </w:rPr>
        <w:tab/>
      </w:r>
      <w:r w:rsidRPr="00217610">
        <w:t>National Plan and Provider Enumeration System</w:t>
      </w:r>
    </w:p>
    <w:p w14:paraId="0C06AB5D" w14:textId="77777777" w:rsidR="00DE4710" w:rsidRDefault="00DE4710" w:rsidP="00AC6FD7">
      <w:r>
        <w:t>OP</w:t>
      </w:r>
      <w:r>
        <w:tab/>
      </w:r>
      <w:r>
        <w:tab/>
        <w:t>Outpatient</w:t>
      </w:r>
    </w:p>
    <w:p w14:paraId="76E8CC73" w14:textId="77777777" w:rsidR="00DE4710" w:rsidRDefault="00DE4710" w:rsidP="00AC6FD7">
      <w:r>
        <w:t>PB</w:t>
      </w:r>
      <w:r>
        <w:tab/>
      </w:r>
      <w:r>
        <w:tab/>
        <w:t>Physician Services</w:t>
      </w:r>
    </w:p>
    <w:sectPr w:rsidR="00DE4710" w:rsidSect="00197C80">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C6D88" w14:textId="77777777" w:rsidR="00A30776" w:rsidRDefault="00A30776">
      <w:pPr>
        <w:spacing w:after="0" w:line="240" w:lineRule="auto"/>
      </w:pPr>
      <w:r>
        <w:separator/>
      </w:r>
    </w:p>
    <w:p w14:paraId="68C2D19F" w14:textId="77777777" w:rsidR="00A30776" w:rsidRDefault="00A30776"/>
  </w:endnote>
  <w:endnote w:type="continuationSeparator" w:id="0">
    <w:p w14:paraId="6FE03B2A" w14:textId="77777777" w:rsidR="00A30776" w:rsidRDefault="00A30776">
      <w:pPr>
        <w:spacing w:after="0" w:line="240" w:lineRule="auto"/>
      </w:pPr>
      <w:r>
        <w:continuationSeparator/>
      </w:r>
    </w:p>
    <w:p w14:paraId="084AA1BD" w14:textId="77777777" w:rsidR="00A30776" w:rsidRDefault="00A30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7A26" w14:textId="15F5AF0D" w:rsidR="00663C29" w:rsidRDefault="00663C29">
    <w:pPr>
      <w:pStyle w:val="Footer"/>
    </w:pPr>
    <w:r>
      <w:rPr>
        <w:rFonts w:cs="Arial"/>
        <w:sz w:val="18"/>
        <w:szCs w:val="18"/>
      </w:rPr>
      <w:t>HHS Solving Sepsis Framework and Algorithm Specifications</w:t>
    </w:r>
    <w:r w:rsidRPr="00942C94">
      <w:rPr>
        <w:rFonts w:cs="Arial"/>
        <w:sz w:val="18"/>
        <w:szCs w:val="18"/>
      </w:rPr>
      <w:tab/>
    </w:r>
    <w:r w:rsidRPr="00942C94">
      <w:rPr>
        <w:rFonts w:cs="Arial"/>
        <w:sz w:val="18"/>
        <w:szCs w:val="18"/>
      </w:rPr>
      <w:tab/>
    </w:r>
    <w:r>
      <w:rPr>
        <w:rFonts w:cs="Arial"/>
        <w:sz w:val="18"/>
        <w:szCs w:val="18"/>
      </w:rPr>
      <w:t xml:space="preserve"> </w:t>
    </w:r>
    <w:r w:rsidRPr="00942C94">
      <w:rPr>
        <w:rFonts w:cs="Arial"/>
        <w:sz w:val="18"/>
        <w:szCs w:val="18"/>
      </w:rPr>
      <w:t xml:space="preserve"> | Page </w:t>
    </w:r>
    <w:r w:rsidRPr="00942C94">
      <w:rPr>
        <w:rFonts w:cs="Arial"/>
        <w:sz w:val="18"/>
        <w:szCs w:val="18"/>
      </w:rPr>
      <w:fldChar w:fldCharType="begin"/>
    </w:r>
    <w:r w:rsidRPr="00942C94">
      <w:rPr>
        <w:rFonts w:cs="Arial"/>
        <w:sz w:val="18"/>
        <w:szCs w:val="18"/>
      </w:rPr>
      <w:instrText xml:space="preserve"> PAGE   \* MERGEFORMAT </w:instrText>
    </w:r>
    <w:r w:rsidRPr="00942C94">
      <w:rPr>
        <w:rFonts w:cs="Arial"/>
        <w:sz w:val="18"/>
        <w:szCs w:val="18"/>
      </w:rPr>
      <w:fldChar w:fldCharType="separate"/>
    </w:r>
    <w:r w:rsidR="00143A9A">
      <w:rPr>
        <w:rFonts w:cs="Arial"/>
        <w:noProof/>
        <w:sz w:val="18"/>
        <w:szCs w:val="18"/>
      </w:rPr>
      <w:t>4</w:t>
    </w:r>
    <w:r w:rsidRPr="00942C94">
      <w:rPr>
        <w:rFonts w:cs="Arial"/>
        <w:noProof/>
        <w:sz w:val="18"/>
        <w:szCs w:val="18"/>
      </w:rPr>
      <w:fldChar w:fldCharType="end"/>
    </w:r>
    <w:r w:rsidRPr="00942C94">
      <w:rPr>
        <w:rFonts w:cs="Arial"/>
        <w:noProof/>
        <w:sz w:val="18"/>
        <w:szCs w:val="18"/>
      </w:rPr>
      <w:t xml:space="preserve"> of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143A9A">
      <w:rPr>
        <w:rFonts w:cs="Arial"/>
        <w:noProof/>
        <w:sz w:val="18"/>
        <w:szCs w:val="18"/>
      </w:rPr>
      <w:t>13</w:t>
    </w:r>
    <w:r>
      <w:rPr>
        <w:rFonts w:cs="Arial"/>
        <w:sz w:val="18"/>
        <w:szCs w:val="18"/>
      </w:rPr>
      <w:fldChar w:fldCharType="end"/>
    </w:r>
  </w:p>
  <w:p w14:paraId="3E86F0D3" w14:textId="77777777" w:rsidR="00663C29" w:rsidRDefault="00663C2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284E" w14:textId="55D42043" w:rsidR="00663C29" w:rsidRPr="00862A7E" w:rsidRDefault="00A30776" w:rsidP="00862A7E">
    <w:pPr>
      <w:pStyle w:val="Footer"/>
    </w:pPr>
    <w:sdt>
      <w:sdtPr>
        <w:rPr>
          <w:rFonts w:cs="Arial"/>
          <w:sz w:val="18"/>
          <w:szCs w:val="18"/>
        </w:rPr>
        <w:alias w:val="Title"/>
        <w:tag w:val=""/>
        <w:id w:val="-1704699565"/>
        <w:dataBinding w:prefixMappings="xmlns:ns0='http://purl.org/dc/elements/1.1/' xmlns:ns1='http://schemas.openxmlformats.org/package/2006/metadata/core-properties' " w:xpath="/ns1:coreProperties[1]/ns0:title[1]" w:storeItemID="{6C3C8BC8-F283-45AE-878A-BAB7291924A1}"/>
        <w:text/>
      </w:sdtPr>
      <w:sdtEndPr/>
      <w:sdtContent>
        <w:r w:rsidR="00663C29">
          <w:rPr>
            <w:rFonts w:cs="Arial"/>
            <w:sz w:val="18"/>
            <w:szCs w:val="18"/>
          </w:rPr>
          <w:t>HHS BARDA Solving Sepsis Framework and Algorithm Specifications</w:t>
        </w:r>
      </w:sdtContent>
    </w:sdt>
    <w:r w:rsidR="00663C29" w:rsidRPr="00942C94">
      <w:rPr>
        <w:rFonts w:cs="Arial"/>
        <w:sz w:val="18"/>
        <w:szCs w:val="18"/>
      </w:rPr>
      <w:tab/>
    </w:r>
    <w:r w:rsidR="00663C29" w:rsidRPr="00942C94">
      <w:rPr>
        <w:rFonts w:cs="Arial"/>
        <w:sz w:val="18"/>
        <w:szCs w:val="18"/>
      </w:rPr>
      <w:tab/>
      <w:t xml:space="preserve">Acumen, LLC | Page </w:t>
    </w:r>
    <w:r w:rsidR="00663C29" w:rsidRPr="00942C94">
      <w:rPr>
        <w:rFonts w:cs="Arial"/>
        <w:sz w:val="18"/>
        <w:szCs w:val="18"/>
      </w:rPr>
      <w:fldChar w:fldCharType="begin"/>
    </w:r>
    <w:r w:rsidR="00663C29" w:rsidRPr="00942C94">
      <w:rPr>
        <w:rFonts w:cs="Arial"/>
        <w:sz w:val="18"/>
        <w:szCs w:val="18"/>
      </w:rPr>
      <w:instrText xml:space="preserve"> PAGE   \* MERGEFORMAT </w:instrText>
    </w:r>
    <w:r w:rsidR="00663C29" w:rsidRPr="00942C94">
      <w:rPr>
        <w:rFonts w:cs="Arial"/>
        <w:sz w:val="18"/>
        <w:szCs w:val="18"/>
      </w:rPr>
      <w:fldChar w:fldCharType="separate"/>
    </w:r>
    <w:r w:rsidR="00143A9A">
      <w:rPr>
        <w:rFonts w:cs="Arial"/>
        <w:noProof/>
        <w:sz w:val="18"/>
        <w:szCs w:val="18"/>
      </w:rPr>
      <w:t>0</w:t>
    </w:r>
    <w:r w:rsidR="00663C29" w:rsidRPr="00942C94">
      <w:rPr>
        <w:rFonts w:cs="Arial"/>
        <w:noProof/>
        <w:sz w:val="18"/>
        <w:szCs w:val="18"/>
      </w:rPr>
      <w:fldChar w:fldCharType="end"/>
    </w:r>
    <w:r w:rsidR="00663C29" w:rsidRPr="00942C94">
      <w:rPr>
        <w:rFonts w:cs="Arial"/>
        <w:noProof/>
        <w:sz w:val="18"/>
        <w:szCs w:val="18"/>
      </w:rPr>
      <w:t xml:space="preserve"> of </w:t>
    </w:r>
    <w:r w:rsidR="00663C29">
      <w:rPr>
        <w:rFonts w:cs="Arial"/>
        <w:sz w:val="18"/>
        <w:szCs w:val="18"/>
      </w:rPr>
      <w:fldChar w:fldCharType="begin"/>
    </w:r>
    <w:r w:rsidR="00663C29">
      <w:rPr>
        <w:rFonts w:cs="Arial"/>
        <w:sz w:val="18"/>
        <w:szCs w:val="18"/>
      </w:rPr>
      <w:instrText xml:space="preserve"> SECTIONPAGES  \* Arabic  \* MERGEFORMAT </w:instrText>
    </w:r>
    <w:r w:rsidR="00663C29">
      <w:rPr>
        <w:rFonts w:cs="Arial"/>
        <w:sz w:val="18"/>
        <w:szCs w:val="18"/>
      </w:rPr>
      <w:fldChar w:fldCharType="separate"/>
    </w:r>
    <w:r w:rsidR="00143A9A">
      <w:rPr>
        <w:rFonts w:cs="Arial"/>
        <w:noProof/>
        <w:sz w:val="18"/>
        <w:szCs w:val="18"/>
      </w:rPr>
      <w:t>5</w:t>
    </w:r>
    <w:r w:rsidR="00663C29">
      <w:rPr>
        <w:rFonts w:cs="Arial"/>
        <w:sz w:val="18"/>
        <w:szCs w:val="18"/>
      </w:rPr>
      <w:fldChar w:fldCharType="end"/>
    </w:r>
  </w:p>
  <w:p w14:paraId="118E15A0" w14:textId="77777777" w:rsidR="00663C29" w:rsidRDefault="00663C2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83C5" w14:textId="5D3C3DCE" w:rsidR="00663C29" w:rsidRDefault="00663C29">
    <w:pPr>
      <w:pStyle w:val="Footer"/>
    </w:pPr>
    <w:r>
      <w:rPr>
        <w:rFonts w:cs="Arial"/>
        <w:sz w:val="18"/>
        <w:szCs w:val="18"/>
      </w:rPr>
      <w:t>HHS Solving Sepsis Framework and Algorithm Specifications</w:t>
    </w:r>
    <w:r w:rsidRPr="00942C94">
      <w:rPr>
        <w:rFonts w:cs="Arial"/>
        <w:sz w:val="18"/>
        <w:szCs w:val="18"/>
      </w:rPr>
      <w:tab/>
    </w:r>
    <w:r w:rsidRPr="00942C94">
      <w:rPr>
        <w:rFonts w:cs="Arial"/>
        <w:sz w:val="18"/>
        <w:szCs w:val="18"/>
      </w:rPr>
      <w:tab/>
      <w:t xml:space="preserve">| Page </w:t>
    </w:r>
    <w:r w:rsidRPr="00942C94">
      <w:rPr>
        <w:rFonts w:cs="Arial"/>
        <w:sz w:val="18"/>
        <w:szCs w:val="18"/>
      </w:rPr>
      <w:fldChar w:fldCharType="begin"/>
    </w:r>
    <w:r w:rsidRPr="00942C94">
      <w:rPr>
        <w:rFonts w:cs="Arial"/>
        <w:sz w:val="18"/>
        <w:szCs w:val="18"/>
      </w:rPr>
      <w:instrText xml:space="preserve"> PAGE   \* MERGEFORMAT </w:instrText>
    </w:r>
    <w:r w:rsidRPr="00942C94">
      <w:rPr>
        <w:rFonts w:cs="Arial"/>
        <w:sz w:val="18"/>
        <w:szCs w:val="18"/>
      </w:rPr>
      <w:fldChar w:fldCharType="separate"/>
    </w:r>
    <w:r w:rsidR="00143A9A">
      <w:rPr>
        <w:rFonts w:cs="Arial"/>
        <w:noProof/>
        <w:sz w:val="18"/>
        <w:szCs w:val="18"/>
      </w:rPr>
      <w:t>7</w:t>
    </w:r>
    <w:r w:rsidRPr="00942C94">
      <w:rPr>
        <w:rFonts w:cs="Arial"/>
        <w:noProof/>
        <w:sz w:val="18"/>
        <w:szCs w:val="18"/>
      </w:rPr>
      <w:fldChar w:fldCharType="end"/>
    </w:r>
    <w:r w:rsidRPr="00942C94">
      <w:rPr>
        <w:rFonts w:cs="Arial"/>
        <w:noProof/>
        <w:sz w:val="18"/>
        <w:szCs w:val="18"/>
      </w:rPr>
      <w:t xml:space="preserve"> of </w:t>
    </w:r>
    <w:r>
      <w:rPr>
        <w:rFonts w:cs="Arial"/>
        <w:sz w:val="18"/>
        <w:szCs w:val="18"/>
      </w:rPr>
      <w:fldChar w:fldCharType="begin"/>
    </w:r>
    <w:r>
      <w:rPr>
        <w:rFonts w:cs="Arial"/>
        <w:sz w:val="18"/>
        <w:szCs w:val="18"/>
      </w:rPr>
      <w:instrText xml:space="preserve"> NUMPAGES   \* MERGEFORMAT </w:instrText>
    </w:r>
    <w:r>
      <w:rPr>
        <w:rFonts w:cs="Arial"/>
        <w:sz w:val="18"/>
        <w:szCs w:val="18"/>
      </w:rPr>
      <w:fldChar w:fldCharType="separate"/>
    </w:r>
    <w:r w:rsidR="00143A9A">
      <w:rPr>
        <w:rFonts w:cs="Arial"/>
        <w:noProof/>
        <w:sz w:val="18"/>
        <w:szCs w:val="18"/>
      </w:rPr>
      <w:t>13</w:t>
    </w:r>
    <w:r>
      <w:rPr>
        <w:rFonts w:cs="Arial"/>
        <w:sz w:val="18"/>
        <w:szCs w:val="18"/>
      </w:rPr>
      <w:fldChar w:fldCharType="end"/>
    </w:r>
  </w:p>
  <w:p w14:paraId="2DCA00BF" w14:textId="77777777" w:rsidR="00663C29" w:rsidRDefault="00663C2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EE171" w14:textId="27A00C6E" w:rsidR="00663C29" w:rsidRPr="00862A7E" w:rsidRDefault="00A30776" w:rsidP="00862A7E">
    <w:pPr>
      <w:pStyle w:val="Footer"/>
    </w:pPr>
    <w:sdt>
      <w:sdtPr>
        <w:rPr>
          <w:rFonts w:cs="Arial"/>
          <w:sz w:val="18"/>
          <w:szCs w:val="18"/>
        </w:rPr>
        <w:alias w:val="Title"/>
        <w:tag w:val=""/>
        <w:id w:val="759027144"/>
        <w:dataBinding w:prefixMappings="xmlns:ns0='http://purl.org/dc/elements/1.1/' xmlns:ns1='http://schemas.openxmlformats.org/package/2006/metadata/core-properties' " w:xpath="/ns1:coreProperties[1]/ns0:title[1]" w:storeItemID="{6C3C8BC8-F283-45AE-878A-BAB7291924A1}"/>
        <w:text/>
      </w:sdtPr>
      <w:sdtEndPr/>
      <w:sdtContent>
        <w:r w:rsidR="00663C29">
          <w:rPr>
            <w:rFonts w:cs="Arial"/>
            <w:sz w:val="18"/>
            <w:szCs w:val="18"/>
          </w:rPr>
          <w:t>HHS BARDA Solving Sepsis Framework and Algorithm Specifications</w:t>
        </w:r>
      </w:sdtContent>
    </w:sdt>
    <w:r w:rsidR="00663C29" w:rsidRPr="00942C94">
      <w:rPr>
        <w:rFonts w:cs="Arial"/>
        <w:sz w:val="18"/>
        <w:szCs w:val="18"/>
      </w:rPr>
      <w:tab/>
    </w:r>
    <w:r w:rsidR="00663C29" w:rsidRPr="00942C94">
      <w:rPr>
        <w:rFonts w:cs="Arial"/>
        <w:sz w:val="18"/>
        <w:szCs w:val="18"/>
      </w:rPr>
      <w:tab/>
      <w:t xml:space="preserve">Acumen, LLC | Page </w:t>
    </w:r>
    <w:r w:rsidR="00663C29" w:rsidRPr="00942C94">
      <w:rPr>
        <w:rFonts w:cs="Arial"/>
        <w:sz w:val="18"/>
        <w:szCs w:val="18"/>
      </w:rPr>
      <w:fldChar w:fldCharType="begin"/>
    </w:r>
    <w:r w:rsidR="00663C29" w:rsidRPr="00942C94">
      <w:rPr>
        <w:rFonts w:cs="Arial"/>
        <w:sz w:val="18"/>
        <w:szCs w:val="18"/>
      </w:rPr>
      <w:instrText xml:space="preserve"> PAGE   \* MERGEFORMAT </w:instrText>
    </w:r>
    <w:r w:rsidR="00663C29" w:rsidRPr="00942C94">
      <w:rPr>
        <w:rFonts w:cs="Arial"/>
        <w:sz w:val="18"/>
        <w:szCs w:val="18"/>
      </w:rPr>
      <w:fldChar w:fldCharType="separate"/>
    </w:r>
    <w:r w:rsidR="00663C29">
      <w:rPr>
        <w:rFonts w:cs="Arial"/>
        <w:noProof/>
        <w:sz w:val="18"/>
        <w:szCs w:val="18"/>
      </w:rPr>
      <w:t>1</w:t>
    </w:r>
    <w:r w:rsidR="00663C29" w:rsidRPr="00942C94">
      <w:rPr>
        <w:rFonts w:cs="Arial"/>
        <w:noProof/>
        <w:sz w:val="18"/>
        <w:szCs w:val="18"/>
      </w:rPr>
      <w:fldChar w:fldCharType="end"/>
    </w:r>
    <w:r w:rsidR="00663C29" w:rsidRPr="00942C94">
      <w:rPr>
        <w:rFonts w:cs="Arial"/>
        <w:noProof/>
        <w:sz w:val="18"/>
        <w:szCs w:val="18"/>
      </w:rPr>
      <w:t xml:space="preserve"> of </w:t>
    </w:r>
    <w:r w:rsidR="00663C29">
      <w:rPr>
        <w:rFonts w:cs="Arial"/>
        <w:sz w:val="18"/>
        <w:szCs w:val="18"/>
      </w:rPr>
      <w:fldChar w:fldCharType="begin"/>
    </w:r>
    <w:r w:rsidR="00663C29">
      <w:rPr>
        <w:rFonts w:cs="Arial"/>
        <w:sz w:val="18"/>
        <w:szCs w:val="18"/>
      </w:rPr>
      <w:instrText xml:space="preserve"> SECTIONPAGES  \* Arabic  \* MERGEFORMAT </w:instrText>
    </w:r>
    <w:r w:rsidR="00663C29">
      <w:rPr>
        <w:rFonts w:cs="Arial"/>
        <w:sz w:val="18"/>
        <w:szCs w:val="18"/>
      </w:rPr>
      <w:fldChar w:fldCharType="separate"/>
    </w:r>
    <w:r w:rsidR="00663C29">
      <w:rPr>
        <w:rFonts w:cs="Arial"/>
        <w:noProof/>
        <w:sz w:val="18"/>
        <w:szCs w:val="18"/>
      </w:rPr>
      <w:t>2</w:t>
    </w:r>
    <w:r w:rsidR="00663C29">
      <w:rPr>
        <w:rFonts w:cs="Arial"/>
        <w:sz w:val="18"/>
        <w:szCs w:val="18"/>
      </w:rPr>
      <w:fldChar w:fldCharType="end"/>
    </w:r>
  </w:p>
  <w:p w14:paraId="427B879D" w14:textId="77777777" w:rsidR="00663C29" w:rsidRDefault="00663C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B62B4" w14:textId="77777777" w:rsidR="00A30776" w:rsidRDefault="00A30776">
      <w:pPr>
        <w:spacing w:after="0" w:line="240" w:lineRule="auto"/>
      </w:pPr>
      <w:r>
        <w:separator/>
      </w:r>
    </w:p>
    <w:p w14:paraId="58F66D74" w14:textId="77777777" w:rsidR="00A30776" w:rsidRDefault="00A30776"/>
  </w:footnote>
  <w:footnote w:type="continuationSeparator" w:id="0">
    <w:p w14:paraId="0ECD1CE0" w14:textId="77777777" w:rsidR="00A30776" w:rsidRDefault="00A30776">
      <w:pPr>
        <w:spacing w:after="0" w:line="240" w:lineRule="auto"/>
      </w:pPr>
      <w:r>
        <w:continuationSeparator/>
      </w:r>
    </w:p>
    <w:p w14:paraId="6DD9665C" w14:textId="77777777" w:rsidR="00A30776" w:rsidRDefault="00A30776"/>
  </w:footnote>
  <w:footnote w:id="1">
    <w:p w14:paraId="1957F1CD" w14:textId="32944628" w:rsidR="00A52489" w:rsidRPr="009E2D81" w:rsidRDefault="00A52489">
      <w:pPr>
        <w:pStyle w:val="FootnoteText"/>
        <w:rPr>
          <w:sz w:val="16"/>
          <w:szCs w:val="16"/>
        </w:rPr>
      </w:pPr>
      <w:r w:rsidRPr="009E2D81">
        <w:rPr>
          <w:rStyle w:val="FootnoteReference"/>
          <w:sz w:val="16"/>
          <w:szCs w:val="16"/>
        </w:rPr>
        <w:footnoteRef/>
      </w:r>
      <w:r w:rsidRPr="009E2D81">
        <w:rPr>
          <w:sz w:val="16"/>
          <w:szCs w:val="16"/>
        </w:rPr>
        <w:t xml:space="preserve"> Data &amp; Reports.” Centers for Disease Control and Prevention. Centers for Disease Control and Prevention, August 23, 2016. https://www.cdc.gov/sepsis/datareports/index.html.</w:t>
      </w:r>
    </w:p>
  </w:footnote>
  <w:footnote w:id="2">
    <w:p w14:paraId="766E86B8" w14:textId="7985DB2E" w:rsidR="00A52489" w:rsidRPr="00A52489" w:rsidRDefault="00A52489">
      <w:pPr>
        <w:pStyle w:val="FootnoteText"/>
        <w:rPr>
          <w:sz w:val="18"/>
          <w:szCs w:val="18"/>
        </w:rPr>
      </w:pPr>
      <w:r w:rsidRPr="009E2D81">
        <w:rPr>
          <w:rStyle w:val="FootnoteReference"/>
          <w:sz w:val="16"/>
          <w:szCs w:val="16"/>
        </w:rPr>
        <w:footnoteRef/>
      </w:r>
      <w:r w:rsidRPr="009E2D81">
        <w:rPr>
          <w:sz w:val="16"/>
          <w:szCs w:val="16"/>
        </w:rPr>
        <w:t xml:space="preserve"> “Sepsis.” World Health Organization. World Health Organization. Accessed February 11, 2020. https://www.who.int/news-room/fact-sheets/detail/sepsis</w:t>
      </w:r>
      <w:r w:rsidRPr="00A52489">
        <w:rPr>
          <w:sz w:val="18"/>
          <w:szCs w:val="18"/>
        </w:rPr>
        <w:t>.</w:t>
      </w:r>
    </w:p>
  </w:footnote>
  <w:footnote w:id="3">
    <w:p w14:paraId="435EDF77" w14:textId="0A9F4D7F" w:rsidR="00663C29" w:rsidRDefault="00663C29">
      <w:pPr>
        <w:pStyle w:val="FootnoteText"/>
      </w:pPr>
      <w:r>
        <w:rPr>
          <w:rStyle w:val="FootnoteReference"/>
        </w:rPr>
        <w:footnoteRef/>
      </w:r>
      <w:r>
        <w:t xml:space="preserve"> </w:t>
      </w:r>
      <w:r w:rsidRPr="00407D00">
        <w:rPr>
          <w:rFonts w:asciiTheme="majorHAnsi" w:hAnsiTheme="majorHAnsi" w:cstheme="majorHAnsi"/>
          <w:sz w:val="16"/>
          <w:szCs w:val="16"/>
        </w:rPr>
        <w:t>N</w:t>
      </w:r>
      <w:r w:rsidRPr="00407D00">
        <w:rPr>
          <w:rFonts w:asciiTheme="majorHAnsi" w:hAnsiTheme="majorHAnsi" w:cstheme="majorHAnsi"/>
          <w:sz w:val="16"/>
          <w:szCs w:val="16"/>
          <w:lang w:eastAsia="ja-JP"/>
        </w:rPr>
        <w:t>ot an official description of the database.</w:t>
      </w:r>
    </w:p>
  </w:footnote>
  <w:footnote w:id="4">
    <w:p w14:paraId="35203727" w14:textId="1134F9C0" w:rsidR="00663C29" w:rsidRPr="00CA3E18" w:rsidRDefault="00663C29">
      <w:pPr>
        <w:pStyle w:val="FootnoteText"/>
        <w:rPr>
          <w:sz w:val="16"/>
        </w:rPr>
      </w:pPr>
      <w:r>
        <w:rPr>
          <w:rStyle w:val="FootnoteReference"/>
        </w:rPr>
        <w:footnoteRef/>
      </w:r>
      <w:r>
        <w:t xml:space="preserve"> </w:t>
      </w:r>
      <w:r>
        <w:rPr>
          <w:sz w:val="16"/>
        </w:rPr>
        <w:t>We consolidate data from the EDB, Common Medicare Environment (CME), and Medicare Beneficiary Database (MBD) to obtain beneficiary information. For simplicity, we collectively refer to data from these sources as EDB information.</w:t>
      </w:r>
    </w:p>
  </w:footnote>
  <w:footnote w:id="5">
    <w:p w14:paraId="7D8F0E5D" w14:textId="7978E120" w:rsidR="00663C29" w:rsidRPr="009E2D81" w:rsidRDefault="00663C29">
      <w:pPr>
        <w:pStyle w:val="FootnoteText"/>
        <w:rPr>
          <w:color w:val="FF0000"/>
          <w:sz w:val="16"/>
          <w:szCs w:val="16"/>
        </w:rPr>
      </w:pPr>
      <w:r w:rsidRPr="009E2D81">
        <w:rPr>
          <w:rStyle w:val="FootnoteReference"/>
          <w:sz w:val="16"/>
          <w:szCs w:val="16"/>
        </w:rPr>
        <w:footnoteRef/>
      </w:r>
      <w:r w:rsidRPr="009E2D81">
        <w:rPr>
          <w:sz w:val="16"/>
          <w:szCs w:val="16"/>
        </w:rPr>
        <w:t xml:space="preserve"> </w:t>
      </w:r>
      <w:r w:rsidR="00320C2F" w:rsidRPr="009E2D81">
        <w:rPr>
          <w:sz w:val="16"/>
          <w:szCs w:val="16"/>
        </w:rPr>
        <w:t xml:space="preserve">Providers are required to include condition code “04” on claims for </w:t>
      </w:r>
      <w:r w:rsidR="006E763D" w:rsidRPr="009E2D81">
        <w:rPr>
          <w:sz w:val="16"/>
          <w:szCs w:val="16"/>
        </w:rPr>
        <w:t>MA</w:t>
      </w:r>
      <w:r w:rsidR="00320C2F" w:rsidRPr="009E2D81">
        <w:rPr>
          <w:sz w:val="16"/>
          <w:szCs w:val="16"/>
        </w:rPr>
        <w:t xml:space="preserve"> beneficiaries who are receiving</w:t>
      </w:r>
      <w:r w:rsidR="001C55CC" w:rsidRPr="009E2D81">
        <w:rPr>
          <w:sz w:val="16"/>
          <w:szCs w:val="16"/>
        </w:rPr>
        <w:t xml:space="preserve"> </w:t>
      </w:r>
      <w:r w:rsidR="00286753" w:rsidRPr="009E2D81">
        <w:rPr>
          <w:sz w:val="16"/>
          <w:szCs w:val="16"/>
        </w:rPr>
        <w:t>inpatient services</w:t>
      </w:r>
      <w:r w:rsidR="00320C2F" w:rsidRPr="009E2D81">
        <w:rPr>
          <w:sz w:val="16"/>
          <w:szCs w:val="16"/>
        </w:rPr>
        <w:t>. Th</w:t>
      </w:r>
      <w:r w:rsidR="00286753" w:rsidRPr="009E2D81">
        <w:rPr>
          <w:sz w:val="16"/>
          <w:szCs w:val="16"/>
        </w:rPr>
        <w:t>ese claims are not paid and instead serve</w:t>
      </w:r>
      <w:r w:rsidR="008C1626">
        <w:rPr>
          <w:sz w:val="16"/>
          <w:szCs w:val="16"/>
        </w:rPr>
        <w:t xml:space="preserve"> as</w:t>
      </w:r>
      <w:r w:rsidR="00286753" w:rsidRPr="009E2D81">
        <w:rPr>
          <w:sz w:val="16"/>
          <w:szCs w:val="16"/>
        </w:rPr>
        <w:t xml:space="preserve"> </w:t>
      </w:r>
      <w:r w:rsidR="00925B67" w:rsidRPr="009E2D81">
        <w:rPr>
          <w:sz w:val="16"/>
          <w:szCs w:val="16"/>
        </w:rPr>
        <w:t xml:space="preserve">information purposes only to </w:t>
      </w:r>
      <w:r w:rsidR="00286753" w:rsidRPr="009E2D81">
        <w:rPr>
          <w:sz w:val="16"/>
          <w:szCs w:val="16"/>
        </w:rPr>
        <w:t xml:space="preserve">report </w:t>
      </w:r>
      <w:r w:rsidR="00925B67" w:rsidRPr="009E2D81">
        <w:rPr>
          <w:sz w:val="16"/>
          <w:szCs w:val="16"/>
        </w:rPr>
        <w:t xml:space="preserve">the </w:t>
      </w:r>
      <w:r w:rsidR="001C55CC" w:rsidRPr="009E2D81">
        <w:rPr>
          <w:sz w:val="16"/>
          <w:szCs w:val="16"/>
        </w:rPr>
        <w:t xml:space="preserve">diagnosis codes and </w:t>
      </w:r>
      <w:r w:rsidR="00925B67" w:rsidRPr="009E2D81">
        <w:rPr>
          <w:sz w:val="16"/>
          <w:szCs w:val="16"/>
        </w:rPr>
        <w:t xml:space="preserve">services </w:t>
      </w:r>
      <w:r w:rsidR="001C55CC" w:rsidRPr="009E2D81">
        <w:rPr>
          <w:sz w:val="16"/>
          <w:szCs w:val="16"/>
        </w:rPr>
        <w:t>rendered to MA beneficiaries</w:t>
      </w:r>
      <w:r w:rsidR="00925B67" w:rsidRPr="009E2D8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02E5" w14:textId="5CB3744C" w:rsidR="00663C29" w:rsidRPr="00467D09" w:rsidRDefault="00663C29" w:rsidP="00287E8A">
    <w:pPr>
      <w:pStyle w:val="Header"/>
      <w:jc w:val="center"/>
      <w:rPr>
        <w:b/>
      </w:rPr>
    </w:pPr>
    <w:r>
      <w:rPr>
        <w:b/>
        <w:caps/>
      </w:rPr>
      <w:t xml:space="preserve">Not for redistribution - REQUIRES </w:t>
    </w:r>
    <w:r w:rsidRPr="00467D09">
      <w:rPr>
        <w:b/>
        <w:caps/>
      </w:rPr>
      <w:t xml:space="preserve">ASPR </w:t>
    </w:r>
    <w:r>
      <w:rPr>
        <w:b/>
        <w:caps/>
      </w:rPr>
      <w:t>OFFICIAL APPROVAL</w:t>
    </w:r>
  </w:p>
  <w:p w14:paraId="3E2D3E12" w14:textId="77777777" w:rsidR="00663C29" w:rsidRDefault="00663C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6BB"/>
    <w:multiLevelType w:val="hybridMultilevel"/>
    <w:tmpl w:val="B35A0FAC"/>
    <w:lvl w:ilvl="0" w:tplc="ED1C084C">
      <w:start w:val="1"/>
      <w:numFmt w:val="bullet"/>
      <w:lvlText w:val=""/>
      <w:lvlJc w:val="left"/>
      <w:pPr>
        <w:ind w:left="792" w:hanging="360"/>
      </w:pPr>
      <w:rPr>
        <w:rFonts w:ascii="Symbol" w:eastAsiaTheme="minorHAnsi" w:hAnsi="Symbol" w:cstheme="minorBidi"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 w15:restartNumberingAfterBreak="0">
    <w:nsid w:val="04904641"/>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6C1"/>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C39F5"/>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B5865"/>
    <w:multiLevelType w:val="hybridMultilevel"/>
    <w:tmpl w:val="565092D4"/>
    <w:lvl w:ilvl="0" w:tplc="1534DBAC">
      <w:start w:val="1"/>
      <w:numFmt w:val="decimal"/>
      <w:lvlText w:val="%1."/>
      <w:lvlJc w:val="left"/>
      <w:pPr>
        <w:ind w:left="720" w:hanging="360"/>
      </w:pPr>
      <w:rPr>
        <w:rFonts w:hint="default"/>
        <w:sz w:val="20"/>
      </w:rPr>
    </w:lvl>
    <w:lvl w:ilvl="1" w:tplc="0DDC2140">
      <w:start w:val="1"/>
      <w:numFmt w:val="lowerRoman"/>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30A80"/>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F71E8"/>
    <w:multiLevelType w:val="hybridMultilevel"/>
    <w:tmpl w:val="63FC4146"/>
    <w:lvl w:ilvl="0" w:tplc="9A9CE2E2">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F465A"/>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6060C"/>
    <w:multiLevelType w:val="hybridMultilevel"/>
    <w:tmpl w:val="4CBE6A88"/>
    <w:lvl w:ilvl="0" w:tplc="0DDC2140">
      <w:start w:val="1"/>
      <w:numFmt w:val="lowerRoman"/>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A5B0A"/>
    <w:multiLevelType w:val="hybridMultilevel"/>
    <w:tmpl w:val="C574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636E6"/>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10FB6"/>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42616"/>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2775B"/>
    <w:multiLevelType w:val="multilevel"/>
    <w:tmpl w:val="043AA1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81D5191"/>
    <w:multiLevelType w:val="hybridMultilevel"/>
    <w:tmpl w:val="CA4C5F22"/>
    <w:lvl w:ilvl="0" w:tplc="0E52CDA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C2094"/>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C063E"/>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506B78"/>
    <w:multiLevelType w:val="hybridMultilevel"/>
    <w:tmpl w:val="C574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A366B7"/>
    <w:multiLevelType w:val="hybridMultilevel"/>
    <w:tmpl w:val="63FC4146"/>
    <w:lvl w:ilvl="0" w:tplc="9A9CE2E2">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F1F92"/>
    <w:multiLevelType w:val="hybridMultilevel"/>
    <w:tmpl w:val="9A2E6788"/>
    <w:lvl w:ilvl="0" w:tplc="0DDC2140">
      <w:start w:val="1"/>
      <w:numFmt w:val="lowerRoman"/>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9456F7"/>
    <w:multiLevelType w:val="hybridMultilevel"/>
    <w:tmpl w:val="320E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6F0705C"/>
    <w:multiLevelType w:val="hybridMultilevel"/>
    <w:tmpl w:val="C574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A14901"/>
    <w:multiLevelType w:val="hybridMultilevel"/>
    <w:tmpl w:val="025A7542"/>
    <w:lvl w:ilvl="0" w:tplc="0DDC2140">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750FE0"/>
    <w:multiLevelType w:val="hybridMultilevel"/>
    <w:tmpl w:val="4D9C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A666C5"/>
    <w:multiLevelType w:val="hybridMultilevel"/>
    <w:tmpl w:val="C51C645E"/>
    <w:lvl w:ilvl="0" w:tplc="F4865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73EF0"/>
    <w:multiLevelType w:val="hybridMultilevel"/>
    <w:tmpl w:val="8F7AB2EE"/>
    <w:lvl w:ilvl="0" w:tplc="0E52CDAC">
      <w:start w:val="1"/>
      <w:numFmt w:val="decimal"/>
      <w:lvlText w:val="%1."/>
      <w:lvlJc w:val="left"/>
      <w:pPr>
        <w:ind w:left="720" w:hanging="360"/>
      </w:pPr>
      <w:rPr>
        <w:rFonts w:asciiTheme="majorHAnsi" w:hAnsiTheme="majorHAnsi" w:cstheme="maj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FA3656"/>
    <w:multiLevelType w:val="hybridMultilevel"/>
    <w:tmpl w:val="644C210A"/>
    <w:lvl w:ilvl="0" w:tplc="0DDC2140">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EF52DE"/>
    <w:multiLevelType w:val="hybridMultilevel"/>
    <w:tmpl w:val="025A7542"/>
    <w:lvl w:ilvl="0" w:tplc="0DDC2140">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882DAD"/>
    <w:multiLevelType w:val="hybridMultilevel"/>
    <w:tmpl w:val="565092D4"/>
    <w:lvl w:ilvl="0" w:tplc="1534DBAC">
      <w:start w:val="1"/>
      <w:numFmt w:val="decimal"/>
      <w:lvlText w:val="%1."/>
      <w:lvlJc w:val="left"/>
      <w:pPr>
        <w:ind w:left="720" w:hanging="360"/>
      </w:pPr>
      <w:rPr>
        <w:rFonts w:hint="default"/>
        <w:sz w:val="20"/>
      </w:rPr>
    </w:lvl>
    <w:lvl w:ilvl="1" w:tplc="0DDC2140">
      <w:start w:val="1"/>
      <w:numFmt w:val="lowerRoman"/>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B05C72"/>
    <w:multiLevelType w:val="hybridMultilevel"/>
    <w:tmpl w:val="9B12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F82121"/>
    <w:multiLevelType w:val="hybridMultilevel"/>
    <w:tmpl w:val="59CEA638"/>
    <w:lvl w:ilvl="0" w:tplc="30DA7212">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61810"/>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A70018"/>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95239C"/>
    <w:multiLevelType w:val="hybridMultilevel"/>
    <w:tmpl w:val="836EB17C"/>
    <w:lvl w:ilvl="0" w:tplc="594667FE">
      <w:start w:val="1"/>
      <w:numFmt w:val="decimal"/>
      <w:lvlText w:val="STEP %1"/>
      <w:lvlJc w:val="righ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9C96E54"/>
    <w:multiLevelType w:val="hybridMultilevel"/>
    <w:tmpl w:val="C574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91993"/>
    <w:multiLevelType w:val="hybridMultilevel"/>
    <w:tmpl w:val="A442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6E6DCA"/>
    <w:multiLevelType w:val="hybridMultilevel"/>
    <w:tmpl w:val="3A0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FA404A"/>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1767D6"/>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832135"/>
    <w:multiLevelType w:val="hybridMultilevel"/>
    <w:tmpl w:val="CA4C5F22"/>
    <w:lvl w:ilvl="0" w:tplc="0E52CDAC">
      <w:start w:val="1"/>
      <w:numFmt w:val="decimal"/>
      <w:lvlText w:val="%1."/>
      <w:lvlJc w:val="left"/>
      <w:pPr>
        <w:ind w:left="720" w:hanging="360"/>
      </w:pPr>
      <w:rPr>
        <w:rFonts w:asciiTheme="majorHAnsi" w:hAnsiTheme="majorHAnsi" w:cstheme="majorHAns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982314"/>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111A4D"/>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525A36"/>
    <w:multiLevelType w:val="hybridMultilevel"/>
    <w:tmpl w:val="3A0E9596"/>
    <w:lvl w:ilvl="0" w:tplc="0DBC2F4C">
      <w:start w:val="1"/>
      <w:numFmt w:val="decimal"/>
      <w:lvlText w:val="%1."/>
      <w:lvlJc w:val="left"/>
      <w:pPr>
        <w:ind w:left="720" w:hanging="360"/>
      </w:pPr>
      <w:rPr>
        <w:rFonts w:asciiTheme="majorHAnsi" w:hAnsiTheme="majorHAnsi" w:cs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C36F6"/>
    <w:multiLevelType w:val="hybridMultilevel"/>
    <w:tmpl w:val="C51C645E"/>
    <w:lvl w:ilvl="0" w:tplc="F4865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F062E"/>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B25CD1"/>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B2AFB"/>
    <w:multiLevelType w:val="hybridMultilevel"/>
    <w:tmpl w:val="A9E07CD8"/>
    <w:lvl w:ilvl="0" w:tplc="0C9AE8B0">
      <w:start w:val="1"/>
      <w:numFmt w:val="decimal"/>
      <w:lvlText w:val="%1."/>
      <w:lvlJc w:val="left"/>
      <w:pPr>
        <w:ind w:left="720" w:hanging="360"/>
      </w:pPr>
      <w:rPr>
        <w:rFonts w:asciiTheme="majorHAnsi" w:hAnsiTheme="majorHAnsi" w:cstheme="majorHAns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512C71"/>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65200A"/>
    <w:multiLevelType w:val="hybridMultilevel"/>
    <w:tmpl w:val="9FA60C96"/>
    <w:lvl w:ilvl="0" w:tplc="472CE0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3BBF"/>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C360B1"/>
    <w:multiLevelType w:val="hybridMultilevel"/>
    <w:tmpl w:val="D03400BE"/>
    <w:lvl w:ilvl="0" w:tplc="4DA2CFC6">
      <w:start w:val="1"/>
      <w:numFmt w:val="decimal"/>
      <w:lvlText w:val="STEP %1"/>
      <w:lvlJc w:val="right"/>
      <w:pPr>
        <w:ind w:left="720" w:hanging="360"/>
      </w:pPr>
      <w:rPr>
        <w:rFonts w:hint="default"/>
        <w:b w:val="0"/>
      </w:rPr>
    </w:lvl>
    <w:lvl w:ilvl="1" w:tplc="B9F21726">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A05F91"/>
    <w:multiLevelType w:val="hybridMultilevel"/>
    <w:tmpl w:val="327A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2F05A8"/>
    <w:multiLevelType w:val="hybridMultilevel"/>
    <w:tmpl w:val="60121072"/>
    <w:lvl w:ilvl="0" w:tplc="35B6157C">
      <w:start w:val="1"/>
      <w:numFmt w:val="decimal"/>
      <w:lvlText w:val="%1."/>
      <w:lvlJc w:val="left"/>
      <w:pPr>
        <w:ind w:left="720" w:hanging="360"/>
      </w:pPr>
      <w:rPr>
        <w:rFonts w:asciiTheme="majorHAnsi" w:hAnsiTheme="majorHAnsi" w:cstheme="majorHAns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A67E69"/>
    <w:multiLevelType w:val="hybridMultilevel"/>
    <w:tmpl w:val="C574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FD5E48"/>
    <w:multiLevelType w:val="hybridMultilevel"/>
    <w:tmpl w:val="3F12EA00"/>
    <w:lvl w:ilvl="0" w:tplc="04090001">
      <w:start w:val="1"/>
      <w:numFmt w:val="bullet"/>
      <w:lvlText w:val=""/>
      <w:lvlJc w:val="left"/>
      <w:pPr>
        <w:ind w:left="720" w:hanging="360"/>
      </w:pPr>
      <w:rPr>
        <w:rFonts w:ascii="Symbol" w:hAnsi="Symbol" w:hint="default"/>
      </w:rPr>
    </w:lvl>
    <w:lvl w:ilvl="1" w:tplc="AF1E8B40">
      <w:start w:val="1"/>
      <w:numFmt w:val="bullet"/>
      <w:lvlText w:val="o"/>
      <w:lvlJc w:val="left"/>
      <w:pPr>
        <w:ind w:left="1080" w:hanging="360"/>
      </w:pPr>
      <w:rPr>
        <w:rFonts w:ascii="Courier New" w:hAnsi="Courier New" w:hint="default"/>
      </w:rPr>
    </w:lvl>
    <w:lvl w:ilvl="2" w:tplc="B5424CAE">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895A94"/>
    <w:multiLevelType w:val="hybridMultilevel"/>
    <w:tmpl w:val="D172C15A"/>
    <w:lvl w:ilvl="0" w:tplc="9A9CE2E2">
      <w:start w:val="1"/>
      <w:numFmt w:val="decimal"/>
      <w:lvlText w:val="%1."/>
      <w:lvlJc w:val="left"/>
      <w:pPr>
        <w:ind w:left="720" w:hanging="360"/>
      </w:pPr>
      <w:rPr>
        <w:rFonts w:hint="default"/>
        <w:b w:val="0"/>
        <w:sz w:val="20"/>
      </w:rPr>
    </w:lvl>
    <w:lvl w:ilvl="1" w:tplc="5EDC8C40">
      <w:start w:val="1"/>
      <w:numFmt w:val="lowerLetter"/>
      <w:lvlText w:val="%2."/>
      <w:lvlJc w:val="left"/>
      <w:pPr>
        <w:ind w:left="1440" w:hanging="360"/>
      </w:pPr>
      <w:rPr>
        <w:sz w:val="20"/>
      </w:rPr>
    </w:lvl>
    <w:lvl w:ilvl="2" w:tplc="4934E1F2">
      <w:start w:val="1"/>
      <w:numFmt w:val="lowerRoman"/>
      <w:lvlText w:val="%3."/>
      <w:lvlJc w:val="right"/>
      <w:pPr>
        <w:ind w:left="2160" w:hanging="180"/>
      </w:pPr>
      <w:rPr>
        <w:b w:val="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233D67"/>
    <w:multiLevelType w:val="hybridMultilevel"/>
    <w:tmpl w:val="F9BE9AE2"/>
    <w:lvl w:ilvl="0" w:tplc="6016ADC2">
      <w:start w:val="1"/>
      <w:numFmt w:val="decimal"/>
      <w:lvlText w:val="STEP %1"/>
      <w:lvlJc w:val="righ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46"/>
  </w:num>
  <w:num w:numId="3">
    <w:abstractNumId w:val="28"/>
  </w:num>
  <w:num w:numId="4">
    <w:abstractNumId w:val="54"/>
  </w:num>
  <w:num w:numId="5">
    <w:abstractNumId w:val="4"/>
  </w:num>
  <w:num w:numId="6">
    <w:abstractNumId w:val="30"/>
  </w:num>
  <w:num w:numId="7">
    <w:abstractNumId w:val="7"/>
  </w:num>
  <w:num w:numId="8">
    <w:abstractNumId w:val="42"/>
  </w:num>
  <w:num w:numId="9">
    <w:abstractNumId w:val="38"/>
  </w:num>
  <w:num w:numId="10">
    <w:abstractNumId w:val="16"/>
  </w:num>
  <w:num w:numId="11">
    <w:abstractNumId w:val="31"/>
  </w:num>
  <w:num w:numId="12">
    <w:abstractNumId w:val="50"/>
  </w:num>
  <w:num w:numId="13">
    <w:abstractNumId w:val="56"/>
  </w:num>
  <w:num w:numId="14">
    <w:abstractNumId w:val="33"/>
  </w:num>
  <w:num w:numId="15">
    <w:abstractNumId w:val="24"/>
  </w:num>
  <w:num w:numId="16">
    <w:abstractNumId w:val="10"/>
  </w:num>
  <w:num w:numId="17">
    <w:abstractNumId w:val="6"/>
  </w:num>
  <w:num w:numId="18">
    <w:abstractNumId w:val="39"/>
  </w:num>
  <w:num w:numId="19">
    <w:abstractNumId w:val="55"/>
  </w:num>
  <w:num w:numId="20">
    <w:abstractNumId w:val="40"/>
  </w:num>
  <w:num w:numId="21">
    <w:abstractNumId w:val="12"/>
  </w:num>
  <w:num w:numId="22">
    <w:abstractNumId w:val="1"/>
  </w:num>
  <w:num w:numId="23">
    <w:abstractNumId w:val="49"/>
  </w:num>
  <w:num w:numId="24">
    <w:abstractNumId w:val="32"/>
  </w:num>
  <w:num w:numId="25">
    <w:abstractNumId w:val="37"/>
  </w:num>
  <w:num w:numId="26">
    <w:abstractNumId w:val="41"/>
  </w:num>
  <w:num w:numId="27">
    <w:abstractNumId w:val="3"/>
  </w:num>
  <w:num w:numId="28">
    <w:abstractNumId w:val="47"/>
  </w:num>
  <w:num w:numId="29">
    <w:abstractNumId w:val="2"/>
  </w:num>
  <w:num w:numId="30">
    <w:abstractNumId w:val="45"/>
  </w:num>
  <w:num w:numId="31">
    <w:abstractNumId w:val="15"/>
  </w:num>
  <w:num w:numId="32">
    <w:abstractNumId w:val="48"/>
  </w:num>
  <w:num w:numId="33">
    <w:abstractNumId w:val="5"/>
  </w:num>
  <w:num w:numId="34">
    <w:abstractNumId w:val="11"/>
  </w:num>
  <w:num w:numId="35">
    <w:abstractNumId w:val="52"/>
  </w:num>
  <w:num w:numId="36">
    <w:abstractNumId w:val="18"/>
  </w:num>
  <w:num w:numId="37">
    <w:abstractNumId w:val="43"/>
  </w:num>
  <w:num w:numId="38">
    <w:abstractNumId w:val="53"/>
  </w:num>
  <w:num w:numId="39">
    <w:abstractNumId w:val="9"/>
  </w:num>
  <w:num w:numId="40">
    <w:abstractNumId w:val="34"/>
  </w:num>
  <w:num w:numId="41">
    <w:abstractNumId w:val="21"/>
  </w:num>
  <w:num w:numId="42">
    <w:abstractNumId w:val="17"/>
  </w:num>
  <w:num w:numId="43">
    <w:abstractNumId w:val="26"/>
  </w:num>
  <w:num w:numId="44">
    <w:abstractNumId w:val="22"/>
  </w:num>
  <w:num w:numId="45">
    <w:abstractNumId w:val="27"/>
  </w:num>
  <w:num w:numId="46">
    <w:abstractNumId w:val="8"/>
  </w:num>
  <w:num w:numId="47">
    <w:abstractNumId w:val="19"/>
  </w:num>
  <w:num w:numId="48">
    <w:abstractNumId w:val="20"/>
  </w:num>
  <w:num w:numId="49">
    <w:abstractNumId w:val="0"/>
  </w:num>
  <w:num w:numId="50">
    <w:abstractNumId w:val="14"/>
  </w:num>
  <w:num w:numId="51">
    <w:abstractNumId w:val="44"/>
  </w:num>
  <w:num w:numId="52">
    <w:abstractNumId w:val="25"/>
  </w:num>
  <w:num w:numId="53">
    <w:abstractNumId w:val="23"/>
  </w:num>
  <w:num w:numId="54">
    <w:abstractNumId w:val="35"/>
  </w:num>
  <w:num w:numId="55">
    <w:abstractNumId w:val="36"/>
  </w:num>
  <w:num w:numId="56">
    <w:abstractNumId w:val="29"/>
  </w:num>
  <w:num w:numId="57">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51"/>
    <w:rsid w:val="0000140A"/>
    <w:rsid w:val="00001AB6"/>
    <w:rsid w:val="00004414"/>
    <w:rsid w:val="00005141"/>
    <w:rsid w:val="00007BDE"/>
    <w:rsid w:val="00007CD1"/>
    <w:rsid w:val="00007F07"/>
    <w:rsid w:val="00010FE4"/>
    <w:rsid w:val="000122F9"/>
    <w:rsid w:val="0001277C"/>
    <w:rsid w:val="0002094A"/>
    <w:rsid w:val="00022DA2"/>
    <w:rsid w:val="00023679"/>
    <w:rsid w:val="00024C3B"/>
    <w:rsid w:val="00031D91"/>
    <w:rsid w:val="00031EF7"/>
    <w:rsid w:val="00033F12"/>
    <w:rsid w:val="000364A7"/>
    <w:rsid w:val="00037884"/>
    <w:rsid w:val="000403C8"/>
    <w:rsid w:val="00041266"/>
    <w:rsid w:val="00042D09"/>
    <w:rsid w:val="000450FC"/>
    <w:rsid w:val="000452AD"/>
    <w:rsid w:val="00046C07"/>
    <w:rsid w:val="000472F1"/>
    <w:rsid w:val="000501AA"/>
    <w:rsid w:val="00053FF2"/>
    <w:rsid w:val="000557A1"/>
    <w:rsid w:val="0005587D"/>
    <w:rsid w:val="0005597B"/>
    <w:rsid w:val="00057AE4"/>
    <w:rsid w:val="000606FE"/>
    <w:rsid w:val="00061D7F"/>
    <w:rsid w:val="00063EFF"/>
    <w:rsid w:val="00063F25"/>
    <w:rsid w:val="000644B0"/>
    <w:rsid w:val="00066446"/>
    <w:rsid w:val="00067142"/>
    <w:rsid w:val="00072777"/>
    <w:rsid w:val="0007348E"/>
    <w:rsid w:val="0008042D"/>
    <w:rsid w:val="000870CE"/>
    <w:rsid w:val="00091F16"/>
    <w:rsid w:val="00093084"/>
    <w:rsid w:val="000940AB"/>
    <w:rsid w:val="00094D91"/>
    <w:rsid w:val="00095634"/>
    <w:rsid w:val="00097748"/>
    <w:rsid w:val="00097BB2"/>
    <w:rsid w:val="000A05E1"/>
    <w:rsid w:val="000A1011"/>
    <w:rsid w:val="000A16AC"/>
    <w:rsid w:val="000A289E"/>
    <w:rsid w:val="000A300F"/>
    <w:rsid w:val="000A4AE2"/>
    <w:rsid w:val="000B0DB5"/>
    <w:rsid w:val="000B46DD"/>
    <w:rsid w:val="000B6533"/>
    <w:rsid w:val="000B6D3D"/>
    <w:rsid w:val="000B7325"/>
    <w:rsid w:val="000C73E8"/>
    <w:rsid w:val="000D1BA8"/>
    <w:rsid w:val="000D2B91"/>
    <w:rsid w:val="000D5820"/>
    <w:rsid w:val="000D5FCA"/>
    <w:rsid w:val="000D6878"/>
    <w:rsid w:val="000D6B56"/>
    <w:rsid w:val="000E0645"/>
    <w:rsid w:val="000E1384"/>
    <w:rsid w:val="000E3EFC"/>
    <w:rsid w:val="000F16DB"/>
    <w:rsid w:val="000F25BF"/>
    <w:rsid w:val="000F2E0D"/>
    <w:rsid w:val="000F6BC0"/>
    <w:rsid w:val="00101381"/>
    <w:rsid w:val="00102359"/>
    <w:rsid w:val="00102A06"/>
    <w:rsid w:val="00104C91"/>
    <w:rsid w:val="00106032"/>
    <w:rsid w:val="001103C0"/>
    <w:rsid w:val="00112DDB"/>
    <w:rsid w:val="0011580B"/>
    <w:rsid w:val="00122600"/>
    <w:rsid w:val="00122E1F"/>
    <w:rsid w:val="001234F7"/>
    <w:rsid w:val="001303F7"/>
    <w:rsid w:val="0013253F"/>
    <w:rsid w:val="00132564"/>
    <w:rsid w:val="001341BC"/>
    <w:rsid w:val="0013631A"/>
    <w:rsid w:val="00137E04"/>
    <w:rsid w:val="00140080"/>
    <w:rsid w:val="001413C6"/>
    <w:rsid w:val="001435DB"/>
    <w:rsid w:val="00143A9A"/>
    <w:rsid w:val="0014407B"/>
    <w:rsid w:val="00144422"/>
    <w:rsid w:val="00144A56"/>
    <w:rsid w:val="00150EFE"/>
    <w:rsid w:val="0015299D"/>
    <w:rsid w:val="00156A72"/>
    <w:rsid w:val="001577CC"/>
    <w:rsid w:val="0016171C"/>
    <w:rsid w:val="00161732"/>
    <w:rsid w:val="00161FD7"/>
    <w:rsid w:val="001633CA"/>
    <w:rsid w:val="001650B8"/>
    <w:rsid w:val="00166296"/>
    <w:rsid w:val="001666D8"/>
    <w:rsid w:val="00166E83"/>
    <w:rsid w:val="001672C9"/>
    <w:rsid w:val="00167F5D"/>
    <w:rsid w:val="00172C03"/>
    <w:rsid w:val="00175744"/>
    <w:rsid w:val="00176328"/>
    <w:rsid w:val="0017677C"/>
    <w:rsid w:val="00177780"/>
    <w:rsid w:val="00181098"/>
    <w:rsid w:val="00181311"/>
    <w:rsid w:val="00181D27"/>
    <w:rsid w:val="0018273E"/>
    <w:rsid w:val="0018324B"/>
    <w:rsid w:val="001860E4"/>
    <w:rsid w:val="0018652D"/>
    <w:rsid w:val="0019241D"/>
    <w:rsid w:val="001938C4"/>
    <w:rsid w:val="001941E4"/>
    <w:rsid w:val="001951CD"/>
    <w:rsid w:val="00197C80"/>
    <w:rsid w:val="00197D15"/>
    <w:rsid w:val="001A114A"/>
    <w:rsid w:val="001A31B2"/>
    <w:rsid w:val="001A3AD0"/>
    <w:rsid w:val="001A3B8C"/>
    <w:rsid w:val="001A4029"/>
    <w:rsid w:val="001A5848"/>
    <w:rsid w:val="001A6BEB"/>
    <w:rsid w:val="001A7798"/>
    <w:rsid w:val="001B00E5"/>
    <w:rsid w:val="001B13BF"/>
    <w:rsid w:val="001B1CCA"/>
    <w:rsid w:val="001B58E6"/>
    <w:rsid w:val="001B5C41"/>
    <w:rsid w:val="001C2711"/>
    <w:rsid w:val="001C4127"/>
    <w:rsid w:val="001C4B47"/>
    <w:rsid w:val="001C55CC"/>
    <w:rsid w:val="001C5ED0"/>
    <w:rsid w:val="001C60A8"/>
    <w:rsid w:val="001D0E9C"/>
    <w:rsid w:val="001D1C72"/>
    <w:rsid w:val="001D2700"/>
    <w:rsid w:val="001E1CD1"/>
    <w:rsid w:val="001E50D2"/>
    <w:rsid w:val="001E7064"/>
    <w:rsid w:val="001E73B7"/>
    <w:rsid w:val="001F1A92"/>
    <w:rsid w:val="001F7AB4"/>
    <w:rsid w:val="002014E1"/>
    <w:rsid w:val="002058E6"/>
    <w:rsid w:val="0020676E"/>
    <w:rsid w:val="00206ECD"/>
    <w:rsid w:val="00210033"/>
    <w:rsid w:val="00210752"/>
    <w:rsid w:val="00217610"/>
    <w:rsid w:val="002205A1"/>
    <w:rsid w:val="00221301"/>
    <w:rsid w:val="00222721"/>
    <w:rsid w:val="0022322A"/>
    <w:rsid w:val="00225914"/>
    <w:rsid w:val="002319BB"/>
    <w:rsid w:val="00231FA8"/>
    <w:rsid w:val="002326B5"/>
    <w:rsid w:val="0023391B"/>
    <w:rsid w:val="0023534D"/>
    <w:rsid w:val="00235D59"/>
    <w:rsid w:val="002376FA"/>
    <w:rsid w:val="002377D3"/>
    <w:rsid w:val="002401CD"/>
    <w:rsid w:val="00243994"/>
    <w:rsid w:val="00243ABE"/>
    <w:rsid w:val="00245047"/>
    <w:rsid w:val="00250EA6"/>
    <w:rsid w:val="00253EE4"/>
    <w:rsid w:val="00254A6B"/>
    <w:rsid w:val="00254D54"/>
    <w:rsid w:val="0025640E"/>
    <w:rsid w:val="0025641B"/>
    <w:rsid w:val="002574EC"/>
    <w:rsid w:val="002600DF"/>
    <w:rsid w:val="00261A11"/>
    <w:rsid w:val="00262BD1"/>
    <w:rsid w:val="00263341"/>
    <w:rsid w:val="0026347C"/>
    <w:rsid w:val="00264102"/>
    <w:rsid w:val="002665EC"/>
    <w:rsid w:val="002716A9"/>
    <w:rsid w:val="00272BB6"/>
    <w:rsid w:val="00273F87"/>
    <w:rsid w:val="0027783B"/>
    <w:rsid w:val="00277AD2"/>
    <w:rsid w:val="00282643"/>
    <w:rsid w:val="00285480"/>
    <w:rsid w:val="00286753"/>
    <w:rsid w:val="002868B3"/>
    <w:rsid w:val="0028706F"/>
    <w:rsid w:val="00287E8A"/>
    <w:rsid w:val="00291AE0"/>
    <w:rsid w:val="002944F1"/>
    <w:rsid w:val="0029481D"/>
    <w:rsid w:val="00294FBC"/>
    <w:rsid w:val="00296287"/>
    <w:rsid w:val="0029686D"/>
    <w:rsid w:val="00297000"/>
    <w:rsid w:val="00297D46"/>
    <w:rsid w:val="002A14DC"/>
    <w:rsid w:val="002A2182"/>
    <w:rsid w:val="002A3995"/>
    <w:rsid w:val="002B287F"/>
    <w:rsid w:val="002B2C77"/>
    <w:rsid w:val="002B406D"/>
    <w:rsid w:val="002B5621"/>
    <w:rsid w:val="002B6DF8"/>
    <w:rsid w:val="002C1851"/>
    <w:rsid w:val="002C3014"/>
    <w:rsid w:val="002C47DE"/>
    <w:rsid w:val="002C485D"/>
    <w:rsid w:val="002C4AE7"/>
    <w:rsid w:val="002C4B40"/>
    <w:rsid w:val="002C6AD1"/>
    <w:rsid w:val="002D0601"/>
    <w:rsid w:val="002D578F"/>
    <w:rsid w:val="002D7F87"/>
    <w:rsid w:val="002E08FB"/>
    <w:rsid w:val="002E1263"/>
    <w:rsid w:val="002E1D28"/>
    <w:rsid w:val="002E2598"/>
    <w:rsid w:val="002E5B1A"/>
    <w:rsid w:val="002F04F2"/>
    <w:rsid w:val="003005FF"/>
    <w:rsid w:val="00300AEC"/>
    <w:rsid w:val="00300CD1"/>
    <w:rsid w:val="003012E2"/>
    <w:rsid w:val="003015DB"/>
    <w:rsid w:val="00301688"/>
    <w:rsid w:val="00301AC4"/>
    <w:rsid w:val="00302079"/>
    <w:rsid w:val="00303378"/>
    <w:rsid w:val="00305A17"/>
    <w:rsid w:val="00310FEB"/>
    <w:rsid w:val="00313B23"/>
    <w:rsid w:val="00315264"/>
    <w:rsid w:val="003157F5"/>
    <w:rsid w:val="003168E4"/>
    <w:rsid w:val="00317A5D"/>
    <w:rsid w:val="00320C2F"/>
    <w:rsid w:val="003215F6"/>
    <w:rsid w:val="00324053"/>
    <w:rsid w:val="00324727"/>
    <w:rsid w:val="00325EFE"/>
    <w:rsid w:val="00334CB6"/>
    <w:rsid w:val="0033684E"/>
    <w:rsid w:val="00337B66"/>
    <w:rsid w:val="00337EB8"/>
    <w:rsid w:val="003426A4"/>
    <w:rsid w:val="003449DD"/>
    <w:rsid w:val="00344D8C"/>
    <w:rsid w:val="00344E20"/>
    <w:rsid w:val="00345257"/>
    <w:rsid w:val="00345C96"/>
    <w:rsid w:val="00346D0F"/>
    <w:rsid w:val="00347725"/>
    <w:rsid w:val="00347F0B"/>
    <w:rsid w:val="00350EAE"/>
    <w:rsid w:val="003534D2"/>
    <w:rsid w:val="0035568B"/>
    <w:rsid w:val="0035581A"/>
    <w:rsid w:val="0036095F"/>
    <w:rsid w:val="00361A01"/>
    <w:rsid w:val="00361F16"/>
    <w:rsid w:val="00362AF3"/>
    <w:rsid w:val="003630FF"/>
    <w:rsid w:val="003631B0"/>
    <w:rsid w:val="0036499E"/>
    <w:rsid w:val="003649F9"/>
    <w:rsid w:val="0036536A"/>
    <w:rsid w:val="00367E33"/>
    <w:rsid w:val="00371220"/>
    <w:rsid w:val="0037133C"/>
    <w:rsid w:val="00377AC3"/>
    <w:rsid w:val="00380233"/>
    <w:rsid w:val="00380353"/>
    <w:rsid w:val="00382826"/>
    <w:rsid w:val="003842D4"/>
    <w:rsid w:val="00384360"/>
    <w:rsid w:val="00385D06"/>
    <w:rsid w:val="00390313"/>
    <w:rsid w:val="00390534"/>
    <w:rsid w:val="00391497"/>
    <w:rsid w:val="003914F8"/>
    <w:rsid w:val="00392DDB"/>
    <w:rsid w:val="003942B2"/>
    <w:rsid w:val="00396891"/>
    <w:rsid w:val="00397777"/>
    <w:rsid w:val="003977E0"/>
    <w:rsid w:val="00397DB9"/>
    <w:rsid w:val="003A2C87"/>
    <w:rsid w:val="003A3CF3"/>
    <w:rsid w:val="003A6DAE"/>
    <w:rsid w:val="003A7C9C"/>
    <w:rsid w:val="003B054E"/>
    <w:rsid w:val="003B198C"/>
    <w:rsid w:val="003B3038"/>
    <w:rsid w:val="003B32EB"/>
    <w:rsid w:val="003B4979"/>
    <w:rsid w:val="003B5E3B"/>
    <w:rsid w:val="003B743E"/>
    <w:rsid w:val="003C0220"/>
    <w:rsid w:val="003C092D"/>
    <w:rsid w:val="003C3072"/>
    <w:rsid w:val="003C3986"/>
    <w:rsid w:val="003C420A"/>
    <w:rsid w:val="003C5B65"/>
    <w:rsid w:val="003C748F"/>
    <w:rsid w:val="003E1347"/>
    <w:rsid w:val="003E15DB"/>
    <w:rsid w:val="003E3C76"/>
    <w:rsid w:val="003E5381"/>
    <w:rsid w:val="003F026C"/>
    <w:rsid w:val="003F1528"/>
    <w:rsid w:val="003F4A65"/>
    <w:rsid w:val="00404CDA"/>
    <w:rsid w:val="00405303"/>
    <w:rsid w:val="00405933"/>
    <w:rsid w:val="00407D00"/>
    <w:rsid w:val="00410446"/>
    <w:rsid w:val="0041259D"/>
    <w:rsid w:val="004149C9"/>
    <w:rsid w:val="00426F31"/>
    <w:rsid w:val="00431501"/>
    <w:rsid w:val="00434DB4"/>
    <w:rsid w:val="00436797"/>
    <w:rsid w:val="004368F1"/>
    <w:rsid w:val="00436CDD"/>
    <w:rsid w:val="00437565"/>
    <w:rsid w:val="00437992"/>
    <w:rsid w:val="00442B05"/>
    <w:rsid w:val="0044357F"/>
    <w:rsid w:val="00443E5C"/>
    <w:rsid w:val="0044475E"/>
    <w:rsid w:val="00444911"/>
    <w:rsid w:val="00446239"/>
    <w:rsid w:val="00451279"/>
    <w:rsid w:val="00451313"/>
    <w:rsid w:val="004518C6"/>
    <w:rsid w:val="004560C9"/>
    <w:rsid w:val="00460DF2"/>
    <w:rsid w:val="00461BD3"/>
    <w:rsid w:val="00463984"/>
    <w:rsid w:val="0046545B"/>
    <w:rsid w:val="0046586A"/>
    <w:rsid w:val="004659E3"/>
    <w:rsid w:val="00467D09"/>
    <w:rsid w:val="004748E7"/>
    <w:rsid w:val="00475C63"/>
    <w:rsid w:val="004776FA"/>
    <w:rsid w:val="00484416"/>
    <w:rsid w:val="0048728D"/>
    <w:rsid w:val="004875E8"/>
    <w:rsid w:val="0049057D"/>
    <w:rsid w:val="00490A14"/>
    <w:rsid w:val="00490B7C"/>
    <w:rsid w:val="00492D30"/>
    <w:rsid w:val="0049613A"/>
    <w:rsid w:val="00497D9B"/>
    <w:rsid w:val="004A6C29"/>
    <w:rsid w:val="004B0859"/>
    <w:rsid w:val="004B1F86"/>
    <w:rsid w:val="004C2692"/>
    <w:rsid w:val="004D084F"/>
    <w:rsid w:val="004D1A0D"/>
    <w:rsid w:val="004D2C1D"/>
    <w:rsid w:val="004D3041"/>
    <w:rsid w:val="004D3BAF"/>
    <w:rsid w:val="004D46BA"/>
    <w:rsid w:val="004D4B87"/>
    <w:rsid w:val="004D563C"/>
    <w:rsid w:val="004D67B2"/>
    <w:rsid w:val="004E1945"/>
    <w:rsid w:val="004E1F6A"/>
    <w:rsid w:val="004E2A33"/>
    <w:rsid w:val="004E3F85"/>
    <w:rsid w:val="004E4E5D"/>
    <w:rsid w:val="004F19E1"/>
    <w:rsid w:val="004F2C7C"/>
    <w:rsid w:val="004F534D"/>
    <w:rsid w:val="004F67D6"/>
    <w:rsid w:val="00500483"/>
    <w:rsid w:val="00503CD4"/>
    <w:rsid w:val="0050400D"/>
    <w:rsid w:val="00504B0B"/>
    <w:rsid w:val="0050584D"/>
    <w:rsid w:val="00505D87"/>
    <w:rsid w:val="00507A86"/>
    <w:rsid w:val="0051581F"/>
    <w:rsid w:val="00515E3E"/>
    <w:rsid w:val="00516A33"/>
    <w:rsid w:val="00524622"/>
    <w:rsid w:val="005249AB"/>
    <w:rsid w:val="00525FB8"/>
    <w:rsid w:val="00530DC0"/>
    <w:rsid w:val="00531B28"/>
    <w:rsid w:val="00531CD3"/>
    <w:rsid w:val="00532BFF"/>
    <w:rsid w:val="005330DB"/>
    <w:rsid w:val="005336D0"/>
    <w:rsid w:val="0053654F"/>
    <w:rsid w:val="005414CE"/>
    <w:rsid w:val="00543316"/>
    <w:rsid w:val="00543B15"/>
    <w:rsid w:val="00543EEA"/>
    <w:rsid w:val="00553F37"/>
    <w:rsid w:val="00557C1B"/>
    <w:rsid w:val="00560631"/>
    <w:rsid w:val="0056171A"/>
    <w:rsid w:val="005635E4"/>
    <w:rsid w:val="005638EF"/>
    <w:rsid w:val="00571440"/>
    <w:rsid w:val="00571687"/>
    <w:rsid w:val="00573213"/>
    <w:rsid w:val="005768A2"/>
    <w:rsid w:val="0057757F"/>
    <w:rsid w:val="005775B2"/>
    <w:rsid w:val="00577D1D"/>
    <w:rsid w:val="00580DCF"/>
    <w:rsid w:val="00581F18"/>
    <w:rsid w:val="0058280D"/>
    <w:rsid w:val="00583F07"/>
    <w:rsid w:val="00587D94"/>
    <w:rsid w:val="005907BF"/>
    <w:rsid w:val="005930E9"/>
    <w:rsid w:val="00594E2E"/>
    <w:rsid w:val="00595950"/>
    <w:rsid w:val="005A35EB"/>
    <w:rsid w:val="005A3FF7"/>
    <w:rsid w:val="005A46D7"/>
    <w:rsid w:val="005A5C4F"/>
    <w:rsid w:val="005A62F9"/>
    <w:rsid w:val="005A75AE"/>
    <w:rsid w:val="005B0B59"/>
    <w:rsid w:val="005B3F56"/>
    <w:rsid w:val="005B757B"/>
    <w:rsid w:val="005C22DF"/>
    <w:rsid w:val="005C3E8E"/>
    <w:rsid w:val="005C5C62"/>
    <w:rsid w:val="005C5DF2"/>
    <w:rsid w:val="005C711C"/>
    <w:rsid w:val="005C7137"/>
    <w:rsid w:val="005C71AD"/>
    <w:rsid w:val="005D33F1"/>
    <w:rsid w:val="005D4F44"/>
    <w:rsid w:val="005D5F6F"/>
    <w:rsid w:val="005E1447"/>
    <w:rsid w:val="005F0ADF"/>
    <w:rsid w:val="005F0C4D"/>
    <w:rsid w:val="005F2E18"/>
    <w:rsid w:val="005F6E0A"/>
    <w:rsid w:val="005F7CC6"/>
    <w:rsid w:val="0060086B"/>
    <w:rsid w:val="00601264"/>
    <w:rsid w:val="006013D2"/>
    <w:rsid w:val="00601ADD"/>
    <w:rsid w:val="006034B1"/>
    <w:rsid w:val="006052E3"/>
    <w:rsid w:val="006154E7"/>
    <w:rsid w:val="00615894"/>
    <w:rsid w:val="00615E8C"/>
    <w:rsid w:val="006172A8"/>
    <w:rsid w:val="006175BD"/>
    <w:rsid w:val="00620501"/>
    <w:rsid w:val="0062314C"/>
    <w:rsid w:val="00624FB0"/>
    <w:rsid w:val="006262C2"/>
    <w:rsid w:val="00627DDA"/>
    <w:rsid w:val="006304D5"/>
    <w:rsid w:val="006306BF"/>
    <w:rsid w:val="006358D3"/>
    <w:rsid w:val="00636537"/>
    <w:rsid w:val="00640751"/>
    <w:rsid w:val="00643677"/>
    <w:rsid w:val="0064604E"/>
    <w:rsid w:val="006501C3"/>
    <w:rsid w:val="00651068"/>
    <w:rsid w:val="006534C1"/>
    <w:rsid w:val="006552DF"/>
    <w:rsid w:val="006558D7"/>
    <w:rsid w:val="00663480"/>
    <w:rsid w:val="00663A02"/>
    <w:rsid w:val="00663C29"/>
    <w:rsid w:val="006736FE"/>
    <w:rsid w:val="0067530A"/>
    <w:rsid w:val="006802BE"/>
    <w:rsid w:val="0068118B"/>
    <w:rsid w:val="00684FB8"/>
    <w:rsid w:val="006853B0"/>
    <w:rsid w:val="00685883"/>
    <w:rsid w:val="00687E3E"/>
    <w:rsid w:val="00692667"/>
    <w:rsid w:val="006956B8"/>
    <w:rsid w:val="00695D2C"/>
    <w:rsid w:val="006A1AB3"/>
    <w:rsid w:val="006A789E"/>
    <w:rsid w:val="006B16C9"/>
    <w:rsid w:val="006B6C07"/>
    <w:rsid w:val="006B74E9"/>
    <w:rsid w:val="006B7DB8"/>
    <w:rsid w:val="006C1376"/>
    <w:rsid w:val="006C5CC5"/>
    <w:rsid w:val="006C747C"/>
    <w:rsid w:val="006D1FA8"/>
    <w:rsid w:val="006D21AB"/>
    <w:rsid w:val="006D25B9"/>
    <w:rsid w:val="006D6659"/>
    <w:rsid w:val="006D6D36"/>
    <w:rsid w:val="006E10A2"/>
    <w:rsid w:val="006E26AA"/>
    <w:rsid w:val="006E3E8B"/>
    <w:rsid w:val="006E5124"/>
    <w:rsid w:val="006E5E47"/>
    <w:rsid w:val="006E763D"/>
    <w:rsid w:val="006F0D83"/>
    <w:rsid w:val="006F2787"/>
    <w:rsid w:val="006F2E05"/>
    <w:rsid w:val="006F4124"/>
    <w:rsid w:val="006F42D2"/>
    <w:rsid w:val="006F5D76"/>
    <w:rsid w:val="006F6A03"/>
    <w:rsid w:val="006F721E"/>
    <w:rsid w:val="00700FF5"/>
    <w:rsid w:val="007022A8"/>
    <w:rsid w:val="00703BAE"/>
    <w:rsid w:val="007045AD"/>
    <w:rsid w:val="007049AD"/>
    <w:rsid w:val="00705D92"/>
    <w:rsid w:val="00707618"/>
    <w:rsid w:val="007079C9"/>
    <w:rsid w:val="00710177"/>
    <w:rsid w:val="007108B1"/>
    <w:rsid w:val="00711E4A"/>
    <w:rsid w:val="00712EE3"/>
    <w:rsid w:val="00715371"/>
    <w:rsid w:val="00716E31"/>
    <w:rsid w:val="0072053D"/>
    <w:rsid w:val="0072521C"/>
    <w:rsid w:val="00731661"/>
    <w:rsid w:val="00734B66"/>
    <w:rsid w:val="007360AB"/>
    <w:rsid w:val="00737CC2"/>
    <w:rsid w:val="00742A5F"/>
    <w:rsid w:val="0074350C"/>
    <w:rsid w:val="00745EF1"/>
    <w:rsid w:val="00746485"/>
    <w:rsid w:val="007475FA"/>
    <w:rsid w:val="007527FD"/>
    <w:rsid w:val="00752DA7"/>
    <w:rsid w:val="0075630F"/>
    <w:rsid w:val="00760F9F"/>
    <w:rsid w:val="00762066"/>
    <w:rsid w:val="007628B0"/>
    <w:rsid w:val="00762CA1"/>
    <w:rsid w:val="007640F5"/>
    <w:rsid w:val="007647AF"/>
    <w:rsid w:val="00766A0B"/>
    <w:rsid w:val="00770601"/>
    <w:rsid w:val="00773533"/>
    <w:rsid w:val="00773F84"/>
    <w:rsid w:val="00774584"/>
    <w:rsid w:val="00774A83"/>
    <w:rsid w:val="00777001"/>
    <w:rsid w:val="00777B06"/>
    <w:rsid w:val="00780989"/>
    <w:rsid w:val="00783A0D"/>
    <w:rsid w:val="00783CD0"/>
    <w:rsid w:val="00786FE1"/>
    <w:rsid w:val="00787477"/>
    <w:rsid w:val="00792598"/>
    <w:rsid w:val="007942E1"/>
    <w:rsid w:val="00794FA6"/>
    <w:rsid w:val="007951F7"/>
    <w:rsid w:val="007978FB"/>
    <w:rsid w:val="007A00D2"/>
    <w:rsid w:val="007A2CA8"/>
    <w:rsid w:val="007A35F6"/>
    <w:rsid w:val="007A4494"/>
    <w:rsid w:val="007A4DEB"/>
    <w:rsid w:val="007A6E1E"/>
    <w:rsid w:val="007B362A"/>
    <w:rsid w:val="007B3A35"/>
    <w:rsid w:val="007B4468"/>
    <w:rsid w:val="007B555D"/>
    <w:rsid w:val="007B5C74"/>
    <w:rsid w:val="007B5DAE"/>
    <w:rsid w:val="007C3A68"/>
    <w:rsid w:val="007C61ED"/>
    <w:rsid w:val="007C6B3C"/>
    <w:rsid w:val="007C7501"/>
    <w:rsid w:val="007D2046"/>
    <w:rsid w:val="007D5003"/>
    <w:rsid w:val="007D56A4"/>
    <w:rsid w:val="007D5E04"/>
    <w:rsid w:val="007D5EA6"/>
    <w:rsid w:val="007E1548"/>
    <w:rsid w:val="007E221C"/>
    <w:rsid w:val="007E2AB9"/>
    <w:rsid w:val="007E53D4"/>
    <w:rsid w:val="007E6966"/>
    <w:rsid w:val="007E6D82"/>
    <w:rsid w:val="007F0743"/>
    <w:rsid w:val="007F0AA6"/>
    <w:rsid w:val="007F5CA1"/>
    <w:rsid w:val="007F7949"/>
    <w:rsid w:val="007F7F7F"/>
    <w:rsid w:val="00802049"/>
    <w:rsid w:val="00803DD7"/>
    <w:rsid w:val="00807228"/>
    <w:rsid w:val="008074E4"/>
    <w:rsid w:val="008121FC"/>
    <w:rsid w:val="008138FA"/>
    <w:rsid w:val="00816557"/>
    <w:rsid w:val="008202BD"/>
    <w:rsid w:val="00821561"/>
    <w:rsid w:val="00822A02"/>
    <w:rsid w:val="00822CBB"/>
    <w:rsid w:val="00823B89"/>
    <w:rsid w:val="0083041B"/>
    <w:rsid w:val="00831B2D"/>
    <w:rsid w:val="00832F78"/>
    <w:rsid w:val="00834179"/>
    <w:rsid w:val="0083417D"/>
    <w:rsid w:val="0083472D"/>
    <w:rsid w:val="008347C1"/>
    <w:rsid w:val="008378B2"/>
    <w:rsid w:val="00837D97"/>
    <w:rsid w:val="008427BC"/>
    <w:rsid w:val="00842C34"/>
    <w:rsid w:val="00846771"/>
    <w:rsid w:val="00847E57"/>
    <w:rsid w:val="008501F3"/>
    <w:rsid w:val="0085310D"/>
    <w:rsid w:val="00853F50"/>
    <w:rsid w:val="008540B6"/>
    <w:rsid w:val="008546CC"/>
    <w:rsid w:val="00857A0D"/>
    <w:rsid w:val="00857FF1"/>
    <w:rsid w:val="0086144F"/>
    <w:rsid w:val="00862A7E"/>
    <w:rsid w:val="00863B85"/>
    <w:rsid w:val="00866122"/>
    <w:rsid w:val="00866127"/>
    <w:rsid w:val="008676D7"/>
    <w:rsid w:val="00867A94"/>
    <w:rsid w:val="00876C3E"/>
    <w:rsid w:val="00886415"/>
    <w:rsid w:val="008901EB"/>
    <w:rsid w:val="008910DE"/>
    <w:rsid w:val="008924A0"/>
    <w:rsid w:val="00892DD6"/>
    <w:rsid w:val="0089358E"/>
    <w:rsid w:val="00893842"/>
    <w:rsid w:val="00896DA2"/>
    <w:rsid w:val="00897485"/>
    <w:rsid w:val="00897DB2"/>
    <w:rsid w:val="008A03AF"/>
    <w:rsid w:val="008A07B1"/>
    <w:rsid w:val="008A2361"/>
    <w:rsid w:val="008A2CB0"/>
    <w:rsid w:val="008A5C08"/>
    <w:rsid w:val="008B33B2"/>
    <w:rsid w:val="008B4279"/>
    <w:rsid w:val="008B519B"/>
    <w:rsid w:val="008B732C"/>
    <w:rsid w:val="008C1626"/>
    <w:rsid w:val="008C1946"/>
    <w:rsid w:val="008C5055"/>
    <w:rsid w:val="008D2E8D"/>
    <w:rsid w:val="008D4553"/>
    <w:rsid w:val="008D70A6"/>
    <w:rsid w:val="008D7F95"/>
    <w:rsid w:val="008E16EE"/>
    <w:rsid w:val="008E2169"/>
    <w:rsid w:val="008F04F9"/>
    <w:rsid w:val="008F257C"/>
    <w:rsid w:val="008F377B"/>
    <w:rsid w:val="008F5405"/>
    <w:rsid w:val="00900ABA"/>
    <w:rsid w:val="00901747"/>
    <w:rsid w:val="0090353C"/>
    <w:rsid w:val="00903959"/>
    <w:rsid w:val="009046E5"/>
    <w:rsid w:val="00906DE0"/>
    <w:rsid w:val="009073DC"/>
    <w:rsid w:val="00907B7E"/>
    <w:rsid w:val="009106C6"/>
    <w:rsid w:val="00912071"/>
    <w:rsid w:val="0091292C"/>
    <w:rsid w:val="009143C5"/>
    <w:rsid w:val="009162AC"/>
    <w:rsid w:val="00917530"/>
    <w:rsid w:val="00917B35"/>
    <w:rsid w:val="009218D4"/>
    <w:rsid w:val="00925B67"/>
    <w:rsid w:val="009368F1"/>
    <w:rsid w:val="00937F9A"/>
    <w:rsid w:val="009409E3"/>
    <w:rsid w:val="009410CF"/>
    <w:rsid w:val="00943A43"/>
    <w:rsid w:val="00944D2B"/>
    <w:rsid w:val="00945EFC"/>
    <w:rsid w:val="00947BF1"/>
    <w:rsid w:val="009579FA"/>
    <w:rsid w:val="00960550"/>
    <w:rsid w:val="00961089"/>
    <w:rsid w:val="009614B5"/>
    <w:rsid w:val="00963970"/>
    <w:rsid w:val="0096487E"/>
    <w:rsid w:val="00964B44"/>
    <w:rsid w:val="00965D5D"/>
    <w:rsid w:val="00965D6A"/>
    <w:rsid w:val="00973E54"/>
    <w:rsid w:val="00975296"/>
    <w:rsid w:val="0097558E"/>
    <w:rsid w:val="009813D6"/>
    <w:rsid w:val="00982314"/>
    <w:rsid w:val="0098462E"/>
    <w:rsid w:val="009864B5"/>
    <w:rsid w:val="00990FD8"/>
    <w:rsid w:val="009924CF"/>
    <w:rsid w:val="009943BD"/>
    <w:rsid w:val="00994B48"/>
    <w:rsid w:val="00994E5F"/>
    <w:rsid w:val="00995A78"/>
    <w:rsid w:val="00996FC7"/>
    <w:rsid w:val="009A1F49"/>
    <w:rsid w:val="009A1F94"/>
    <w:rsid w:val="009A2712"/>
    <w:rsid w:val="009A2FC9"/>
    <w:rsid w:val="009A3485"/>
    <w:rsid w:val="009A424F"/>
    <w:rsid w:val="009A6059"/>
    <w:rsid w:val="009A77DB"/>
    <w:rsid w:val="009B0DA5"/>
    <w:rsid w:val="009B4687"/>
    <w:rsid w:val="009C3C33"/>
    <w:rsid w:val="009C4496"/>
    <w:rsid w:val="009C5098"/>
    <w:rsid w:val="009C59D4"/>
    <w:rsid w:val="009C662F"/>
    <w:rsid w:val="009C7F18"/>
    <w:rsid w:val="009D037E"/>
    <w:rsid w:val="009D5BC2"/>
    <w:rsid w:val="009E0FB6"/>
    <w:rsid w:val="009E129B"/>
    <w:rsid w:val="009E2D81"/>
    <w:rsid w:val="009E426B"/>
    <w:rsid w:val="009E4343"/>
    <w:rsid w:val="009E58D4"/>
    <w:rsid w:val="009E596E"/>
    <w:rsid w:val="009E5C07"/>
    <w:rsid w:val="009E6A8A"/>
    <w:rsid w:val="009F0072"/>
    <w:rsid w:val="009F0AF3"/>
    <w:rsid w:val="009F2B0D"/>
    <w:rsid w:val="009F2EDB"/>
    <w:rsid w:val="009F4B45"/>
    <w:rsid w:val="009F6AD9"/>
    <w:rsid w:val="00A00012"/>
    <w:rsid w:val="00A070F5"/>
    <w:rsid w:val="00A07CE6"/>
    <w:rsid w:val="00A07E0C"/>
    <w:rsid w:val="00A13E2C"/>
    <w:rsid w:val="00A21214"/>
    <w:rsid w:val="00A21310"/>
    <w:rsid w:val="00A2456E"/>
    <w:rsid w:val="00A25133"/>
    <w:rsid w:val="00A25E37"/>
    <w:rsid w:val="00A30776"/>
    <w:rsid w:val="00A336D2"/>
    <w:rsid w:val="00A34EAF"/>
    <w:rsid w:val="00A3525B"/>
    <w:rsid w:val="00A352F0"/>
    <w:rsid w:val="00A43852"/>
    <w:rsid w:val="00A506B6"/>
    <w:rsid w:val="00A52489"/>
    <w:rsid w:val="00A527DA"/>
    <w:rsid w:val="00A52A81"/>
    <w:rsid w:val="00A544D4"/>
    <w:rsid w:val="00A54F85"/>
    <w:rsid w:val="00A55253"/>
    <w:rsid w:val="00A55331"/>
    <w:rsid w:val="00A56665"/>
    <w:rsid w:val="00A624D3"/>
    <w:rsid w:val="00A62551"/>
    <w:rsid w:val="00A62CAB"/>
    <w:rsid w:val="00A65993"/>
    <w:rsid w:val="00A65B97"/>
    <w:rsid w:val="00A65BA2"/>
    <w:rsid w:val="00A66EC2"/>
    <w:rsid w:val="00A67937"/>
    <w:rsid w:val="00A67EAC"/>
    <w:rsid w:val="00A73458"/>
    <w:rsid w:val="00A73D3F"/>
    <w:rsid w:val="00A7409F"/>
    <w:rsid w:val="00A7442C"/>
    <w:rsid w:val="00A74682"/>
    <w:rsid w:val="00A762F4"/>
    <w:rsid w:val="00A769F2"/>
    <w:rsid w:val="00A816C8"/>
    <w:rsid w:val="00A82479"/>
    <w:rsid w:val="00A82906"/>
    <w:rsid w:val="00A82E9C"/>
    <w:rsid w:val="00A85231"/>
    <w:rsid w:val="00A859ED"/>
    <w:rsid w:val="00A87DC7"/>
    <w:rsid w:val="00A90084"/>
    <w:rsid w:val="00A903E9"/>
    <w:rsid w:val="00A91A4B"/>
    <w:rsid w:val="00A92099"/>
    <w:rsid w:val="00A943C0"/>
    <w:rsid w:val="00A94B38"/>
    <w:rsid w:val="00AA12A9"/>
    <w:rsid w:val="00AA1DDE"/>
    <w:rsid w:val="00AA3A1A"/>
    <w:rsid w:val="00AA4856"/>
    <w:rsid w:val="00AA531C"/>
    <w:rsid w:val="00AA67D1"/>
    <w:rsid w:val="00AA6AF3"/>
    <w:rsid w:val="00AA6FBF"/>
    <w:rsid w:val="00AB286A"/>
    <w:rsid w:val="00AB3B74"/>
    <w:rsid w:val="00AB3F90"/>
    <w:rsid w:val="00AB5BE1"/>
    <w:rsid w:val="00AB64A7"/>
    <w:rsid w:val="00AB6A0A"/>
    <w:rsid w:val="00AB6BCB"/>
    <w:rsid w:val="00AB7907"/>
    <w:rsid w:val="00AC22DB"/>
    <w:rsid w:val="00AC40DB"/>
    <w:rsid w:val="00AC4C7F"/>
    <w:rsid w:val="00AC6FD7"/>
    <w:rsid w:val="00AC7A66"/>
    <w:rsid w:val="00AC7FC2"/>
    <w:rsid w:val="00AD149F"/>
    <w:rsid w:val="00AD1DBC"/>
    <w:rsid w:val="00AD52D2"/>
    <w:rsid w:val="00AD5619"/>
    <w:rsid w:val="00AE08E7"/>
    <w:rsid w:val="00AE181A"/>
    <w:rsid w:val="00AE3FA4"/>
    <w:rsid w:val="00AE5998"/>
    <w:rsid w:val="00AE5BD7"/>
    <w:rsid w:val="00AE6EF4"/>
    <w:rsid w:val="00AF1165"/>
    <w:rsid w:val="00AF249D"/>
    <w:rsid w:val="00AF4F53"/>
    <w:rsid w:val="00AF51A9"/>
    <w:rsid w:val="00AF6579"/>
    <w:rsid w:val="00B01A1F"/>
    <w:rsid w:val="00B033EB"/>
    <w:rsid w:val="00B03BA1"/>
    <w:rsid w:val="00B04F65"/>
    <w:rsid w:val="00B06263"/>
    <w:rsid w:val="00B1043F"/>
    <w:rsid w:val="00B10B31"/>
    <w:rsid w:val="00B14FDC"/>
    <w:rsid w:val="00B17A14"/>
    <w:rsid w:val="00B22470"/>
    <w:rsid w:val="00B231D4"/>
    <w:rsid w:val="00B309D3"/>
    <w:rsid w:val="00B322B8"/>
    <w:rsid w:val="00B414D7"/>
    <w:rsid w:val="00B42DB6"/>
    <w:rsid w:val="00B44B27"/>
    <w:rsid w:val="00B50519"/>
    <w:rsid w:val="00B524BF"/>
    <w:rsid w:val="00B53B1B"/>
    <w:rsid w:val="00B55655"/>
    <w:rsid w:val="00B5617B"/>
    <w:rsid w:val="00B62CD6"/>
    <w:rsid w:val="00B644E8"/>
    <w:rsid w:val="00B65D96"/>
    <w:rsid w:val="00B70EA4"/>
    <w:rsid w:val="00B727B0"/>
    <w:rsid w:val="00B7488E"/>
    <w:rsid w:val="00B77720"/>
    <w:rsid w:val="00B813DF"/>
    <w:rsid w:val="00B81C4F"/>
    <w:rsid w:val="00B82ACC"/>
    <w:rsid w:val="00B836DC"/>
    <w:rsid w:val="00B85025"/>
    <w:rsid w:val="00B857CD"/>
    <w:rsid w:val="00B8632C"/>
    <w:rsid w:val="00B87EC0"/>
    <w:rsid w:val="00B93636"/>
    <w:rsid w:val="00B94E65"/>
    <w:rsid w:val="00B96807"/>
    <w:rsid w:val="00B97AC6"/>
    <w:rsid w:val="00BA14A2"/>
    <w:rsid w:val="00BA1AF5"/>
    <w:rsid w:val="00BA2081"/>
    <w:rsid w:val="00BA2F9E"/>
    <w:rsid w:val="00BA3A0E"/>
    <w:rsid w:val="00BA5C01"/>
    <w:rsid w:val="00BA6C79"/>
    <w:rsid w:val="00BB07F2"/>
    <w:rsid w:val="00BB28CF"/>
    <w:rsid w:val="00BB5EF1"/>
    <w:rsid w:val="00BB71BA"/>
    <w:rsid w:val="00BC279C"/>
    <w:rsid w:val="00BC74C0"/>
    <w:rsid w:val="00BD0A11"/>
    <w:rsid w:val="00BD0D75"/>
    <w:rsid w:val="00BD0DE6"/>
    <w:rsid w:val="00BD2E87"/>
    <w:rsid w:val="00BE041B"/>
    <w:rsid w:val="00BE5A87"/>
    <w:rsid w:val="00BE64D8"/>
    <w:rsid w:val="00BE6FA5"/>
    <w:rsid w:val="00BF1683"/>
    <w:rsid w:val="00BF2AC3"/>
    <w:rsid w:val="00BF3040"/>
    <w:rsid w:val="00BF3641"/>
    <w:rsid w:val="00BF369C"/>
    <w:rsid w:val="00BF4FA0"/>
    <w:rsid w:val="00C026FA"/>
    <w:rsid w:val="00C03EFA"/>
    <w:rsid w:val="00C10B45"/>
    <w:rsid w:val="00C10F5C"/>
    <w:rsid w:val="00C145E5"/>
    <w:rsid w:val="00C1540C"/>
    <w:rsid w:val="00C16423"/>
    <w:rsid w:val="00C20F7E"/>
    <w:rsid w:val="00C21098"/>
    <w:rsid w:val="00C212B2"/>
    <w:rsid w:val="00C25D73"/>
    <w:rsid w:val="00C26EE6"/>
    <w:rsid w:val="00C35717"/>
    <w:rsid w:val="00C35808"/>
    <w:rsid w:val="00C42094"/>
    <w:rsid w:val="00C421FB"/>
    <w:rsid w:val="00C42768"/>
    <w:rsid w:val="00C4422A"/>
    <w:rsid w:val="00C46FF4"/>
    <w:rsid w:val="00C50364"/>
    <w:rsid w:val="00C52E81"/>
    <w:rsid w:val="00C64172"/>
    <w:rsid w:val="00C64BC5"/>
    <w:rsid w:val="00C677AA"/>
    <w:rsid w:val="00C67D82"/>
    <w:rsid w:val="00C70D42"/>
    <w:rsid w:val="00C718AB"/>
    <w:rsid w:val="00C71FB8"/>
    <w:rsid w:val="00C72695"/>
    <w:rsid w:val="00C730C6"/>
    <w:rsid w:val="00C73EB4"/>
    <w:rsid w:val="00C74D70"/>
    <w:rsid w:val="00C76BC2"/>
    <w:rsid w:val="00C76C33"/>
    <w:rsid w:val="00C76EDD"/>
    <w:rsid w:val="00C80954"/>
    <w:rsid w:val="00C826EE"/>
    <w:rsid w:val="00C9018A"/>
    <w:rsid w:val="00C914B7"/>
    <w:rsid w:val="00CA09DF"/>
    <w:rsid w:val="00CA1A7C"/>
    <w:rsid w:val="00CA1F5E"/>
    <w:rsid w:val="00CA36C5"/>
    <w:rsid w:val="00CA3E18"/>
    <w:rsid w:val="00CA3FAB"/>
    <w:rsid w:val="00CA6F9E"/>
    <w:rsid w:val="00CB5A1E"/>
    <w:rsid w:val="00CB669B"/>
    <w:rsid w:val="00CB72A6"/>
    <w:rsid w:val="00CC031B"/>
    <w:rsid w:val="00CC1128"/>
    <w:rsid w:val="00CC121B"/>
    <w:rsid w:val="00CC3C64"/>
    <w:rsid w:val="00CC5830"/>
    <w:rsid w:val="00CD410D"/>
    <w:rsid w:val="00CD441A"/>
    <w:rsid w:val="00CD4AB7"/>
    <w:rsid w:val="00CD530D"/>
    <w:rsid w:val="00CD570F"/>
    <w:rsid w:val="00CD7FDA"/>
    <w:rsid w:val="00CE122D"/>
    <w:rsid w:val="00CE1B0B"/>
    <w:rsid w:val="00CE1C66"/>
    <w:rsid w:val="00CE3347"/>
    <w:rsid w:val="00CE33D6"/>
    <w:rsid w:val="00CE6F22"/>
    <w:rsid w:val="00CE770D"/>
    <w:rsid w:val="00CF079C"/>
    <w:rsid w:val="00CF1DEE"/>
    <w:rsid w:val="00CF2B9A"/>
    <w:rsid w:val="00CF7D93"/>
    <w:rsid w:val="00D00D7E"/>
    <w:rsid w:val="00D02F96"/>
    <w:rsid w:val="00D03851"/>
    <w:rsid w:val="00D03F9B"/>
    <w:rsid w:val="00D0593A"/>
    <w:rsid w:val="00D12298"/>
    <w:rsid w:val="00D12F07"/>
    <w:rsid w:val="00D14D83"/>
    <w:rsid w:val="00D16230"/>
    <w:rsid w:val="00D21D79"/>
    <w:rsid w:val="00D230EF"/>
    <w:rsid w:val="00D2561E"/>
    <w:rsid w:val="00D25D1F"/>
    <w:rsid w:val="00D26594"/>
    <w:rsid w:val="00D269B9"/>
    <w:rsid w:val="00D330DD"/>
    <w:rsid w:val="00D34467"/>
    <w:rsid w:val="00D35903"/>
    <w:rsid w:val="00D3760E"/>
    <w:rsid w:val="00D45218"/>
    <w:rsid w:val="00D4607F"/>
    <w:rsid w:val="00D518C8"/>
    <w:rsid w:val="00D52D29"/>
    <w:rsid w:val="00D55231"/>
    <w:rsid w:val="00D56B34"/>
    <w:rsid w:val="00D607DE"/>
    <w:rsid w:val="00D61007"/>
    <w:rsid w:val="00D61067"/>
    <w:rsid w:val="00D616E0"/>
    <w:rsid w:val="00D62685"/>
    <w:rsid w:val="00D64DE5"/>
    <w:rsid w:val="00D6572A"/>
    <w:rsid w:val="00D67ACF"/>
    <w:rsid w:val="00D70286"/>
    <w:rsid w:val="00D705F8"/>
    <w:rsid w:val="00D71435"/>
    <w:rsid w:val="00D72AAE"/>
    <w:rsid w:val="00D72CF6"/>
    <w:rsid w:val="00D750DD"/>
    <w:rsid w:val="00D76624"/>
    <w:rsid w:val="00D833C7"/>
    <w:rsid w:val="00D8422A"/>
    <w:rsid w:val="00D84A37"/>
    <w:rsid w:val="00D84BA7"/>
    <w:rsid w:val="00D92FB8"/>
    <w:rsid w:val="00D94D77"/>
    <w:rsid w:val="00D9609E"/>
    <w:rsid w:val="00DA1782"/>
    <w:rsid w:val="00DA202A"/>
    <w:rsid w:val="00DA29A6"/>
    <w:rsid w:val="00DA37E6"/>
    <w:rsid w:val="00DB1835"/>
    <w:rsid w:val="00DB4531"/>
    <w:rsid w:val="00DB4F84"/>
    <w:rsid w:val="00DB5451"/>
    <w:rsid w:val="00DB5606"/>
    <w:rsid w:val="00DB625A"/>
    <w:rsid w:val="00DB6482"/>
    <w:rsid w:val="00DB7964"/>
    <w:rsid w:val="00DC0D4A"/>
    <w:rsid w:val="00DC334A"/>
    <w:rsid w:val="00DC4233"/>
    <w:rsid w:val="00DD0AFD"/>
    <w:rsid w:val="00DD46E5"/>
    <w:rsid w:val="00DD5098"/>
    <w:rsid w:val="00DD7014"/>
    <w:rsid w:val="00DE14A0"/>
    <w:rsid w:val="00DE1A9B"/>
    <w:rsid w:val="00DE2724"/>
    <w:rsid w:val="00DE467C"/>
    <w:rsid w:val="00DE4710"/>
    <w:rsid w:val="00DE52A8"/>
    <w:rsid w:val="00DE6434"/>
    <w:rsid w:val="00DE6738"/>
    <w:rsid w:val="00DF0008"/>
    <w:rsid w:val="00DF06BC"/>
    <w:rsid w:val="00DF06EB"/>
    <w:rsid w:val="00DF0CEB"/>
    <w:rsid w:val="00DF1F61"/>
    <w:rsid w:val="00DF4267"/>
    <w:rsid w:val="00E02A29"/>
    <w:rsid w:val="00E02CBE"/>
    <w:rsid w:val="00E03851"/>
    <w:rsid w:val="00E04361"/>
    <w:rsid w:val="00E05930"/>
    <w:rsid w:val="00E06189"/>
    <w:rsid w:val="00E1364A"/>
    <w:rsid w:val="00E13CDD"/>
    <w:rsid w:val="00E15279"/>
    <w:rsid w:val="00E21259"/>
    <w:rsid w:val="00E22811"/>
    <w:rsid w:val="00E27715"/>
    <w:rsid w:val="00E27BD4"/>
    <w:rsid w:val="00E335FF"/>
    <w:rsid w:val="00E33C42"/>
    <w:rsid w:val="00E3466F"/>
    <w:rsid w:val="00E34ECB"/>
    <w:rsid w:val="00E40180"/>
    <w:rsid w:val="00E42751"/>
    <w:rsid w:val="00E42F7E"/>
    <w:rsid w:val="00E43315"/>
    <w:rsid w:val="00E43924"/>
    <w:rsid w:val="00E50D14"/>
    <w:rsid w:val="00E5283C"/>
    <w:rsid w:val="00E540C7"/>
    <w:rsid w:val="00E55742"/>
    <w:rsid w:val="00E5652C"/>
    <w:rsid w:val="00E62003"/>
    <w:rsid w:val="00E62787"/>
    <w:rsid w:val="00E6757F"/>
    <w:rsid w:val="00E67F38"/>
    <w:rsid w:val="00E72A35"/>
    <w:rsid w:val="00E735EE"/>
    <w:rsid w:val="00E736B3"/>
    <w:rsid w:val="00E73DBA"/>
    <w:rsid w:val="00E76236"/>
    <w:rsid w:val="00E840EC"/>
    <w:rsid w:val="00E9102C"/>
    <w:rsid w:val="00E9399C"/>
    <w:rsid w:val="00E946F1"/>
    <w:rsid w:val="00E948EF"/>
    <w:rsid w:val="00E96004"/>
    <w:rsid w:val="00E9645A"/>
    <w:rsid w:val="00E97C6F"/>
    <w:rsid w:val="00EA083B"/>
    <w:rsid w:val="00EA2521"/>
    <w:rsid w:val="00EA4A4C"/>
    <w:rsid w:val="00EA503A"/>
    <w:rsid w:val="00EB05A3"/>
    <w:rsid w:val="00EB07F1"/>
    <w:rsid w:val="00EB0CE2"/>
    <w:rsid w:val="00EB1A8C"/>
    <w:rsid w:val="00EB2BC9"/>
    <w:rsid w:val="00EB3A3F"/>
    <w:rsid w:val="00EB692B"/>
    <w:rsid w:val="00EB6DD2"/>
    <w:rsid w:val="00EB7112"/>
    <w:rsid w:val="00EB7DF1"/>
    <w:rsid w:val="00EB7FFA"/>
    <w:rsid w:val="00EC21C5"/>
    <w:rsid w:val="00EC3AF5"/>
    <w:rsid w:val="00EC48BE"/>
    <w:rsid w:val="00EC511F"/>
    <w:rsid w:val="00EC5C96"/>
    <w:rsid w:val="00ED007E"/>
    <w:rsid w:val="00ED1014"/>
    <w:rsid w:val="00ED20B2"/>
    <w:rsid w:val="00ED3CE8"/>
    <w:rsid w:val="00ED4BAD"/>
    <w:rsid w:val="00ED6B1B"/>
    <w:rsid w:val="00EE0ABD"/>
    <w:rsid w:val="00EE1C28"/>
    <w:rsid w:val="00EE37E1"/>
    <w:rsid w:val="00EE3F83"/>
    <w:rsid w:val="00EE41EE"/>
    <w:rsid w:val="00EE5FBD"/>
    <w:rsid w:val="00EE6EA1"/>
    <w:rsid w:val="00EE793A"/>
    <w:rsid w:val="00EF0C5D"/>
    <w:rsid w:val="00EF634E"/>
    <w:rsid w:val="00EF6DBC"/>
    <w:rsid w:val="00EF6F31"/>
    <w:rsid w:val="00F00470"/>
    <w:rsid w:val="00F01835"/>
    <w:rsid w:val="00F02161"/>
    <w:rsid w:val="00F031E5"/>
    <w:rsid w:val="00F051E1"/>
    <w:rsid w:val="00F06940"/>
    <w:rsid w:val="00F078B5"/>
    <w:rsid w:val="00F10CDE"/>
    <w:rsid w:val="00F13AD7"/>
    <w:rsid w:val="00F13B44"/>
    <w:rsid w:val="00F15450"/>
    <w:rsid w:val="00F1548C"/>
    <w:rsid w:val="00F15804"/>
    <w:rsid w:val="00F17B76"/>
    <w:rsid w:val="00F20386"/>
    <w:rsid w:val="00F227CF"/>
    <w:rsid w:val="00F26C3E"/>
    <w:rsid w:val="00F27B21"/>
    <w:rsid w:val="00F30F26"/>
    <w:rsid w:val="00F37966"/>
    <w:rsid w:val="00F37AAD"/>
    <w:rsid w:val="00F40449"/>
    <w:rsid w:val="00F412D1"/>
    <w:rsid w:val="00F42254"/>
    <w:rsid w:val="00F426A0"/>
    <w:rsid w:val="00F43B08"/>
    <w:rsid w:val="00F43F94"/>
    <w:rsid w:val="00F451FC"/>
    <w:rsid w:val="00F4701A"/>
    <w:rsid w:val="00F52885"/>
    <w:rsid w:val="00F555F1"/>
    <w:rsid w:val="00F571FB"/>
    <w:rsid w:val="00F57665"/>
    <w:rsid w:val="00F57E23"/>
    <w:rsid w:val="00F61C36"/>
    <w:rsid w:val="00F61CB6"/>
    <w:rsid w:val="00F641B5"/>
    <w:rsid w:val="00F658C2"/>
    <w:rsid w:val="00F67AFC"/>
    <w:rsid w:val="00F67B24"/>
    <w:rsid w:val="00F71C26"/>
    <w:rsid w:val="00F72593"/>
    <w:rsid w:val="00F726F2"/>
    <w:rsid w:val="00F728DA"/>
    <w:rsid w:val="00F72C7B"/>
    <w:rsid w:val="00F73EAC"/>
    <w:rsid w:val="00F74BB5"/>
    <w:rsid w:val="00F7584C"/>
    <w:rsid w:val="00F76C1B"/>
    <w:rsid w:val="00F76C4B"/>
    <w:rsid w:val="00F81160"/>
    <w:rsid w:val="00F873D5"/>
    <w:rsid w:val="00F9094B"/>
    <w:rsid w:val="00F933C7"/>
    <w:rsid w:val="00F940C0"/>
    <w:rsid w:val="00FA188A"/>
    <w:rsid w:val="00FA18FB"/>
    <w:rsid w:val="00FA2D23"/>
    <w:rsid w:val="00FA467D"/>
    <w:rsid w:val="00FA61CD"/>
    <w:rsid w:val="00FA6CAB"/>
    <w:rsid w:val="00FB1F31"/>
    <w:rsid w:val="00FB4B75"/>
    <w:rsid w:val="00FB643A"/>
    <w:rsid w:val="00FC249D"/>
    <w:rsid w:val="00FC483F"/>
    <w:rsid w:val="00FC5427"/>
    <w:rsid w:val="00FD1137"/>
    <w:rsid w:val="00FD2421"/>
    <w:rsid w:val="00FD3E34"/>
    <w:rsid w:val="00FD4AE2"/>
    <w:rsid w:val="00FD544E"/>
    <w:rsid w:val="00FD7A2E"/>
    <w:rsid w:val="00FE0553"/>
    <w:rsid w:val="00FF0270"/>
    <w:rsid w:val="00FF0282"/>
    <w:rsid w:val="00FF0F2B"/>
    <w:rsid w:val="00FF3594"/>
    <w:rsid w:val="00FF3C66"/>
    <w:rsid w:val="00FF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56246"/>
  <w15:docId w15:val="{84705FEF-0D9C-473A-8D65-1F8E878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1"/>
    <w:pPr>
      <w:spacing w:line="276" w:lineRule="auto"/>
    </w:pPr>
    <w:rPr>
      <w:sz w:val="20"/>
      <w:szCs w:val="20"/>
    </w:rPr>
  </w:style>
  <w:style w:type="paragraph" w:styleId="Heading1">
    <w:name w:val="heading 1"/>
    <w:basedOn w:val="Normal"/>
    <w:next w:val="Normal"/>
    <w:link w:val="Heading1Char"/>
    <w:uiPriority w:val="4"/>
    <w:qFormat/>
    <w:rsid w:val="00640751"/>
    <w:pPr>
      <w:keepNext/>
      <w:keepLines/>
      <w:numPr>
        <w:numId w:val="1"/>
      </w:numPr>
      <w:spacing w:before="360" w:after="120"/>
      <w:outlineLvl w:val="0"/>
    </w:pPr>
    <w:rPr>
      <w:rFonts w:ascii="Arial" w:eastAsiaTheme="majorEastAsia" w:hAnsi="Arial" w:cstheme="majorBidi"/>
      <w:bCs/>
      <w:caps/>
      <w:color w:val="595959" w:themeColor="text1" w:themeTint="A6"/>
      <w:sz w:val="24"/>
      <w:szCs w:val="24"/>
      <w:lang w:eastAsia="ja-JP"/>
    </w:rPr>
  </w:style>
  <w:style w:type="paragraph" w:styleId="Heading2">
    <w:name w:val="heading 2"/>
    <w:basedOn w:val="Normal"/>
    <w:next w:val="Normal"/>
    <w:link w:val="Heading2Char"/>
    <w:uiPriority w:val="4"/>
    <w:qFormat/>
    <w:rsid w:val="00640751"/>
    <w:pPr>
      <w:keepNext/>
      <w:keepLines/>
      <w:numPr>
        <w:ilvl w:val="1"/>
        <w:numId w:val="1"/>
      </w:numPr>
      <w:spacing w:before="360" w:after="120"/>
      <w:outlineLvl w:val="1"/>
    </w:pPr>
    <w:rPr>
      <w:rFonts w:ascii="Arial" w:eastAsiaTheme="majorEastAsia" w:hAnsi="Arial" w:cstheme="majorBidi"/>
      <w:bCs/>
      <w:caps/>
      <w:color w:val="595959" w:themeColor="text1" w:themeTint="A6"/>
      <w:sz w:val="22"/>
      <w:szCs w:val="22"/>
      <w:lang w:eastAsia="ja-JP"/>
    </w:rPr>
  </w:style>
  <w:style w:type="paragraph" w:styleId="Heading3">
    <w:name w:val="heading 3"/>
    <w:basedOn w:val="Normal"/>
    <w:next w:val="Normal"/>
    <w:link w:val="Heading3Char"/>
    <w:uiPriority w:val="4"/>
    <w:qFormat/>
    <w:rsid w:val="00640751"/>
    <w:pPr>
      <w:keepNext/>
      <w:keepLines/>
      <w:numPr>
        <w:ilvl w:val="2"/>
        <w:numId w:val="1"/>
      </w:numPr>
      <w:spacing w:before="200" w:after="120"/>
      <w:outlineLvl w:val="2"/>
    </w:pPr>
    <w:rPr>
      <w:rFonts w:ascii="Arial" w:eastAsiaTheme="majorEastAsia" w:hAnsi="Arial" w:cstheme="majorBidi"/>
      <w:bCs/>
      <w:color w:val="595959" w:themeColor="text1" w:themeTint="A6"/>
      <w:sz w:val="22"/>
      <w:szCs w:val="22"/>
      <w:lang w:eastAsia="ja-JP"/>
    </w:rPr>
  </w:style>
  <w:style w:type="paragraph" w:styleId="Heading4">
    <w:name w:val="heading 4"/>
    <w:basedOn w:val="Normal"/>
    <w:next w:val="Normal"/>
    <w:link w:val="Heading4Char"/>
    <w:uiPriority w:val="4"/>
    <w:qFormat/>
    <w:rsid w:val="00640751"/>
    <w:pPr>
      <w:keepNext/>
      <w:keepLines/>
      <w:numPr>
        <w:ilvl w:val="3"/>
        <w:numId w:val="1"/>
      </w:numPr>
      <w:spacing w:before="200" w:after="120"/>
      <w:outlineLvl w:val="3"/>
    </w:pPr>
    <w:rPr>
      <w:rFonts w:ascii="Arial" w:eastAsiaTheme="majorEastAsia" w:hAnsi="Arial" w:cstheme="majorBidi"/>
      <w:bCs/>
      <w:i/>
      <w:iCs/>
      <w:color w:val="595959" w:themeColor="text1" w:themeTint="A6"/>
      <w:sz w:val="22"/>
      <w:szCs w:val="22"/>
      <w:lang w:eastAsia="ja-JP"/>
    </w:rPr>
  </w:style>
  <w:style w:type="paragraph" w:styleId="Heading5">
    <w:name w:val="heading 5"/>
    <w:basedOn w:val="Normal"/>
    <w:next w:val="Normal"/>
    <w:link w:val="Heading5Char"/>
    <w:uiPriority w:val="4"/>
    <w:unhideWhenUsed/>
    <w:qFormat/>
    <w:rsid w:val="00F051E1"/>
    <w:pPr>
      <w:keepNext/>
      <w:keepLines/>
      <w:spacing w:before="40" w:after="0"/>
      <w:outlineLvl w:val="4"/>
    </w:pPr>
    <w:rPr>
      <w:rFonts w:asciiTheme="majorHAnsi" w:eastAsiaTheme="majorEastAsia" w:hAnsiTheme="majorHAnsi" w:cstheme="majorBidi"/>
      <w:color w:val="02365E" w:themeColor="accent1" w:themeShade="BF"/>
    </w:rPr>
  </w:style>
  <w:style w:type="paragraph" w:styleId="Heading6">
    <w:name w:val="heading 6"/>
    <w:basedOn w:val="Normal"/>
    <w:next w:val="Normal"/>
    <w:link w:val="Heading6Char"/>
    <w:uiPriority w:val="4"/>
    <w:semiHidden/>
    <w:unhideWhenUsed/>
    <w:rsid w:val="00640751"/>
    <w:pPr>
      <w:keepNext/>
      <w:keepLines/>
      <w:numPr>
        <w:ilvl w:val="5"/>
        <w:numId w:val="1"/>
      </w:numPr>
      <w:spacing w:before="200" w:after="0"/>
      <w:outlineLvl w:val="5"/>
    </w:pPr>
    <w:rPr>
      <w:rFonts w:asciiTheme="majorHAnsi" w:eastAsiaTheme="majorEastAsia" w:hAnsiTheme="majorHAnsi" w:cstheme="majorBidi"/>
      <w:i/>
      <w:iCs/>
      <w:color w:val="000000" w:themeColor="text2" w:themeShade="BF"/>
      <w:lang w:eastAsia="ja-JP"/>
    </w:rPr>
  </w:style>
  <w:style w:type="paragraph" w:styleId="Heading7">
    <w:name w:val="heading 7"/>
    <w:basedOn w:val="Normal"/>
    <w:next w:val="Normal"/>
    <w:link w:val="Heading7Char"/>
    <w:uiPriority w:val="4"/>
    <w:semiHidden/>
    <w:unhideWhenUsed/>
    <w:qFormat/>
    <w:rsid w:val="00640751"/>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4"/>
    <w:semiHidden/>
    <w:unhideWhenUsed/>
    <w:qFormat/>
    <w:rsid w:val="00640751"/>
    <w:pPr>
      <w:keepNext/>
      <w:keepLines/>
      <w:numPr>
        <w:ilvl w:val="7"/>
        <w:numId w:val="1"/>
      </w:numPr>
      <w:spacing w:before="200" w:after="0"/>
      <w:outlineLvl w:val="7"/>
    </w:pPr>
    <w:rPr>
      <w:rFonts w:asciiTheme="majorHAnsi" w:eastAsiaTheme="majorEastAsia" w:hAnsiTheme="majorHAnsi" w:cstheme="majorBidi"/>
      <w:color w:val="404040" w:themeColor="text1" w:themeTint="BF"/>
      <w:lang w:eastAsia="ja-JP"/>
    </w:rPr>
  </w:style>
  <w:style w:type="paragraph" w:styleId="Heading9">
    <w:name w:val="heading 9"/>
    <w:basedOn w:val="Normal"/>
    <w:next w:val="Normal"/>
    <w:link w:val="Heading9Char"/>
    <w:uiPriority w:val="4"/>
    <w:semiHidden/>
    <w:unhideWhenUsed/>
    <w:qFormat/>
    <w:rsid w:val="00640751"/>
    <w:pPr>
      <w:keepNext/>
      <w:keepLines/>
      <w:numPr>
        <w:ilvl w:val="8"/>
        <w:numId w:val="1"/>
      </w:numPr>
      <w:spacing w:before="200" w:after="0"/>
      <w:outlineLvl w:val="8"/>
    </w:pPr>
    <w:rPr>
      <w:rFonts w:asciiTheme="majorHAnsi" w:eastAsiaTheme="majorEastAsia" w:hAnsiTheme="majorHAnsi" w:cstheme="majorBidi"/>
      <w:i/>
      <w:iCs/>
      <w:color w:val="404040" w:themeColor="text1" w:themeTint="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751"/>
    <w:rPr>
      <w:color w:val="2980B9" w:themeColor="hyperlink"/>
      <w:u w:val="single"/>
    </w:rPr>
  </w:style>
  <w:style w:type="character" w:customStyle="1" w:styleId="Heading1Char">
    <w:name w:val="Heading 1 Char"/>
    <w:basedOn w:val="DefaultParagraphFont"/>
    <w:link w:val="Heading1"/>
    <w:uiPriority w:val="4"/>
    <w:rsid w:val="00640751"/>
    <w:rPr>
      <w:rFonts w:ascii="Arial" w:eastAsiaTheme="majorEastAsia" w:hAnsi="Arial" w:cstheme="majorBidi"/>
      <w:bCs/>
      <w:caps/>
      <w:color w:val="595959" w:themeColor="text1" w:themeTint="A6"/>
      <w:sz w:val="24"/>
      <w:szCs w:val="24"/>
      <w:lang w:eastAsia="ja-JP"/>
    </w:rPr>
  </w:style>
  <w:style w:type="character" w:customStyle="1" w:styleId="Heading2Char">
    <w:name w:val="Heading 2 Char"/>
    <w:basedOn w:val="DefaultParagraphFont"/>
    <w:link w:val="Heading2"/>
    <w:uiPriority w:val="4"/>
    <w:rsid w:val="00640751"/>
    <w:rPr>
      <w:rFonts w:ascii="Arial" w:eastAsiaTheme="majorEastAsia" w:hAnsi="Arial" w:cstheme="majorBidi"/>
      <w:bCs/>
      <w:caps/>
      <w:color w:val="595959" w:themeColor="text1" w:themeTint="A6"/>
      <w:lang w:eastAsia="ja-JP"/>
    </w:rPr>
  </w:style>
  <w:style w:type="character" w:customStyle="1" w:styleId="Heading3Char">
    <w:name w:val="Heading 3 Char"/>
    <w:basedOn w:val="DefaultParagraphFont"/>
    <w:link w:val="Heading3"/>
    <w:uiPriority w:val="4"/>
    <w:rsid w:val="00640751"/>
    <w:rPr>
      <w:rFonts w:ascii="Arial" w:eastAsiaTheme="majorEastAsia" w:hAnsi="Arial" w:cstheme="majorBidi"/>
      <w:bCs/>
      <w:color w:val="595959" w:themeColor="text1" w:themeTint="A6"/>
      <w:lang w:eastAsia="ja-JP"/>
    </w:rPr>
  </w:style>
  <w:style w:type="character" w:customStyle="1" w:styleId="Heading4Char">
    <w:name w:val="Heading 4 Char"/>
    <w:basedOn w:val="DefaultParagraphFont"/>
    <w:link w:val="Heading4"/>
    <w:uiPriority w:val="4"/>
    <w:rsid w:val="00640751"/>
    <w:rPr>
      <w:rFonts w:ascii="Arial" w:eastAsiaTheme="majorEastAsia" w:hAnsi="Arial" w:cstheme="majorBidi"/>
      <w:bCs/>
      <w:i/>
      <w:iCs/>
      <w:color w:val="595959" w:themeColor="text1" w:themeTint="A6"/>
      <w:lang w:eastAsia="ja-JP"/>
    </w:rPr>
  </w:style>
  <w:style w:type="character" w:customStyle="1" w:styleId="Heading6Char">
    <w:name w:val="Heading 6 Char"/>
    <w:basedOn w:val="DefaultParagraphFont"/>
    <w:link w:val="Heading6"/>
    <w:uiPriority w:val="4"/>
    <w:semiHidden/>
    <w:rsid w:val="007E53D4"/>
    <w:rPr>
      <w:rFonts w:asciiTheme="majorHAnsi" w:eastAsiaTheme="majorEastAsia" w:hAnsiTheme="majorHAnsi" w:cstheme="majorBidi"/>
      <w:i/>
      <w:iCs/>
      <w:color w:val="000000" w:themeColor="text2" w:themeShade="BF"/>
      <w:sz w:val="20"/>
      <w:szCs w:val="20"/>
      <w:lang w:eastAsia="ja-JP"/>
    </w:rPr>
  </w:style>
  <w:style w:type="character" w:customStyle="1" w:styleId="Heading7Char">
    <w:name w:val="Heading 7 Char"/>
    <w:basedOn w:val="DefaultParagraphFont"/>
    <w:link w:val="Heading7"/>
    <w:uiPriority w:val="4"/>
    <w:semiHidden/>
    <w:rsid w:val="007E53D4"/>
    <w:rPr>
      <w:rFonts w:asciiTheme="majorHAnsi" w:eastAsiaTheme="majorEastAsia" w:hAnsiTheme="majorHAnsi" w:cstheme="majorBidi"/>
      <w:i/>
      <w:iCs/>
      <w:color w:val="404040" w:themeColor="text1" w:themeTint="BF"/>
      <w:sz w:val="20"/>
      <w:szCs w:val="20"/>
      <w:lang w:eastAsia="ja-JP"/>
    </w:rPr>
  </w:style>
  <w:style w:type="character" w:customStyle="1" w:styleId="Heading8Char">
    <w:name w:val="Heading 8 Char"/>
    <w:basedOn w:val="DefaultParagraphFont"/>
    <w:link w:val="Heading8"/>
    <w:uiPriority w:val="4"/>
    <w:semiHidden/>
    <w:rsid w:val="007E53D4"/>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4"/>
    <w:semiHidden/>
    <w:rsid w:val="007E53D4"/>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640751"/>
    <w:pPr>
      <w:spacing w:line="240" w:lineRule="auto"/>
      <w:contextualSpacing/>
    </w:pPr>
    <w:rPr>
      <w:rFonts w:ascii="Arial" w:eastAsiaTheme="majorEastAsia" w:hAnsi="Arial" w:cstheme="majorBidi"/>
      <w:color w:val="03497E" w:themeColor="accent1"/>
      <w:sz w:val="40"/>
      <w:szCs w:val="40"/>
      <w:lang w:eastAsia="ja-JP"/>
    </w:rPr>
  </w:style>
  <w:style w:type="character" w:customStyle="1" w:styleId="TitleChar">
    <w:name w:val="Title Char"/>
    <w:basedOn w:val="DefaultParagraphFont"/>
    <w:link w:val="Title"/>
    <w:uiPriority w:val="10"/>
    <w:rsid w:val="00640751"/>
    <w:rPr>
      <w:rFonts w:ascii="Arial" w:eastAsiaTheme="majorEastAsia" w:hAnsi="Arial" w:cstheme="majorBidi"/>
      <w:color w:val="03497E" w:themeColor="accent1"/>
      <w:sz w:val="40"/>
      <w:szCs w:val="40"/>
      <w:lang w:eastAsia="ja-JP"/>
    </w:rPr>
  </w:style>
  <w:style w:type="character" w:styleId="SubtleEmphasis">
    <w:name w:val="Subtle Emphasis"/>
    <w:uiPriority w:val="8"/>
    <w:rsid w:val="00640751"/>
    <w:rPr>
      <w:b/>
    </w:rPr>
  </w:style>
  <w:style w:type="character" w:styleId="Emphasis">
    <w:name w:val="Emphasis"/>
    <w:uiPriority w:val="9"/>
    <w:rsid w:val="007E53D4"/>
    <w:rPr>
      <w:b/>
      <w:color w:val="E74C3C" w:themeColor="accent3"/>
    </w:rPr>
  </w:style>
  <w:style w:type="paragraph" w:styleId="Quote">
    <w:name w:val="Quote"/>
    <w:basedOn w:val="Normal"/>
    <w:next w:val="Normal"/>
    <w:link w:val="QuoteChar"/>
    <w:uiPriority w:val="23"/>
    <w:unhideWhenUsed/>
    <w:qFormat/>
    <w:rsid w:val="00640751"/>
    <w:pPr>
      <w:spacing w:before="120"/>
      <w:ind w:left="864" w:right="864"/>
      <w:jc w:val="center"/>
    </w:pPr>
    <w:rPr>
      <w:rFonts w:ascii="Arial" w:eastAsiaTheme="minorEastAsia" w:hAnsi="Arial"/>
      <w:i/>
      <w:iCs/>
      <w:noProof/>
      <w:color w:val="595959" w:themeColor="text1" w:themeTint="A6"/>
      <w:lang w:eastAsia="ja-JP"/>
    </w:rPr>
  </w:style>
  <w:style w:type="character" w:customStyle="1" w:styleId="QuoteChar">
    <w:name w:val="Quote Char"/>
    <w:basedOn w:val="DefaultParagraphFont"/>
    <w:link w:val="Quote"/>
    <w:uiPriority w:val="23"/>
    <w:rsid w:val="007E53D4"/>
    <w:rPr>
      <w:rFonts w:ascii="Arial" w:eastAsiaTheme="minorEastAsia" w:hAnsi="Arial"/>
      <w:i/>
      <w:iCs/>
      <w:noProof/>
      <w:color w:val="595959" w:themeColor="text1" w:themeTint="A6"/>
      <w:sz w:val="20"/>
      <w:szCs w:val="20"/>
      <w:lang w:eastAsia="ja-JP"/>
    </w:rPr>
  </w:style>
  <w:style w:type="paragraph" w:styleId="Footer">
    <w:name w:val="footer"/>
    <w:basedOn w:val="Normal"/>
    <w:link w:val="FooterChar"/>
    <w:uiPriority w:val="99"/>
    <w:unhideWhenUsed/>
    <w:rsid w:val="00640751"/>
    <w:pPr>
      <w:tabs>
        <w:tab w:val="center" w:pos="4680"/>
        <w:tab w:val="right" w:pos="9360"/>
      </w:tabs>
      <w:spacing w:after="0" w:line="240" w:lineRule="auto"/>
    </w:pPr>
    <w:rPr>
      <w:rFonts w:ascii="Arial" w:eastAsiaTheme="minorEastAsia" w:hAnsi="Arial"/>
      <w:lang w:eastAsia="ja-JP"/>
    </w:rPr>
  </w:style>
  <w:style w:type="character" w:customStyle="1" w:styleId="FooterChar">
    <w:name w:val="Footer Char"/>
    <w:basedOn w:val="DefaultParagraphFont"/>
    <w:link w:val="Footer"/>
    <w:uiPriority w:val="99"/>
    <w:rsid w:val="00640751"/>
    <w:rPr>
      <w:rFonts w:ascii="Arial" w:eastAsiaTheme="minorEastAsia" w:hAnsi="Arial"/>
      <w:sz w:val="20"/>
      <w:szCs w:val="20"/>
      <w:lang w:eastAsia="ja-JP"/>
    </w:rPr>
  </w:style>
  <w:style w:type="paragraph" w:customStyle="1" w:styleId="Overview">
    <w:name w:val="Overview"/>
    <w:basedOn w:val="Normal"/>
    <w:link w:val="OverviewChar"/>
    <w:uiPriority w:val="7"/>
    <w:qFormat/>
    <w:rsid w:val="00640751"/>
    <w:pPr>
      <w:spacing w:after="120"/>
    </w:pPr>
    <w:rPr>
      <w:rFonts w:ascii="Arial" w:eastAsiaTheme="majorEastAsia" w:hAnsi="Arial" w:cstheme="majorBidi"/>
      <w:bCs/>
      <w:caps/>
      <w:color w:val="595959" w:themeColor="text1" w:themeTint="A6"/>
      <w:sz w:val="24"/>
      <w:szCs w:val="24"/>
      <w:lang w:eastAsia="ja-JP"/>
    </w:rPr>
  </w:style>
  <w:style w:type="character" w:customStyle="1" w:styleId="OverviewChar">
    <w:name w:val="Overview Char"/>
    <w:basedOn w:val="DefaultParagraphFont"/>
    <w:link w:val="Overview"/>
    <w:uiPriority w:val="7"/>
    <w:rsid w:val="007E53D4"/>
    <w:rPr>
      <w:rFonts w:ascii="Arial" w:eastAsiaTheme="majorEastAsia" w:hAnsi="Arial" w:cstheme="majorBidi"/>
      <w:bCs/>
      <w:caps/>
      <w:color w:val="595959" w:themeColor="text1" w:themeTint="A6"/>
      <w:sz w:val="24"/>
      <w:szCs w:val="24"/>
      <w:lang w:eastAsia="ja-JP"/>
    </w:rPr>
  </w:style>
  <w:style w:type="paragraph" w:customStyle="1" w:styleId="VariableName">
    <w:name w:val="Variable Name"/>
    <w:basedOn w:val="Normal"/>
    <w:link w:val="VariableNameChar"/>
    <w:uiPriority w:val="3"/>
    <w:qFormat/>
    <w:rsid w:val="00837D97"/>
    <w:rPr>
      <w:rFonts w:ascii="Courier New" w:eastAsiaTheme="minorEastAsia" w:hAnsi="Courier New" w:cs="Courier New"/>
      <w:caps/>
      <w:lang w:eastAsia="ja-JP"/>
    </w:rPr>
  </w:style>
  <w:style w:type="paragraph" w:customStyle="1" w:styleId="DatasetName">
    <w:name w:val="Dataset Name"/>
    <w:basedOn w:val="Normal"/>
    <w:link w:val="DatasetNameChar"/>
    <w:uiPriority w:val="2"/>
    <w:qFormat/>
    <w:rsid w:val="00640751"/>
    <w:rPr>
      <w:rFonts w:ascii="Courier New" w:eastAsiaTheme="minorEastAsia" w:hAnsi="Courier New" w:cs="Courier New"/>
      <w:b/>
      <w:lang w:eastAsia="ja-JP"/>
    </w:rPr>
  </w:style>
  <w:style w:type="character" w:customStyle="1" w:styleId="VariableNameChar">
    <w:name w:val="Variable Name Char"/>
    <w:basedOn w:val="DefaultParagraphFont"/>
    <w:link w:val="VariableName"/>
    <w:uiPriority w:val="3"/>
    <w:rsid w:val="00837D97"/>
    <w:rPr>
      <w:rFonts w:ascii="Courier New" w:eastAsiaTheme="minorEastAsia" w:hAnsi="Courier New" w:cs="Courier New"/>
      <w:caps/>
      <w:sz w:val="20"/>
      <w:szCs w:val="20"/>
      <w:lang w:eastAsia="ja-JP"/>
    </w:rPr>
  </w:style>
  <w:style w:type="character" w:customStyle="1" w:styleId="DatasetNameChar">
    <w:name w:val="Dataset Name Char"/>
    <w:basedOn w:val="VariableNameChar"/>
    <w:link w:val="DatasetName"/>
    <w:uiPriority w:val="2"/>
    <w:rsid w:val="00640751"/>
    <w:rPr>
      <w:rFonts w:ascii="Courier New" w:eastAsiaTheme="minorEastAsia" w:hAnsi="Courier New" w:cs="Courier New"/>
      <w:b/>
      <w:caps/>
      <w:sz w:val="20"/>
      <w:szCs w:val="20"/>
      <w:lang w:eastAsia="ja-JP"/>
    </w:rPr>
  </w:style>
  <w:style w:type="paragraph" w:customStyle="1" w:styleId="ProgramName">
    <w:name w:val="Program Name"/>
    <w:basedOn w:val="DatasetName"/>
    <w:uiPriority w:val="1"/>
    <w:qFormat/>
    <w:rsid w:val="00640751"/>
  </w:style>
  <w:style w:type="character" w:styleId="FollowedHyperlink">
    <w:name w:val="FollowedHyperlink"/>
    <w:basedOn w:val="DefaultParagraphFont"/>
    <w:uiPriority w:val="99"/>
    <w:semiHidden/>
    <w:unhideWhenUsed/>
    <w:rsid w:val="00640751"/>
    <w:rPr>
      <w:color w:val="2980B9" w:themeColor="followedHyperlink"/>
      <w:u w:val="single"/>
    </w:rPr>
  </w:style>
  <w:style w:type="paragraph" w:styleId="Header">
    <w:name w:val="header"/>
    <w:basedOn w:val="Normal"/>
    <w:link w:val="HeaderChar"/>
    <w:uiPriority w:val="99"/>
    <w:unhideWhenUsed/>
    <w:rsid w:val="00EE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93A"/>
    <w:rPr>
      <w:sz w:val="20"/>
      <w:szCs w:val="20"/>
    </w:rPr>
  </w:style>
  <w:style w:type="character" w:styleId="PlaceholderText">
    <w:name w:val="Placeholder Text"/>
    <w:basedOn w:val="DefaultParagraphFont"/>
    <w:uiPriority w:val="99"/>
    <w:semiHidden/>
    <w:rsid w:val="00D6572A"/>
    <w:rPr>
      <w:color w:val="808080"/>
    </w:rPr>
  </w:style>
  <w:style w:type="paragraph" w:customStyle="1" w:styleId="Emphasis1">
    <w:name w:val="Emphasis 1"/>
    <w:basedOn w:val="Normal"/>
    <w:link w:val="Emphasis1Char"/>
    <w:uiPriority w:val="8"/>
    <w:qFormat/>
    <w:rsid w:val="003B4979"/>
    <w:rPr>
      <w:b/>
      <w:noProof/>
      <w:color w:val="E74C3C" w:themeColor="accent3"/>
    </w:rPr>
  </w:style>
  <w:style w:type="paragraph" w:customStyle="1" w:styleId="Emphasis2">
    <w:name w:val="Emphasis 2"/>
    <w:basedOn w:val="Normal"/>
    <w:link w:val="Emphasis2Char"/>
    <w:uiPriority w:val="8"/>
    <w:qFormat/>
    <w:rsid w:val="003B4979"/>
    <w:rPr>
      <w:b/>
      <w:noProof/>
      <w:color w:val="2980B9" w:themeColor="accent5"/>
    </w:rPr>
  </w:style>
  <w:style w:type="character" w:customStyle="1" w:styleId="Emphasis1Char">
    <w:name w:val="Emphasis 1 Char"/>
    <w:basedOn w:val="DefaultParagraphFont"/>
    <w:link w:val="Emphasis1"/>
    <w:uiPriority w:val="8"/>
    <w:rsid w:val="00221301"/>
    <w:rPr>
      <w:b/>
      <w:noProof/>
      <w:color w:val="E74C3C" w:themeColor="accent3"/>
      <w:sz w:val="20"/>
      <w:szCs w:val="20"/>
    </w:rPr>
  </w:style>
  <w:style w:type="paragraph" w:customStyle="1" w:styleId="Emphasis3">
    <w:name w:val="Emphasis 3"/>
    <w:basedOn w:val="Normal"/>
    <w:link w:val="Emphasis3Char"/>
    <w:uiPriority w:val="8"/>
    <w:qFormat/>
    <w:rsid w:val="003B4979"/>
    <w:rPr>
      <w:b/>
      <w:noProof/>
    </w:rPr>
  </w:style>
  <w:style w:type="character" w:customStyle="1" w:styleId="Emphasis2Char">
    <w:name w:val="Emphasis 2 Char"/>
    <w:basedOn w:val="DefaultParagraphFont"/>
    <w:link w:val="Emphasis2"/>
    <w:uiPriority w:val="8"/>
    <w:rsid w:val="00221301"/>
    <w:rPr>
      <w:b/>
      <w:noProof/>
      <w:color w:val="2980B9" w:themeColor="accent5"/>
      <w:sz w:val="20"/>
      <w:szCs w:val="20"/>
    </w:rPr>
  </w:style>
  <w:style w:type="character" w:customStyle="1" w:styleId="Emphasis3Char">
    <w:name w:val="Emphasis 3 Char"/>
    <w:basedOn w:val="DefaultParagraphFont"/>
    <w:link w:val="Emphasis3"/>
    <w:uiPriority w:val="8"/>
    <w:rsid w:val="00221301"/>
    <w:rPr>
      <w:b/>
      <w:noProof/>
      <w:sz w:val="20"/>
      <w:szCs w:val="20"/>
    </w:rPr>
  </w:style>
  <w:style w:type="table" w:styleId="TableGrid">
    <w:name w:val="Table Grid"/>
    <w:basedOn w:val="TableNormal"/>
    <w:uiPriority w:val="39"/>
    <w:rsid w:val="00E6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1259"/>
    <w:pPr>
      <w:spacing w:after="200" w:line="240" w:lineRule="auto"/>
      <w:jc w:val="center"/>
    </w:pPr>
    <w:rPr>
      <w:i/>
      <w:iCs/>
      <w:color w:val="000000" w:themeColor="text2"/>
      <w:sz w:val="18"/>
      <w:szCs w:val="18"/>
    </w:rPr>
  </w:style>
  <w:style w:type="paragraph" w:styleId="EndnoteText">
    <w:name w:val="endnote text"/>
    <w:basedOn w:val="Normal"/>
    <w:link w:val="EndnoteTextChar"/>
    <w:uiPriority w:val="99"/>
    <w:semiHidden/>
    <w:unhideWhenUsed/>
    <w:rsid w:val="001951CD"/>
    <w:pPr>
      <w:spacing w:after="0" w:line="240" w:lineRule="auto"/>
    </w:pPr>
  </w:style>
  <w:style w:type="character" w:customStyle="1" w:styleId="EndnoteTextChar">
    <w:name w:val="Endnote Text Char"/>
    <w:basedOn w:val="DefaultParagraphFont"/>
    <w:link w:val="EndnoteText"/>
    <w:uiPriority w:val="99"/>
    <w:semiHidden/>
    <w:rsid w:val="001951CD"/>
    <w:rPr>
      <w:sz w:val="20"/>
      <w:szCs w:val="20"/>
    </w:rPr>
  </w:style>
  <w:style w:type="character" w:styleId="EndnoteReference">
    <w:name w:val="endnote reference"/>
    <w:basedOn w:val="DefaultParagraphFont"/>
    <w:uiPriority w:val="99"/>
    <w:semiHidden/>
    <w:unhideWhenUsed/>
    <w:rsid w:val="001951CD"/>
    <w:rPr>
      <w:vertAlign w:val="superscript"/>
    </w:rPr>
  </w:style>
  <w:style w:type="paragraph" w:styleId="ListParagraph">
    <w:name w:val="List Paragraph"/>
    <w:basedOn w:val="Normal"/>
    <w:uiPriority w:val="34"/>
    <w:qFormat/>
    <w:rsid w:val="001951CD"/>
    <w:pPr>
      <w:spacing w:after="0" w:line="240" w:lineRule="auto"/>
      <w:ind w:left="720"/>
    </w:pPr>
    <w:rPr>
      <w:rFonts w:ascii="Calibri" w:hAnsi="Calibri" w:cs="Calibri"/>
      <w:sz w:val="22"/>
      <w:szCs w:val="22"/>
    </w:rPr>
  </w:style>
  <w:style w:type="character" w:styleId="CommentReference">
    <w:name w:val="annotation reference"/>
    <w:basedOn w:val="DefaultParagraphFont"/>
    <w:uiPriority w:val="99"/>
    <w:semiHidden/>
    <w:unhideWhenUsed/>
    <w:rsid w:val="00167F5D"/>
    <w:rPr>
      <w:sz w:val="16"/>
      <w:szCs w:val="16"/>
    </w:rPr>
  </w:style>
  <w:style w:type="paragraph" w:styleId="CommentText">
    <w:name w:val="annotation text"/>
    <w:basedOn w:val="Normal"/>
    <w:link w:val="CommentTextChar"/>
    <w:uiPriority w:val="99"/>
    <w:semiHidden/>
    <w:unhideWhenUsed/>
    <w:rsid w:val="00167F5D"/>
    <w:pPr>
      <w:spacing w:line="240" w:lineRule="auto"/>
    </w:pPr>
  </w:style>
  <w:style w:type="character" w:customStyle="1" w:styleId="CommentTextChar">
    <w:name w:val="Comment Text Char"/>
    <w:basedOn w:val="DefaultParagraphFont"/>
    <w:link w:val="CommentText"/>
    <w:uiPriority w:val="99"/>
    <w:semiHidden/>
    <w:rsid w:val="00167F5D"/>
    <w:rPr>
      <w:sz w:val="20"/>
      <w:szCs w:val="20"/>
    </w:rPr>
  </w:style>
  <w:style w:type="paragraph" w:styleId="CommentSubject">
    <w:name w:val="annotation subject"/>
    <w:basedOn w:val="CommentText"/>
    <w:next w:val="CommentText"/>
    <w:link w:val="CommentSubjectChar"/>
    <w:uiPriority w:val="99"/>
    <w:semiHidden/>
    <w:unhideWhenUsed/>
    <w:rsid w:val="00167F5D"/>
    <w:rPr>
      <w:b/>
      <w:bCs/>
    </w:rPr>
  </w:style>
  <w:style w:type="character" w:customStyle="1" w:styleId="CommentSubjectChar">
    <w:name w:val="Comment Subject Char"/>
    <w:basedOn w:val="CommentTextChar"/>
    <w:link w:val="CommentSubject"/>
    <w:uiPriority w:val="99"/>
    <w:semiHidden/>
    <w:rsid w:val="00167F5D"/>
    <w:rPr>
      <w:b/>
      <w:bCs/>
      <w:sz w:val="20"/>
      <w:szCs w:val="20"/>
    </w:rPr>
  </w:style>
  <w:style w:type="paragraph" w:styleId="BalloonText">
    <w:name w:val="Balloon Text"/>
    <w:basedOn w:val="Normal"/>
    <w:link w:val="BalloonTextChar"/>
    <w:uiPriority w:val="99"/>
    <w:semiHidden/>
    <w:unhideWhenUsed/>
    <w:rsid w:val="0016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5D"/>
    <w:rPr>
      <w:rFonts w:ascii="Segoe UI" w:hAnsi="Segoe UI" w:cs="Segoe UI"/>
      <w:sz w:val="18"/>
      <w:szCs w:val="18"/>
    </w:rPr>
  </w:style>
  <w:style w:type="paragraph" w:styleId="FootnoteText">
    <w:name w:val="footnote text"/>
    <w:basedOn w:val="Normal"/>
    <w:link w:val="FootnoteTextChar"/>
    <w:uiPriority w:val="99"/>
    <w:semiHidden/>
    <w:unhideWhenUsed/>
    <w:rsid w:val="005638EF"/>
    <w:pPr>
      <w:spacing w:after="0" w:line="240" w:lineRule="auto"/>
    </w:pPr>
  </w:style>
  <w:style w:type="character" w:customStyle="1" w:styleId="FootnoteTextChar">
    <w:name w:val="Footnote Text Char"/>
    <w:basedOn w:val="DefaultParagraphFont"/>
    <w:link w:val="FootnoteText"/>
    <w:uiPriority w:val="99"/>
    <w:semiHidden/>
    <w:rsid w:val="005638EF"/>
    <w:rPr>
      <w:sz w:val="20"/>
      <w:szCs w:val="20"/>
    </w:rPr>
  </w:style>
  <w:style w:type="character" w:styleId="FootnoteReference">
    <w:name w:val="footnote reference"/>
    <w:basedOn w:val="DefaultParagraphFont"/>
    <w:uiPriority w:val="99"/>
    <w:semiHidden/>
    <w:unhideWhenUsed/>
    <w:rsid w:val="005638EF"/>
    <w:rPr>
      <w:vertAlign w:val="superscript"/>
    </w:rPr>
  </w:style>
  <w:style w:type="character" w:customStyle="1" w:styleId="Heading5Char">
    <w:name w:val="Heading 5 Char"/>
    <w:basedOn w:val="DefaultParagraphFont"/>
    <w:link w:val="Heading5"/>
    <w:uiPriority w:val="4"/>
    <w:rsid w:val="00F051E1"/>
    <w:rPr>
      <w:rFonts w:asciiTheme="majorHAnsi" w:eastAsiaTheme="majorEastAsia" w:hAnsiTheme="majorHAnsi" w:cstheme="majorBidi"/>
      <w:color w:val="02365E" w:themeColor="accent1" w:themeShade="BF"/>
      <w:sz w:val="20"/>
      <w:szCs w:val="20"/>
    </w:rPr>
  </w:style>
  <w:style w:type="paragraph" w:customStyle="1" w:styleId="Default">
    <w:name w:val="Default"/>
    <w:rsid w:val="00FC483F"/>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FC483F"/>
    <w:rPr>
      <w:rFonts w:cs="Calibri"/>
      <w:color w:val="221E1F"/>
      <w:sz w:val="20"/>
      <w:szCs w:val="20"/>
    </w:rPr>
  </w:style>
  <w:style w:type="paragraph" w:styleId="NoSpacing">
    <w:name w:val="No Spacing"/>
    <w:link w:val="NoSpacingChar"/>
    <w:uiPriority w:val="1"/>
    <w:qFormat/>
    <w:rsid w:val="00392D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2DDB"/>
    <w:rPr>
      <w:rFonts w:eastAsiaTheme="minorEastAsia"/>
      <w:lang w:eastAsia="ja-JP"/>
    </w:rPr>
  </w:style>
  <w:style w:type="paragraph" w:styleId="Subtitle">
    <w:name w:val="Subtitle"/>
    <w:basedOn w:val="Normal"/>
    <w:next w:val="Normal"/>
    <w:link w:val="SubtitleChar"/>
    <w:uiPriority w:val="11"/>
    <w:qFormat/>
    <w:rsid w:val="00392DDB"/>
    <w:pPr>
      <w:numPr>
        <w:ilvl w:val="1"/>
      </w:numPr>
      <w:spacing w:after="200"/>
    </w:pPr>
    <w:rPr>
      <w:rFonts w:asciiTheme="majorHAnsi" w:eastAsiaTheme="majorEastAsia" w:hAnsiTheme="majorHAnsi" w:cstheme="majorBidi"/>
      <w:i/>
      <w:iCs/>
      <w:color w:val="03497E" w:themeColor="accent1"/>
      <w:spacing w:val="15"/>
      <w:sz w:val="24"/>
      <w:szCs w:val="24"/>
      <w:lang w:eastAsia="ja-JP"/>
    </w:rPr>
  </w:style>
  <w:style w:type="character" w:customStyle="1" w:styleId="SubtitleChar">
    <w:name w:val="Subtitle Char"/>
    <w:basedOn w:val="DefaultParagraphFont"/>
    <w:link w:val="Subtitle"/>
    <w:uiPriority w:val="11"/>
    <w:rsid w:val="00392DDB"/>
    <w:rPr>
      <w:rFonts w:asciiTheme="majorHAnsi" w:eastAsiaTheme="majorEastAsia" w:hAnsiTheme="majorHAnsi" w:cstheme="majorBidi"/>
      <w:i/>
      <w:iCs/>
      <w:color w:val="03497E" w:themeColor="accent1"/>
      <w:spacing w:val="15"/>
      <w:sz w:val="24"/>
      <w:szCs w:val="24"/>
      <w:lang w:eastAsia="ja-JP"/>
    </w:rPr>
  </w:style>
  <w:style w:type="paragraph" w:styleId="TOCHeading">
    <w:name w:val="TOC Heading"/>
    <w:basedOn w:val="Heading1"/>
    <w:next w:val="Normal"/>
    <w:uiPriority w:val="39"/>
    <w:semiHidden/>
    <w:unhideWhenUsed/>
    <w:qFormat/>
    <w:rsid w:val="00C42094"/>
    <w:pPr>
      <w:numPr>
        <w:numId w:val="0"/>
      </w:numPr>
      <w:spacing w:before="480" w:after="0"/>
      <w:outlineLvl w:val="9"/>
    </w:pPr>
    <w:rPr>
      <w:rFonts w:asciiTheme="majorHAnsi" w:hAnsiTheme="majorHAnsi"/>
      <w:b/>
      <w:caps w:val="0"/>
      <w:color w:val="02365E" w:themeColor="accent1" w:themeShade="BF"/>
      <w:sz w:val="28"/>
      <w:szCs w:val="28"/>
    </w:rPr>
  </w:style>
  <w:style w:type="paragraph" w:styleId="TOC1">
    <w:name w:val="toc 1"/>
    <w:basedOn w:val="Normal"/>
    <w:next w:val="Normal"/>
    <w:autoRedefine/>
    <w:uiPriority w:val="39"/>
    <w:unhideWhenUsed/>
    <w:qFormat/>
    <w:rsid w:val="00C42094"/>
    <w:pPr>
      <w:spacing w:after="100"/>
    </w:pPr>
  </w:style>
  <w:style w:type="paragraph" w:styleId="TOC2">
    <w:name w:val="toc 2"/>
    <w:basedOn w:val="Normal"/>
    <w:next w:val="Normal"/>
    <w:autoRedefine/>
    <w:uiPriority w:val="39"/>
    <w:unhideWhenUsed/>
    <w:qFormat/>
    <w:rsid w:val="00C42094"/>
    <w:pPr>
      <w:spacing w:after="100"/>
      <w:ind w:left="200"/>
    </w:pPr>
  </w:style>
  <w:style w:type="paragraph" w:styleId="TOC3">
    <w:name w:val="toc 3"/>
    <w:basedOn w:val="Normal"/>
    <w:next w:val="Normal"/>
    <w:autoRedefine/>
    <w:uiPriority w:val="39"/>
    <w:unhideWhenUsed/>
    <w:qFormat/>
    <w:rsid w:val="00C4209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9313">
      <w:bodyDiv w:val="1"/>
      <w:marLeft w:val="0"/>
      <w:marRight w:val="0"/>
      <w:marTop w:val="0"/>
      <w:marBottom w:val="0"/>
      <w:divBdr>
        <w:top w:val="none" w:sz="0" w:space="0" w:color="auto"/>
        <w:left w:val="none" w:sz="0" w:space="0" w:color="auto"/>
        <w:bottom w:val="none" w:sz="0" w:space="0" w:color="auto"/>
        <w:right w:val="none" w:sz="0" w:space="0" w:color="auto"/>
      </w:divBdr>
    </w:div>
    <w:div w:id="346254351">
      <w:bodyDiv w:val="1"/>
      <w:marLeft w:val="0"/>
      <w:marRight w:val="0"/>
      <w:marTop w:val="0"/>
      <w:marBottom w:val="0"/>
      <w:divBdr>
        <w:top w:val="none" w:sz="0" w:space="0" w:color="auto"/>
        <w:left w:val="none" w:sz="0" w:space="0" w:color="auto"/>
        <w:bottom w:val="none" w:sz="0" w:space="0" w:color="auto"/>
        <w:right w:val="none" w:sz="0" w:space="0" w:color="auto"/>
      </w:divBdr>
    </w:div>
    <w:div w:id="390345687">
      <w:bodyDiv w:val="1"/>
      <w:marLeft w:val="0"/>
      <w:marRight w:val="0"/>
      <w:marTop w:val="0"/>
      <w:marBottom w:val="0"/>
      <w:divBdr>
        <w:top w:val="none" w:sz="0" w:space="0" w:color="auto"/>
        <w:left w:val="none" w:sz="0" w:space="0" w:color="auto"/>
        <w:bottom w:val="none" w:sz="0" w:space="0" w:color="auto"/>
        <w:right w:val="none" w:sz="0" w:space="0" w:color="auto"/>
      </w:divBdr>
    </w:div>
    <w:div w:id="655182058">
      <w:bodyDiv w:val="1"/>
      <w:marLeft w:val="0"/>
      <w:marRight w:val="0"/>
      <w:marTop w:val="0"/>
      <w:marBottom w:val="0"/>
      <w:divBdr>
        <w:top w:val="none" w:sz="0" w:space="0" w:color="auto"/>
        <w:left w:val="none" w:sz="0" w:space="0" w:color="auto"/>
        <w:bottom w:val="none" w:sz="0" w:space="0" w:color="auto"/>
        <w:right w:val="none" w:sz="0" w:space="0" w:color="auto"/>
      </w:divBdr>
    </w:div>
    <w:div w:id="1556118568">
      <w:bodyDiv w:val="1"/>
      <w:marLeft w:val="0"/>
      <w:marRight w:val="0"/>
      <w:marTop w:val="0"/>
      <w:marBottom w:val="0"/>
      <w:divBdr>
        <w:top w:val="none" w:sz="0" w:space="0" w:color="auto"/>
        <w:left w:val="none" w:sz="0" w:space="0" w:color="auto"/>
        <w:bottom w:val="none" w:sz="0" w:space="0" w:color="auto"/>
        <w:right w:val="none" w:sz="0" w:space="0" w:color="auto"/>
      </w:divBdr>
    </w:div>
    <w:div w:id="17646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ms.gov/medicare/health-plans/medicareadvtgspecratestats/risk-adjustor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Medley">
      <a:dk1>
        <a:sysClr val="windowText" lastClr="000000"/>
      </a:dk1>
      <a:lt1>
        <a:srgbClr val="FFFFFF"/>
      </a:lt1>
      <a:dk2>
        <a:srgbClr val="000000"/>
      </a:dk2>
      <a:lt2>
        <a:srgbClr val="FFFFFF"/>
      </a:lt2>
      <a:accent1>
        <a:srgbClr val="03497E"/>
      </a:accent1>
      <a:accent2>
        <a:srgbClr val="7BA79D"/>
      </a:accent2>
      <a:accent3>
        <a:srgbClr val="E74C3C"/>
      </a:accent3>
      <a:accent4>
        <a:srgbClr val="BFBFBF"/>
      </a:accent4>
      <a:accent5>
        <a:srgbClr val="2980B9"/>
      </a:accent5>
      <a:accent6>
        <a:srgbClr val="DD8047"/>
      </a:accent6>
      <a:hlink>
        <a:srgbClr val="2980B9"/>
      </a:hlink>
      <a:folHlink>
        <a:srgbClr val="2980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3.0, February 11, 2020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CDCAEF-9609-412C-BAAE-AFDFABFB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HHS BARDA Solving Sepsis Framework and Algorithm Specifications</vt:lpstr>
    </vt:vector>
  </TitlesOfParts>
  <Company>DHHS</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BARDA Solving Sepsis Framework and Algorithm Specifications</dc:title>
  <dc:subject>Building emPOWER into other  databases that  can inform and support  at-risk population preparedness, sr.</dc:subject>
  <dc:creator>Acumen LLC</dc:creator>
  <cp:keywords>emPOWER, algorithm, technical specifications, Medicare, beneficiaries, at-risk</cp:keywords>
  <cp:lastModifiedBy>Nicole Sowers</cp:lastModifiedBy>
  <cp:revision>2</cp:revision>
  <cp:lastPrinted>2018-07-16T22:15:00Z</cp:lastPrinted>
  <dcterms:created xsi:type="dcterms:W3CDTF">2020-02-13T15:30:00Z</dcterms:created>
  <dcterms:modified xsi:type="dcterms:W3CDTF">2020-02-13T15:30:00Z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