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455B" w14:textId="77777777" w:rsidR="00A178A0" w:rsidRPr="00ED19FF" w:rsidRDefault="00A178A0" w:rsidP="00DE20B6">
      <w:pPr>
        <w:spacing w:after="160" w:line="259" w:lineRule="auto"/>
        <w:rPr>
          <w:rFonts w:ascii="Times New Roman" w:hAnsi="Times New Roman" w:cs="Times New Roman"/>
          <w:sz w:val="28"/>
        </w:rPr>
      </w:pPr>
      <w:bookmarkStart w:id="0" w:name="OLE_LINK15"/>
      <w:bookmarkStart w:id="1" w:name="_GoBack"/>
      <w:bookmarkEnd w:id="1"/>
      <w:r w:rsidRPr="00ED19FF">
        <w:rPr>
          <w:rFonts w:ascii="Times New Roman" w:hAnsi="Times New Roman" w:cs="Times New Roman"/>
          <w:sz w:val="28"/>
        </w:rPr>
        <w:t>Appendix</w:t>
      </w:r>
    </w:p>
    <w:p w14:paraId="721467FB" w14:textId="5C82BFFC" w:rsidR="00AE0495" w:rsidRPr="00DE20B6" w:rsidRDefault="00B31AE7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DE20B6">
        <w:rPr>
          <w:rFonts w:ascii="Times New Roman" w:hAnsi="Times New Roman" w:cs="Times New Roman"/>
          <w:b/>
          <w:sz w:val="22"/>
        </w:rPr>
        <w:t>Association between cardiac injury and mortality in hospital patients infected with avian influenza A (H7N9) virus</w:t>
      </w:r>
      <w:r w:rsidRPr="00DE20B6" w:rsidDel="00B31AE7">
        <w:rPr>
          <w:rFonts w:ascii="Times New Roman" w:hAnsi="Times New Roman" w:cs="Times New Roman"/>
          <w:b/>
          <w:sz w:val="22"/>
        </w:rPr>
        <w:t xml:space="preserve"> </w:t>
      </w:r>
    </w:p>
    <w:p w14:paraId="5E33FCF1" w14:textId="77777777" w:rsidR="00C328AE" w:rsidRDefault="00C328AE" w:rsidP="00C328AE">
      <w:bookmarkStart w:id="2" w:name="OLE_LINK32"/>
      <w:bookmarkStart w:id="3" w:name="OLE_LINK33"/>
      <w:bookmarkEnd w:id="0"/>
      <w:r>
        <w:rPr>
          <w:noProof/>
        </w:rPr>
        <w:drawing>
          <wp:inline distT="0" distB="0" distL="0" distR="0" wp14:anchorId="2314C4F1" wp14:editId="6ED42611">
            <wp:extent cx="8863330" cy="39370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9E25" w14:textId="77777777" w:rsidR="00C328AE" w:rsidRPr="004672D6" w:rsidRDefault="00C328AE" w:rsidP="00C328AE">
      <w:pPr>
        <w:rPr>
          <w:rFonts w:ascii="Times New Roman" w:hAnsi="Times New Roman" w:cs="Times New Roman"/>
          <w:b/>
          <w:szCs w:val="21"/>
        </w:rPr>
      </w:pPr>
      <w:r w:rsidRPr="004672D6">
        <w:rPr>
          <w:rFonts w:ascii="Times New Roman" w:hAnsi="Times New Roman" w:cs="Times New Roman"/>
          <w:b/>
          <w:szCs w:val="21"/>
        </w:rPr>
        <w:t>Figure S1. Schematic of study design</w:t>
      </w:r>
    </w:p>
    <w:p w14:paraId="206E96D5" w14:textId="77777777" w:rsidR="00C328AE" w:rsidRPr="004672D6" w:rsidRDefault="00C328AE" w:rsidP="00C328AE">
      <w:pPr>
        <w:pStyle w:val="af"/>
        <w:numPr>
          <w:ilvl w:val="0"/>
          <w:numId w:val="2"/>
        </w:numPr>
        <w:rPr>
          <w:rFonts w:ascii="Times New Roman" w:hAnsi="Times New Roman" w:cs="Times New Roman"/>
          <w:b/>
          <w:szCs w:val="21"/>
        </w:rPr>
      </w:pPr>
      <w:r w:rsidRPr="004672D6">
        <w:rPr>
          <w:rFonts w:ascii="Times New Roman" w:hAnsi="Times New Roman" w:cs="Times New Roman"/>
          <w:szCs w:val="21"/>
        </w:rPr>
        <w:t>17 provinces where patients with laboratory-confirmed avian influenza A (H7N9) viral infection were hospitalized</w:t>
      </w:r>
      <w:r w:rsidRPr="004672D6">
        <w:rPr>
          <w:rFonts w:ascii="Times New Roman" w:hAnsi="Times New Roman" w:cs="Times New Roman" w:hint="eastAsia"/>
          <w:szCs w:val="21"/>
        </w:rPr>
        <w:t>.</w:t>
      </w:r>
    </w:p>
    <w:p w14:paraId="4D9D355B" w14:textId="3C88143A" w:rsidR="00C328AE" w:rsidRPr="004672D6" w:rsidRDefault="00C328AE" w:rsidP="00C328AE">
      <w:pPr>
        <w:pStyle w:val="af"/>
        <w:numPr>
          <w:ilvl w:val="0"/>
          <w:numId w:val="2"/>
        </w:numPr>
        <w:rPr>
          <w:rFonts w:ascii="Times New Roman" w:hAnsi="Times New Roman" w:cs="Times New Roman"/>
          <w:szCs w:val="21"/>
        </w:rPr>
        <w:sectPr w:rsidR="00C328AE" w:rsidRPr="004672D6" w:rsidSect="008D49E2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  <w:bookmarkStart w:id="4" w:name="OLE_LINK3"/>
      <w:bookmarkStart w:id="5" w:name="OLE_LINK4"/>
      <w:r w:rsidRPr="004672D6">
        <w:rPr>
          <w:rFonts w:ascii="Times New Roman" w:hAnsi="Times New Roman" w:cs="Times New Roman"/>
          <w:szCs w:val="21"/>
        </w:rPr>
        <w:t>Copies from the original medical records of 338 patients hospitalized with laboratory-confirmed avian influenza A (H7N9) viral infection were compiled. Patients were followed-up until death or hospital discharge. The final analysis included 321 patients, excluding 14 who were lost to follow-up and 3 whose laboratory examination results were missing</w:t>
      </w:r>
      <w:bookmarkEnd w:id="4"/>
      <w:bookmarkEnd w:id="5"/>
    </w:p>
    <w:p w14:paraId="30ACF422" w14:textId="77777777" w:rsidR="00C328AE" w:rsidRPr="007E6A4E" w:rsidRDefault="00C328AE" w:rsidP="00C328AE">
      <w:pPr>
        <w:spacing w:after="160" w:line="259" w:lineRule="auto"/>
        <w:rPr>
          <w:rFonts w:ascii="Times New Roman" w:hAnsi="Times New Roman" w:cs="Times New Roman"/>
          <w:b/>
          <w:sz w:val="22"/>
        </w:rPr>
      </w:pPr>
      <w:bookmarkStart w:id="6" w:name="_Hlk22800471"/>
      <w:r>
        <w:rPr>
          <w:rFonts w:ascii="Times New Roman" w:hAnsi="Times New Roman" w:cs="Times New Roman"/>
          <w:b/>
          <w:sz w:val="22"/>
        </w:rPr>
        <w:lastRenderedPageBreak/>
        <w:t>Table S1. Comparison of results of cardiac examinations of influenza A (H7N9) infected hospitalized patients in  different outcomes.</w:t>
      </w:r>
    </w:p>
    <w:tbl>
      <w:tblPr>
        <w:tblStyle w:val="a3"/>
        <w:tblW w:w="9075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283"/>
        <w:gridCol w:w="1418"/>
        <w:gridCol w:w="1701"/>
        <w:gridCol w:w="1701"/>
        <w:gridCol w:w="994"/>
      </w:tblGrid>
      <w:tr w:rsidR="00C328AE" w:rsidRPr="00881100" w14:paraId="619C5270" w14:textId="77777777" w:rsidTr="004672D6"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761E9656" w14:textId="77777777" w:rsidR="00C328AE" w:rsidRPr="00B15A81" w:rsidRDefault="00C328AE" w:rsidP="004672D6">
            <w:pPr>
              <w:spacing w:after="160" w:line="259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B15A81">
              <w:rPr>
                <w:rFonts w:ascii="Times New Roman" w:hAnsi="Times New Roman" w:cs="Times New Roman"/>
                <w:b/>
                <w:szCs w:val="21"/>
              </w:rPr>
              <w:t>Examinations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0E7A6738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15A81">
              <w:rPr>
                <w:rFonts w:ascii="Times New Roman" w:hAnsi="Times New Roman" w:cs="Times New Roman"/>
                <w:b/>
                <w:szCs w:val="21"/>
              </w:rPr>
              <w:t>All patients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D67A22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81100">
              <w:rPr>
                <w:rFonts w:ascii="Times New Roman" w:hAnsi="Times New Roman" w:cs="Times New Roman"/>
                <w:b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szCs w:val="21"/>
              </w:rPr>
              <w:t>ied during hospitalization</w:t>
            </w:r>
          </w:p>
          <w:p w14:paraId="271812F7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C328AE" w:rsidRPr="00881100" w14:paraId="5A3E30F3" w14:textId="77777777" w:rsidTr="004672D6">
        <w:tc>
          <w:tcPr>
            <w:tcW w:w="297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13822E" w14:textId="77777777" w:rsidR="00C328AE" w:rsidRPr="00B15A81" w:rsidRDefault="00C328AE" w:rsidP="004672D6">
            <w:pPr>
              <w:spacing w:after="160" w:line="259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760358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6AF847" w14:textId="77777777" w:rsidR="00C328AE" w:rsidRPr="00881100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C35CD6" w14:textId="77777777" w:rsidR="00C328AE" w:rsidRPr="00881100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szCs w:val="21"/>
              </w:rPr>
              <w:t>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CD5B8E" w14:textId="77777777" w:rsidR="00C328AE" w:rsidRPr="004F6495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1"/>
              </w:rPr>
            </w:pPr>
            <w:r w:rsidRPr="004F6495">
              <w:rPr>
                <w:rFonts w:ascii="Times New Roman" w:hAnsi="Times New Roman" w:cs="Times New Roman"/>
                <w:b/>
                <w:i/>
                <w:iCs/>
                <w:szCs w:val="21"/>
              </w:rPr>
              <w:t>P</w:t>
            </w:r>
          </w:p>
        </w:tc>
      </w:tr>
      <w:tr w:rsidR="00C328AE" w:rsidRPr="00881100" w14:paraId="6570940B" w14:textId="77777777" w:rsidTr="004672D6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8B65E" w14:textId="77777777" w:rsidR="00C328AE" w:rsidRPr="00B15A81" w:rsidRDefault="00C328AE" w:rsidP="004672D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15A81">
              <w:rPr>
                <w:rFonts w:ascii="Times New Roman" w:hAnsi="Times New Roman" w:cs="Times New Roman"/>
                <w:b/>
                <w:bCs/>
                <w:szCs w:val="21"/>
              </w:rPr>
              <w:t>TNI</w:t>
            </w:r>
            <w:r w:rsidRPr="00B15A81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,</w:t>
            </w:r>
            <w:r w:rsidRPr="00B15A81">
              <w:rPr>
                <w:rFonts w:ascii="Times New Roman" w:hAnsi="Times New Roman" w:cs="Times New Roman"/>
                <w:b/>
                <w:szCs w:val="21"/>
              </w:rPr>
              <w:t xml:space="preserve"> median (IQR)</w:t>
            </w:r>
            <w:r w:rsidRPr="00B15A81">
              <w:rPr>
                <w:rFonts w:ascii="Times New Roman" w:hAnsi="Times New Roman" w:cs="Times New Roman"/>
                <w:i/>
                <w:iCs/>
                <w:szCs w:val="21"/>
                <w:vertAlign w:val="superscript"/>
              </w:rPr>
              <w:t xml:space="preserve"> </w:t>
            </w:r>
            <w:r w:rsidRPr="004F6495">
              <w:rPr>
                <w:rFonts w:ascii="Times New Roman" w:hAnsi="Times New Roman" w:cs="Times New Roman"/>
                <w:b/>
                <w:bCs/>
                <w:i/>
                <w:iCs/>
                <w:szCs w:val="21"/>
                <w:vertAlign w:val="superscript"/>
              </w:rPr>
              <w:t>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A8F0B0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268726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1B9644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60AA43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C328AE" w:rsidRPr="00501BC0" w14:paraId="3F20FD5C" w14:textId="77777777" w:rsidTr="004672D6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EC63AE" w14:textId="77777777" w:rsidR="00C328AE" w:rsidRPr="00B15A81" w:rsidRDefault="00C328AE" w:rsidP="004672D6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First day </w:t>
            </w:r>
            <w:r w:rsidRPr="00501BC0">
              <w:rPr>
                <w:rFonts w:ascii="Times New Roman" w:hAnsi="Times New Roman" w:cs="Times New Roman"/>
                <w:szCs w:val="21"/>
              </w:rPr>
              <w:t xml:space="preserve">of </w:t>
            </w:r>
            <w:proofErr w:type="spellStart"/>
            <w:r w:rsidRPr="00501BC0">
              <w:rPr>
                <w:rFonts w:ascii="Times New Roman" w:hAnsi="Times New Roman" w:cs="Times New Roman"/>
                <w:szCs w:val="21"/>
              </w:rPr>
              <w:t>admission</w:t>
            </w:r>
            <w:r>
              <w:rPr>
                <w:rFonts w:ascii="Times New Roman" w:hAnsi="Times New Roman" w:cs="Times New Roman"/>
                <w:i/>
                <w:iCs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8E373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.5 ( 0.2-2.1)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A996E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.2 (0.5-4.8)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E4F5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.3 (0.1-0.7)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8563C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C328AE" w:rsidRPr="00501BC0" w14:paraId="165AB353" w14:textId="77777777" w:rsidTr="004672D6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A489C9" w14:textId="77777777" w:rsidR="00C328AE" w:rsidRPr="00B15A81" w:rsidRDefault="00C328AE" w:rsidP="004672D6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B15A81">
              <w:rPr>
                <w:rFonts w:ascii="Times New Roman" w:hAnsi="Times New Roman" w:cs="Times New Roman"/>
                <w:color w:val="333333"/>
                <w:szCs w:val="21"/>
              </w:rPr>
              <w:t>Maximum during hospitalization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6DC48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.1 (0.3-5.1)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D7E2A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.3 (0.9-12.4)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DDA16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.4 (0.1-1.2)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46D1B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C328AE" w:rsidRPr="00881100" w14:paraId="049678DB" w14:textId="77777777" w:rsidTr="004672D6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3D36" w14:textId="77777777" w:rsidR="00C328AE" w:rsidRPr="00B15A81" w:rsidRDefault="00C328AE" w:rsidP="004672D6">
            <w:pPr>
              <w:spacing w:after="160" w:line="259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CK-MB</w:t>
            </w:r>
            <w:r w:rsidRPr="007E6A4E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,</w:t>
            </w:r>
            <w:r w:rsidRPr="007E6A4E">
              <w:rPr>
                <w:rFonts w:ascii="Times New Roman" w:hAnsi="Times New Roman" w:cs="Times New Roman"/>
                <w:b/>
                <w:szCs w:val="21"/>
              </w:rPr>
              <w:t xml:space="preserve"> median (IQR)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1416" w14:textId="77777777" w:rsidR="00C328AE" w:rsidRPr="00B15A81" w:rsidRDefault="00C328AE" w:rsidP="004672D6">
            <w:pPr>
              <w:spacing w:after="160" w:line="259" w:lineRule="auto"/>
              <w:ind w:leftChars="-184" w:hangingChars="183" w:hanging="38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772C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8B08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C86A7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C328AE" w:rsidRPr="00501BC0" w14:paraId="0FB41032" w14:textId="77777777" w:rsidTr="004672D6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2847" w14:textId="77777777" w:rsidR="00C328AE" w:rsidRPr="00B15A81" w:rsidRDefault="00C328AE" w:rsidP="004672D6">
            <w:pPr>
              <w:spacing w:after="160" w:line="259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First day </w:t>
            </w:r>
            <w:r w:rsidRPr="007E6A4E">
              <w:rPr>
                <w:rFonts w:ascii="Times New Roman" w:hAnsi="Times New Roman" w:cs="Times New Roman"/>
                <w:szCs w:val="21"/>
              </w:rPr>
              <w:t xml:space="preserve">of </w:t>
            </w:r>
            <w:proofErr w:type="spellStart"/>
            <w:r w:rsidRPr="007E6A4E">
              <w:rPr>
                <w:rFonts w:ascii="Times New Roman" w:hAnsi="Times New Roman" w:cs="Times New Roman"/>
                <w:szCs w:val="21"/>
              </w:rPr>
              <w:t>admission</w:t>
            </w:r>
            <w:r>
              <w:rPr>
                <w:rFonts w:ascii="Times New Roman" w:hAnsi="Times New Roman" w:cs="Times New Roman"/>
                <w:i/>
                <w:iCs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0E08A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.9 (0.5-1.5)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3098A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szCs w:val="21"/>
              </w:rPr>
              <w:t>.1 (0.7-1.6)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1D344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.7 (0.4-1.4)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B344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.001</w:t>
            </w:r>
          </w:p>
        </w:tc>
      </w:tr>
      <w:tr w:rsidR="00C328AE" w:rsidRPr="00501BC0" w14:paraId="3C6B2C0A" w14:textId="77777777" w:rsidTr="004672D6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E1580" w14:textId="77777777" w:rsidR="00C328AE" w:rsidRPr="00B15A81" w:rsidRDefault="00C328AE" w:rsidP="004672D6">
            <w:pPr>
              <w:spacing w:after="160" w:line="259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7E6A4E">
              <w:rPr>
                <w:rFonts w:ascii="Times New Roman" w:hAnsi="Times New Roman" w:cs="Times New Roman"/>
                <w:color w:val="333333"/>
                <w:szCs w:val="21"/>
              </w:rPr>
              <w:t>Maximum during hospitalization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B7FFB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szCs w:val="21"/>
              </w:rPr>
              <w:t>.3 (0.8-2.4)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987AB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szCs w:val="21"/>
              </w:rPr>
              <w:t>.6 (1.0-3.1)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66989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szCs w:val="21"/>
              </w:rPr>
              <w:t>.0 (0.6-1.6)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B925F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C328AE" w:rsidRPr="00881100" w14:paraId="158C233A" w14:textId="77777777" w:rsidTr="004672D6"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55A30" w14:textId="77777777" w:rsidR="00C328AE" w:rsidRPr="00B15A81" w:rsidRDefault="00C328AE" w:rsidP="004672D6">
            <w:pPr>
              <w:spacing w:after="160" w:line="259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EF</w:t>
            </w:r>
            <w:r w:rsidRPr="007E6A4E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,</w:t>
            </w:r>
            <w:r w:rsidRPr="007E6A4E">
              <w:rPr>
                <w:rFonts w:ascii="Times New Roman" w:hAnsi="Times New Roman" w:cs="Times New Roman"/>
                <w:b/>
                <w:szCs w:val="21"/>
              </w:rPr>
              <w:t xml:space="preserve"> median (IQR)</w:t>
            </w:r>
            <w:r>
              <w:rPr>
                <w:rFonts w:ascii="Times New Roman" w:hAnsi="Times New Roman" w:cs="Times New Roman"/>
                <w:b/>
                <w:i/>
                <w:iCs/>
                <w:szCs w:val="21"/>
                <w:vertAlign w:val="superscript"/>
              </w:rPr>
              <w:t>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1EC7A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0.5 (0.4-0.5)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3A0D11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0.5 (0.3-0.5)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40BAF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0.5 (0.4-0.5)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10F7D" w14:textId="77777777" w:rsidR="00C328AE" w:rsidRPr="00B15A81" w:rsidRDefault="00C328AE" w:rsidP="004672D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.520</w:t>
            </w:r>
          </w:p>
        </w:tc>
      </w:tr>
    </w:tbl>
    <w:p w14:paraId="3C30225D" w14:textId="77777777" w:rsidR="00C328AE" w:rsidRPr="004F6495" w:rsidRDefault="00C328AE" w:rsidP="00C328AE">
      <w:pPr>
        <w:spacing w:after="160" w:line="259" w:lineRule="auto"/>
        <w:rPr>
          <w:rFonts w:ascii="Times New Roman" w:hAnsi="Times New Roman" w:cs="Times New Roman"/>
          <w:iCs/>
          <w:szCs w:val="21"/>
        </w:rPr>
      </w:pPr>
      <w:proofErr w:type="spellStart"/>
      <w:r w:rsidRPr="00B15A81"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spellEnd"/>
      <w:r w:rsidRPr="004F6495">
        <w:rPr>
          <w:rFonts w:ascii="Times New Roman" w:hAnsi="Times New Roman" w:cs="Times New Roman"/>
          <w:iCs/>
          <w:szCs w:val="21"/>
        </w:rPr>
        <w:t xml:space="preserve"> </w:t>
      </w:r>
      <w:r>
        <w:rPr>
          <w:rFonts w:ascii="Times New Roman" w:hAnsi="Times New Roman" w:cs="Times New Roman"/>
          <w:iCs/>
          <w:szCs w:val="21"/>
        </w:rPr>
        <w:t>T</w:t>
      </w:r>
      <w:r w:rsidRPr="004F6495">
        <w:rPr>
          <w:rFonts w:ascii="Times New Roman" w:hAnsi="Times New Roman" w:cs="Times New Roman"/>
          <w:iCs/>
          <w:szCs w:val="21"/>
        </w:rPr>
        <w:t>he ratio of the detected value to the upper limit of the normal range was used as a unified evaluation index.</w:t>
      </w:r>
      <w:commentRangeStart w:id="7"/>
      <w:commentRangeEnd w:id="7"/>
    </w:p>
    <w:p w14:paraId="1DA32FC4" w14:textId="77777777" w:rsidR="00C328AE" w:rsidRDefault="00C328AE" w:rsidP="00C328AE">
      <w:pPr>
        <w:spacing w:after="160" w:line="259" w:lineRule="auto"/>
        <w:rPr>
          <w:rFonts w:ascii="Times New Roman" w:hAnsi="Times New Roman" w:cs="Times New Roman"/>
          <w:iCs/>
          <w:szCs w:val="21"/>
        </w:rPr>
      </w:pPr>
      <w:r w:rsidRPr="00B15A81">
        <w:rPr>
          <w:rFonts w:ascii="Times New Roman" w:hAnsi="Times New Roman" w:cs="Times New Roman"/>
          <w:i/>
          <w:szCs w:val="21"/>
          <w:vertAlign w:val="superscript"/>
        </w:rPr>
        <w:t>b</w:t>
      </w:r>
      <w:r w:rsidRPr="00501BC0">
        <w:rPr>
          <w:rFonts w:ascii="Times New Roman" w:hAnsi="Times New Roman" w:cs="Times New Roman"/>
          <w:iCs/>
          <w:szCs w:val="21"/>
        </w:rPr>
        <w:t xml:space="preserve"> If </w:t>
      </w:r>
      <w:r>
        <w:rPr>
          <w:rFonts w:ascii="Times New Roman" w:hAnsi="Times New Roman" w:cs="Times New Roman"/>
          <w:iCs/>
          <w:szCs w:val="21"/>
        </w:rPr>
        <w:t>a patient has</w:t>
      </w:r>
      <w:r w:rsidRPr="00501BC0">
        <w:rPr>
          <w:rFonts w:ascii="Times New Roman" w:hAnsi="Times New Roman" w:cs="Times New Roman"/>
          <w:iCs/>
          <w:szCs w:val="21"/>
        </w:rPr>
        <w:t xml:space="preserve"> more than one result, the </w:t>
      </w:r>
      <w:r w:rsidRPr="00B15A81">
        <w:rPr>
          <w:rFonts w:ascii="Times New Roman" w:hAnsi="Times New Roman" w:cs="Times New Roman"/>
          <w:iCs/>
          <w:szCs w:val="21"/>
        </w:rPr>
        <w:t>maximum</w:t>
      </w:r>
      <w:r w:rsidRPr="00501BC0">
        <w:rPr>
          <w:rFonts w:ascii="Times New Roman" w:hAnsi="Times New Roman" w:cs="Times New Roman"/>
          <w:iCs/>
          <w:szCs w:val="21"/>
        </w:rPr>
        <w:t xml:space="preserve"> value</w:t>
      </w:r>
      <w:r>
        <w:rPr>
          <w:rFonts w:ascii="Times New Roman" w:hAnsi="Times New Roman" w:cs="Times New Roman"/>
          <w:iCs/>
          <w:szCs w:val="21"/>
        </w:rPr>
        <w:t xml:space="preserve"> was chosen.</w:t>
      </w:r>
    </w:p>
    <w:p w14:paraId="186C2DD9" w14:textId="77777777" w:rsidR="00C328AE" w:rsidRDefault="00C328AE" w:rsidP="00C328AE">
      <w:pPr>
        <w:spacing w:after="160" w:line="259" w:lineRule="auto"/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/>
          <w:szCs w:val="21"/>
          <w:vertAlign w:val="superscript"/>
        </w:rPr>
        <w:t xml:space="preserve"> c </w:t>
      </w:r>
      <w:r w:rsidRPr="004F6495">
        <w:rPr>
          <w:rFonts w:ascii="Times New Roman" w:hAnsi="Times New Roman" w:cs="Times New Roman"/>
          <w:iCs/>
          <w:szCs w:val="21"/>
        </w:rPr>
        <w:t xml:space="preserve">Calculated among patients with decreased EF. </w:t>
      </w:r>
      <w:r w:rsidRPr="00501BC0">
        <w:rPr>
          <w:rFonts w:ascii="Times New Roman" w:hAnsi="Times New Roman" w:cs="Times New Roman"/>
          <w:iCs/>
          <w:szCs w:val="21"/>
        </w:rPr>
        <w:t xml:space="preserve">If </w:t>
      </w:r>
      <w:r>
        <w:rPr>
          <w:rFonts w:ascii="Times New Roman" w:hAnsi="Times New Roman" w:cs="Times New Roman"/>
          <w:iCs/>
          <w:szCs w:val="21"/>
        </w:rPr>
        <w:t>a patient has</w:t>
      </w:r>
      <w:r w:rsidRPr="00501BC0">
        <w:rPr>
          <w:rFonts w:ascii="Times New Roman" w:hAnsi="Times New Roman" w:cs="Times New Roman"/>
          <w:iCs/>
          <w:szCs w:val="21"/>
        </w:rPr>
        <w:t xml:space="preserve"> more than one result, the </w:t>
      </w:r>
      <w:r w:rsidRPr="00B15A81">
        <w:rPr>
          <w:rFonts w:ascii="Times New Roman" w:hAnsi="Times New Roman" w:cs="Times New Roman"/>
          <w:iCs/>
          <w:szCs w:val="21"/>
        </w:rPr>
        <w:t>minimum</w:t>
      </w:r>
      <w:r w:rsidRPr="00501BC0">
        <w:rPr>
          <w:rFonts w:ascii="Times New Roman" w:hAnsi="Times New Roman" w:cs="Times New Roman"/>
          <w:iCs/>
          <w:szCs w:val="21"/>
        </w:rPr>
        <w:t xml:space="preserve"> value</w:t>
      </w:r>
      <w:r>
        <w:rPr>
          <w:rFonts w:ascii="Times New Roman" w:hAnsi="Times New Roman" w:cs="Times New Roman"/>
          <w:iCs/>
          <w:szCs w:val="21"/>
        </w:rPr>
        <w:t xml:space="preserve"> was chosen.</w:t>
      </w:r>
    </w:p>
    <w:p w14:paraId="0927A7CA" w14:textId="77777777" w:rsidR="00C328AE" w:rsidRDefault="00C328AE" w:rsidP="00C328AE">
      <w:pPr>
        <w:spacing w:after="160" w:line="259" w:lineRule="auto"/>
        <w:rPr>
          <w:rFonts w:ascii="Times New Roman" w:hAnsi="Times New Roman" w:cs="Times New Roman"/>
          <w:iCs/>
          <w:szCs w:val="21"/>
        </w:rPr>
      </w:pPr>
      <w:r w:rsidRPr="007E6A4E">
        <w:rPr>
          <w:rFonts w:ascii="Times New Roman" w:hAnsi="Times New Roman" w:cs="Times New Roman"/>
          <w:iCs/>
          <w:szCs w:val="21"/>
        </w:rPr>
        <w:t>Abbreviations:</w:t>
      </w:r>
      <w:r>
        <w:rPr>
          <w:rFonts w:ascii="Times New Roman" w:hAnsi="Times New Roman" w:cs="Times New Roman"/>
          <w:iCs/>
          <w:szCs w:val="21"/>
        </w:rPr>
        <w:t xml:space="preserve"> TNI</w:t>
      </w:r>
      <w:r w:rsidRPr="007E6A4E">
        <w:rPr>
          <w:rFonts w:ascii="Times New Roman" w:hAnsi="Times New Roman" w:cs="Times New Roman"/>
          <w:iCs/>
          <w:szCs w:val="21"/>
        </w:rPr>
        <w:t>,</w:t>
      </w:r>
      <w:r>
        <w:rPr>
          <w:rFonts w:ascii="Times New Roman" w:hAnsi="Times New Roman" w:cs="Times New Roman"/>
          <w:iCs/>
          <w:szCs w:val="21"/>
        </w:rPr>
        <w:t xml:space="preserve"> </w:t>
      </w:r>
      <w:r w:rsidRPr="007E6A4E">
        <w:rPr>
          <w:rFonts w:ascii="Times New Roman" w:hAnsi="Times New Roman" w:cs="Times New Roman"/>
          <w:iCs/>
          <w:szCs w:val="21"/>
        </w:rPr>
        <w:t xml:space="preserve">troponin I; IQR, interquartile range; </w:t>
      </w:r>
      <w:r>
        <w:rPr>
          <w:rFonts w:ascii="Times New Roman" w:hAnsi="Times New Roman" w:cs="Times New Roman"/>
          <w:iCs/>
          <w:szCs w:val="21"/>
        </w:rPr>
        <w:t>CK-MB</w:t>
      </w:r>
      <w:r w:rsidRPr="007E6A4E">
        <w:rPr>
          <w:rFonts w:ascii="Times New Roman" w:hAnsi="Times New Roman" w:cs="Times New Roman"/>
          <w:iCs/>
          <w:szCs w:val="21"/>
        </w:rPr>
        <w:t xml:space="preserve">, creatinine </w:t>
      </w:r>
      <w:r w:rsidRPr="002A3AA1">
        <w:rPr>
          <w:rFonts w:ascii="Times New Roman" w:hAnsi="Times New Roman" w:cs="Times New Roman"/>
          <w:iCs/>
          <w:szCs w:val="21"/>
        </w:rPr>
        <w:t>kinase MB isofo</w:t>
      </w:r>
      <w:r w:rsidRPr="007E6A4E">
        <w:rPr>
          <w:rFonts w:ascii="Times New Roman" w:hAnsi="Times New Roman" w:cs="Times New Roman"/>
          <w:iCs/>
          <w:szCs w:val="21"/>
        </w:rPr>
        <w:t>rm</w:t>
      </w:r>
      <w:r>
        <w:rPr>
          <w:rFonts w:ascii="Times New Roman" w:hAnsi="Times New Roman" w:cs="Times New Roman"/>
          <w:iCs/>
          <w:szCs w:val="21"/>
        </w:rPr>
        <w:t>;</w:t>
      </w:r>
      <w:r w:rsidRPr="007E6A4E">
        <w:rPr>
          <w:rFonts w:ascii="Times New Roman" w:hAnsi="Times New Roman" w:cs="Times New Roman"/>
          <w:iCs/>
          <w:szCs w:val="21"/>
        </w:rPr>
        <w:t xml:space="preserve"> </w:t>
      </w:r>
      <w:r>
        <w:rPr>
          <w:rFonts w:ascii="Times New Roman" w:hAnsi="Times New Roman" w:cs="Times New Roman"/>
          <w:iCs/>
          <w:szCs w:val="21"/>
        </w:rPr>
        <w:t>EF</w:t>
      </w:r>
      <w:r w:rsidRPr="007E6A4E">
        <w:rPr>
          <w:rFonts w:ascii="Times New Roman" w:hAnsi="Times New Roman" w:cs="Times New Roman"/>
          <w:iCs/>
          <w:szCs w:val="21"/>
        </w:rPr>
        <w:t xml:space="preserve">, </w:t>
      </w:r>
      <w:r w:rsidRPr="00B15A81">
        <w:rPr>
          <w:rFonts w:ascii="Times New Roman" w:hAnsi="Times New Roman" w:cs="Times New Roman"/>
          <w:iCs/>
          <w:szCs w:val="21"/>
        </w:rPr>
        <w:t>ejection fraction</w:t>
      </w:r>
      <w:r>
        <w:rPr>
          <w:rFonts w:ascii="Times New Roman" w:hAnsi="Times New Roman" w:cs="Times New Roman"/>
          <w:iCs/>
          <w:szCs w:val="21"/>
        </w:rPr>
        <w:t>; ECHO,</w:t>
      </w:r>
      <w:r w:rsidRPr="00614A15">
        <w:rPr>
          <w:rFonts w:ascii="Times New Roman" w:hAnsi="Times New Roman" w:cs="Times New Roman"/>
          <w:iCs/>
          <w:szCs w:val="21"/>
        </w:rPr>
        <w:t xml:space="preserve"> </w:t>
      </w:r>
      <w:r w:rsidRPr="00B15A81">
        <w:rPr>
          <w:rFonts w:ascii="Times New Roman" w:hAnsi="Times New Roman" w:cs="Times New Roman"/>
          <w:iCs/>
          <w:szCs w:val="21"/>
        </w:rPr>
        <w:t>echocardiography</w:t>
      </w:r>
      <w:bookmarkEnd w:id="6"/>
      <w:r>
        <w:rPr>
          <w:rFonts w:ascii="Times New Roman" w:hAnsi="Times New Roman" w:cs="Times New Roman"/>
          <w:iCs/>
          <w:szCs w:val="21"/>
        </w:rPr>
        <w:t>.</w:t>
      </w:r>
    </w:p>
    <w:p w14:paraId="27DE6FF1" w14:textId="77777777" w:rsidR="0097388D" w:rsidRPr="003421DB" w:rsidRDefault="0097388D" w:rsidP="00DE20B6">
      <w:pPr>
        <w:spacing w:after="160" w:line="259" w:lineRule="auto"/>
        <w:rPr>
          <w:rFonts w:ascii="Times New Roman" w:hAnsi="Times New Roman" w:cs="Times New Roman"/>
          <w:sz w:val="22"/>
        </w:rPr>
      </w:pPr>
    </w:p>
    <w:p w14:paraId="1B7936D6" w14:textId="77777777" w:rsidR="0097388D" w:rsidRPr="00ED19FF" w:rsidRDefault="0097388D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143971C2" w14:textId="77777777" w:rsidR="0097388D" w:rsidRPr="00ED19FF" w:rsidRDefault="0097388D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7ACDD3EC" w14:textId="0E93ADFA" w:rsidR="0097388D" w:rsidRDefault="0097388D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52860F6F" w14:textId="767D9319" w:rsidR="00C328AE" w:rsidRDefault="00C328AE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4A811AE5" w14:textId="4791202D" w:rsidR="00C328AE" w:rsidRDefault="00C328AE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258C40CE" w14:textId="7FFF47AE" w:rsidR="00C328AE" w:rsidRDefault="00C328AE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7F6DD6B1" w14:textId="7D9C19F9" w:rsidR="00C328AE" w:rsidRDefault="00C328AE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689D680E" w14:textId="3F8F369E" w:rsidR="00C328AE" w:rsidRDefault="00C328AE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742F2E00" w14:textId="72D91ECE" w:rsidR="00C328AE" w:rsidRDefault="00C328AE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0E7FC484" w14:textId="1A58E2EC" w:rsidR="00C328AE" w:rsidRDefault="00C328AE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5F062524" w14:textId="0A267294" w:rsidR="00C328AE" w:rsidRDefault="00C328AE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00065403" w14:textId="7CF1E40F" w:rsidR="00C328AE" w:rsidRDefault="00C328AE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66C711DA" w14:textId="77777777" w:rsidR="00C328AE" w:rsidRPr="00ED19FF" w:rsidRDefault="00C328AE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</w:p>
    <w:bookmarkEnd w:id="2"/>
    <w:bookmarkEnd w:id="3"/>
    <w:p w14:paraId="0DAB04B6" w14:textId="194F19EF" w:rsidR="00503476" w:rsidRPr="00ED19FF" w:rsidRDefault="00503476" w:rsidP="00DE20B6">
      <w:p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ED19FF">
        <w:rPr>
          <w:rFonts w:ascii="Times New Roman" w:hAnsi="Times New Roman" w:cs="Times New Roman"/>
          <w:b/>
          <w:sz w:val="22"/>
        </w:rPr>
        <w:lastRenderedPageBreak/>
        <w:t>Table S2.</w:t>
      </w:r>
      <w:r w:rsidR="00A4441A" w:rsidRPr="00ED19FF">
        <w:rPr>
          <w:rFonts w:ascii="Times New Roman" w:hAnsi="Times New Roman" w:cs="Times New Roman"/>
          <w:b/>
          <w:sz w:val="22"/>
        </w:rPr>
        <w:t xml:space="preserve"> Univariate </w:t>
      </w:r>
      <w:r w:rsidR="009F1D1B" w:rsidRPr="00ED19FF">
        <w:rPr>
          <w:rFonts w:ascii="Times New Roman" w:hAnsi="Times New Roman" w:cs="Times New Roman"/>
          <w:b/>
          <w:sz w:val="22"/>
        </w:rPr>
        <w:t>C</w:t>
      </w:r>
      <w:r w:rsidR="00A4441A" w:rsidRPr="00ED19FF">
        <w:rPr>
          <w:rFonts w:ascii="Times New Roman" w:hAnsi="Times New Roman" w:cs="Times New Roman"/>
          <w:b/>
          <w:sz w:val="22"/>
        </w:rPr>
        <w:t xml:space="preserve">ox regression analysis of factors associated with </w:t>
      </w:r>
      <w:r w:rsidR="00411116" w:rsidRPr="00ED19FF">
        <w:rPr>
          <w:rFonts w:ascii="Times New Roman" w:hAnsi="Times New Roman" w:cs="Times New Roman"/>
          <w:b/>
          <w:sz w:val="22"/>
        </w:rPr>
        <w:t>mortality</w:t>
      </w:r>
      <w:r w:rsidR="00A4441A" w:rsidRPr="00ED19FF">
        <w:rPr>
          <w:rFonts w:ascii="Times New Roman" w:hAnsi="Times New Roman" w:cs="Times New Roman"/>
          <w:b/>
          <w:sz w:val="22"/>
        </w:rPr>
        <w:t xml:space="preserve"> in 321 H7N9</w:t>
      </w:r>
      <w:r w:rsidR="00411116" w:rsidRPr="00ED19FF">
        <w:rPr>
          <w:rFonts w:ascii="Times New Roman" w:hAnsi="Times New Roman" w:cs="Times New Roman"/>
          <w:b/>
          <w:sz w:val="22"/>
        </w:rPr>
        <w:t>-infected</w:t>
      </w:r>
      <w:r w:rsidR="00A4441A" w:rsidRPr="00ED19FF">
        <w:rPr>
          <w:rFonts w:ascii="Times New Roman" w:hAnsi="Times New Roman" w:cs="Times New Roman"/>
          <w:b/>
          <w:sz w:val="22"/>
        </w:rPr>
        <w:t xml:space="preserve"> hospital</w:t>
      </w:r>
      <w:r w:rsidR="00C328AE">
        <w:rPr>
          <w:rFonts w:ascii="Times New Roman" w:hAnsi="Times New Roman" w:cs="Times New Roman"/>
          <w:b/>
          <w:sz w:val="22"/>
        </w:rPr>
        <w:t>ized</w:t>
      </w:r>
      <w:r w:rsidR="00A4441A" w:rsidRPr="00ED19FF">
        <w:rPr>
          <w:rFonts w:ascii="Times New Roman" w:hAnsi="Times New Roman" w:cs="Times New Roman"/>
          <w:b/>
          <w:sz w:val="22"/>
        </w:rPr>
        <w:t xml:space="preserve"> patients.</w:t>
      </w:r>
    </w:p>
    <w:tbl>
      <w:tblPr>
        <w:tblStyle w:val="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985"/>
      </w:tblGrid>
      <w:tr w:rsidR="00621D1F" w:rsidRPr="00ED19FF" w14:paraId="7BC3BB1C" w14:textId="77777777" w:rsidTr="003A4198">
        <w:trPr>
          <w:trHeight w:val="493"/>
          <w:jc w:val="center"/>
        </w:trPr>
        <w:tc>
          <w:tcPr>
            <w:tcW w:w="2625" w:type="pct"/>
            <w:tcBorders>
              <w:bottom w:val="single" w:sz="4" w:space="0" w:color="auto"/>
            </w:tcBorders>
            <w:vAlign w:val="bottom"/>
          </w:tcPr>
          <w:p w14:paraId="3C3B6F55" w14:textId="4D2F4781" w:rsidR="00621D1F" w:rsidRPr="00ED19FF" w:rsidRDefault="00621D1F" w:rsidP="003A4198">
            <w:pPr>
              <w:spacing w:after="160" w:line="259" w:lineRule="auto"/>
              <w:rPr>
                <w:rFonts w:ascii="Times New Roman" w:hAnsi="Times New Roman" w:cs="Times New Roman"/>
                <w:b/>
                <w:szCs w:val="21"/>
              </w:rPr>
            </w:pPr>
            <w:bookmarkStart w:id="8" w:name="_Hlk7952848"/>
            <w:r w:rsidRPr="00ED19FF">
              <w:rPr>
                <w:rFonts w:ascii="Times New Roman" w:hAnsi="Times New Roman" w:cs="Times New Roman"/>
                <w:b/>
                <w:szCs w:val="21"/>
              </w:rPr>
              <w:t>Factor</w:t>
            </w:r>
          </w:p>
        </w:tc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AD124" w14:textId="77777777" w:rsidR="00621D1F" w:rsidRPr="00ED19FF" w:rsidRDefault="00621D1F" w:rsidP="003A419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D19FF">
              <w:rPr>
                <w:rFonts w:ascii="Times New Roman" w:hAnsi="Times New Roman" w:cs="Times New Roman"/>
                <w:b/>
                <w:szCs w:val="21"/>
              </w:rPr>
              <w:t>Unadjusted HR (95% CI)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234E2" w14:textId="77777777" w:rsidR="00621D1F" w:rsidRPr="003421DB" w:rsidRDefault="00621D1F" w:rsidP="003A419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1"/>
              </w:rPr>
            </w:pPr>
            <w:r w:rsidRPr="003421DB">
              <w:rPr>
                <w:rFonts w:ascii="Times New Roman" w:hAnsi="Times New Roman" w:cs="Times New Roman"/>
                <w:b/>
                <w:i/>
                <w:iCs/>
                <w:szCs w:val="21"/>
              </w:rPr>
              <w:t>P</w:t>
            </w:r>
          </w:p>
        </w:tc>
      </w:tr>
      <w:tr w:rsidR="00621D1F" w:rsidRPr="00ED19FF" w14:paraId="79E0DD12" w14:textId="77777777" w:rsidTr="00DE20B6">
        <w:trPr>
          <w:trHeight w:val="493"/>
          <w:jc w:val="center"/>
        </w:trPr>
        <w:tc>
          <w:tcPr>
            <w:tcW w:w="2625" w:type="pct"/>
            <w:tcBorders>
              <w:top w:val="single" w:sz="4" w:space="0" w:color="auto"/>
              <w:bottom w:val="nil"/>
            </w:tcBorders>
          </w:tcPr>
          <w:p w14:paraId="1EEE086D" w14:textId="77777777" w:rsidR="00621D1F" w:rsidRPr="00ED19FF" w:rsidRDefault="00621D1F" w:rsidP="00DE20B6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Age ≥ 65yr</w:t>
            </w:r>
          </w:p>
        </w:tc>
        <w:tc>
          <w:tcPr>
            <w:tcW w:w="1805" w:type="pct"/>
            <w:tcBorders>
              <w:top w:val="single" w:sz="4" w:space="0" w:color="auto"/>
              <w:bottom w:val="nil"/>
            </w:tcBorders>
          </w:tcPr>
          <w:p w14:paraId="2CC5FCC4" w14:textId="360EB52F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2.</w:t>
            </w:r>
            <w:r w:rsidR="00434B7D">
              <w:rPr>
                <w:rFonts w:ascii="Times New Roman" w:hAnsi="Times New Roman" w:cs="Times New Roman"/>
                <w:szCs w:val="21"/>
              </w:rPr>
              <w:t>3</w:t>
            </w:r>
            <w:r w:rsidRPr="00ED19FF">
              <w:rPr>
                <w:rFonts w:ascii="Times New Roman" w:hAnsi="Times New Roman" w:cs="Times New Roman"/>
                <w:szCs w:val="21"/>
              </w:rPr>
              <w:t>4 (1.</w:t>
            </w:r>
            <w:r w:rsidR="00434B7D">
              <w:rPr>
                <w:rFonts w:ascii="Times New Roman" w:hAnsi="Times New Roman" w:cs="Times New Roman"/>
                <w:szCs w:val="21"/>
              </w:rPr>
              <w:t>69</w:t>
            </w:r>
            <w:r w:rsidRPr="00ED19FF">
              <w:rPr>
                <w:rFonts w:ascii="Times New Roman" w:hAnsi="Times New Roman" w:cs="Times New Roman"/>
                <w:szCs w:val="21"/>
              </w:rPr>
              <w:t>-3.</w:t>
            </w:r>
            <w:r w:rsidR="00434B7D">
              <w:rPr>
                <w:rFonts w:ascii="Times New Roman" w:hAnsi="Times New Roman" w:cs="Times New Roman"/>
                <w:szCs w:val="21"/>
              </w:rPr>
              <w:t>2</w:t>
            </w:r>
            <w:r w:rsidRPr="00ED19FF">
              <w:rPr>
                <w:rFonts w:ascii="Times New Roman" w:hAnsi="Times New Roman" w:cs="Times New Roman"/>
                <w:szCs w:val="21"/>
              </w:rPr>
              <w:t>4)</w:t>
            </w:r>
          </w:p>
        </w:tc>
        <w:tc>
          <w:tcPr>
            <w:tcW w:w="570" w:type="pct"/>
            <w:tcBorders>
              <w:top w:val="single" w:sz="4" w:space="0" w:color="auto"/>
              <w:bottom w:val="nil"/>
            </w:tcBorders>
          </w:tcPr>
          <w:p w14:paraId="4FD001C6" w14:textId="77777777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621D1F" w:rsidRPr="00ED19FF" w14:paraId="7702C238" w14:textId="77777777" w:rsidTr="00DE20B6">
        <w:trPr>
          <w:trHeight w:val="493"/>
          <w:jc w:val="center"/>
        </w:trPr>
        <w:tc>
          <w:tcPr>
            <w:tcW w:w="2625" w:type="pct"/>
            <w:tcBorders>
              <w:top w:val="nil"/>
              <w:bottom w:val="nil"/>
            </w:tcBorders>
          </w:tcPr>
          <w:p w14:paraId="428DFB11" w14:textId="3524CF0B" w:rsidR="00621D1F" w:rsidRPr="00ED19FF" w:rsidRDefault="00621D1F" w:rsidP="00DE20B6">
            <w:pPr>
              <w:spacing w:after="160" w:line="259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Cardiovascular </w:t>
            </w:r>
            <w:proofErr w:type="spellStart"/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disease</w:t>
            </w:r>
            <w:r w:rsidRPr="006F5A9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805" w:type="pct"/>
            <w:tcBorders>
              <w:top w:val="nil"/>
              <w:bottom w:val="nil"/>
            </w:tcBorders>
          </w:tcPr>
          <w:p w14:paraId="5BE59B02" w14:textId="09478DC8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1.</w:t>
            </w:r>
            <w:r w:rsidR="00434B7D">
              <w:rPr>
                <w:rFonts w:ascii="Times New Roman" w:hAnsi="Times New Roman" w:cs="Times New Roman"/>
                <w:szCs w:val="21"/>
              </w:rPr>
              <w:t>68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(1.0</w:t>
            </w:r>
            <w:r w:rsidR="00434B7D">
              <w:rPr>
                <w:rFonts w:ascii="Times New Roman" w:hAnsi="Times New Roman" w:cs="Times New Roman"/>
                <w:szCs w:val="21"/>
              </w:rPr>
              <w:t>0</w:t>
            </w:r>
            <w:r w:rsidRPr="00ED19FF">
              <w:rPr>
                <w:rFonts w:ascii="Times New Roman" w:hAnsi="Times New Roman" w:cs="Times New Roman"/>
                <w:szCs w:val="21"/>
              </w:rPr>
              <w:t>-</w:t>
            </w:r>
            <w:r w:rsidR="00434B7D">
              <w:rPr>
                <w:rFonts w:ascii="Times New Roman" w:hAnsi="Times New Roman" w:cs="Times New Roman"/>
                <w:szCs w:val="21"/>
              </w:rPr>
              <w:t>2.83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1A7AE07C" w14:textId="77777777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0.049</w:t>
            </w:r>
          </w:p>
        </w:tc>
      </w:tr>
      <w:tr w:rsidR="00621D1F" w:rsidRPr="00ED19FF" w14:paraId="02904DEF" w14:textId="77777777" w:rsidTr="00DE20B6">
        <w:trPr>
          <w:trHeight w:val="493"/>
          <w:jc w:val="center"/>
        </w:trPr>
        <w:tc>
          <w:tcPr>
            <w:tcW w:w="2625" w:type="pct"/>
            <w:tcBorders>
              <w:top w:val="nil"/>
              <w:bottom w:val="nil"/>
            </w:tcBorders>
          </w:tcPr>
          <w:p w14:paraId="3FE1E1FE" w14:textId="6027B442" w:rsidR="00621D1F" w:rsidRPr="00ED19FF" w:rsidRDefault="00621D1F" w:rsidP="006F5A98">
            <w:pPr>
              <w:widowControl/>
              <w:spacing w:after="160" w:line="259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C</w:t>
            </w:r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erebrovascular </w:t>
            </w:r>
            <w:proofErr w:type="spellStart"/>
            <w:r w:rsidR="005B75B0">
              <w:fldChar w:fldCharType="begin"/>
            </w:r>
            <w:r w:rsidR="005B75B0">
              <w:instrText xml:space="preserve"> HYPERLINK "javascript:;" </w:instrText>
            </w:r>
            <w:r w:rsidR="005B75B0">
              <w:fldChar w:fldCharType="separate"/>
            </w:r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disease</w:t>
            </w:r>
            <w:r w:rsidR="005B75B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end"/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805" w:type="pct"/>
            <w:tcBorders>
              <w:top w:val="nil"/>
              <w:bottom w:val="nil"/>
            </w:tcBorders>
          </w:tcPr>
          <w:p w14:paraId="57A7ACA8" w14:textId="70980E8A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2.</w:t>
            </w:r>
            <w:r w:rsidR="00434B7D">
              <w:rPr>
                <w:rFonts w:ascii="Times New Roman" w:hAnsi="Times New Roman" w:cs="Times New Roman"/>
                <w:szCs w:val="21"/>
              </w:rPr>
              <w:t>23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434B7D">
              <w:rPr>
                <w:rFonts w:ascii="Times New Roman" w:hAnsi="Times New Roman" w:cs="Times New Roman"/>
                <w:szCs w:val="21"/>
              </w:rPr>
              <w:t>26</w:t>
            </w:r>
            <w:r w:rsidRPr="00ED19FF">
              <w:rPr>
                <w:rFonts w:ascii="Times New Roman" w:hAnsi="Times New Roman" w:cs="Times New Roman"/>
                <w:szCs w:val="21"/>
              </w:rPr>
              <w:t>-3.9</w:t>
            </w:r>
            <w:r w:rsidR="00434B7D">
              <w:rPr>
                <w:rFonts w:ascii="Times New Roman" w:hAnsi="Times New Roman" w:cs="Times New Roman"/>
                <w:szCs w:val="21"/>
              </w:rPr>
              <w:t>5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390EA9AE" w14:textId="77777777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0.006</w:t>
            </w:r>
          </w:p>
        </w:tc>
      </w:tr>
      <w:tr w:rsidR="00621D1F" w:rsidRPr="00ED19FF" w14:paraId="0DBDE25B" w14:textId="77777777" w:rsidTr="00DE20B6">
        <w:trPr>
          <w:trHeight w:val="493"/>
          <w:jc w:val="center"/>
        </w:trPr>
        <w:tc>
          <w:tcPr>
            <w:tcW w:w="2625" w:type="pct"/>
            <w:tcBorders>
              <w:top w:val="nil"/>
              <w:bottom w:val="nil"/>
            </w:tcBorders>
          </w:tcPr>
          <w:p w14:paraId="750A7581" w14:textId="77777777" w:rsidR="00621D1F" w:rsidRPr="00ED19FF" w:rsidRDefault="00621D1F" w:rsidP="00DE20B6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 xml:space="preserve">APACHE II </w:t>
            </w:r>
            <w:r w:rsidRPr="00ED19FF">
              <w:rPr>
                <w:rFonts w:ascii="Times New Roman" w:eastAsia="等线" w:hAnsi="Times New Roman" w:cs="Times New Roman"/>
                <w:szCs w:val="21"/>
              </w:rPr>
              <w:t xml:space="preserve">≥ </w:t>
            </w:r>
            <w:r w:rsidRPr="00ED19FF">
              <w:rPr>
                <w:rFonts w:ascii="Times New Roman" w:hAnsi="Times New Roman" w:cs="Times New Roman"/>
                <w:szCs w:val="21"/>
              </w:rPr>
              <w:t>21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1805" w:type="pct"/>
            <w:tcBorders>
              <w:top w:val="nil"/>
              <w:bottom w:val="nil"/>
            </w:tcBorders>
          </w:tcPr>
          <w:p w14:paraId="2D4AD219" w14:textId="62E58CEE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3.</w:t>
            </w:r>
            <w:r w:rsidR="00434B7D">
              <w:rPr>
                <w:rFonts w:ascii="Times New Roman" w:hAnsi="Times New Roman" w:cs="Times New Roman"/>
                <w:szCs w:val="21"/>
              </w:rPr>
              <w:t>27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(2.</w:t>
            </w:r>
            <w:r w:rsidR="00434B7D">
              <w:rPr>
                <w:rFonts w:ascii="Times New Roman" w:hAnsi="Times New Roman" w:cs="Times New Roman"/>
                <w:szCs w:val="21"/>
              </w:rPr>
              <w:t>3</w:t>
            </w:r>
            <w:r w:rsidRPr="00ED19FF">
              <w:rPr>
                <w:rFonts w:ascii="Times New Roman" w:hAnsi="Times New Roman" w:cs="Times New Roman"/>
                <w:szCs w:val="21"/>
              </w:rPr>
              <w:t>7-</w:t>
            </w:r>
            <w:r w:rsidR="00434B7D">
              <w:rPr>
                <w:rFonts w:ascii="Times New Roman" w:hAnsi="Times New Roman" w:cs="Times New Roman"/>
                <w:szCs w:val="21"/>
              </w:rPr>
              <w:t>4.51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31B1D179" w14:textId="77777777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621D1F" w:rsidRPr="00ED19FF" w14:paraId="76AFC328" w14:textId="77777777" w:rsidTr="00DE20B6">
        <w:trPr>
          <w:trHeight w:val="493"/>
          <w:jc w:val="center"/>
        </w:trPr>
        <w:tc>
          <w:tcPr>
            <w:tcW w:w="2625" w:type="pct"/>
            <w:tcBorders>
              <w:top w:val="nil"/>
              <w:bottom w:val="nil"/>
            </w:tcBorders>
          </w:tcPr>
          <w:p w14:paraId="48A176E7" w14:textId="6E3B2AF4" w:rsidR="00621D1F" w:rsidRPr="00ED19FF" w:rsidRDefault="00621D1F" w:rsidP="006F5A98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PaO</w:t>
            </w:r>
            <w:r w:rsidRPr="00ED19FF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ED19FF">
              <w:rPr>
                <w:rFonts w:ascii="Times New Roman" w:hAnsi="Times New Roman" w:cs="Times New Roman"/>
                <w:szCs w:val="21"/>
              </w:rPr>
              <w:t>/FiO</w:t>
            </w:r>
            <w:r w:rsidRPr="00ED19FF">
              <w:rPr>
                <w:rFonts w:ascii="Times New Roman" w:hAnsi="Times New Roman" w:cs="Times New Roman"/>
                <w:szCs w:val="21"/>
                <w:vertAlign w:val="subscript"/>
              </w:rPr>
              <w:t xml:space="preserve">2 </w:t>
            </w:r>
            <w:r w:rsidRPr="00ED19FF">
              <w:rPr>
                <w:rFonts w:ascii="Times New Roman" w:eastAsia="宋体" w:hAnsi="Times New Roman" w:cs="Times New Roman"/>
                <w:szCs w:val="21"/>
              </w:rPr>
              <w:t>≤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200 </w:t>
            </w:r>
            <w:proofErr w:type="spellStart"/>
            <w:r w:rsidRPr="00ED19FF">
              <w:rPr>
                <w:rFonts w:ascii="Times New Roman" w:hAnsi="Times New Roman" w:cs="Times New Roman"/>
                <w:szCs w:val="21"/>
              </w:rPr>
              <w:t>mmHg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1805" w:type="pct"/>
            <w:tcBorders>
              <w:top w:val="nil"/>
              <w:bottom w:val="nil"/>
            </w:tcBorders>
          </w:tcPr>
          <w:p w14:paraId="755B5E72" w14:textId="438CC863" w:rsidR="00621D1F" w:rsidRPr="00ED19FF" w:rsidRDefault="00434B7D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6.79</w:t>
            </w:r>
            <w:r w:rsidR="00621D1F" w:rsidRPr="00ED19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3.14</w:t>
            </w:r>
            <w:r w:rsidR="00621D1F" w:rsidRPr="00ED19FF"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4.51</w:t>
            </w:r>
            <w:r w:rsidR="00621D1F"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5614CAAA" w14:textId="77777777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621D1F" w:rsidRPr="00ED19FF" w14:paraId="775FCFF1" w14:textId="77777777" w:rsidTr="00DE20B6">
        <w:trPr>
          <w:trHeight w:val="493"/>
          <w:jc w:val="center"/>
        </w:trPr>
        <w:tc>
          <w:tcPr>
            <w:tcW w:w="2625" w:type="pct"/>
            <w:tcBorders>
              <w:top w:val="nil"/>
              <w:bottom w:val="nil"/>
            </w:tcBorders>
          </w:tcPr>
          <w:p w14:paraId="4FDEC8D8" w14:textId="77777777" w:rsidR="00621D1F" w:rsidRPr="00ED19FF" w:rsidRDefault="00621D1F" w:rsidP="00DE20B6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 xml:space="preserve">WBC count &gt; 10 </w:t>
            </w:r>
            <w:r w:rsidRPr="00ED19F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× 10</w:t>
            </w:r>
            <w:r w:rsidRPr="00ED19F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9</w:t>
            </w:r>
            <w:r w:rsidRPr="00ED19F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</w:t>
            </w:r>
          </w:p>
        </w:tc>
        <w:tc>
          <w:tcPr>
            <w:tcW w:w="1805" w:type="pct"/>
            <w:tcBorders>
              <w:top w:val="nil"/>
              <w:bottom w:val="nil"/>
            </w:tcBorders>
          </w:tcPr>
          <w:p w14:paraId="30CBF54A" w14:textId="72329AA3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1.</w:t>
            </w:r>
            <w:r w:rsidR="00434B7D">
              <w:rPr>
                <w:rFonts w:ascii="Times New Roman" w:hAnsi="Times New Roman" w:cs="Times New Roman"/>
                <w:szCs w:val="21"/>
              </w:rPr>
              <w:t>82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(1.</w:t>
            </w:r>
            <w:r w:rsidR="00434B7D">
              <w:rPr>
                <w:rFonts w:ascii="Times New Roman" w:hAnsi="Times New Roman" w:cs="Times New Roman"/>
                <w:szCs w:val="21"/>
              </w:rPr>
              <w:t>13</w:t>
            </w:r>
            <w:r w:rsidRPr="00ED19FF">
              <w:rPr>
                <w:rFonts w:ascii="Times New Roman" w:hAnsi="Times New Roman" w:cs="Times New Roman"/>
                <w:szCs w:val="21"/>
              </w:rPr>
              <w:t>-</w:t>
            </w:r>
            <w:r w:rsidR="00434B7D">
              <w:rPr>
                <w:rFonts w:ascii="Times New Roman" w:hAnsi="Times New Roman" w:cs="Times New Roman"/>
                <w:szCs w:val="21"/>
              </w:rPr>
              <w:t>2.95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5751C783" w14:textId="77777777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0.015</w:t>
            </w:r>
          </w:p>
        </w:tc>
      </w:tr>
      <w:tr w:rsidR="00C328AE" w:rsidRPr="00ED19FF" w14:paraId="0D3472A6" w14:textId="77777777" w:rsidTr="00DE20B6">
        <w:trPr>
          <w:trHeight w:val="493"/>
          <w:jc w:val="center"/>
        </w:trPr>
        <w:tc>
          <w:tcPr>
            <w:tcW w:w="2625" w:type="pct"/>
            <w:tcBorders>
              <w:top w:val="nil"/>
            </w:tcBorders>
          </w:tcPr>
          <w:p w14:paraId="31B94B36" w14:textId="77777777" w:rsidR="00C328AE" w:rsidRPr="00ED19FF" w:rsidRDefault="00C328AE" w:rsidP="00C328AE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Cardiac injury</w:t>
            </w:r>
          </w:p>
        </w:tc>
        <w:tc>
          <w:tcPr>
            <w:tcW w:w="1805" w:type="pct"/>
            <w:tcBorders>
              <w:top w:val="nil"/>
            </w:tcBorders>
          </w:tcPr>
          <w:p w14:paraId="2C87176F" w14:textId="44E51831" w:rsidR="00C328AE" w:rsidRPr="00ED19FF" w:rsidRDefault="00C328AE" w:rsidP="00C32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3.08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1.99</w:t>
            </w:r>
            <w:r w:rsidRPr="00ED19FF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4.77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70" w:type="pct"/>
            <w:tcBorders>
              <w:top w:val="nil"/>
            </w:tcBorders>
          </w:tcPr>
          <w:p w14:paraId="7A78F3F8" w14:textId="23DDF10F" w:rsidR="00C328AE" w:rsidRPr="00ED19FF" w:rsidRDefault="00C328AE" w:rsidP="00C32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621D1F" w:rsidRPr="00ED19FF" w14:paraId="3265B548" w14:textId="77777777" w:rsidTr="00DE20B6">
        <w:trPr>
          <w:trHeight w:val="493"/>
          <w:jc w:val="center"/>
        </w:trPr>
        <w:tc>
          <w:tcPr>
            <w:tcW w:w="2625" w:type="pct"/>
            <w:tcBorders>
              <w:top w:val="nil"/>
              <w:bottom w:val="nil"/>
            </w:tcBorders>
          </w:tcPr>
          <w:p w14:paraId="301F0008" w14:textId="77777777" w:rsidR="00621D1F" w:rsidRPr="00ED19FF" w:rsidRDefault="00621D1F" w:rsidP="00DE20B6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Acute kidney injury</w:t>
            </w:r>
          </w:p>
        </w:tc>
        <w:tc>
          <w:tcPr>
            <w:tcW w:w="1805" w:type="pct"/>
            <w:tcBorders>
              <w:top w:val="nil"/>
              <w:bottom w:val="nil"/>
            </w:tcBorders>
          </w:tcPr>
          <w:p w14:paraId="3050EF73" w14:textId="6C901ED3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4.</w:t>
            </w:r>
            <w:r w:rsidR="00434B7D">
              <w:rPr>
                <w:rFonts w:ascii="Times New Roman" w:hAnsi="Times New Roman" w:cs="Times New Roman"/>
                <w:szCs w:val="21"/>
              </w:rPr>
              <w:t>0</w:t>
            </w:r>
            <w:r w:rsidRPr="00ED19FF">
              <w:rPr>
                <w:rFonts w:ascii="Times New Roman" w:hAnsi="Times New Roman" w:cs="Times New Roman"/>
                <w:szCs w:val="21"/>
              </w:rPr>
              <w:t>4 (2.</w:t>
            </w:r>
            <w:r w:rsidR="00434B7D">
              <w:rPr>
                <w:rFonts w:ascii="Times New Roman" w:hAnsi="Times New Roman" w:cs="Times New Roman"/>
                <w:szCs w:val="21"/>
              </w:rPr>
              <w:t>77</w:t>
            </w:r>
            <w:r w:rsidRPr="00ED19FF">
              <w:rPr>
                <w:rFonts w:ascii="Times New Roman" w:hAnsi="Times New Roman" w:cs="Times New Roman"/>
                <w:szCs w:val="21"/>
              </w:rPr>
              <w:t>-</w:t>
            </w:r>
            <w:r w:rsidR="00434B7D">
              <w:rPr>
                <w:rFonts w:ascii="Times New Roman" w:hAnsi="Times New Roman" w:cs="Times New Roman"/>
                <w:szCs w:val="21"/>
              </w:rPr>
              <w:t>5.89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570" w:type="pct"/>
            <w:tcBorders>
              <w:top w:val="nil"/>
              <w:bottom w:val="nil"/>
            </w:tcBorders>
          </w:tcPr>
          <w:p w14:paraId="6E579E6D" w14:textId="77777777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621D1F" w:rsidRPr="00ED19FF" w14:paraId="0EED422A" w14:textId="77777777" w:rsidTr="00DE20B6">
        <w:trPr>
          <w:trHeight w:val="493"/>
          <w:jc w:val="center"/>
        </w:trPr>
        <w:tc>
          <w:tcPr>
            <w:tcW w:w="2625" w:type="pct"/>
            <w:tcBorders>
              <w:top w:val="nil"/>
            </w:tcBorders>
          </w:tcPr>
          <w:p w14:paraId="02E86466" w14:textId="77777777" w:rsidR="00621D1F" w:rsidRPr="00ED19FF" w:rsidRDefault="00621D1F" w:rsidP="00DE20B6">
            <w:pPr>
              <w:spacing w:after="160" w:line="259" w:lineRule="auto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Antiviral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treatment after symptom onset </w:t>
            </w:r>
            <w:r w:rsidRPr="00ED19FF">
              <w:rPr>
                <w:rFonts w:ascii="Times New Roman" w:eastAsia="宋体" w:hAnsi="Times New Roman" w:cs="Times New Roman"/>
                <w:szCs w:val="21"/>
              </w:rPr>
              <w:t xml:space="preserve">≤ </w:t>
            </w:r>
            <w:r w:rsidRPr="00ED19FF">
              <w:rPr>
                <w:rFonts w:ascii="Times New Roman" w:hAnsi="Times New Roman" w:cs="Times New Roman"/>
                <w:szCs w:val="21"/>
              </w:rPr>
              <w:t>2 days</w:t>
            </w:r>
          </w:p>
        </w:tc>
        <w:tc>
          <w:tcPr>
            <w:tcW w:w="1805" w:type="pct"/>
            <w:tcBorders>
              <w:top w:val="nil"/>
            </w:tcBorders>
          </w:tcPr>
          <w:p w14:paraId="28605D58" w14:textId="77777777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2.26 (0.92-5.56)</w:t>
            </w:r>
          </w:p>
        </w:tc>
        <w:tc>
          <w:tcPr>
            <w:tcW w:w="570" w:type="pct"/>
            <w:tcBorders>
              <w:top w:val="nil"/>
            </w:tcBorders>
          </w:tcPr>
          <w:p w14:paraId="183D9E43" w14:textId="77777777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0.075</w:t>
            </w:r>
          </w:p>
        </w:tc>
      </w:tr>
      <w:tr w:rsidR="00621D1F" w:rsidRPr="00ED19FF" w14:paraId="62BE2E68" w14:textId="77777777" w:rsidTr="00DE20B6">
        <w:trPr>
          <w:trHeight w:val="493"/>
          <w:jc w:val="center"/>
        </w:trPr>
        <w:tc>
          <w:tcPr>
            <w:tcW w:w="2625" w:type="pct"/>
            <w:tcBorders>
              <w:top w:val="nil"/>
            </w:tcBorders>
          </w:tcPr>
          <w:p w14:paraId="3F100639" w14:textId="6EEBD0D1" w:rsidR="00621D1F" w:rsidRPr="00ED19FF" w:rsidRDefault="00621D1F" w:rsidP="00DE20B6">
            <w:pPr>
              <w:spacing w:after="160" w:line="259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Use of </w:t>
            </w:r>
            <w:proofErr w:type="spellStart"/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corticosteroid</w:t>
            </w:r>
            <w:r w:rsidRPr="006F5A9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  <w:vertAlign w:val="superscript"/>
              </w:rPr>
              <w:t>d</w:t>
            </w:r>
            <w:proofErr w:type="spellEnd"/>
          </w:p>
        </w:tc>
        <w:tc>
          <w:tcPr>
            <w:tcW w:w="1805" w:type="pct"/>
            <w:tcBorders>
              <w:top w:val="nil"/>
            </w:tcBorders>
          </w:tcPr>
          <w:p w14:paraId="64CB7EB0" w14:textId="1BF15C3E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="00434B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(0.</w:t>
            </w:r>
            <w:r w:rsidR="00434B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</w:t>
            </w:r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-2.18)</w:t>
            </w:r>
          </w:p>
        </w:tc>
        <w:tc>
          <w:tcPr>
            <w:tcW w:w="570" w:type="pct"/>
            <w:tcBorders>
              <w:top w:val="nil"/>
            </w:tcBorders>
          </w:tcPr>
          <w:p w14:paraId="2D7E5636" w14:textId="77777777" w:rsidR="00621D1F" w:rsidRPr="00ED19FF" w:rsidRDefault="00621D1F" w:rsidP="00DE20B6">
            <w:pPr>
              <w:spacing w:after="160" w:line="259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D19F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0.110</w:t>
            </w:r>
          </w:p>
        </w:tc>
      </w:tr>
    </w:tbl>
    <w:bookmarkEnd w:id="8"/>
    <w:p w14:paraId="35072EFD" w14:textId="13D7B251" w:rsidR="00C810EB" w:rsidRPr="00ED19FF" w:rsidRDefault="0011331D" w:rsidP="00DE20B6">
      <w:pPr>
        <w:spacing w:after="160" w:line="259" w:lineRule="auto"/>
        <w:rPr>
          <w:rFonts w:ascii="Times New Roman" w:hAnsi="Times New Roman" w:cs="Times New Roman"/>
          <w:szCs w:val="21"/>
        </w:rPr>
      </w:pPr>
      <w:r w:rsidRPr="006F5A98">
        <w:rPr>
          <w:rFonts w:ascii="Times New Roman" w:hAnsi="Times New Roman" w:cs="Times New Roman"/>
          <w:i/>
          <w:szCs w:val="21"/>
          <w:vertAlign w:val="superscript"/>
        </w:rPr>
        <w:t>a</w:t>
      </w:r>
      <w:r w:rsidRPr="006F5A98">
        <w:rPr>
          <w:rFonts w:ascii="Times New Roman" w:hAnsi="Times New Roman" w:cs="Times New Roman"/>
          <w:i/>
          <w:szCs w:val="21"/>
        </w:rPr>
        <w:t xml:space="preserve"> </w:t>
      </w:r>
      <w:r w:rsidR="00C328AE">
        <w:rPr>
          <w:rFonts w:ascii="Times New Roman" w:hAnsi="Times New Roman" w:cs="Times New Roman"/>
          <w:szCs w:val="21"/>
        </w:rPr>
        <w:t>Pre-</w:t>
      </w:r>
      <w:r w:rsidR="00C328AE" w:rsidRPr="00ED19FF">
        <w:rPr>
          <w:rFonts w:ascii="Times New Roman" w:hAnsi="Times New Roman" w:cs="Times New Roman"/>
          <w:szCs w:val="21"/>
        </w:rPr>
        <w:t>existing</w:t>
      </w:r>
      <w:r w:rsidR="00C328AE" w:rsidRPr="00ED19FF" w:rsidDel="00C328AE">
        <w:rPr>
          <w:rFonts w:ascii="Times New Roman" w:hAnsi="Times New Roman" w:cs="Times New Roman"/>
          <w:szCs w:val="21"/>
        </w:rPr>
        <w:t xml:space="preserve"> </w:t>
      </w:r>
      <w:r w:rsidR="00DA52E4" w:rsidRPr="00ED19FF">
        <w:rPr>
          <w:rFonts w:ascii="Times New Roman" w:hAnsi="Times New Roman" w:cs="Times New Roman"/>
          <w:szCs w:val="21"/>
        </w:rPr>
        <w:t xml:space="preserve"> conditions</w:t>
      </w:r>
      <w:r w:rsidRPr="00ED19FF">
        <w:rPr>
          <w:rFonts w:ascii="Times New Roman" w:hAnsi="Times New Roman" w:cs="Times New Roman"/>
          <w:szCs w:val="21"/>
        </w:rPr>
        <w:t>.</w:t>
      </w:r>
    </w:p>
    <w:p w14:paraId="6FA26644" w14:textId="1BC91295" w:rsidR="0011331D" w:rsidRPr="00ED19FF" w:rsidRDefault="0011331D" w:rsidP="00DE20B6">
      <w:pPr>
        <w:spacing w:after="160" w:line="259" w:lineRule="auto"/>
        <w:rPr>
          <w:rFonts w:ascii="Times New Roman" w:hAnsi="Times New Roman" w:cs="Times New Roman"/>
          <w:szCs w:val="21"/>
        </w:rPr>
      </w:pPr>
      <w:r w:rsidRPr="006F5A98">
        <w:rPr>
          <w:rFonts w:ascii="Times New Roman" w:hAnsi="Times New Roman" w:cs="Times New Roman"/>
          <w:i/>
          <w:szCs w:val="21"/>
          <w:vertAlign w:val="superscript"/>
        </w:rPr>
        <w:t>b</w:t>
      </w:r>
      <w:r w:rsidRPr="00ED19FF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ED19FF">
        <w:rPr>
          <w:rFonts w:ascii="Times New Roman" w:hAnsi="Times New Roman" w:cs="Times New Roman"/>
          <w:szCs w:val="21"/>
        </w:rPr>
        <w:t xml:space="preserve">APACHE II score was </w:t>
      </w:r>
      <w:r w:rsidR="003F10E3" w:rsidRPr="00ED19FF">
        <w:rPr>
          <w:rFonts w:ascii="Times New Roman" w:hAnsi="Times New Roman" w:cs="Times New Roman"/>
          <w:szCs w:val="21"/>
        </w:rPr>
        <w:t xml:space="preserve">assessed </w:t>
      </w:r>
      <w:r w:rsidRPr="00ED19FF">
        <w:rPr>
          <w:rFonts w:ascii="Times New Roman" w:hAnsi="Times New Roman" w:cs="Times New Roman"/>
          <w:szCs w:val="21"/>
        </w:rPr>
        <w:t>within 24 hours of admission to hospital.</w:t>
      </w:r>
    </w:p>
    <w:p w14:paraId="443A2E0C" w14:textId="77777777" w:rsidR="0011331D" w:rsidRPr="00ED19FF" w:rsidRDefault="0011331D" w:rsidP="00DE20B6">
      <w:pPr>
        <w:spacing w:after="160" w:line="259" w:lineRule="auto"/>
        <w:rPr>
          <w:rFonts w:ascii="Times New Roman" w:eastAsia="等线" w:hAnsi="Times New Roman" w:cs="Times New Roman"/>
          <w:bCs/>
          <w:color w:val="000000"/>
          <w:kern w:val="0"/>
          <w:szCs w:val="21"/>
        </w:rPr>
      </w:pPr>
      <w:r w:rsidRPr="006F5A98">
        <w:rPr>
          <w:rFonts w:ascii="Times New Roman" w:hAnsi="Times New Roman" w:cs="Times New Roman"/>
          <w:i/>
          <w:szCs w:val="21"/>
          <w:vertAlign w:val="superscript"/>
        </w:rPr>
        <w:t>c</w:t>
      </w:r>
      <w:r w:rsidRPr="00ED19FF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ED19FF">
        <w:rPr>
          <w:rFonts w:ascii="Times New Roman" w:eastAsia="等线" w:hAnsi="Times New Roman" w:cs="Times New Roman"/>
          <w:bCs/>
          <w:color w:val="000000"/>
          <w:kern w:val="0"/>
          <w:szCs w:val="21"/>
        </w:rPr>
        <w:t>Laboratory findings on admission.</w:t>
      </w:r>
    </w:p>
    <w:p w14:paraId="07055934" w14:textId="431E6991" w:rsidR="00861C5F" w:rsidRPr="00ED19FF" w:rsidRDefault="00861C5F" w:rsidP="00DE20B6">
      <w:pPr>
        <w:spacing w:after="160" w:line="259" w:lineRule="auto"/>
        <w:rPr>
          <w:rFonts w:ascii="Times New Roman" w:hAnsi="Times New Roman" w:cs="Times New Roman"/>
          <w:szCs w:val="21"/>
        </w:rPr>
      </w:pPr>
      <w:r w:rsidRPr="006F5A98">
        <w:rPr>
          <w:rFonts w:ascii="Times New Roman" w:hAnsi="Times New Roman" w:cs="Times New Roman"/>
          <w:i/>
          <w:szCs w:val="21"/>
          <w:vertAlign w:val="superscript"/>
        </w:rPr>
        <w:t>d</w:t>
      </w:r>
      <w:r w:rsidR="005856F8" w:rsidRPr="006F5A98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  <w:r w:rsidR="005856F8" w:rsidRPr="00ED19FF">
        <w:rPr>
          <w:rFonts w:ascii="Times New Roman" w:hAnsi="Times New Roman" w:cs="Times New Roman"/>
          <w:szCs w:val="21"/>
        </w:rPr>
        <w:t xml:space="preserve">Corticosteroid treatment was defined as administration of </w:t>
      </w:r>
      <w:r w:rsidR="00AF0AB1" w:rsidRPr="00ED19FF">
        <w:rPr>
          <w:rFonts w:ascii="Times New Roman" w:hAnsi="Times New Roman" w:cs="Times New Roman"/>
          <w:szCs w:val="21"/>
        </w:rPr>
        <w:t xml:space="preserve">at least </w:t>
      </w:r>
      <w:r w:rsidR="005856F8" w:rsidRPr="00ED19FF">
        <w:rPr>
          <w:rFonts w:ascii="Times New Roman" w:hAnsi="Times New Roman" w:cs="Times New Roman"/>
          <w:szCs w:val="21"/>
        </w:rPr>
        <w:t xml:space="preserve">a dose equivalent to ≥ </w:t>
      </w:r>
      <w:r w:rsidR="00AF0AB1" w:rsidRPr="00ED19FF">
        <w:rPr>
          <w:rFonts w:ascii="Times New Roman" w:hAnsi="Times New Roman" w:cs="Times New Roman"/>
          <w:szCs w:val="21"/>
        </w:rPr>
        <w:t xml:space="preserve">0.5 </w:t>
      </w:r>
      <w:r w:rsidR="005856F8" w:rsidRPr="00ED19FF">
        <w:rPr>
          <w:rFonts w:ascii="Times New Roman" w:hAnsi="Times New Roman" w:cs="Times New Roman"/>
          <w:szCs w:val="21"/>
        </w:rPr>
        <w:t>mg</w:t>
      </w:r>
      <w:r w:rsidR="00AF0AB1" w:rsidRPr="00ED19FF">
        <w:rPr>
          <w:rFonts w:ascii="Times New Roman" w:hAnsi="Times New Roman" w:cs="Times New Roman"/>
          <w:szCs w:val="21"/>
        </w:rPr>
        <w:sym w:font="Wingdings" w:char="F09E"/>
      </w:r>
      <w:r w:rsidR="00AF0AB1" w:rsidRPr="00ED19FF">
        <w:rPr>
          <w:rFonts w:ascii="Times New Roman" w:hAnsi="Times New Roman" w:cs="Times New Roman"/>
          <w:szCs w:val="21"/>
        </w:rPr>
        <w:t>kg</w:t>
      </w:r>
      <w:r w:rsidR="00AF0AB1" w:rsidRPr="00ED19FF">
        <w:rPr>
          <w:rFonts w:ascii="Times New Roman" w:hAnsi="Times New Roman" w:cs="Times New Roman"/>
          <w:szCs w:val="21"/>
          <w:vertAlign w:val="superscript"/>
        </w:rPr>
        <w:t>-1</w:t>
      </w:r>
      <w:r w:rsidR="005856F8" w:rsidRPr="00ED19FF">
        <w:rPr>
          <w:rFonts w:ascii="Times New Roman" w:hAnsi="Times New Roman" w:cs="Times New Roman"/>
          <w:szCs w:val="21"/>
        </w:rPr>
        <w:t xml:space="preserve"> of methylprednisolone during hospitalization</w:t>
      </w:r>
      <w:r w:rsidR="00AC69E1" w:rsidRPr="00ED19FF">
        <w:rPr>
          <w:rFonts w:ascii="Times New Roman" w:hAnsi="Times New Roman" w:cs="Times New Roman"/>
          <w:szCs w:val="21"/>
        </w:rPr>
        <w:t>.</w:t>
      </w:r>
    </w:p>
    <w:p w14:paraId="733BE75F" w14:textId="77777777" w:rsidR="0011331D" w:rsidRPr="00ED19FF" w:rsidRDefault="0011331D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szCs w:val="21"/>
        </w:rPr>
      </w:pPr>
      <w:r w:rsidRPr="00ED19FF">
        <w:rPr>
          <w:rFonts w:ascii="Times New Roman" w:hAnsi="Times New Roman" w:cs="Times New Roman"/>
          <w:szCs w:val="21"/>
        </w:rPr>
        <w:t>Abbreviations: APACHE II, Acute Physiology and Chronic Health Evaluation II; WBC, white blood cell; HR, hazard ratio.</w:t>
      </w:r>
    </w:p>
    <w:p w14:paraId="5C280C4A" w14:textId="77777777" w:rsidR="002E0E07" w:rsidRPr="00ED19FF" w:rsidRDefault="002E0E07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i/>
          <w:szCs w:val="21"/>
        </w:rPr>
      </w:pPr>
    </w:p>
    <w:p w14:paraId="076C5890" w14:textId="77777777" w:rsidR="002E0E07" w:rsidRPr="00ED19FF" w:rsidRDefault="002E0E07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b/>
          <w:szCs w:val="21"/>
        </w:rPr>
      </w:pPr>
    </w:p>
    <w:p w14:paraId="628E5272" w14:textId="77777777" w:rsidR="00797461" w:rsidRPr="00ED19FF" w:rsidRDefault="00797461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b/>
          <w:szCs w:val="21"/>
        </w:rPr>
      </w:pPr>
    </w:p>
    <w:p w14:paraId="08FDB9DB" w14:textId="77777777" w:rsidR="00797461" w:rsidRPr="00ED19FF" w:rsidRDefault="00797461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b/>
          <w:szCs w:val="21"/>
        </w:rPr>
      </w:pPr>
    </w:p>
    <w:p w14:paraId="08CFC341" w14:textId="77777777" w:rsidR="00797461" w:rsidRPr="00ED19FF" w:rsidRDefault="00797461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b/>
          <w:szCs w:val="21"/>
        </w:rPr>
      </w:pPr>
    </w:p>
    <w:p w14:paraId="25824D09" w14:textId="77777777" w:rsidR="00797461" w:rsidRPr="00ED19FF" w:rsidRDefault="00797461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b/>
          <w:szCs w:val="21"/>
        </w:rPr>
      </w:pPr>
    </w:p>
    <w:p w14:paraId="12D2237F" w14:textId="77777777" w:rsidR="00797461" w:rsidRPr="00ED19FF" w:rsidRDefault="00797461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b/>
          <w:szCs w:val="21"/>
        </w:rPr>
      </w:pPr>
    </w:p>
    <w:p w14:paraId="22A86EB8" w14:textId="77777777" w:rsidR="00797461" w:rsidRPr="00ED19FF" w:rsidRDefault="00797461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b/>
          <w:szCs w:val="21"/>
        </w:rPr>
      </w:pPr>
    </w:p>
    <w:p w14:paraId="32AC496F" w14:textId="77777777" w:rsidR="00797461" w:rsidRPr="00ED19FF" w:rsidRDefault="00797461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b/>
          <w:szCs w:val="21"/>
        </w:rPr>
      </w:pPr>
    </w:p>
    <w:p w14:paraId="1689F0D5" w14:textId="77777777" w:rsidR="00797461" w:rsidRPr="00ED19FF" w:rsidRDefault="00797461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b/>
          <w:szCs w:val="21"/>
        </w:rPr>
      </w:pPr>
    </w:p>
    <w:p w14:paraId="0A668506" w14:textId="6FDA144D" w:rsidR="00797461" w:rsidRDefault="00797461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ED19FF">
        <w:rPr>
          <w:rFonts w:ascii="Times New Roman" w:hAnsi="Times New Roman" w:cs="Times New Roman"/>
          <w:b/>
          <w:sz w:val="22"/>
        </w:rPr>
        <w:lastRenderedPageBreak/>
        <w:t xml:space="preserve">Table S3. Multivariate </w:t>
      </w:r>
      <w:r w:rsidR="009F1D1B" w:rsidRPr="00ED19FF">
        <w:rPr>
          <w:rFonts w:ascii="Times New Roman" w:hAnsi="Times New Roman" w:cs="Times New Roman"/>
          <w:b/>
          <w:sz w:val="22"/>
        </w:rPr>
        <w:t>C</w:t>
      </w:r>
      <w:r w:rsidRPr="00ED19FF">
        <w:rPr>
          <w:rFonts w:ascii="Times New Roman" w:hAnsi="Times New Roman" w:cs="Times New Roman"/>
          <w:b/>
          <w:sz w:val="22"/>
        </w:rPr>
        <w:t xml:space="preserve">ox regression analysis of factors associated with </w:t>
      </w:r>
      <w:r w:rsidR="003F10E3" w:rsidRPr="00ED19FF">
        <w:rPr>
          <w:rFonts w:ascii="Times New Roman" w:hAnsi="Times New Roman" w:cs="Times New Roman"/>
          <w:b/>
          <w:sz w:val="22"/>
        </w:rPr>
        <w:t>mortality</w:t>
      </w:r>
      <w:r w:rsidRPr="00ED19FF">
        <w:rPr>
          <w:rFonts w:ascii="Times New Roman" w:hAnsi="Times New Roman" w:cs="Times New Roman"/>
          <w:b/>
          <w:sz w:val="22"/>
        </w:rPr>
        <w:t xml:space="preserve"> in H7N9</w:t>
      </w:r>
      <w:r w:rsidR="003F10E3" w:rsidRPr="00ED19FF">
        <w:rPr>
          <w:rFonts w:ascii="Times New Roman" w:hAnsi="Times New Roman" w:cs="Times New Roman"/>
          <w:b/>
          <w:sz w:val="22"/>
        </w:rPr>
        <w:t>-infected</w:t>
      </w:r>
      <w:r w:rsidRPr="00ED19FF">
        <w:rPr>
          <w:rFonts w:ascii="Times New Roman" w:hAnsi="Times New Roman" w:cs="Times New Roman"/>
          <w:b/>
          <w:sz w:val="22"/>
        </w:rPr>
        <w:t xml:space="preserve"> hospital patients.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68"/>
        <w:gridCol w:w="1210"/>
      </w:tblGrid>
      <w:tr w:rsidR="002D2F9D" w:rsidRPr="00ED19FF" w14:paraId="048D6482" w14:textId="77777777" w:rsidTr="00073886">
        <w:trPr>
          <w:trHeight w:val="493"/>
        </w:trPr>
        <w:tc>
          <w:tcPr>
            <w:tcW w:w="2872" w:type="pct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EF7ACB" w14:textId="73121D05" w:rsidR="002D2F9D" w:rsidRPr="00ED19FF" w:rsidRDefault="002D2F9D" w:rsidP="00073886">
            <w:pPr>
              <w:widowControl/>
              <w:adjustRightInd w:val="0"/>
              <w:snapToGrid w:val="0"/>
              <w:spacing w:after="160" w:line="259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Factor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46B269" w14:textId="77777777" w:rsidR="002D2F9D" w:rsidRPr="00ED19FF" w:rsidRDefault="002D2F9D" w:rsidP="00073886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D19FF">
              <w:rPr>
                <w:rFonts w:ascii="Times New Roman" w:hAnsi="Times New Roman" w:cs="Times New Roman"/>
                <w:b/>
                <w:szCs w:val="21"/>
              </w:rPr>
              <w:t>Adjusted HR (95% CI)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3738DD" w14:textId="77777777" w:rsidR="002D2F9D" w:rsidRPr="003421DB" w:rsidRDefault="002D2F9D" w:rsidP="00073886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1"/>
              </w:rPr>
            </w:pPr>
            <w:r w:rsidRPr="003421DB">
              <w:rPr>
                <w:rFonts w:ascii="Times New Roman" w:hAnsi="Times New Roman" w:cs="Times New Roman"/>
                <w:b/>
                <w:i/>
                <w:iCs/>
                <w:szCs w:val="21"/>
              </w:rPr>
              <w:t>P</w:t>
            </w:r>
          </w:p>
        </w:tc>
      </w:tr>
      <w:tr w:rsidR="00C328AE" w:rsidRPr="00ED19FF" w14:paraId="6F68FE7B" w14:textId="77777777" w:rsidTr="00073886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0E908C" w14:textId="77777777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Age ≥ 65yr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CC484B" w14:textId="45A0D9DD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 (1.3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-2.6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1B45" w14:textId="46D2CAE0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C328AE" w:rsidRPr="00ED19FF" w14:paraId="755A00FB" w14:textId="77777777" w:rsidTr="00073886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79B69" w14:textId="77777777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 xml:space="preserve">APACHE II </w:t>
            </w:r>
            <w:r w:rsidRPr="00ED19FF">
              <w:rPr>
                <w:rFonts w:ascii="Times New Roman" w:eastAsia="等线" w:hAnsi="Times New Roman" w:cs="Times New Roman"/>
                <w:szCs w:val="21"/>
              </w:rPr>
              <w:t xml:space="preserve">≥ </w:t>
            </w:r>
            <w:r w:rsidRPr="00ED19FF">
              <w:rPr>
                <w:rFonts w:ascii="Times New Roman" w:hAnsi="Times New Roman" w:cs="Times New Roman"/>
                <w:szCs w:val="21"/>
              </w:rPr>
              <w:t>21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a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11E62F" w14:textId="1FBDDA2E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91</w:t>
            </w:r>
            <w:r>
              <w:rPr>
                <w:rFonts w:ascii="Times New Roman" w:hAnsi="Times New Roman" w:cs="Times New Roman"/>
                <w:szCs w:val="21"/>
              </w:rPr>
              <w:t xml:space="preserve"> (1.</w:t>
            </w: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>-2.</w:t>
            </w:r>
            <w:r>
              <w:rPr>
                <w:rFonts w:ascii="Times New Roman" w:hAnsi="Times New Roman" w:cs="Times New Roman" w:hint="eastAsia"/>
                <w:szCs w:val="21"/>
              </w:rPr>
              <w:t>71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B86727" w14:textId="5167D247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</w:t>
            </w:r>
            <w:r w:rsidRPr="00ED19FF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C328AE" w:rsidRPr="00ED19FF" w14:paraId="52D72753" w14:textId="77777777" w:rsidTr="008933DE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E497C5" w14:textId="53000C1E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PaO</w:t>
            </w:r>
            <w:r w:rsidRPr="00ED19FF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ED19FF">
              <w:rPr>
                <w:rFonts w:ascii="Times New Roman" w:hAnsi="Times New Roman" w:cs="Times New Roman"/>
                <w:szCs w:val="21"/>
              </w:rPr>
              <w:t>/FiO</w:t>
            </w:r>
            <w:r w:rsidRPr="00ED19FF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≤ 200 mm Hg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9F1A57" w14:textId="16FAD725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5.43 (2.52-11.71)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C230CE" w14:textId="301C68C1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C328AE" w:rsidRPr="00ED19FF" w14:paraId="77BE0439" w14:textId="77777777" w:rsidTr="003421DB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F4ED" w14:textId="77777777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AKI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50EE3B" w14:textId="4CEB8470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2.08 (1.37-3.16)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03640" w14:textId="1AB19D57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0.00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C328AE" w:rsidRPr="00ED19FF" w14:paraId="584D241B" w14:textId="77777777" w:rsidTr="008933DE">
        <w:trPr>
          <w:trHeight w:val="493"/>
        </w:trPr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FFF5B" w14:textId="7013DEE0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4672D6">
              <w:rPr>
                <w:rFonts w:ascii="Times New Roman" w:hAnsi="Times New Roman" w:cs="Times New Roman"/>
                <w:szCs w:val="21"/>
              </w:rPr>
              <w:t>Pre-existing cardiac conditions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4285E" w14:textId="455A2299" w:rsidR="00C328AE" w:rsidRDefault="00C328AE" w:rsidP="00C328AE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0.71</w:t>
            </w:r>
            <w:r w:rsidRPr="00ED19FF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Cs w:val="21"/>
              </w:rPr>
              <w:t>05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D5D9C" w14:textId="2DEE1EBA" w:rsidR="00C328AE" w:rsidRPr="00ED19FF" w:rsidRDefault="00C328AE" w:rsidP="00C328AE">
            <w:pPr>
              <w:adjustRightInd w:val="0"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480</w:t>
            </w:r>
          </w:p>
        </w:tc>
      </w:tr>
    </w:tbl>
    <w:p w14:paraId="360417E2" w14:textId="77777777" w:rsidR="000A19E4" w:rsidRPr="00ED19FF" w:rsidRDefault="000A19E4" w:rsidP="000A19E4">
      <w:pPr>
        <w:adjustRightInd w:val="0"/>
        <w:snapToGrid w:val="0"/>
        <w:spacing w:after="160" w:line="259" w:lineRule="auto"/>
        <w:rPr>
          <w:rFonts w:ascii="Times New Roman" w:hAnsi="Times New Roman" w:cs="Times New Roman"/>
        </w:rPr>
      </w:pPr>
      <w:proofErr w:type="spellStart"/>
      <w:r w:rsidRPr="006F5A98">
        <w:rPr>
          <w:rFonts w:ascii="Times New Roman" w:hAnsi="Times New Roman" w:cs="Times New Roman"/>
          <w:i/>
          <w:vertAlign w:val="superscript"/>
        </w:rPr>
        <w:t>a</w:t>
      </w:r>
      <w:proofErr w:type="spellEnd"/>
      <w:r w:rsidRPr="006F5A98">
        <w:rPr>
          <w:rFonts w:ascii="Times New Roman" w:hAnsi="Times New Roman" w:cs="Times New Roman"/>
          <w:i/>
          <w:vertAlign w:val="superscript"/>
        </w:rPr>
        <w:t xml:space="preserve"> </w:t>
      </w:r>
      <w:r w:rsidRPr="00ED19FF">
        <w:rPr>
          <w:rFonts w:ascii="Times New Roman" w:hAnsi="Times New Roman" w:cs="Times New Roman"/>
        </w:rPr>
        <w:t>APACHE II score was</w:t>
      </w:r>
      <w:r w:rsidRPr="00ED19FF">
        <w:rPr>
          <w:rFonts w:ascii="Times New Roman" w:hAnsi="Times New Roman" w:cs="Times New Roman"/>
          <w:sz w:val="20"/>
        </w:rPr>
        <w:t xml:space="preserve"> </w:t>
      </w:r>
      <w:r w:rsidRPr="00ED19FF">
        <w:rPr>
          <w:rFonts w:ascii="Times New Roman" w:hAnsi="Times New Roman" w:cs="Times New Roman"/>
        </w:rPr>
        <w:t>assessed within 24 hours of admission to hospital.</w:t>
      </w:r>
    </w:p>
    <w:p w14:paraId="56151616" w14:textId="77777777" w:rsidR="000A19E4" w:rsidRDefault="000A19E4" w:rsidP="000A19E4">
      <w:pPr>
        <w:spacing w:after="160" w:line="259" w:lineRule="auto"/>
        <w:rPr>
          <w:rFonts w:ascii="Times New Roman" w:eastAsia="等线" w:hAnsi="Times New Roman" w:cs="Times New Roman"/>
          <w:bCs/>
          <w:color w:val="000000"/>
          <w:kern w:val="0"/>
        </w:rPr>
      </w:pPr>
      <w:r w:rsidRPr="006F5A98">
        <w:rPr>
          <w:rFonts w:ascii="Times New Roman" w:hAnsi="Times New Roman" w:cs="Times New Roman"/>
          <w:i/>
          <w:vertAlign w:val="superscript"/>
        </w:rPr>
        <w:t>b</w:t>
      </w:r>
      <w:r w:rsidRPr="00ED19FF">
        <w:rPr>
          <w:rFonts w:ascii="Times New Roman" w:hAnsi="Times New Roman" w:cs="Times New Roman"/>
          <w:vertAlign w:val="superscript"/>
        </w:rPr>
        <w:t xml:space="preserve"> </w:t>
      </w:r>
      <w:r w:rsidRPr="00ED19FF">
        <w:rPr>
          <w:rFonts w:ascii="Times New Roman" w:eastAsia="等线" w:hAnsi="Times New Roman" w:cs="Times New Roman"/>
          <w:bCs/>
          <w:color w:val="000000"/>
          <w:kern w:val="0"/>
        </w:rPr>
        <w:t>Laboratory findings on admission.</w:t>
      </w:r>
    </w:p>
    <w:p w14:paraId="7545F7CC" w14:textId="77777777" w:rsidR="00FC197A" w:rsidRDefault="00FC197A" w:rsidP="00FC197A">
      <w:pPr>
        <w:adjustRightInd w:val="0"/>
        <w:snapToGrid w:val="0"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Cox regression analysis included the variables listed in Table S2.</w:t>
      </w:r>
    </w:p>
    <w:p w14:paraId="7655C2A2" w14:textId="2AEDD79E" w:rsidR="00FC197A" w:rsidRDefault="00FC197A" w:rsidP="000A19E4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 of cardiac injury associated with mortality was shown in figure </w:t>
      </w:r>
      <w:r w:rsidR="006225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69B8B881" w14:textId="1F52E3D8" w:rsidR="000A19E4" w:rsidRPr="00ED19FF" w:rsidRDefault="000A19E4" w:rsidP="000A19E4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</w:rPr>
      </w:pPr>
      <w:r w:rsidRPr="00ED19FF">
        <w:rPr>
          <w:rFonts w:ascii="Times New Roman" w:hAnsi="Times New Roman" w:cs="Times New Roman"/>
        </w:rPr>
        <w:t>Abbreviations: HR, hazard ratio; APACHE II, Acute Physiology and Chronic Health Evaluation II; AKI, acute kidney injury.</w:t>
      </w:r>
    </w:p>
    <w:p w14:paraId="2667202C" w14:textId="77777777" w:rsidR="002D2F9D" w:rsidRDefault="002D2F9D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758EF5CF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08790FD9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27619EDF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67189CD6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3645B70D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2B8C4A7C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40124BF1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18F82EAD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04235953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5B267AA6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6E3C26AA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14A44B56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7DEAD437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34DC481A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01C6ECAF" w14:textId="77777777" w:rsidR="007B447F" w:rsidRDefault="007B447F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</w:p>
    <w:p w14:paraId="2724C25E" w14:textId="31DA5521" w:rsidR="002D2F9D" w:rsidRDefault="002D2F9D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Table S4</w:t>
      </w:r>
      <w:r w:rsidRPr="00ED19FF">
        <w:rPr>
          <w:rFonts w:ascii="Times New Roman" w:hAnsi="Times New Roman" w:cs="Times New Roman"/>
          <w:b/>
          <w:sz w:val="22"/>
        </w:rPr>
        <w:t xml:space="preserve">. </w:t>
      </w:r>
      <w:r w:rsidR="00FC197A">
        <w:rPr>
          <w:rFonts w:ascii="Times New Roman" w:hAnsi="Times New Roman" w:cs="Times New Roman"/>
          <w:b/>
          <w:szCs w:val="21"/>
        </w:rPr>
        <w:t>Subgroup</w:t>
      </w:r>
      <w:r w:rsidR="00FC197A">
        <w:rPr>
          <w:rFonts w:ascii="Times New Roman" w:hAnsi="Times New Roman" w:cs="Times New Roman"/>
          <w:b/>
          <w:sz w:val="22"/>
        </w:rPr>
        <w:t xml:space="preserve"> analysis of factors associated with mortality in H7N9-infected hospital</w:t>
      </w:r>
      <w:r w:rsidR="006225F5">
        <w:rPr>
          <w:rFonts w:ascii="Times New Roman" w:hAnsi="Times New Roman" w:cs="Times New Roman"/>
          <w:b/>
          <w:sz w:val="22"/>
        </w:rPr>
        <w:t>ized</w:t>
      </w:r>
      <w:r w:rsidR="00FC197A">
        <w:rPr>
          <w:rFonts w:ascii="Times New Roman" w:hAnsi="Times New Roman" w:cs="Times New Roman"/>
          <w:b/>
          <w:sz w:val="22"/>
        </w:rPr>
        <w:t xml:space="preserve"> patients using multivariate Cox regression.</w:t>
      </w:r>
    </w:p>
    <w:tbl>
      <w:tblPr>
        <w:tblStyle w:val="a3"/>
        <w:tblW w:w="5006" w:type="pct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2470"/>
        <w:gridCol w:w="1211"/>
      </w:tblGrid>
      <w:tr w:rsidR="00FC197A" w14:paraId="10BF1E5F" w14:textId="77777777" w:rsidTr="00F46C29">
        <w:trPr>
          <w:trHeight w:val="493"/>
        </w:trPr>
        <w:tc>
          <w:tcPr>
            <w:tcW w:w="28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DA576E" w14:textId="77777777" w:rsidR="00FC197A" w:rsidRDefault="00FC197A">
            <w:pPr>
              <w:widowControl/>
              <w:adjustRightInd w:val="0"/>
              <w:snapToGrid w:val="0"/>
              <w:spacing w:after="160" w:line="256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Subgroup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58F957" w14:textId="77777777" w:rsidR="00FC197A" w:rsidRDefault="00FC197A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Adjusted HR (95% CI)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626B67" w14:textId="77777777" w:rsidR="00FC197A" w:rsidRPr="003421DB" w:rsidRDefault="00FC197A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1"/>
              </w:rPr>
            </w:pPr>
            <w:r w:rsidRPr="003421DB">
              <w:rPr>
                <w:rFonts w:ascii="Times New Roman" w:hAnsi="Times New Roman" w:cs="Times New Roman"/>
                <w:b/>
                <w:i/>
                <w:iCs/>
                <w:szCs w:val="21"/>
              </w:rPr>
              <w:t>P</w:t>
            </w:r>
          </w:p>
        </w:tc>
      </w:tr>
      <w:tr w:rsidR="00FC197A" w14:paraId="23E7ADE0" w14:textId="77777777" w:rsidTr="00F46C29">
        <w:trPr>
          <w:trHeight w:val="493"/>
        </w:trPr>
        <w:tc>
          <w:tcPr>
            <w:tcW w:w="2872" w:type="pct"/>
            <w:tcBorders>
              <w:top w:val="single" w:sz="4" w:space="0" w:color="auto"/>
            </w:tcBorders>
            <w:hideMark/>
          </w:tcPr>
          <w:p w14:paraId="0EFCCEB9" w14:textId="77777777" w:rsidR="00FC197A" w:rsidRDefault="00FC197A">
            <w:pPr>
              <w:adjustRightInd w:val="0"/>
              <w:snapToGrid w:val="0"/>
              <w:spacing w:after="160" w:line="25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Patients with </w:t>
            </w:r>
            <w:r>
              <w:rPr>
                <w:rFonts w:ascii="Times New Roman" w:eastAsiaTheme="minorHAnsi" w:hAnsi="Times New Roman" w:cs="Times New Roman"/>
                <w:szCs w:val="21"/>
              </w:rPr>
              <w:t>moderate-to-severe ARDS (n = 250)</w:t>
            </w:r>
          </w:p>
        </w:tc>
        <w:tc>
          <w:tcPr>
            <w:tcW w:w="1428" w:type="pct"/>
            <w:tcBorders>
              <w:top w:val="single" w:sz="4" w:space="0" w:color="auto"/>
            </w:tcBorders>
          </w:tcPr>
          <w:p w14:paraId="13934921" w14:textId="77777777" w:rsidR="00FC197A" w:rsidRDefault="00FC197A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</w:tcPr>
          <w:p w14:paraId="14693A21" w14:textId="77777777" w:rsidR="00FC197A" w:rsidRDefault="00FC197A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25F5" w14:paraId="2D46489F" w14:textId="77777777" w:rsidTr="00F46C29">
        <w:trPr>
          <w:trHeight w:val="493"/>
        </w:trPr>
        <w:tc>
          <w:tcPr>
            <w:tcW w:w="2872" w:type="pct"/>
            <w:hideMark/>
          </w:tcPr>
          <w:p w14:paraId="0A063276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≥ 65yr</w:t>
            </w:r>
          </w:p>
        </w:tc>
        <w:tc>
          <w:tcPr>
            <w:tcW w:w="1428" w:type="pct"/>
            <w:hideMark/>
          </w:tcPr>
          <w:p w14:paraId="2ACA824E" w14:textId="01759E0C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1.89 (1.33-2.67)</w:t>
            </w:r>
          </w:p>
        </w:tc>
        <w:tc>
          <w:tcPr>
            <w:tcW w:w="700" w:type="pct"/>
            <w:hideMark/>
          </w:tcPr>
          <w:p w14:paraId="35F5AEF9" w14:textId="183CD714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6225F5" w14:paraId="08808804" w14:textId="77777777" w:rsidTr="00F46C29">
        <w:trPr>
          <w:trHeight w:val="493"/>
        </w:trPr>
        <w:tc>
          <w:tcPr>
            <w:tcW w:w="2872" w:type="pct"/>
            <w:hideMark/>
          </w:tcPr>
          <w:p w14:paraId="7C5CBE25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APACHE II </w:t>
            </w:r>
            <w:r>
              <w:rPr>
                <w:rFonts w:ascii="Times New Roman" w:eastAsia="等线" w:hAnsi="Times New Roman" w:cs="Times New Roman"/>
                <w:szCs w:val="21"/>
              </w:rPr>
              <w:t xml:space="preserve">≥ </w:t>
            </w:r>
            <w:r>
              <w:rPr>
                <w:rFonts w:ascii="Times New Roman" w:hAnsi="Times New Roman" w:cs="Times New Roman"/>
                <w:szCs w:val="21"/>
              </w:rPr>
              <w:t>21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a</w:t>
            </w:r>
          </w:p>
        </w:tc>
        <w:tc>
          <w:tcPr>
            <w:tcW w:w="1428" w:type="pct"/>
            <w:hideMark/>
          </w:tcPr>
          <w:p w14:paraId="0CF78F19" w14:textId="7113CDE4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1.98 (1.39-2.83)</w:t>
            </w:r>
          </w:p>
        </w:tc>
        <w:tc>
          <w:tcPr>
            <w:tcW w:w="700" w:type="pct"/>
            <w:hideMark/>
          </w:tcPr>
          <w:p w14:paraId="10397D17" w14:textId="1FCE8EF1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6225F5" w14:paraId="2CB40F17" w14:textId="77777777" w:rsidTr="00F46C29">
        <w:trPr>
          <w:trHeight w:val="493"/>
        </w:trPr>
        <w:tc>
          <w:tcPr>
            <w:tcW w:w="2872" w:type="pct"/>
            <w:hideMark/>
          </w:tcPr>
          <w:p w14:paraId="45EEBED2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AKI</w:t>
            </w:r>
          </w:p>
        </w:tc>
        <w:tc>
          <w:tcPr>
            <w:tcW w:w="1428" w:type="pct"/>
            <w:hideMark/>
          </w:tcPr>
          <w:p w14:paraId="731B4F0F" w14:textId="524E6D05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1.84 (1.21-2.79)</w:t>
            </w:r>
          </w:p>
        </w:tc>
        <w:tc>
          <w:tcPr>
            <w:tcW w:w="700" w:type="pct"/>
            <w:hideMark/>
          </w:tcPr>
          <w:p w14:paraId="79B4EB4E" w14:textId="25B93EDF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0.004</w:t>
            </w:r>
          </w:p>
        </w:tc>
      </w:tr>
      <w:tr w:rsidR="006225F5" w14:paraId="785AB17F" w14:textId="77777777" w:rsidTr="00F46C29">
        <w:trPr>
          <w:trHeight w:val="493"/>
        </w:trPr>
        <w:tc>
          <w:tcPr>
            <w:tcW w:w="2872" w:type="pct"/>
          </w:tcPr>
          <w:p w14:paraId="3FEDC2F3" w14:textId="3D8FFFEC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0B3B77">
              <w:rPr>
                <w:rFonts w:ascii="Times New Roman" w:hAnsi="Times New Roman" w:cs="Times New Roman"/>
                <w:szCs w:val="21"/>
              </w:rPr>
              <w:t>Pre-existing cardiac conditions</w:t>
            </w:r>
          </w:p>
        </w:tc>
        <w:tc>
          <w:tcPr>
            <w:tcW w:w="1428" w:type="pct"/>
          </w:tcPr>
          <w:p w14:paraId="1F5CAE4F" w14:textId="15022EF6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0.7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ED19FF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2.14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</w:tcPr>
          <w:p w14:paraId="4197D1DC" w14:textId="0FD055AF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395</w:t>
            </w:r>
          </w:p>
        </w:tc>
      </w:tr>
      <w:tr w:rsidR="006225F5" w14:paraId="135CC85B" w14:textId="77777777" w:rsidTr="00F46C29">
        <w:trPr>
          <w:trHeight w:val="493"/>
        </w:trPr>
        <w:tc>
          <w:tcPr>
            <w:tcW w:w="2872" w:type="pct"/>
            <w:hideMark/>
          </w:tcPr>
          <w:p w14:paraId="12B3B3A9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&lt; 65yr (n = 230)</w:t>
            </w:r>
          </w:p>
        </w:tc>
        <w:tc>
          <w:tcPr>
            <w:tcW w:w="1428" w:type="pct"/>
          </w:tcPr>
          <w:p w14:paraId="130006C1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pct"/>
          </w:tcPr>
          <w:p w14:paraId="030FE1F9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25F5" w14:paraId="0CB240C9" w14:textId="77777777" w:rsidTr="00F46C29">
        <w:trPr>
          <w:trHeight w:val="493"/>
        </w:trPr>
        <w:tc>
          <w:tcPr>
            <w:tcW w:w="2872" w:type="pct"/>
            <w:hideMark/>
          </w:tcPr>
          <w:p w14:paraId="697EF5B1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APACHE II </w:t>
            </w:r>
            <w:r>
              <w:rPr>
                <w:rFonts w:ascii="Times New Roman" w:eastAsia="等线" w:hAnsi="Times New Roman" w:cs="Times New Roman"/>
                <w:szCs w:val="21"/>
              </w:rPr>
              <w:t xml:space="preserve">≥ </w:t>
            </w:r>
            <w:r>
              <w:rPr>
                <w:rFonts w:ascii="Times New Roman" w:hAnsi="Times New Roman" w:cs="Times New Roman"/>
                <w:szCs w:val="21"/>
              </w:rPr>
              <w:t>21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a</w:t>
            </w:r>
          </w:p>
        </w:tc>
        <w:tc>
          <w:tcPr>
            <w:tcW w:w="1428" w:type="pct"/>
            <w:hideMark/>
          </w:tcPr>
          <w:p w14:paraId="46A485B4" w14:textId="4EADB39F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1.90 (1.22-2.96)</w:t>
            </w:r>
          </w:p>
        </w:tc>
        <w:tc>
          <w:tcPr>
            <w:tcW w:w="700" w:type="pct"/>
            <w:hideMark/>
          </w:tcPr>
          <w:p w14:paraId="30AA34A4" w14:textId="78D0C6F4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</w:t>
            </w:r>
          </w:p>
        </w:tc>
      </w:tr>
      <w:tr w:rsidR="006225F5" w14:paraId="68101022" w14:textId="77777777" w:rsidTr="00F46C29">
        <w:trPr>
          <w:trHeight w:val="493"/>
        </w:trPr>
        <w:tc>
          <w:tcPr>
            <w:tcW w:w="2872" w:type="pct"/>
            <w:hideMark/>
          </w:tcPr>
          <w:p w14:paraId="2D6C2441" w14:textId="43DDC872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/FiO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≤ 200 mm Hg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1428" w:type="pct"/>
            <w:hideMark/>
          </w:tcPr>
          <w:p w14:paraId="28B7A529" w14:textId="7C6D89EE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5.43 (1.97-14.95)</w:t>
            </w:r>
          </w:p>
        </w:tc>
        <w:tc>
          <w:tcPr>
            <w:tcW w:w="700" w:type="pct"/>
            <w:hideMark/>
          </w:tcPr>
          <w:p w14:paraId="2847DDAD" w14:textId="11516314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6225F5" w14:paraId="0185F99A" w14:textId="77777777" w:rsidTr="00F46C29">
        <w:trPr>
          <w:trHeight w:val="493"/>
        </w:trPr>
        <w:tc>
          <w:tcPr>
            <w:tcW w:w="2872" w:type="pct"/>
            <w:hideMark/>
          </w:tcPr>
          <w:p w14:paraId="4B47E3D5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AKI</w:t>
            </w:r>
          </w:p>
        </w:tc>
        <w:tc>
          <w:tcPr>
            <w:tcW w:w="1428" w:type="pct"/>
            <w:hideMark/>
          </w:tcPr>
          <w:p w14:paraId="1FFC4968" w14:textId="7A52B43A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2.37 (1.39-4.06)</w:t>
            </w:r>
          </w:p>
        </w:tc>
        <w:tc>
          <w:tcPr>
            <w:tcW w:w="700" w:type="pct"/>
            <w:hideMark/>
          </w:tcPr>
          <w:p w14:paraId="2C98EB41" w14:textId="51D91D97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</w:t>
            </w:r>
          </w:p>
        </w:tc>
      </w:tr>
      <w:tr w:rsidR="006225F5" w14:paraId="394FB3EB" w14:textId="77777777" w:rsidTr="00F46C29">
        <w:trPr>
          <w:trHeight w:val="493"/>
        </w:trPr>
        <w:tc>
          <w:tcPr>
            <w:tcW w:w="2872" w:type="pct"/>
          </w:tcPr>
          <w:p w14:paraId="401C027A" w14:textId="01F52811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0B3B77">
              <w:rPr>
                <w:rFonts w:ascii="Times New Roman" w:hAnsi="Times New Roman" w:cs="Times New Roman"/>
                <w:szCs w:val="21"/>
              </w:rPr>
              <w:t>Pre-existing cardiac conditions</w:t>
            </w:r>
          </w:p>
        </w:tc>
        <w:tc>
          <w:tcPr>
            <w:tcW w:w="1428" w:type="pct"/>
          </w:tcPr>
          <w:p w14:paraId="0D97D14C" w14:textId="5AEBDC16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54</w:t>
            </w:r>
            <w:r w:rsidRPr="00ED19FF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2.89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</w:tcPr>
          <w:p w14:paraId="14451552" w14:textId="2567156E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605</w:t>
            </w:r>
          </w:p>
        </w:tc>
      </w:tr>
      <w:tr w:rsidR="006225F5" w14:paraId="4577C10C" w14:textId="77777777" w:rsidTr="00F46C29">
        <w:trPr>
          <w:trHeight w:val="493"/>
        </w:trPr>
        <w:tc>
          <w:tcPr>
            <w:tcW w:w="2872" w:type="pct"/>
            <w:hideMark/>
          </w:tcPr>
          <w:p w14:paraId="0BC54C62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≥ 65yr (n = 91)</w:t>
            </w:r>
          </w:p>
        </w:tc>
        <w:tc>
          <w:tcPr>
            <w:tcW w:w="1428" w:type="pct"/>
          </w:tcPr>
          <w:p w14:paraId="2B10115D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pct"/>
          </w:tcPr>
          <w:p w14:paraId="2276DFE3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25F5" w14:paraId="56FC4014" w14:textId="77777777" w:rsidTr="00F46C29">
        <w:trPr>
          <w:trHeight w:val="493"/>
        </w:trPr>
        <w:tc>
          <w:tcPr>
            <w:tcW w:w="2872" w:type="pct"/>
            <w:hideMark/>
          </w:tcPr>
          <w:p w14:paraId="1E35C6AF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APACHE II </w:t>
            </w:r>
            <w:r>
              <w:rPr>
                <w:rFonts w:ascii="Times New Roman" w:eastAsia="等线" w:hAnsi="Times New Roman" w:cs="Times New Roman"/>
                <w:szCs w:val="21"/>
              </w:rPr>
              <w:t xml:space="preserve">≥ </w:t>
            </w:r>
            <w:r>
              <w:rPr>
                <w:rFonts w:ascii="Times New Roman" w:hAnsi="Times New Roman" w:cs="Times New Roman"/>
                <w:szCs w:val="21"/>
              </w:rPr>
              <w:t>21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a</w:t>
            </w:r>
          </w:p>
        </w:tc>
        <w:tc>
          <w:tcPr>
            <w:tcW w:w="1428" w:type="pct"/>
            <w:hideMark/>
          </w:tcPr>
          <w:p w14:paraId="1013F727" w14:textId="6BC29870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1.94 (1.08-3.49)</w:t>
            </w:r>
          </w:p>
        </w:tc>
        <w:tc>
          <w:tcPr>
            <w:tcW w:w="700" w:type="pct"/>
            <w:hideMark/>
          </w:tcPr>
          <w:p w14:paraId="68FD42E5" w14:textId="235EF042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0.026</w:t>
            </w:r>
          </w:p>
        </w:tc>
      </w:tr>
      <w:tr w:rsidR="006225F5" w14:paraId="54E47670" w14:textId="77777777" w:rsidTr="00F46C29">
        <w:trPr>
          <w:trHeight w:val="493"/>
        </w:trPr>
        <w:tc>
          <w:tcPr>
            <w:tcW w:w="2872" w:type="pct"/>
            <w:hideMark/>
          </w:tcPr>
          <w:p w14:paraId="263326E5" w14:textId="2E5F8652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/FiO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≤ 200 mm Hg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1428" w:type="pct"/>
            <w:hideMark/>
          </w:tcPr>
          <w:p w14:paraId="1367DAB0" w14:textId="0C33D94A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4.53 (1.41-14.58)</w:t>
            </w:r>
          </w:p>
        </w:tc>
        <w:tc>
          <w:tcPr>
            <w:tcW w:w="700" w:type="pct"/>
            <w:hideMark/>
          </w:tcPr>
          <w:p w14:paraId="123D4DF5" w14:textId="3C23A009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0.011</w:t>
            </w:r>
          </w:p>
        </w:tc>
      </w:tr>
      <w:tr w:rsidR="006225F5" w14:paraId="14A4DB7A" w14:textId="77777777" w:rsidTr="00F46C29">
        <w:trPr>
          <w:trHeight w:val="493"/>
        </w:trPr>
        <w:tc>
          <w:tcPr>
            <w:tcW w:w="2872" w:type="pct"/>
            <w:hideMark/>
          </w:tcPr>
          <w:p w14:paraId="5BA076A2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AKI</w:t>
            </w:r>
          </w:p>
        </w:tc>
        <w:tc>
          <w:tcPr>
            <w:tcW w:w="1428" w:type="pct"/>
            <w:hideMark/>
          </w:tcPr>
          <w:p w14:paraId="35F41DC9" w14:textId="3DBF3CEE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1.83 (0.94-3.57)</w:t>
            </w:r>
          </w:p>
        </w:tc>
        <w:tc>
          <w:tcPr>
            <w:tcW w:w="700" w:type="pct"/>
            <w:hideMark/>
          </w:tcPr>
          <w:p w14:paraId="7127884D" w14:textId="6C91511F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0.077</w:t>
            </w:r>
          </w:p>
        </w:tc>
      </w:tr>
      <w:tr w:rsidR="006225F5" w14:paraId="62015BE9" w14:textId="77777777" w:rsidTr="00F46C29">
        <w:trPr>
          <w:trHeight w:val="493"/>
        </w:trPr>
        <w:tc>
          <w:tcPr>
            <w:tcW w:w="2872" w:type="pct"/>
          </w:tcPr>
          <w:p w14:paraId="391501DB" w14:textId="18F23DDA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0B3B77">
              <w:rPr>
                <w:rFonts w:ascii="Times New Roman" w:hAnsi="Times New Roman" w:cs="Times New Roman"/>
                <w:szCs w:val="21"/>
              </w:rPr>
              <w:t>Pre-existing cardiac conditions</w:t>
            </w:r>
          </w:p>
        </w:tc>
        <w:tc>
          <w:tcPr>
            <w:tcW w:w="1428" w:type="pct"/>
          </w:tcPr>
          <w:p w14:paraId="75F4F1EB" w14:textId="1D60DA91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66</w:t>
            </w:r>
            <w:r w:rsidRPr="00ED19FF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2.66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</w:tcPr>
          <w:p w14:paraId="50F1A986" w14:textId="27ADAD7E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6225F5" w14:paraId="142F37A2" w14:textId="77777777" w:rsidTr="00F46C29">
        <w:trPr>
          <w:trHeight w:val="493"/>
        </w:trPr>
        <w:tc>
          <w:tcPr>
            <w:tcW w:w="2872" w:type="pct"/>
            <w:hideMark/>
          </w:tcPr>
          <w:p w14:paraId="13848135" w14:textId="21B0C784" w:rsidR="006225F5" w:rsidRDefault="006225F5" w:rsidP="006225F5">
            <w:pPr>
              <w:adjustRightInd w:val="0"/>
              <w:snapToGrid w:val="0"/>
              <w:spacing w:after="160" w:line="25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APACHE II &lt;</w:t>
            </w:r>
            <w:r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21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 xml:space="preserve"> (n = 243)</w:t>
            </w:r>
          </w:p>
        </w:tc>
        <w:tc>
          <w:tcPr>
            <w:tcW w:w="1428" w:type="pct"/>
          </w:tcPr>
          <w:p w14:paraId="5D5D9655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pct"/>
          </w:tcPr>
          <w:p w14:paraId="6A5D310A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25F5" w14:paraId="64D3CDB9" w14:textId="77777777" w:rsidTr="00F46C29">
        <w:trPr>
          <w:trHeight w:val="493"/>
        </w:trPr>
        <w:tc>
          <w:tcPr>
            <w:tcW w:w="2872" w:type="pct"/>
            <w:hideMark/>
          </w:tcPr>
          <w:p w14:paraId="72760403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≥ 65yr</w:t>
            </w:r>
          </w:p>
        </w:tc>
        <w:tc>
          <w:tcPr>
            <w:tcW w:w="1428" w:type="pct"/>
            <w:hideMark/>
          </w:tcPr>
          <w:p w14:paraId="3484CFD7" w14:textId="1DE20A39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2.26 (1.42-3.61)</w:t>
            </w:r>
          </w:p>
        </w:tc>
        <w:tc>
          <w:tcPr>
            <w:tcW w:w="700" w:type="pct"/>
            <w:hideMark/>
          </w:tcPr>
          <w:p w14:paraId="6626428B" w14:textId="03AEFF35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6225F5" w14:paraId="4B1F241D" w14:textId="77777777" w:rsidTr="00F46C29">
        <w:trPr>
          <w:trHeight w:val="493"/>
        </w:trPr>
        <w:tc>
          <w:tcPr>
            <w:tcW w:w="2872" w:type="pct"/>
            <w:hideMark/>
          </w:tcPr>
          <w:p w14:paraId="2C881C62" w14:textId="15E2D09F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/FiO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≤ 200 mm Hg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1428" w:type="pct"/>
            <w:hideMark/>
          </w:tcPr>
          <w:p w14:paraId="7CB59DD6" w14:textId="6B814734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4.88 (1.77-13.47)</w:t>
            </w:r>
          </w:p>
        </w:tc>
        <w:tc>
          <w:tcPr>
            <w:tcW w:w="700" w:type="pct"/>
            <w:hideMark/>
          </w:tcPr>
          <w:p w14:paraId="5E750A75" w14:textId="59958382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</w:t>
            </w:r>
          </w:p>
        </w:tc>
      </w:tr>
      <w:tr w:rsidR="006225F5" w14:paraId="60CAF6FE" w14:textId="77777777" w:rsidTr="00F46C29">
        <w:trPr>
          <w:trHeight w:val="493"/>
        </w:trPr>
        <w:tc>
          <w:tcPr>
            <w:tcW w:w="2872" w:type="pct"/>
            <w:hideMark/>
          </w:tcPr>
          <w:p w14:paraId="04B93ECF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AKI</w:t>
            </w:r>
          </w:p>
        </w:tc>
        <w:tc>
          <w:tcPr>
            <w:tcW w:w="1428" w:type="pct"/>
            <w:hideMark/>
          </w:tcPr>
          <w:p w14:paraId="51AB4F9C" w14:textId="57E3088A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3.07 (1.89-4.98)</w:t>
            </w:r>
          </w:p>
        </w:tc>
        <w:tc>
          <w:tcPr>
            <w:tcW w:w="700" w:type="pct"/>
            <w:hideMark/>
          </w:tcPr>
          <w:p w14:paraId="3419E74B" w14:textId="3BCB68B4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&lt;0.001</w:t>
            </w:r>
          </w:p>
        </w:tc>
      </w:tr>
      <w:tr w:rsidR="006225F5" w14:paraId="332DB9B4" w14:textId="77777777" w:rsidTr="00F46C29">
        <w:trPr>
          <w:trHeight w:val="493"/>
        </w:trPr>
        <w:tc>
          <w:tcPr>
            <w:tcW w:w="2872" w:type="pct"/>
          </w:tcPr>
          <w:p w14:paraId="3D823A9C" w14:textId="4A32FD6A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0B3B77">
              <w:rPr>
                <w:rFonts w:ascii="Times New Roman" w:hAnsi="Times New Roman" w:cs="Times New Roman"/>
                <w:szCs w:val="21"/>
              </w:rPr>
              <w:t>Pre-existing cardiac conditions</w:t>
            </w:r>
          </w:p>
        </w:tc>
        <w:tc>
          <w:tcPr>
            <w:tcW w:w="1428" w:type="pct"/>
          </w:tcPr>
          <w:p w14:paraId="480F38A8" w14:textId="6028535B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0.92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ED19FF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</w:tcPr>
          <w:p w14:paraId="0AFD5189" w14:textId="0612C505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831</w:t>
            </w:r>
          </w:p>
        </w:tc>
      </w:tr>
      <w:tr w:rsidR="006225F5" w14:paraId="5CAB5A0C" w14:textId="77777777" w:rsidTr="00F46C29">
        <w:trPr>
          <w:trHeight w:val="493"/>
        </w:trPr>
        <w:tc>
          <w:tcPr>
            <w:tcW w:w="2872" w:type="pct"/>
            <w:hideMark/>
          </w:tcPr>
          <w:p w14:paraId="65726ACD" w14:textId="396A2A0C" w:rsidR="006225F5" w:rsidRDefault="006225F5" w:rsidP="006225F5">
            <w:pPr>
              <w:adjustRightInd w:val="0"/>
              <w:snapToGrid w:val="0"/>
              <w:spacing w:after="160" w:line="256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APACHE II </w:t>
            </w:r>
            <w:r>
              <w:rPr>
                <w:rFonts w:ascii="Times New Roman" w:eastAsia="等线" w:hAnsi="Times New Roman" w:cs="Times New Roman"/>
                <w:szCs w:val="21"/>
              </w:rPr>
              <w:t xml:space="preserve">≥ </w:t>
            </w:r>
            <w:r>
              <w:rPr>
                <w:rFonts w:ascii="Times New Roman" w:hAnsi="Times New Roman" w:cs="Times New Roman"/>
                <w:szCs w:val="21"/>
              </w:rPr>
              <w:t>21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(n = 78)</w:t>
            </w:r>
          </w:p>
        </w:tc>
        <w:tc>
          <w:tcPr>
            <w:tcW w:w="1428" w:type="pct"/>
          </w:tcPr>
          <w:p w14:paraId="71783654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0" w:type="pct"/>
          </w:tcPr>
          <w:p w14:paraId="2BC91806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25F5" w14:paraId="656ACA2E" w14:textId="77777777" w:rsidTr="00F46C29">
        <w:trPr>
          <w:trHeight w:val="493"/>
        </w:trPr>
        <w:tc>
          <w:tcPr>
            <w:tcW w:w="2872" w:type="pct"/>
            <w:hideMark/>
          </w:tcPr>
          <w:p w14:paraId="34AA5D38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≥ 65yr</w:t>
            </w:r>
          </w:p>
        </w:tc>
        <w:tc>
          <w:tcPr>
            <w:tcW w:w="1428" w:type="pct"/>
            <w:hideMark/>
          </w:tcPr>
          <w:p w14:paraId="06C7058A" w14:textId="057CA1AD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1.80 (1.07-3.03)</w:t>
            </w:r>
          </w:p>
        </w:tc>
        <w:tc>
          <w:tcPr>
            <w:tcW w:w="700" w:type="pct"/>
            <w:hideMark/>
          </w:tcPr>
          <w:p w14:paraId="1C2C2A98" w14:textId="19532CFC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0.028</w:t>
            </w:r>
          </w:p>
        </w:tc>
      </w:tr>
      <w:tr w:rsidR="006225F5" w14:paraId="26BB6870" w14:textId="77777777" w:rsidTr="00F46C29">
        <w:trPr>
          <w:trHeight w:val="493"/>
        </w:trPr>
        <w:tc>
          <w:tcPr>
            <w:tcW w:w="2872" w:type="pct"/>
            <w:hideMark/>
          </w:tcPr>
          <w:p w14:paraId="4CDB330F" w14:textId="38DBD05F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/FiO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≤ 200 mm Hg</w:t>
            </w:r>
            <w:r w:rsidRPr="006F5A98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b</w:t>
            </w:r>
          </w:p>
        </w:tc>
        <w:tc>
          <w:tcPr>
            <w:tcW w:w="1428" w:type="pct"/>
            <w:hideMark/>
          </w:tcPr>
          <w:p w14:paraId="104292F4" w14:textId="26F18FCC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3.81 (1.15-12.65)</w:t>
            </w:r>
          </w:p>
        </w:tc>
        <w:tc>
          <w:tcPr>
            <w:tcW w:w="700" w:type="pct"/>
            <w:hideMark/>
          </w:tcPr>
          <w:p w14:paraId="650C5F93" w14:textId="1C264D31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0.029</w:t>
            </w:r>
          </w:p>
        </w:tc>
      </w:tr>
      <w:tr w:rsidR="006225F5" w14:paraId="0E9813DA" w14:textId="77777777" w:rsidTr="00F46C29">
        <w:trPr>
          <w:trHeight w:val="493"/>
        </w:trPr>
        <w:tc>
          <w:tcPr>
            <w:tcW w:w="2872" w:type="pct"/>
            <w:hideMark/>
          </w:tcPr>
          <w:p w14:paraId="7EA268F3" w14:textId="77777777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AKI</w:t>
            </w:r>
          </w:p>
        </w:tc>
        <w:tc>
          <w:tcPr>
            <w:tcW w:w="1428" w:type="pct"/>
            <w:hideMark/>
          </w:tcPr>
          <w:p w14:paraId="37A1316E" w14:textId="046C209A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0.61 (0.31-1.20)</w:t>
            </w:r>
          </w:p>
        </w:tc>
        <w:tc>
          <w:tcPr>
            <w:tcW w:w="700" w:type="pct"/>
            <w:hideMark/>
          </w:tcPr>
          <w:p w14:paraId="3DF22C3E" w14:textId="432B7894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0.150</w:t>
            </w:r>
          </w:p>
        </w:tc>
      </w:tr>
      <w:tr w:rsidR="006225F5" w14:paraId="38A07D65" w14:textId="77777777" w:rsidTr="00F46C29">
        <w:trPr>
          <w:trHeight w:val="493"/>
        </w:trPr>
        <w:tc>
          <w:tcPr>
            <w:tcW w:w="2872" w:type="pct"/>
          </w:tcPr>
          <w:p w14:paraId="5F15C7D9" w14:textId="1CE51020" w:rsidR="006225F5" w:rsidRDefault="006225F5" w:rsidP="006225F5">
            <w:pPr>
              <w:adjustRightInd w:val="0"/>
              <w:snapToGrid w:val="0"/>
              <w:spacing w:after="160" w:line="256" w:lineRule="auto"/>
              <w:ind w:firstLineChars="83" w:firstLine="174"/>
              <w:rPr>
                <w:rFonts w:ascii="Times New Roman" w:hAnsi="Times New Roman" w:cs="Times New Roman"/>
                <w:szCs w:val="21"/>
              </w:rPr>
            </w:pPr>
            <w:r w:rsidRPr="000B3B77">
              <w:rPr>
                <w:rFonts w:ascii="Times New Roman" w:hAnsi="Times New Roman" w:cs="Times New Roman"/>
                <w:szCs w:val="21"/>
              </w:rPr>
              <w:t>Pre-existing cardiac conditions</w:t>
            </w:r>
          </w:p>
        </w:tc>
        <w:tc>
          <w:tcPr>
            <w:tcW w:w="1428" w:type="pct"/>
          </w:tcPr>
          <w:p w14:paraId="61A0B44F" w14:textId="1E2AF7D1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53</w:t>
            </w:r>
            <w:r w:rsidRPr="00ED19FF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1"/>
              </w:rPr>
              <w:t>0.7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ED19FF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3.15</w:t>
            </w:r>
            <w:r w:rsidRPr="00ED19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00" w:type="pct"/>
          </w:tcPr>
          <w:p w14:paraId="6D322ACA" w14:textId="7171DB26" w:rsidR="006225F5" w:rsidRDefault="006225F5" w:rsidP="006225F5">
            <w:pPr>
              <w:adjustRightInd w:val="0"/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19FF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252</w:t>
            </w:r>
          </w:p>
        </w:tc>
      </w:tr>
    </w:tbl>
    <w:p w14:paraId="5B51D587" w14:textId="77777777" w:rsidR="00DE20B6" w:rsidRPr="00ED19FF" w:rsidRDefault="00DE20B6" w:rsidP="001362E5">
      <w:pPr>
        <w:adjustRightInd w:val="0"/>
        <w:snapToGrid w:val="0"/>
        <w:spacing w:after="160" w:line="259" w:lineRule="auto"/>
        <w:rPr>
          <w:rFonts w:ascii="Times New Roman" w:hAnsi="Times New Roman" w:cs="Times New Roman"/>
        </w:rPr>
      </w:pPr>
      <w:bookmarkStart w:id="9" w:name="OLE_LINK52"/>
      <w:bookmarkStart w:id="10" w:name="OLE_LINK53"/>
      <w:proofErr w:type="spellStart"/>
      <w:r w:rsidRPr="006F5A98">
        <w:rPr>
          <w:rFonts w:ascii="Times New Roman" w:hAnsi="Times New Roman" w:cs="Times New Roman"/>
          <w:i/>
          <w:vertAlign w:val="superscript"/>
        </w:rPr>
        <w:t>a</w:t>
      </w:r>
      <w:proofErr w:type="spellEnd"/>
      <w:r w:rsidRPr="006F5A98">
        <w:rPr>
          <w:rFonts w:ascii="Times New Roman" w:hAnsi="Times New Roman" w:cs="Times New Roman"/>
          <w:i/>
          <w:vertAlign w:val="superscript"/>
        </w:rPr>
        <w:t xml:space="preserve"> </w:t>
      </w:r>
      <w:r w:rsidRPr="00ED19FF">
        <w:rPr>
          <w:rFonts w:ascii="Times New Roman" w:hAnsi="Times New Roman" w:cs="Times New Roman"/>
        </w:rPr>
        <w:t>APACHE II score was</w:t>
      </w:r>
      <w:r w:rsidRPr="00ED19FF">
        <w:rPr>
          <w:rFonts w:ascii="Times New Roman" w:hAnsi="Times New Roman" w:cs="Times New Roman"/>
          <w:sz w:val="20"/>
        </w:rPr>
        <w:t xml:space="preserve"> </w:t>
      </w:r>
      <w:r w:rsidRPr="00ED19FF">
        <w:rPr>
          <w:rFonts w:ascii="Times New Roman" w:hAnsi="Times New Roman" w:cs="Times New Roman"/>
        </w:rPr>
        <w:t>assessed within 24 hours of admission to hospital.</w:t>
      </w:r>
    </w:p>
    <w:p w14:paraId="0E9217A3" w14:textId="77777777" w:rsidR="00797461" w:rsidRDefault="00797461" w:rsidP="00DE20B6">
      <w:pPr>
        <w:spacing w:after="160" w:line="259" w:lineRule="auto"/>
        <w:rPr>
          <w:rFonts w:ascii="Times New Roman" w:eastAsia="等线" w:hAnsi="Times New Roman" w:cs="Times New Roman"/>
          <w:bCs/>
          <w:color w:val="000000"/>
          <w:kern w:val="0"/>
        </w:rPr>
      </w:pPr>
      <w:r w:rsidRPr="006F5A98">
        <w:rPr>
          <w:rFonts w:ascii="Times New Roman" w:hAnsi="Times New Roman" w:cs="Times New Roman"/>
          <w:i/>
          <w:vertAlign w:val="superscript"/>
        </w:rPr>
        <w:t>b</w:t>
      </w:r>
      <w:r w:rsidRPr="00ED19FF">
        <w:rPr>
          <w:rFonts w:ascii="Times New Roman" w:hAnsi="Times New Roman" w:cs="Times New Roman"/>
          <w:vertAlign w:val="superscript"/>
        </w:rPr>
        <w:t xml:space="preserve"> </w:t>
      </w:r>
      <w:r w:rsidRPr="00ED19FF">
        <w:rPr>
          <w:rFonts w:ascii="Times New Roman" w:eastAsia="等线" w:hAnsi="Times New Roman" w:cs="Times New Roman"/>
          <w:bCs/>
          <w:color w:val="000000"/>
          <w:kern w:val="0"/>
        </w:rPr>
        <w:t>Laboratory findings on admission.</w:t>
      </w:r>
    </w:p>
    <w:p w14:paraId="05C95DBB" w14:textId="60150256" w:rsidR="00540540" w:rsidRDefault="00510554" w:rsidP="00DE20B6">
      <w:pPr>
        <w:spacing w:after="160" w:line="259" w:lineRule="auto"/>
        <w:rPr>
          <w:rFonts w:ascii="Times New Roman" w:hAnsi="Times New Roman" w:cs="Times New Roman"/>
        </w:rPr>
      </w:pPr>
      <w:r w:rsidRPr="00510554">
        <w:rPr>
          <w:rFonts w:ascii="Times New Roman" w:hAnsi="Times New Roman" w:cs="Times New Roman"/>
        </w:rPr>
        <w:t>The Cox regression analysis included the potential confoun</w:t>
      </w:r>
      <w:r w:rsidR="00C13DD1">
        <w:rPr>
          <w:rFonts w:ascii="Times New Roman" w:hAnsi="Times New Roman" w:cs="Times New Roman"/>
        </w:rPr>
        <w:t>ding variables listed in Table S3</w:t>
      </w:r>
      <w:r w:rsidRPr="00510554">
        <w:rPr>
          <w:rFonts w:ascii="Times New Roman" w:hAnsi="Times New Roman" w:cs="Times New Roman"/>
        </w:rPr>
        <w:t>.</w:t>
      </w:r>
    </w:p>
    <w:p w14:paraId="58F16ACE" w14:textId="75BDAE4A" w:rsidR="00FC197A" w:rsidRPr="00F46C29" w:rsidRDefault="00FC197A" w:rsidP="00F46C29">
      <w:pPr>
        <w:spacing w:after="160" w:line="256" w:lineRule="auto"/>
        <w:rPr>
          <w:rFonts w:ascii="Times New Roman" w:hAnsi="Times New Roman" w:cs="Times New Roman"/>
        </w:rPr>
      </w:pPr>
      <w:bookmarkStart w:id="11" w:name="OLE_LINK1"/>
      <w:r>
        <w:rPr>
          <w:rFonts w:ascii="Times New Roman" w:hAnsi="Times New Roman" w:cs="Times New Roman"/>
        </w:rPr>
        <w:t xml:space="preserve">Results of cardiac injury associated with mortality were shown in figure </w:t>
      </w:r>
      <w:r w:rsidR="006225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bookmarkEnd w:id="11"/>
    </w:p>
    <w:p w14:paraId="10EBB175" w14:textId="4CD85353" w:rsidR="00797461" w:rsidRPr="00ED19FF" w:rsidRDefault="00797461" w:rsidP="00DE20B6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hAnsi="Times New Roman" w:cs="Times New Roman"/>
          <w:b/>
          <w:szCs w:val="21"/>
        </w:rPr>
      </w:pPr>
      <w:r w:rsidRPr="00ED19FF">
        <w:rPr>
          <w:rFonts w:ascii="Times New Roman" w:hAnsi="Times New Roman" w:cs="Times New Roman"/>
        </w:rPr>
        <w:t>Abbreviations: HR, hazard ratio; APACHE II, Acute Physiology and Chronic Health Evaluation II; AKI, acute kidney injury; ARDS, acute respiratory distress syndrome.</w:t>
      </w:r>
      <w:bookmarkEnd w:id="9"/>
      <w:bookmarkEnd w:id="10"/>
    </w:p>
    <w:sectPr w:rsidR="00797461" w:rsidRPr="00ED19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4310" w14:textId="77777777" w:rsidR="005F7FAC" w:rsidRDefault="005F7FAC" w:rsidP="003F2F4E">
      <w:r>
        <w:separator/>
      </w:r>
    </w:p>
  </w:endnote>
  <w:endnote w:type="continuationSeparator" w:id="0">
    <w:p w14:paraId="73A36F2B" w14:textId="77777777" w:rsidR="005F7FAC" w:rsidRDefault="005F7FAC" w:rsidP="003F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icBT-Bold">
    <w:altName w:val="Cambria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A731" w14:textId="77777777" w:rsidR="005F7FAC" w:rsidRDefault="005F7FAC" w:rsidP="003F2F4E">
      <w:r>
        <w:separator/>
      </w:r>
    </w:p>
  </w:footnote>
  <w:footnote w:type="continuationSeparator" w:id="0">
    <w:p w14:paraId="534FEA99" w14:textId="77777777" w:rsidR="005F7FAC" w:rsidRDefault="005F7FAC" w:rsidP="003F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02332"/>
    <w:multiLevelType w:val="hybridMultilevel"/>
    <w:tmpl w:val="BE9C1FD4"/>
    <w:lvl w:ilvl="0" w:tplc="85DCA96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3A"/>
    <w:rsid w:val="00022459"/>
    <w:rsid w:val="00077B26"/>
    <w:rsid w:val="00086F3E"/>
    <w:rsid w:val="000A19E4"/>
    <w:rsid w:val="000A1C7F"/>
    <w:rsid w:val="000A6DF0"/>
    <w:rsid w:val="000D059E"/>
    <w:rsid w:val="000E6B38"/>
    <w:rsid w:val="000F1608"/>
    <w:rsid w:val="00102814"/>
    <w:rsid w:val="00112981"/>
    <w:rsid w:val="00112B8D"/>
    <w:rsid w:val="0011331D"/>
    <w:rsid w:val="0011469A"/>
    <w:rsid w:val="00117D38"/>
    <w:rsid w:val="001235B7"/>
    <w:rsid w:val="0013141B"/>
    <w:rsid w:val="001362E5"/>
    <w:rsid w:val="00157757"/>
    <w:rsid w:val="0018125B"/>
    <w:rsid w:val="001948B0"/>
    <w:rsid w:val="001D2F02"/>
    <w:rsid w:val="0020563A"/>
    <w:rsid w:val="00240E9D"/>
    <w:rsid w:val="00242149"/>
    <w:rsid w:val="00253BD4"/>
    <w:rsid w:val="00254185"/>
    <w:rsid w:val="002767BF"/>
    <w:rsid w:val="00277E7E"/>
    <w:rsid w:val="00285559"/>
    <w:rsid w:val="002A7A68"/>
    <w:rsid w:val="002B2CD4"/>
    <w:rsid w:val="002B6712"/>
    <w:rsid w:val="002C0327"/>
    <w:rsid w:val="002D219E"/>
    <w:rsid w:val="002D2F9D"/>
    <w:rsid w:val="002E0E07"/>
    <w:rsid w:val="002E5CB5"/>
    <w:rsid w:val="002F047B"/>
    <w:rsid w:val="002F41A0"/>
    <w:rsid w:val="003025BE"/>
    <w:rsid w:val="00312EB0"/>
    <w:rsid w:val="00313C4F"/>
    <w:rsid w:val="00327DC2"/>
    <w:rsid w:val="003323A5"/>
    <w:rsid w:val="003361BA"/>
    <w:rsid w:val="003421DB"/>
    <w:rsid w:val="00342709"/>
    <w:rsid w:val="00342DA1"/>
    <w:rsid w:val="00384892"/>
    <w:rsid w:val="00385376"/>
    <w:rsid w:val="00385F8C"/>
    <w:rsid w:val="003904B9"/>
    <w:rsid w:val="003A4198"/>
    <w:rsid w:val="003B72D7"/>
    <w:rsid w:val="003F10E3"/>
    <w:rsid w:val="003F2F4E"/>
    <w:rsid w:val="00411116"/>
    <w:rsid w:val="00413840"/>
    <w:rsid w:val="004232CE"/>
    <w:rsid w:val="004336A0"/>
    <w:rsid w:val="00434B7D"/>
    <w:rsid w:val="00442310"/>
    <w:rsid w:val="00442860"/>
    <w:rsid w:val="00453DE6"/>
    <w:rsid w:val="00483CAE"/>
    <w:rsid w:val="00486AC7"/>
    <w:rsid w:val="004953AB"/>
    <w:rsid w:val="004A5B94"/>
    <w:rsid w:val="004C623B"/>
    <w:rsid w:val="004D0B30"/>
    <w:rsid w:val="004D0BDD"/>
    <w:rsid w:val="004D4917"/>
    <w:rsid w:val="004D4C26"/>
    <w:rsid w:val="004D707D"/>
    <w:rsid w:val="004D7D58"/>
    <w:rsid w:val="00503476"/>
    <w:rsid w:val="00510554"/>
    <w:rsid w:val="00511653"/>
    <w:rsid w:val="00525232"/>
    <w:rsid w:val="0053251B"/>
    <w:rsid w:val="005361DF"/>
    <w:rsid w:val="00540540"/>
    <w:rsid w:val="005424A2"/>
    <w:rsid w:val="00574128"/>
    <w:rsid w:val="005742E9"/>
    <w:rsid w:val="005829AC"/>
    <w:rsid w:val="005856F8"/>
    <w:rsid w:val="00592630"/>
    <w:rsid w:val="005A679A"/>
    <w:rsid w:val="005B1AD0"/>
    <w:rsid w:val="005B75B0"/>
    <w:rsid w:val="005C3C60"/>
    <w:rsid w:val="005C3E88"/>
    <w:rsid w:val="005C7731"/>
    <w:rsid w:val="005E5624"/>
    <w:rsid w:val="005F328A"/>
    <w:rsid w:val="005F7FAC"/>
    <w:rsid w:val="0060477F"/>
    <w:rsid w:val="00606915"/>
    <w:rsid w:val="00620EE0"/>
    <w:rsid w:val="00621D1F"/>
    <w:rsid w:val="006225F5"/>
    <w:rsid w:val="00644C2D"/>
    <w:rsid w:val="00690EEB"/>
    <w:rsid w:val="006915A6"/>
    <w:rsid w:val="006915C8"/>
    <w:rsid w:val="0069564D"/>
    <w:rsid w:val="006A0E2E"/>
    <w:rsid w:val="006A0FE4"/>
    <w:rsid w:val="006A2416"/>
    <w:rsid w:val="006E3CB6"/>
    <w:rsid w:val="006F0FA0"/>
    <w:rsid w:val="006F5A98"/>
    <w:rsid w:val="006F7F67"/>
    <w:rsid w:val="00712F98"/>
    <w:rsid w:val="00726B93"/>
    <w:rsid w:val="00731E3A"/>
    <w:rsid w:val="00740B66"/>
    <w:rsid w:val="0077643E"/>
    <w:rsid w:val="007873C8"/>
    <w:rsid w:val="007956DD"/>
    <w:rsid w:val="00797461"/>
    <w:rsid w:val="007A02EB"/>
    <w:rsid w:val="007A3396"/>
    <w:rsid w:val="007A3C3D"/>
    <w:rsid w:val="007B11DE"/>
    <w:rsid w:val="007B447F"/>
    <w:rsid w:val="007C48E8"/>
    <w:rsid w:val="007C526F"/>
    <w:rsid w:val="007E7743"/>
    <w:rsid w:val="008105AD"/>
    <w:rsid w:val="0084784D"/>
    <w:rsid w:val="008528F5"/>
    <w:rsid w:val="00857E3C"/>
    <w:rsid w:val="00861C5F"/>
    <w:rsid w:val="008732BB"/>
    <w:rsid w:val="008839FC"/>
    <w:rsid w:val="008933DE"/>
    <w:rsid w:val="00894D66"/>
    <w:rsid w:val="008B25A9"/>
    <w:rsid w:val="008C3458"/>
    <w:rsid w:val="008C4FCD"/>
    <w:rsid w:val="008C640E"/>
    <w:rsid w:val="008D72A8"/>
    <w:rsid w:val="00914493"/>
    <w:rsid w:val="00931D1B"/>
    <w:rsid w:val="0094150A"/>
    <w:rsid w:val="0097388D"/>
    <w:rsid w:val="00982CB3"/>
    <w:rsid w:val="00987FDF"/>
    <w:rsid w:val="00990183"/>
    <w:rsid w:val="009A4B47"/>
    <w:rsid w:val="009E3055"/>
    <w:rsid w:val="009F1D1B"/>
    <w:rsid w:val="00A178A0"/>
    <w:rsid w:val="00A4441A"/>
    <w:rsid w:val="00A47472"/>
    <w:rsid w:val="00A6755C"/>
    <w:rsid w:val="00AA039D"/>
    <w:rsid w:val="00AA0A83"/>
    <w:rsid w:val="00AA0BE3"/>
    <w:rsid w:val="00AA15E7"/>
    <w:rsid w:val="00AC69E1"/>
    <w:rsid w:val="00AD4938"/>
    <w:rsid w:val="00AD7FCF"/>
    <w:rsid w:val="00AE0495"/>
    <w:rsid w:val="00AE0B9C"/>
    <w:rsid w:val="00AE12F5"/>
    <w:rsid w:val="00AF0AB1"/>
    <w:rsid w:val="00AF5C65"/>
    <w:rsid w:val="00B021EF"/>
    <w:rsid w:val="00B208E4"/>
    <w:rsid w:val="00B264EF"/>
    <w:rsid w:val="00B31AE7"/>
    <w:rsid w:val="00B8392F"/>
    <w:rsid w:val="00B93910"/>
    <w:rsid w:val="00B970FE"/>
    <w:rsid w:val="00BA3B14"/>
    <w:rsid w:val="00BC1AFA"/>
    <w:rsid w:val="00BE63B5"/>
    <w:rsid w:val="00BF01C3"/>
    <w:rsid w:val="00C13DD1"/>
    <w:rsid w:val="00C2193F"/>
    <w:rsid w:val="00C328AE"/>
    <w:rsid w:val="00C342FC"/>
    <w:rsid w:val="00C3595F"/>
    <w:rsid w:val="00C56AE1"/>
    <w:rsid w:val="00C62D28"/>
    <w:rsid w:val="00C77A0D"/>
    <w:rsid w:val="00C810EB"/>
    <w:rsid w:val="00C82BEA"/>
    <w:rsid w:val="00CA0E61"/>
    <w:rsid w:val="00CA573A"/>
    <w:rsid w:val="00CA7A5E"/>
    <w:rsid w:val="00CF6422"/>
    <w:rsid w:val="00D02CFE"/>
    <w:rsid w:val="00D04595"/>
    <w:rsid w:val="00D17F9F"/>
    <w:rsid w:val="00D3487C"/>
    <w:rsid w:val="00D52730"/>
    <w:rsid w:val="00D57E8C"/>
    <w:rsid w:val="00DA0162"/>
    <w:rsid w:val="00DA046B"/>
    <w:rsid w:val="00DA085D"/>
    <w:rsid w:val="00DA4AE0"/>
    <w:rsid w:val="00DA52E4"/>
    <w:rsid w:val="00DD0C53"/>
    <w:rsid w:val="00DD7FF8"/>
    <w:rsid w:val="00DE20B6"/>
    <w:rsid w:val="00DE4DE7"/>
    <w:rsid w:val="00DF4C0A"/>
    <w:rsid w:val="00DF56C2"/>
    <w:rsid w:val="00DF6192"/>
    <w:rsid w:val="00E02DA8"/>
    <w:rsid w:val="00E617AE"/>
    <w:rsid w:val="00E90D08"/>
    <w:rsid w:val="00E94956"/>
    <w:rsid w:val="00EA5412"/>
    <w:rsid w:val="00EC08B8"/>
    <w:rsid w:val="00EC7F43"/>
    <w:rsid w:val="00ED19FF"/>
    <w:rsid w:val="00EE5280"/>
    <w:rsid w:val="00EE5362"/>
    <w:rsid w:val="00EF089A"/>
    <w:rsid w:val="00EF11A0"/>
    <w:rsid w:val="00F104A2"/>
    <w:rsid w:val="00F273FF"/>
    <w:rsid w:val="00F3754E"/>
    <w:rsid w:val="00F46C29"/>
    <w:rsid w:val="00F608C6"/>
    <w:rsid w:val="00F7724A"/>
    <w:rsid w:val="00F965C3"/>
    <w:rsid w:val="00FC17AE"/>
    <w:rsid w:val="00FC197A"/>
    <w:rsid w:val="00FC235B"/>
    <w:rsid w:val="00FC49A5"/>
    <w:rsid w:val="00FD1839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F415"/>
  <w15:chartTrackingRefBased/>
  <w15:docId w15:val="{D32B1EB8-60E3-4DCB-A8A1-F7A933D8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563A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63A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F8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85F8C"/>
    <w:rPr>
      <w:kern w:val="2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3F2F4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F2F4E"/>
    <w:rPr>
      <w:kern w:val="2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3F2F4E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F2F4E"/>
    <w:rPr>
      <w:kern w:val="2"/>
      <w:sz w:val="18"/>
      <w:szCs w:val="18"/>
      <w:lang w:eastAsia="zh-CN"/>
    </w:rPr>
  </w:style>
  <w:style w:type="character" w:customStyle="1" w:styleId="fontstyle21">
    <w:name w:val="fontstyle21"/>
    <w:basedOn w:val="a0"/>
    <w:qFormat/>
    <w:rsid w:val="00A178A0"/>
    <w:rPr>
      <w:rFonts w:ascii="NewsGothicBT-Bold" w:hAnsi="NewsGothicBT-Bold" w:hint="default"/>
      <w:b/>
      <w:bCs/>
      <w:color w:val="25408F"/>
      <w:sz w:val="14"/>
      <w:szCs w:val="14"/>
    </w:rPr>
  </w:style>
  <w:style w:type="table" w:customStyle="1" w:styleId="1">
    <w:name w:val="网格型1"/>
    <w:basedOn w:val="a1"/>
    <w:next w:val="a3"/>
    <w:uiPriority w:val="39"/>
    <w:rsid w:val="00503476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uiPriority w:val="99"/>
    <w:unhideWhenUsed/>
    <w:qFormat/>
    <w:rsid w:val="00797461"/>
    <w:pPr>
      <w:jc w:val="left"/>
    </w:pPr>
  </w:style>
  <w:style w:type="character" w:customStyle="1" w:styleId="ab">
    <w:name w:val="批注文字 字符"/>
    <w:basedOn w:val="a0"/>
    <w:link w:val="aa"/>
    <w:uiPriority w:val="99"/>
    <w:qFormat/>
    <w:rsid w:val="00797461"/>
    <w:rPr>
      <w:kern w:val="2"/>
      <w:sz w:val="21"/>
      <w:lang w:eastAsia="zh-CN"/>
    </w:rPr>
  </w:style>
  <w:style w:type="character" w:styleId="ac">
    <w:name w:val="annotation reference"/>
    <w:basedOn w:val="a0"/>
    <w:uiPriority w:val="99"/>
    <w:semiHidden/>
    <w:unhideWhenUsed/>
    <w:rsid w:val="00797461"/>
    <w:rPr>
      <w:sz w:val="21"/>
      <w:szCs w:val="21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3251B"/>
    <w:pPr>
      <w:jc w:val="both"/>
    </w:pPr>
    <w:rPr>
      <w:b/>
      <w:bCs/>
      <w:sz w:val="20"/>
      <w:szCs w:val="20"/>
    </w:rPr>
  </w:style>
  <w:style w:type="character" w:customStyle="1" w:styleId="ae">
    <w:name w:val="批注主题 字符"/>
    <w:basedOn w:val="ab"/>
    <w:link w:val="ad"/>
    <w:uiPriority w:val="99"/>
    <w:semiHidden/>
    <w:rsid w:val="0053251B"/>
    <w:rPr>
      <w:b/>
      <w:bCs/>
      <w:kern w:val="2"/>
      <w:sz w:val="20"/>
      <w:szCs w:val="20"/>
      <w:lang w:eastAsia="zh-CN"/>
    </w:rPr>
  </w:style>
  <w:style w:type="paragraph" w:styleId="af">
    <w:name w:val="List Paragraph"/>
    <w:basedOn w:val="a"/>
    <w:uiPriority w:val="99"/>
    <w:rsid w:val="00C328A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Gao</dc:creator>
  <cp:keywords/>
  <dc:description/>
  <cp:lastModifiedBy>畅 高</cp:lastModifiedBy>
  <cp:revision>4</cp:revision>
  <dcterms:created xsi:type="dcterms:W3CDTF">2019-10-24T20:14:00Z</dcterms:created>
  <dcterms:modified xsi:type="dcterms:W3CDTF">2019-10-25T15:56:00Z</dcterms:modified>
</cp:coreProperties>
</file>