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  <w:gridCol w:w="1559"/>
        <w:gridCol w:w="1134"/>
      </w:tblGrid>
      <w:tr w:rsidR="002203C1" w:rsidRPr="002203C1" w14:paraId="7689DDAF" w14:textId="77777777" w:rsidTr="000211C1">
        <w:trPr>
          <w:trHeight w:val="399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9DDAB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2203C1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9DDAC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b/>
                <w:bCs/>
                <w:lang w:val="fr-FR" w:eastAsia="fr-FR"/>
              </w:rPr>
              <w:t>CSH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9DDAD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b/>
                <w:bCs/>
                <w:lang w:val="fr-FR" w:eastAsia="fr-FR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9DDAE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b/>
                <w:bCs/>
                <w:lang w:val="fr-FR" w:eastAsia="fr-FR"/>
              </w:rPr>
              <w:t>p</w:t>
            </w:r>
          </w:p>
        </w:tc>
      </w:tr>
      <w:tr w:rsidR="002203C1" w:rsidRPr="002203C1" w14:paraId="7689DDB1" w14:textId="77777777" w:rsidTr="000211C1">
        <w:trPr>
          <w:trHeight w:val="399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DDB0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r-FR"/>
              </w:rPr>
            </w:pPr>
            <w:r w:rsidRPr="002203C1">
              <w:rPr>
                <w:rFonts w:asciiTheme="minorHAnsi" w:eastAsia="Times New Roman" w:hAnsiTheme="minorHAnsi"/>
                <w:b/>
                <w:bCs/>
                <w:lang w:eastAsia="fr-FR"/>
              </w:rPr>
              <w:t xml:space="preserve">First model applied to the first episode of transfusion </w:t>
            </w:r>
          </w:p>
        </w:tc>
      </w:tr>
      <w:tr w:rsidR="002203C1" w:rsidRPr="002203C1" w14:paraId="7689DDB6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9DDB2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Male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gender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3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4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0.95-1.71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5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0.10</w:t>
            </w:r>
          </w:p>
        </w:tc>
      </w:tr>
      <w:tr w:rsidR="002203C1" w:rsidRPr="002203C1" w14:paraId="7689DDBB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9DDB7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Admission SAPS2 (per 10 point)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8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9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1-1.16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A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0.05</w:t>
            </w:r>
          </w:p>
        </w:tc>
      </w:tr>
      <w:tr w:rsidR="002203C1" w:rsidRPr="002203C1" w14:paraId="7689DDC0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C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Immunodepression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status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D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E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0.76-1.38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BF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0.85</w:t>
            </w:r>
          </w:p>
        </w:tc>
      </w:tr>
      <w:tr w:rsidR="002203C1" w:rsidRPr="002203C1" w14:paraId="7689DDC5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9DDC1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Lung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primary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infection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2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3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1.23-2.26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4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&lt; 0.001</w:t>
            </w:r>
          </w:p>
        </w:tc>
      </w:tr>
      <w:tr w:rsidR="002203C1" w:rsidRPr="002203C1" w14:paraId="7689DDCA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6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Exposure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to invasive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devices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7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8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9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</w:tr>
      <w:tr w:rsidR="002203C1" w:rsidRPr="002203C1" w14:paraId="7689DDCF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B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Mechanical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ventilation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C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D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0.96-2.34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CE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0.08</w:t>
            </w:r>
          </w:p>
        </w:tc>
      </w:tr>
      <w:tr w:rsidR="002203C1" w:rsidRPr="002203C1" w14:paraId="7689DDD4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0" w14:textId="77777777" w:rsidR="00A8053B" w:rsidRPr="002203C1" w:rsidRDefault="00A8053B" w:rsidP="00A8053B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Central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venous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catheter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1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2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0.75-1.98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3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0.42</w:t>
            </w:r>
          </w:p>
        </w:tc>
      </w:tr>
      <w:tr w:rsidR="002203C1" w:rsidRPr="002203C1" w14:paraId="7689DDD9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5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Dialysis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catheter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6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7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0.82-1.66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8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0.39</w:t>
            </w:r>
          </w:p>
        </w:tc>
      </w:tr>
      <w:tr w:rsidR="002203C1" w:rsidRPr="002203C1" w14:paraId="7689DDDE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A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Arterial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catheter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B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C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0.53-1.29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D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0.41</w:t>
            </w:r>
          </w:p>
        </w:tc>
      </w:tr>
      <w:tr w:rsidR="002203C1" w:rsidRPr="002203C1" w14:paraId="7689DDE3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DF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Urinary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catheter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0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1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0.70-1.69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2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0.69</w:t>
            </w:r>
          </w:p>
        </w:tc>
      </w:tr>
      <w:tr w:rsidR="002203C1" w:rsidRPr="002203C1" w14:paraId="7689DDE8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9DDE4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Any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transfusion*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5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6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7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</w:tr>
      <w:tr w:rsidR="002203C1" w:rsidRPr="002203C1" w14:paraId="7689DDED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DDE9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Red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blood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cell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A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B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0.51-0.99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C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0.04</w:t>
            </w:r>
          </w:p>
        </w:tc>
      </w:tr>
      <w:tr w:rsidR="002203C1" w:rsidRPr="002203C1" w14:paraId="7689DDF2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DDEE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Platelet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EF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F0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1.20-2.55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F1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0.004</w:t>
            </w:r>
          </w:p>
        </w:tc>
      </w:tr>
      <w:tr w:rsidR="002203C1" w:rsidRPr="002203C1" w14:paraId="7689DDF7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DDF3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Fresh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frozen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plasma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F4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F5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1.06-2.14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F6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0.02</w:t>
            </w:r>
          </w:p>
        </w:tc>
      </w:tr>
      <w:tr w:rsidR="002203C1" w:rsidRPr="002203C1" w14:paraId="7689DDFC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89DDF8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F9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FA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9DDFB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</w:tr>
      <w:tr w:rsidR="002203C1" w:rsidRPr="002203C1" w14:paraId="7689DDFE" w14:textId="77777777" w:rsidTr="000211C1">
        <w:trPr>
          <w:trHeight w:val="399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DDFD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fr-FR"/>
              </w:rPr>
            </w:pPr>
            <w:r w:rsidRPr="002203C1">
              <w:rPr>
                <w:rFonts w:asciiTheme="minorHAnsi" w:eastAsia="Times New Roman" w:hAnsiTheme="minorHAnsi"/>
                <w:b/>
                <w:bCs/>
                <w:lang w:eastAsia="fr-FR"/>
              </w:rPr>
              <w:t>Second model applied to amounts of blood products</w:t>
            </w:r>
          </w:p>
        </w:tc>
      </w:tr>
      <w:tr w:rsidR="002203C1" w:rsidRPr="002203C1" w14:paraId="7689DE03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DDFF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Male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gender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0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1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0.96-1.73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2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0.09</w:t>
            </w:r>
          </w:p>
        </w:tc>
      </w:tr>
      <w:tr w:rsidR="002203C1" w:rsidRPr="002203C1" w14:paraId="7689DE08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DE04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Admission SAPS2 (per 10 point)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5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6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0.98-1.15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7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0.11</w:t>
            </w:r>
          </w:p>
        </w:tc>
      </w:tr>
      <w:tr w:rsidR="002203C1" w:rsidRPr="002203C1" w14:paraId="7689DE0D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9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Immunodepression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status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A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B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0.83-1.49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C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0.48</w:t>
            </w:r>
          </w:p>
        </w:tc>
      </w:tr>
      <w:tr w:rsidR="002203C1" w:rsidRPr="002203C1" w14:paraId="7689DE12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DE0E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Lung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primary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infection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0F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0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1.17-2.15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1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0.003</w:t>
            </w:r>
          </w:p>
        </w:tc>
      </w:tr>
      <w:tr w:rsidR="002203C1" w:rsidRPr="002203C1" w14:paraId="7689DE17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3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Exposure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to invasive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devices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4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5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6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</w:tr>
      <w:tr w:rsidR="002203C1" w:rsidRPr="002203C1" w14:paraId="7689DE1C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8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Mechanical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ventilation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9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A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0.97-2.43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B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0.06</w:t>
            </w:r>
          </w:p>
        </w:tc>
      </w:tr>
      <w:tr w:rsidR="002203C1" w:rsidRPr="002203C1" w14:paraId="7689DE21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D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Central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venous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catheter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E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1F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0.71-1.89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0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0.56</w:t>
            </w:r>
          </w:p>
        </w:tc>
      </w:tr>
      <w:tr w:rsidR="002203C1" w:rsidRPr="002203C1" w14:paraId="7689DE26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2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Dialysis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catheter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3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4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0.90-1.76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5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0.18</w:t>
            </w:r>
          </w:p>
        </w:tc>
      </w:tr>
      <w:tr w:rsidR="002203C1" w:rsidRPr="002203C1" w14:paraId="7689DE2B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7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Arterial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catheter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8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9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0.56-1.38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A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0.58</w:t>
            </w:r>
          </w:p>
        </w:tc>
      </w:tr>
      <w:tr w:rsidR="002203C1" w:rsidRPr="002203C1" w14:paraId="7689DE30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C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Urinary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catheter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D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E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0.97-2.43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2F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0.80</w:t>
            </w:r>
          </w:p>
        </w:tc>
      </w:tr>
      <w:tr w:rsidR="002203C1" w:rsidRPr="002203C1" w14:paraId="7689DE35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DE31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Any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transfusion*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32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33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34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</w:p>
        </w:tc>
      </w:tr>
      <w:tr w:rsidR="002203C1" w:rsidRPr="002203C1" w14:paraId="7689DE3A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DE36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Red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blood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cell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37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38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0.95-1.07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DE39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0.75</w:t>
            </w:r>
          </w:p>
        </w:tc>
      </w:tr>
      <w:tr w:rsidR="002203C1" w:rsidRPr="002203C1" w14:paraId="7689DE3F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89DE3B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Platelet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9DE3C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9DE3D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0.95-1.09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9DE3E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0.62</w:t>
            </w:r>
          </w:p>
        </w:tc>
      </w:tr>
      <w:tr w:rsidR="007F461C" w:rsidRPr="002203C1" w14:paraId="7689DE44" w14:textId="77777777" w:rsidTr="000211C1">
        <w:trPr>
          <w:trHeight w:val="399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9DE40" w14:textId="77777777" w:rsidR="00A8053B" w:rsidRPr="002203C1" w:rsidRDefault="00A8053B" w:rsidP="000211C1">
            <w:pPr>
              <w:spacing w:after="0" w:line="240" w:lineRule="auto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 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Fresh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</w:t>
            </w:r>
            <w:proofErr w:type="spellStart"/>
            <w:r w:rsidRPr="002203C1">
              <w:rPr>
                <w:rFonts w:asciiTheme="minorHAnsi" w:eastAsia="Times New Roman" w:hAnsiTheme="minorHAnsi"/>
                <w:lang w:val="fr-FR" w:eastAsia="fr-FR"/>
              </w:rPr>
              <w:t>frozen</w:t>
            </w:r>
            <w:proofErr w:type="spellEnd"/>
            <w:r w:rsidRPr="002203C1">
              <w:rPr>
                <w:rFonts w:asciiTheme="minorHAnsi" w:eastAsia="Times New Roman" w:hAnsiTheme="minorHAnsi"/>
                <w:lang w:val="fr-FR" w:eastAsia="fr-FR"/>
              </w:rPr>
              <w:t xml:space="preserve"> plasma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9DE41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9DE42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0.95-1.07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9DE43" w14:textId="77777777" w:rsidR="00A8053B" w:rsidRPr="002203C1" w:rsidRDefault="00A8053B" w:rsidP="000211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fr-FR" w:eastAsia="fr-FR"/>
              </w:rPr>
            </w:pPr>
            <w:r w:rsidRPr="002203C1">
              <w:rPr>
                <w:rFonts w:asciiTheme="minorHAnsi" w:eastAsia="Times New Roman" w:hAnsiTheme="minorHAnsi"/>
                <w:lang w:val="fr-FR" w:eastAsia="fr-FR"/>
              </w:rPr>
              <w:t>0.15</w:t>
            </w:r>
          </w:p>
        </w:tc>
      </w:tr>
    </w:tbl>
    <w:p w14:paraId="7689DE45" w14:textId="77777777" w:rsidR="007E6D65" w:rsidRPr="002203C1" w:rsidRDefault="007E6D65"/>
    <w:p w14:paraId="7689DE46" w14:textId="77777777" w:rsidR="003848F8" w:rsidRPr="002203C1" w:rsidRDefault="003848F8" w:rsidP="003848F8">
      <w:pPr>
        <w:tabs>
          <w:tab w:val="left" w:pos="2422"/>
        </w:tabs>
        <w:spacing w:after="0" w:line="480" w:lineRule="auto"/>
        <w:rPr>
          <w:rFonts w:ascii="Times New Roman" w:hAnsi="Times New Roman"/>
          <w:b/>
        </w:rPr>
      </w:pPr>
      <w:r w:rsidRPr="002203C1">
        <w:rPr>
          <w:rFonts w:ascii="Times New Roman" w:hAnsi="Times New Roman"/>
          <w:b/>
        </w:rPr>
        <w:lastRenderedPageBreak/>
        <w:t>Supplemental t</w:t>
      </w:r>
      <w:r w:rsidR="00672033" w:rsidRPr="002203C1">
        <w:rPr>
          <w:rFonts w:ascii="Times New Roman" w:hAnsi="Times New Roman"/>
          <w:b/>
        </w:rPr>
        <w:t>able 2</w:t>
      </w:r>
      <w:r w:rsidRPr="002203C1">
        <w:rPr>
          <w:rFonts w:ascii="Times New Roman" w:hAnsi="Times New Roman"/>
          <w:b/>
        </w:rPr>
        <w:t>: Determinants of microbiologically documented ICU-acquired infections</w:t>
      </w:r>
      <w:r w:rsidR="007F48A6" w:rsidRPr="002203C1">
        <w:rPr>
          <w:rFonts w:ascii="Times New Roman" w:hAnsi="Times New Roman"/>
          <w:b/>
        </w:rPr>
        <w:t>: cause-specific Cox regression multivariate analysis</w:t>
      </w:r>
    </w:p>
    <w:p w14:paraId="7689DE47" w14:textId="77777777" w:rsidR="009139A2" w:rsidRPr="002203C1" w:rsidRDefault="009139A2" w:rsidP="009139A2">
      <w:pPr>
        <w:tabs>
          <w:tab w:val="left" w:pos="2422"/>
        </w:tabs>
        <w:spacing w:after="0" w:line="480" w:lineRule="auto"/>
        <w:rPr>
          <w:rFonts w:ascii="Times New Roman" w:hAnsi="Times New Roman"/>
        </w:rPr>
      </w:pPr>
      <w:r w:rsidRPr="002203C1">
        <w:rPr>
          <w:rFonts w:ascii="Times New Roman" w:hAnsi="Times New Roman"/>
        </w:rPr>
        <w:t xml:space="preserve">After exclusion of 38 patients with non-microbiologically documented ICU-acquired infections, this sensitivity analysis comprised </w:t>
      </w:r>
      <w:r w:rsidRPr="002203C1">
        <w:rPr>
          <w:rFonts w:ascii="Times New Roman" w:hAnsi="Times New Roman"/>
          <w:bCs/>
        </w:rPr>
        <w:t xml:space="preserve">855 patients, 640 without </w:t>
      </w:r>
      <w:r w:rsidRPr="002203C1">
        <w:rPr>
          <w:rFonts w:ascii="Times New Roman" w:hAnsi="Times New Roman"/>
        </w:rPr>
        <w:t>ICU-acquired infections</w:t>
      </w:r>
      <w:r w:rsidRPr="002203C1">
        <w:rPr>
          <w:rFonts w:ascii="Times New Roman" w:hAnsi="Times New Roman"/>
          <w:bCs/>
        </w:rPr>
        <w:t xml:space="preserve"> and 215 with microbiologically documented </w:t>
      </w:r>
      <w:r w:rsidRPr="002203C1">
        <w:rPr>
          <w:rFonts w:ascii="Times New Roman" w:hAnsi="Times New Roman"/>
        </w:rPr>
        <w:t>ICU-acquired infections</w:t>
      </w:r>
      <w:r w:rsidRPr="002203C1">
        <w:rPr>
          <w:rFonts w:ascii="Times New Roman" w:hAnsi="Times New Roman"/>
          <w:bCs/>
        </w:rPr>
        <w:t xml:space="preserve">. </w:t>
      </w:r>
    </w:p>
    <w:p w14:paraId="7689DE48" w14:textId="77777777" w:rsidR="009139A2" w:rsidRPr="002203C1" w:rsidRDefault="009139A2" w:rsidP="009139A2">
      <w:pPr>
        <w:tabs>
          <w:tab w:val="left" w:pos="2422"/>
        </w:tabs>
        <w:spacing w:after="0" w:line="480" w:lineRule="auto"/>
        <w:rPr>
          <w:rFonts w:ascii="Times New Roman" w:hAnsi="Times New Roman"/>
        </w:rPr>
      </w:pPr>
      <w:r w:rsidRPr="002203C1">
        <w:rPr>
          <w:rFonts w:ascii="Times New Roman" w:hAnsi="Times New Roman"/>
        </w:rPr>
        <w:t xml:space="preserve">*Exposures to invasive mechanical ventilation, central venous catheter, arterial catheter, dialysis catheter, urinary catheter </w:t>
      </w:r>
      <w:r w:rsidR="007F461C" w:rsidRPr="002203C1">
        <w:rPr>
          <w:rFonts w:ascii="Times New Roman" w:hAnsi="Times New Roman"/>
        </w:rPr>
        <w:t>and</w:t>
      </w:r>
      <w:r w:rsidRPr="002203C1">
        <w:rPr>
          <w:rFonts w:ascii="Times New Roman" w:hAnsi="Times New Roman"/>
        </w:rPr>
        <w:t xml:space="preserve"> transfusions of blood products were considered as time-dependent covariates.</w:t>
      </w:r>
    </w:p>
    <w:p w14:paraId="7689DE49" w14:textId="77777777" w:rsidR="003848F8" w:rsidRPr="002203C1" w:rsidRDefault="003848F8" w:rsidP="003848F8">
      <w:pPr>
        <w:tabs>
          <w:tab w:val="left" w:pos="2422"/>
        </w:tabs>
        <w:spacing w:after="0" w:line="480" w:lineRule="auto"/>
        <w:rPr>
          <w:rFonts w:ascii="Times New Roman" w:hAnsi="Times New Roman"/>
        </w:rPr>
      </w:pPr>
      <w:r w:rsidRPr="002203C1">
        <w:rPr>
          <w:rFonts w:ascii="Times New Roman" w:hAnsi="Times New Roman"/>
        </w:rPr>
        <w:t>Abbreviations: CSH, cause-specific hazard ratio; 95%CI, 95% confidence interval; ICU-AI, intensive care unit-acquired infections; SAPS2 Simplified Acute Physiology Score 2</w:t>
      </w:r>
    </w:p>
    <w:p w14:paraId="7689DE4A" w14:textId="77777777" w:rsidR="00D41861" w:rsidRPr="002203C1" w:rsidRDefault="00D41861"/>
    <w:p w14:paraId="7689DE4B" w14:textId="77777777" w:rsidR="00D41861" w:rsidRPr="002203C1" w:rsidRDefault="00D41861">
      <w:bookmarkStart w:id="0" w:name="_GoBack"/>
      <w:bookmarkEnd w:id="0"/>
    </w:p>
    <w:p w14:paraId="7689DE4C" w14:textId="77777777" w:rsidR="00D41861" w:rsidRPr="002203C1" w:rsidRDefault="00D41861"/>
    <w:sectPr w:rsidR="00D41861" w:rsidRPr="0022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861"/>
    <w:rsid w:val="001378E9"/>
    <w:rsid w:val="002203C1"/>
    <w:rsid w:val="00351446"/>
    <w:rsid w:val="003848F8"/>
    <w:rsid w:val="004D3D69"/>
    <w:rsid w:val="00672033"/>
    <w:rsid w:val="007E6D65"/>
    <w:rsid w:val="007F461C"/>
    <w:rsid w:val="007F48A6"/>
    <w:rsid w:val="009139A2"/>
    <w:rsid w:val="00A8053B"/>
    <w:rsid w:val="00D41861"/>
    <w:rsid w:val="00E4068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DDAB"/>
  <w15:docId w15:val="{6E8DD25A-188B-4DE1-88EC-AA36311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6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 Poissy St Germain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JAMME Matthieu</dc:creator>
  <cp:lastModifiedBy>Baeuerlein, Christopher</cp:lastModifiedBy>
  <cp:revision>11</cp:revision>
  <dcterms:created xsi:type="dcterms:W3CDTF">2020-03-10T17:26:00Z</dcterms:created>
  <dcterms:modified xsi:type="dcterms:W3CDTF">2020-12-23T16:21:00Z</dcterms:modified>
</cp:coreProperties>
</file>