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6E06" w14:textId="27F504C5" w:rsidR="00E76BA8" w:rsidRDefault="0069262E" w:rsidP="00E76BA8">
      <w:pPr>
        <w:rPr>
          <w:rFonts w:ascii="Garamond" w:hAnsi="Garamond"/>
        </w:rPr>
      </w:pPr>
      <w:r>
        <w:rPr>
          <w:rFonts w:ascii="Garamond" w:hAnsi="Garamond"/>
        </w:rPr>
        <w:t xml:space="preserve">Supplementary </w:t>
      </w:r>
      <w:r w:rsidR="00E76BA8">
        <w:rPr>
          <w:rFonts w:ascii="Garamond" w:hAnsi="Garamond"/>
        </w:rPr>
        <w:t>Table</w:t>
      </w:r>
      <w:r w:rsidR="00C67B49">
        <w:rPr>
          <w:rFonts w:ascii="Garamond" w:hAnsi="Garamond"/>
        </w:rPr>
        <w:t xml:space="preserve"> 1</w:t>
      </w:r>
      <w:r w:rsidR="00E76BA8">
        <w:rPr>
          <w:rFonts w:ascii="Garamond" w:hAnsi="Garamond"/>
        </w:rPr>
        <w:t>. Patient characteristics of included studies</w:t>
      </w:r>
      <w:r>
        <w:rPr>
          <w:rFonts w:ascii="Garamond" w:hAnsi="Garamond"/>
        </w:rPr>
        <w:t xml:space="preserve"> for each of the meta-analys</w:t>
      </w:r>
      <w:r w:rsidR="0050728F">
        <w:rPr>
          <w:rFonts w:ascii="Garamond" w:hAnsi="Garamond"/>
        </w:rPr>
        <w:t>i</w:t>
      </w:r>
      <w:r>
        <w:rPr>
          <w:rFonts w:ascii="Garamond" w:hAnsi="Garamond"/>
        </w:rPr>
        <w:t>s outcomes</w:t>
      </w:r>
      <w:r w:rsidR="003257DD">
        <w:rPr>
          <w:rFonts w:ascii="Garamond" w:hAnsi="Garamond"/>
        </w:rPr>
        <w:t>.</w:t>
      </w:r>
    </w:p>
    <w:p w14:paraId="2B4E3D8E" w14:textId="77777777" w:rsidR="003257DD" w:rsidRPr="00FB4A01" w:rsidRDefault="003257DD" w:rsidP="00E76BA8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13184" w:type="dxa"/>
        <w:tblInd w:w="-289" w:type="dxa"/>
        <w:tblLook w:val="04A0" w:firstRow="1" w:lastRow="0" w:firstColumn="1" w:lastColumn="0" w:noHBand="0" w:noVBand="1"/>
      </w:tblPr>
      <w:tblGrid>
        <w:gridCol w:w="3119"/>
        <w:gridCol w:w="2835"/>
        <w:gridCol w:w="3261"/>
        <w:gridCol w:w="1984"/>
        <w:gridCol w:w="1985"/>
      </w:tblGrid>
      <w:tr w:rsidR="00B96BFC" w:rsidRPr="009744FE" w14:paraId="1A31048A" w14:textId="5D6BF628" w:rsidTr="0069262E">
        <w:tc>
          <w:tcPr>
            <w:tcW w:w="3119" w:type="dxa"/>
            <w:shd w:val="clear" w:color="auto" w:fill="D9D9D9" w:themeFill="background1" w:themeFillShade="D9"/>
          </w:tcPr>
          <w:p w14:paraId="5B5A9C78" w14:textId="6207A494" w:rsidR="00B96BFC" w:rsidRPr="009744FE" w:rsidRDefault="00CD42CD" w:rsidP="000D4CD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76C98F" w14:textId="77777777" w:rsidR="00B96BFC" w:rsidRDefault="00B96BFC" w:rsidP="0069262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Studies </w:t>
            </w:r>
            <w:r w:rsidR="0069262E">
              <w:rPr>
                <w:rFonts w:ascii="Garamond" w:hAnsi="Garamond"/>
                <w:b/>
                <w:bCs/>
                <w:sz w:val="20"/>
                <w:szCs w:val="20"/>
              </w:rPr>
              <w:t>on sepsis/severe sepsis/septic shock outcome</w:t>
            </w:r>
          </w:p>
          <w:p w14:paraId="0B5F1B16" w14:textId="13322822" w:rsidR="00167180" w:rsidRPr="009744FE" w:rsidRDefault="00167180" w:rsidP="0069262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n=16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A5C917A" w14:textId="40C65706" w:rsidR="00B96BFC" w:rsidRDefault="00B96BFC" w:rsidP="0069262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Patients </w:t>
            </w:r>
            <w:r w:rsidR="00167180">
              <w:rPr>
                <w:rFonts w:ascii="Garamond" w:hAnsi="Garamond"/>
                <w:b/>
                <w:bCs/>
                <w:sz w:val="20"/>
                <w:szCs w:val="20"/>
              </w:rPr>
              <w:t xml:space="preserve">included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in</w:t>
            </w:r>
            <w:r w:rsidR="0069262E">
              <w:rPr>
                <w:rFonts w:ascii="Garamond" w:hAnsi="Garamond"/>
                <w:b/>
                <w:bCs/>
                <w:sz w:val="20"/>
                <w:szCs w:val="20"/>
              </w:rPr>
              <w:t xml:space="preserve"> sepsis/severe sepsis/septic shock outcome</w:t>
            </w:r>
          </w:p>
          <w:p w14:paraId="23C9D00D" w14:textId="1609C533" w:rsidR="00167180" w:rsidRDefault="00167180" w:rsidP="0069262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N=9,</w:t>
            </w:r>
            <w:r w:rsidR="009B2D27">
              <w:rPr>
                <w:rFonts w:ascii="Garamond" w:hAnsi="Garamond"/>
                <w:b/>
                <w:bCs/>
                <w:sz w:val="20"/>
                <w:szCs w:val="20"/>
              </w:rPr>
              <w:t>629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40D491" w14:textId="77777777" w:rsidR="00B96BFC" w:rsidRDefault="0069262E" w:rsidP="000D4CD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Studies on mortality outcome</w:t>
            </w:r>
          </w:p>
          <w:p w14:paraId="1B800AF4" w14:textId="0AD14464" w:rsidR="00167180" w:rsidRPr="009744FE" w:rsidRDefault="00167180" w:rsidP="000D4CD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n=69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0138A3" w14:textId="124ECD42" w:rsidR="00B96BFC" w:rsidRDefault="00B96BFC" w:rsidP="0069262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Patients</w:t>
            </w:r>
            <w:r w:rsidR="00167180">
              <w:rPr>
                <w:rFonts w:ascii="Garamond" w:hAnsi="Garamond"/>
                <w:b/>
                <w:bCs/>
                <w:sz w:val="20"/>
                <w:szCs w:val="20"/>
              </w:rPr>
              <w:t xml:space="preserve"> included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69262E">
              <w:rPr>
                <w:rFonts w:ascii="Garamond" w:hAnsi="Garamond"/>
                <w:b/>
                <w:bCs/>
                <w:sz w:val="20"/>
                <w:szCs w:val="20"/>
              </w:rPr>
              <w:t>in mortality outcome</w:t>
            </w:r>
          </w:p>
          <w:p w14:paraId="11CF49AB" w14:textId="6E55DC57" w:rsidR="00167180" w:rsidRDefault="00167180" w:rsidP="0069262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n=145,461</w:t>
            </w:r>
          </w:p>
        </w:tc>
      </w:tr>
      <w:tr w:rsidR="00B96BFC" w:rsidRPr="009744FE" w14:paraId="54ABCF00" w14:textId="5849DAEB" w:rsidTr="0069262E">
        <w:tc>
          <w:tcPr>
            <w:tcW w:w="3119" w:type="dxa"/>
          </w:tcPr>
          <w:p w14:paraId="6587EA10" w14:textId="77777777" w:rsidR="00B96BFC" w:rsidRDefault="00B96BFC" w:rsidP="000D4CD4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2B500A" w14:textId="77777777" w:rsidR="00B96BFC" w:rsidRPr="009744FE" w:rsidRDefault="00B96BFC" w:rsidP="000D4CD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  <w:tc>
          <w:tcPr>
            <w:tcW w:w="3261" w:type="dxa"/>
          </w:tcPr>
          <w:p w14:paraId="661FFC67" w14:textId="6E2B0043" w:rsidR="00B96BFC" w:rsidRDefault="00B96BFC" w:rsidP="000D4C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  <w:tc>
          <w:tcPr>
            <w:tcW w:w="1984" w:type="dxa"/>
          </w:tcPr>
          <w:p w14:paraId="5AAA5C82" w14:textId="103F43FD" w:rsidR="00B96BFC" w:rsidRPr="009744FE" w:rsidRDefault="00B96BFC" w:rsidP="000D4CD4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  <w:tc>
          <w:tcPr>
            <w:tcW w:w="1985" w:type="dxa"/>
          </w:tcPr>
          <w:p w14:paraId="2460533F" w14:textId="55A18C08" w:rsidR="00B96BFC" w:rsidRDefault="003D4DD2" w:rsidP="000D4CD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</w:tr>
      <w:tr w:rsidR="00B96BFC" w:rsidRPr="00664FFF" w14:paraId="6EB73F35" w14:textId="1E66649E" w:rsidTr="0069262E">
        <w:tc>
          <w:tcPr>
            <w:tcW w:w="3119" w:type="dxa"/>
          </w:tcPr>
          <w:p w14:paraId="5E3122CB" w14:textId="77777777" w:rsidR="00B96BFC" w:rsidRPr="00A77CAF" w:rsidRDefault="00B96BFC" w:rsidP="00EB2D6C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Age groups included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35" w:type="dxa"/>
          </w:tcPr>
          <w:p w14:paraId="1E109FE3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8A3C7E7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D28EA5" w14:textId="7422DDCC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EB4DF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96BFC" w:rsidRPr="00664FFF" w14:paraId="6BF0389A" w14:textId="6FDDC70B" w:rsidTr="0069262E">
        <w:tc>
          <w:tcPr>
            <w:tcW w:w="3119" w:type="dxa"/>
          </w:tcPr>
          <w:p w14:paraId="0700CA6B" w14:textId="77777777" w:rsidR="00B96BFC" w:rsidRPr="00664FFF" w:rsidRDefault="00B96BFC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Neonates (0 – 30 days)</w:t>
            </w:r>
          </w:p>
        </w:tc>
        <w:tc>
          <w:tcPr>
            <w:tcW w:w="2835" w:type="dxa"/>
          </w:tcPr>
          <w:p w14:paraId="44622F95" w14:textId="6A567515" w:rsidR="00B96BFC" w:rsidRPr="00664FFF" w:rsidRDefault="005A45F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68.8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26D8AD15" w14:textId="13FDC35D" w:rsidR="00B96BFC" w:rsidRDefault="009B2D2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7,582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78.7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5C83043" w14:textId="1EAB8188" w:rsidR="00B96BFC" w:rsidRDefault="007A7893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(44.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</w:tcPr>
          <w:p w14:paraId="2A29F0C0" w14:textId="51AF80D6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119,662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82.3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3381A61D" w14:textId="2605C40D" w:rsidTr="0069262E">
        <w:tc>
          <w:tcPr>
            <w:tcW w:w="3119" w:type="dxa"/>
          </w:tcPr>
          <w:p w14:paraId="79B869F9" w14:textId="77777777" w:rsidR="00B96BFC" w:rsidRDefault="00B96BFC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Babies (31 – 90 days)</w:t>
            </w:r>
          </w:p>
        </w:tc>
        <w:tc>
          <w:tcPr>
            <w:tcW w:w="2835" w:type="dxa"/>
          </w:tcPr>
          <w:p w14:paraId="32C66361" w14:textId="7589D2BC" w:rsidR="00B96BFC" w:rsidRDefault="005A45F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(8</w:t>
            </w:r>
            <w:r>
              <w:rPr>
                <w:rFonts w:ascii="Garamond" w:hAnsi="Garamond"/>
                <w:sz w:val="20"/>
                <w:szCs w:val="20"/>
              </w:rPr>
              <w:t>7.5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56E41054" w14:textId="24A46578" w:rsidR="00B96BFC" w:rsidRDefault="009B2D2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8,328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(86.5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FDF45B1" w14:textId="6F3EE8AE" w:rsidR="00B96BFC" w:rsidRDefault="007A7893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(8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="00B96BFC">
              <w:rPr>
                <w:rFonts w:ascii="Garamond" w:hAnsi="Garamond"/>
                <w:sz w:val="20"/>
                <w:szCs w:val="20"/>
              </w:rPr>
              <w:t>.0)</w:t>
            </w:r>
          </w:p>
        </w:tc>
        <w:tc>
          <w:tcPr>
            <w:tcW w:w="1985" w:type="dxa"/>
          </w:tcPr>
          <w:p w14:paraId="463EF972" w14:textId="3C519402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143,818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98.9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2CD29360" w14:textId="78F45244" w:rsidTr="0069262E">
        <w:tc>
          <w:tcPr>
            <w:tcW w:w="3119" w:type="dxa"/>
          </w:tcPr>
          <w:p w14:paraId="0FCE8878" w14:textId="77777777" w:rsidR="00B96BFC" w:rsidRDefault="00B96BFC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Infants (91 days - 1 year))</w:t>
            </w:r>
          </w:p>
        </w:tc>
        <w:tc>
          <w:tcPr>
            <w:tcW w:w="2835" w:type="dxa"/>
          </w:tcPr>
          <w:p w14:paraId="01562695" w14:textId="6CE19A5F" w:rsidR="00B96BFC" w:rsidRPr="00664FFF" w:rsidRDefault="005A45F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100.0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4736E26C" w14:textId="5403A927" w:rsidR="00B96BFC" w:rsidRDefault="009B2D2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9,629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100.0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112E470" w14:textId="00F51A25" w:rsidR="00B96BFC" w:rsidRDefault="007A7893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(9</w:t>
            </w:r>
            <w:r>
              <w:rPr>
                <w:rFonts w:ascii="Garamond" w:hAnsi="Garamond"/>
                <w:sz w:val="20"/>
                <w:szCs w:val="20"/>
              </w:rPr>
              <w:t>8.6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0050253" w14:textId="11878D15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145,239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99.8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12B73801" w14:textId="6B36FB4C" w:rsidTr="0069262E">
        <w:tc>
          <w:tcPr>
            <w:tcW w:w="3119" w:type="dxa"/>
          </w:tcPr>
          <w:p w14:paraId="256CA464" w14:textId="77777777" w:rsidR="00B96BFC" w:rsidRDefault="00B96BFC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Toddlers (2 - 5 years)</w:t>
            </w:r>
          </w:p>
        </w:tc>
        <w:tc>
          <w:tcPr>
            <w:tcW w:w="2835" w:type="dxa"/>
          </w:tcPr>
          <w:p w14:paraId="53EB53FD" w14:textId="3FCABB70" w:rsidR="00B96BFC" w:rsidRPr="00664FFF" w:rsidRDefault="005A45F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(9</w:t>
            </w:r>
            <w:r>
              <w:rPr>
                <w:rFonts w:ascii="Garamond" w:hAnsi="Garamond"/>
                <w:sz w:val="20"/>
                <w:szCs w:val="20"/>
              </w:rPr>
              <w:t>3.8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520B7441" w14:textId="3FD9F882" w:rsidR="00B96BFC" w:rsidRDefault="009B2D2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9,557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(99.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601EB94" w14:textId="62F14F98" w:rsidR="00B96BFC" w:rsidRDefault="007A7893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(9</w:t>
            </w:r>
            <w:r>
              <w:rPr>
                <w:rFonts w:ascii="Garamond" w:hAnsi="Garamond"/>
                <w:sz w:val="20"/>
                <w:szCs w:val="20"/>
              </w:rPr>
              <w:t>8.6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75387F3" w14:textId="449AF128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145,239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99.8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406C28BA" w14:textId="1A933A24" w:rsidTr="0069262E">
        <w:tc>
          <w:tcPr>
            <w:tcW w:w="3119" w:type="dxa"/>
          </w:tcPr>
          <w:p w14:paraId="19EC2A6C" w14:textId="77777777" w:rsidR="00B96BFC" w:rsidRDefault="00B96BFC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School age (6 - 12 years)</w:t>
            </w:r>
          </w:p>
        </w:tc>
        <w:tc>
          <w:tcPr>
            <w:tcW w:w="2835" w:type="dxa"/>
          </w:tcPr>
          <w:p w14:paraId="14244395" w14:textId="48FF4FDF" w:rsidR="00B96BFC" w:rsidRPr="00664FFF" w:rsidRDefault="005A45F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68.8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37EF07DB" w14:textId="6136B82F" w:rsidR="00B96BFC" w:rsidRDefault="009B2D2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8,238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85.6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E417682" w14:textId="5358CC2D" w:rsidR="00B96BFC" w:rsidRDefault="007A7893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94.2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D2A27C9" w14:textId="4D1CD66C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144,900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99.6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3121BDA8" w14:textId="7545000A" w:rsidTr="0069262E">
        <w:tc>
          <w:tcPr>
            <w:tcW w:w="3119" w:type="dxa"/>
          </w:tcPr>
          <w:p w14:paraId="106336B3" w14:textId="77777777" w:rsidR="00B96BFC" w:rsidRDefault="00B96BFC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Adolescents (13 – 16 years)</w:t>
            </w:r>
          </w:p>
        </w:tc>
        <w:tc>
          <w:tcPr>
            <w:tcW w:w="2835" w:type="dxa"/>
          </w:tcPr>
          <w:p w14:paraId="49361D4F" w14:textId="3B6770F0" w:rsidR="00B96BFC" w:rsidRDefault="005A45F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56.3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5EF24CF5" w14:textId="609633B7" w:rsidR="00B96BFC" w:rsidRDefault="009B2D2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7,918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82.2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C0F46F3" w14:textId="0E3C67D1" w:rsidR="00B96BFC" w:rsidRDefault="007A7893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(7</w:t>
            </w:r>
            <w:r>
              <w:rPr>
                <w:rFonts w:ascii="Garamond" w:hAnsi="Garamond"/>
                <w:sz w:val="20"/>
                <w:szCs w:val="20"/>
              </w:rPr>
              <w:t>9.7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31F7E69" w14:textId="286F8798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143,493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(9</w:t>
            </w:r>
            <w:r>
              <w:rPr>
                <w:rFonts w:ascii="Garamond" w:hAnsi="Garamond"/>
                <w:sz w:val="20"/>
                <w:szCs w:val="20"/>
              </w:rPr>
              <w:t>8.6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6B0539E2" w14:textId="1A4168E0" w:rsidTr="0069262E">
        <w:tc>
          <w:tcPr>
            <w:tcW w:w="3119" w:type="dxa"/>
          </w:tcPr>
          <w:p w14:paraId="7675A6A7" w14:textId="77777777" w:rsidR="00B96BFC" w:rsidRDefault="00B96BFC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Young adults (17 – 18 years)</w:t>
            </w:r>
          </w:p>
        </w:tc>
        <w:tc>
          <w:tcPr>
            <w:tcW w:w="2835" w:type="dxa"/>
          </w:tcPr>
          <w:p w14:paraId="1A873F98" w14:textId="33B41A60" w:rsidR="00B96BFC" w:rsidRDefault="005A45F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37.5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7B217E0A" w14:textId="7487DA24" w:rsidR="00B96BFC" w:rsidRDefault="009B2D2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6,991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72.6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19F657C" w14:textId="2DF91777" w:rsidR="00B96BFC" w:rsidRDefault="007A7893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(5</w:t>
            </w:r>
            <w:r>
              <w:rPr>
                <w:rFonts w:ascii="Garamond" w:hAnsi="Garamond"/>
                <w:sz w:val="20"/>
                <w:szCs w:val="20"/>
              </w:rPr>
              <w:t>6.5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5A610E0C" w14:textId="768EBE18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137,289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94.4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2F8202F5" w14:textId="5864D6CC" w:rsidTr="0069262E">
        <w:tc>
          <w:tcPr>
            <w:tcW w:w="3119" w:type="dxa"/>
          </w:tcPr>
          <w:p w14:paraId="428A8C43" w14:textId="77777777" w:rsidR="00B96BFC" w:rsidRPr="00A77CAF" w:rsidRDefault="00B96BFC" w:rsidP="00EB2D6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Population studied</w:t>
            </w:r>
          </w:p>
        </w:tc>
        <w:tc>
          <w:tcPr>
            <w:tcW w:w="2835" w:type="dxa"/>
          </w:tcPr>
          <w:p w14:paraId="5833B53D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1380213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BCC943" w14:textId="4EED508D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91344A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96BFC" w:rsidRPr="00664FFF" w14:paraId="23169630" w14:textId="708FCF19" w:rsidTr="0069262E">
        <w:tc>
          <w:tcPr>
            <w:tcW w:w="3119" w:type="dxa"/>
          </w:tcPr>
          <w:p w14:paraId="29B82EE5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Bronchiolitis</w:t>
            </w:r>
          </w:p>
        </w:tc>
        <w:tc>
          <w:tcPr>
            <w:tcW w:w="2835" w:type="dxa"/>
          </w:tcPr>
          <w:p w14:paraId="19EBE262" w14:textId="5127D5F0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</w:t>
            </w:r>
            <w:r w:rsidR="009F6748">
              <w:rPr>
                <w:rFonts w:ascii="Garamond" w:hAnsi="Garamond"/>
                <w:sz w:val="20"/>
                <w:szCs w:val="20"/>
              </w:rPr>
              <w:t>6.3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0AEE6990" w14:textId="55A1F0CC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 (0.</w:t>
            </w:r>
            <w:r w:rsidR="00766068"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9587F41" w14:textId="5CB44601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5" w:type="dxa"/>
          </w:tcPr>
          <w:p w14:paraId="5808F894" w14:textId="709076B7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</w:tr>
      <w:tr w:rsidR="00B96BFC" w:rsidRPr="00664FFF" w14:paraId="4B5004CF" w14:textId="6B352167" w:rsidTr="0069262E">
        <w:tc>
          <w:tcPr>
            <w:tcW w:w="3119" w:type="dxa"/>
          </w:tcPr>
          <w:p w14:paraId="348C8468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Meningococcal infections</w:t>
            </w:r>
          </w:p>
        </w:tc>
        <w:tc>
          <w:tcPr>
            <w:tcW w:w="2835" w:type="dxa"/>
          </w:tcPr>
          <w:p w14:paraId="0DC062E0" w14:textId="1D5D9470" w:rsidR="00B96BFC" w:rsidRPr="00664FFF" w:rsidRDefault="009F674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7BDB9EB1" w14:textId="3F25A86C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  <w:tc>
          <w:tcPr>
            <w:tcW w:w="1984" w:type="dxa"/>
          </w:tcPr>
          <w:p w14:paraId="289DDDBB" w14:textId="27C9D0DE" w:rsidR="00B96BFC" w:rsidRDefault="00FE2A6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2.9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704F4BE0" w14:textId="31E0CFB1" w:rsidR="00B96BFC" w:rsidRDefault="002B535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271E49">
              <w:rPr>
                <w:rFonts w:ascii="Garamond" w:hAnsi="Garamond"/>
                <w:sz w:val="20"/>
                <w:szCs w:val="20"/>
              </w:rPr>
              <w:t>,1</w:t>
            </w:r>
            <w:r>
              <w:rPr>
                <w:rFonts w:ascii="Garamond" w:hAnsi="Garamond"/>
                <w:sz w:val="20"/>
                <w:szCs w:val="20"/>
              </w:rPr>
              <w:t>51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271E49">
              <w:rPr>
                <w:rFonts w:ascii="Garamond" w:hAnsi="Garamond"/>
                <w:sz w:val="20"/>
                <w:szCs w:val="20"/>
              </w:rPr>
              <w:t>0.8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7B59713A" w14:textId="2D1EBA1A" w:rsidTr="0069262E">
        <w:tc>
          <w:tcPr>
            <w:tcW w:w="3119" w:type="dxa"/>
          </w:tcPr>
          <w:p w14:paraId="57D543AD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Pneumonia</w:t>
            </w:r>
          </w:p>
        </w:tc>
        <w:tc>
          <w:tcPr>
            <w:tcW w:w="2835" w:type="dxa"/>
          </w:tcPr>
          <w:p w14:paraId="2B9232D1" w14:textId="32EFF987" w:rsidR="00B96BFC" w:rsidRPr="00664FFF" w:rsidRDefault="009F674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197AF960" w14:textId="5F7F5247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  <w:tc>
          <w:tcPr>
            <w:tcW w:w="1984" w:type="dxa"/>
          </w:tcPr>
          <w:p w14:paraId="22B45624" w14:textId="66F6CEDB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</w:t>
            </w:r>
            <w:r w:rsidR="00FE2A67">
              <w:rPr>
                <w:rFonts w:ascii="Garamond" w:hAnsi="Garamond"/>
                <w:sz w:val="20"/>
                <w:szCs w:val="20"/>
              </w:rPr>
              <w:t>1.4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ED63650" w14:textId="29D8EE96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222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0.2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9F6748" w:rsidRPr="00664FFF" w14:paraId="430F6DC5" w14:textId="4AEE5DC0" w:rsidTr="0069262E">
        <w:tc>
          <w:tcPr>
            <w:tcW w:w="3119" w:type="dxa"/>
          </w:tcPr>
          <w:p w14:paraId="3159A938" w14:textId="77777777" w:rsidR="009F6748" w:rsidRDefault="009F6748" w:rsidP="009F6748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Diarrheal illness</w:t>
            </w:r>
          </w:p>
        </w:tc>
        <w:tc>
          <w:tcPr>
            <w:tcW w:w="2835" w:type="dxa"/>
          </w:tcPr>
          <w:p w14:paraId="57BD9997" w14:textId="12F5777F" w:rsidR="009F6748" w:rsidRPr="00664FFF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(6.3)</w:t>
            </w:r>
          </w:p>
        </w:tc>
        <w:tc>
          <w:tcPr>
            <w:tcW w:w="3261" w:type="dxa"/>
          </w:tcPr>
          <w:p w14:paraId="0C07E854" w14:textId="553E6F20" w:rsidR="009F6748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88 (0.9)</w:t>
            </w:r>
          </w:p>
        </w:tc>
        <w:tc>
          <w:tcPr>
            <w:tcW w:w="1984" w:type="dxa"/>
          </w:tcPr>
          <w:p w14:paraId="1FBA244D" w14:textId="7ED5B6E3" w:rsidR="009F6748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(2.9)</w:t>
            </w:r>
          </w:p>
        </w:tc>
        <w:tc>
          <w:tcPr>
            <w:tcW w:w="1985" w:type="dxa"/>
          </w:tcPr>
          <w:p w14:paraId="358F5B8D" w14:textId="31DA3BF8" w:rsidR="009F6748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279 (0.2)</w:t>
            </w:r>
          </w:p>
        </w:tc>
      </w:tr>
      <w:tr w:rsidR="009F6748" w:rsidRPr="00664FFF" w14:paraId="02F91412" w14:textId="57B81107" w:rsidTr="0069262E">
        <w:tc>
          <w:tcPr>
            <w:tcW w:w="3119" w:type="dxa"/>
          </w:tcPr>
          <w:p w14:paraId="41F30990" w14:textId="11D079F0" w:rsidR="009F6748" w:rsidRDefault="009F6748" w:rsidP="009F6748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Severe acute malnutrition</w:t>
            </w:r>
          </w:p>
        </w:tc>
        <w:tc>
          <w:tcPr>
            <w:tcW w:w="2835" w:type="dxa"/>
          </w:tcPr>
          <w:p w14:paraId="23C2C1D7" w14:textId="664DBE8F" w:rsidR="009F6748" w:rsidRPr="00664FFF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(6.3)</w:t>
            </w:r>
          </w:p>
        </w:tc>
        <w:tc>
          <w:tcPr>
            <w:tcW w:w="3261" w:type="dxa"/>
          </w:tcPr>
          <w:p w14:paraId="138D7C45" w14:textId="33C1E8B0" w:rsidR="009F6748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 (0.5)</w:t>
            </w:r>
          </w:p>
        </w:tc>
        <w:tc>
          <w:tcPr>
            <w:tcW w:w="1984" w:type="dxa"/>
          </w:tcPr>
          <w:p w14:paraId="0193177F" w14:textId="26688A47" w:rsidR="009F6748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5" w:type="dxa"/>
          </w:tcPr>
          <w:p w14:paraId="4B722D75" w14:textId="6519D5ED" w:rsidR="009F6748" w:rsidRDefault="009F6748" w:rsidP="009F674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</w:tr>
      <w:tr w:rsidR="00B96BFC" w:rsidRPr="00664FFF" w14:paraId="5A525B49" w14:textId="7646BB44" w:rsidTr="0069262E">
        <w:tc>
          <w:tcPr>
            <w:tcW w:w="3119" w:type="dxa"/>
          </w:tcPr>
          <w:p w14:paraId="28839B1B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Bone marrow transplant</w:t>
            </w:r>
          </w:p>
        </w:tc>
        <w:tc>
          <w:tcPr>
            <w:tcW w:w="2835" w:type="dxa"/>
          </w:tcPr>
          <w:p w14:paraId="5BE2325C" w14:textId="77777777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3261" w:type="dxa"/>
          </w:tcPr>
          <w:p w14:paraId="30EC40AD" w14:textId="449FB9A9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0FB2D2EC" w14:textId="5773F3F2" w:rsidR="00B96BFC" w:rsidRDefault="00FE2A6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5" w:type="dxa"/>
          </w:tcPr>
          <w:p w14:paraId="128B10C6" w14:textId="6D2543EF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</w:tr>
      <w:tr w:rsidR="00B96BFC" w:rsidRPr="00664FFF" w14:paraId="18A45728" w14:textId="7C0F3326" w:rsidTr="0069262E">
        <w:tc>
          <w:tcPr>
            <w:tcW w:w="3119" w:type="dxa"/>
          </w:tcPr>
          <w:p w14:paraId="2484D829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Oncology - general</w:t>
            </w:r>
          </w:p>
        </w:tc>
        <w:tc>
          <w:tcPr>
            <w:tcW w:w="2835" w:type="dxa"/>
          </w:tcPr>
          <w:p w14:paraId="1765722A" w14:textId="6603B6CE" w:rsidR="00B96BFC" w:rsidRPr="00664FFF" w:rsidRDefault="009F674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4EE0B9CA" w14:textId="74CE2CEC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  <w:tc>
          <w:tcPr>
            <w:tcW w:w="1984" w:type="dxa"/>
          </w:tcPr>
          <w:p w14:paraId="29D983DC" w14:textId="7E079F71" w:rsidR="00B96BFC" w:rsidRDefault="00FE2A6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5.8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6E2A33FC" w14:textId="0267789C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768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0.5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10F456ED" w14:textId="64193C10" w:rsidTr="0069262E">
        <w:tc>
          <w:tcPr>
            <w:tcW w:w="3119" w:type="dxa"/>
          </w:tcPr>
          <w:p w14:paraId="73B050E7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Oncology – febrile neutropenia</w:t>
            </w:r>
          </w:p>
        </w:tc>
        <w:tc>
          <w:tcPr>
            <w:tcW w:w="2835" w:type="dxa"/>
          </w:tcPr>
          <w:p w14:paraId="4E1C90AC" w14:textId="07F7824E" w:rsidR="00B96BFC" w:rsidRPr="00664FFF" w:rsidRDefault="009F674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(6.3)</w:t>
            </w:r>
          </w:p>
        </w:tc>
        <w:tc>
          <w:tcPr>
            <w:tcW w:w="3261" w:type="dxa"/>
          </w:tcPr>
          <w:p w14:paraId="3F45D608" w14:textId="12EFE920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151 (</w:t>
            </w:r>
            <w:r w:rsidR="00766068">
              <w:rPr>
                <w:rFonts w:ascii="Garamond" w:hAnsi="Garamond"/>
                <w:sz w:val="20"/>
                <w:szCs w:val="20"/>
              </w:rPr>
              <w:t>1.6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8E6FFE9" w14:textId="1E445A38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5" w:type="dxa"/>
          </w:tcPr>
          <w:p w14:paraId="372212D8" w14:textId="4B3E9CCD" w:rsidR="00B96BFC" w:rsidRDefault="002B535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</w:tr>
      <w:tr w:rsidR="00B96BFC" w:rsidRPr="00664FFF" w14:paraId="6225C262" w14:textId="3139CAED" w:rsidTr="0069262E">
        <w:tc>
          <w:tcPr>
            <w:tcW w:w="3119" w:type="dxa"/>
          </w:tcPr>
          <w:p w14:paraId="08B78E4E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Emergency Department patients</w:t>
            </w:r>
          </w:p>
        </w:tc>
        <w:tc>
          <w:tcPr>
            <w:tcW w:w="2835" w:type="dxa"/>
          </w:tcPr>
          <w:p w14:paraId="04DAEF67" w14:textId="3AF9E4E9" w:rsidR="00B96BFC" w:rsidRPr="00664FFF" w:rsidRDefault="009F674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12.5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6E2378EF" w14:textId="1EEF7062" w:rsidR="00B96BFC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766068">
              <w:rPr>
                <w:rFonts w:ascii="Garamond" w:hAnsi="Garamond"/>
                <w:sz w:val="20"/>
                <w:szCs w:val="20"/>
              </w:rPr>
              <w:t>80</w:t>
            </w:r>
            <w:r>
              <w:rPr>
                <w:rFonts w:ascii="Garamond" w:hAnsi="Garamond"/>
                <w:sz w:val="20"/>
                <w:szCs w:val="20"/>
              </w:rPr>
              <w:t xml:space="preserve"> (1.</w:t>
            </w:r>
            <w:r w:rsidR="00766068">
              <w:rPr>
                <w:rFonts w:ascii="Garamond" w:hAnsi="Garamond"/>
                <w:sz w:val="20"/>
                <w:szCs w:val="20"/>
              </w:rPr>
              <w:t>9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E1EE436" w14:textId="734A8F6C" w:rsidR="00B96BFC" w:rsidRDefault="00FE2A6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(4.3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12AB380" w14:textId="61938996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1,484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(1</w:t>
            </w:r>
            <w:r>
              <w:rPr>
                <w:rFonts w:ascii="Garamond" w:hAnsi="Garamond"/>
                <w:sz w:val="20"/>
                <w:szCs w:val="20"/>
              </w:rPr>
              <w:t>.0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44FA1817" w14:textId="2E350154" w:rsidTr="0069262E">
        <w:tc>
          <w:tcPr>
            <w:tcW w:w="3119" w:type="dxa"/>
          </w:tcPr>
          <w:p w14:paraId="5D9F107A" w14:textId="77777777" w:rsidR="00B96BFC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Hospital Ward patients</w:t>
            </w:r>
          </w:p>
        </w:tc>
        <w:tc>
          <w:tcPr>
            <w:tcW w:w="2835" w:type="dxa"/>
          </w:tcPr>
          <w:p w14:paraId="3A480138" w14:textId="65C1AF01" w:rsidR="00B96BFC" w:rsidRDefault="009F674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12.5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682AB25D" w14:textId="57867653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1,207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(1</w:t>
            </w:r>
            <w:r>
              <w:rPr>
                <w:rFonts w:ascii="Garamond" w:hAnsi="Garamond"/>
                <w:sz w:val="20"/>
                <w:szCs w:val="20"/>
              </w:rPr>
              <w:t>2.5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763A692" w14:textId="20DA570F" w:rsidR="00B96BFC" w:rsidRDefault="00FE2A6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5.8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280C676" w14:textId="5C41C6E0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23,571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16.2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76CB7DB3" w14:textId="614A79A0" w:rsidTr="0069262E">
        <w:tc>
          <w:tcPr>
            <w:tcW w:w="3119" w:type="dxa"/>
          </w:tcPr>
          <w:p w14:paraId="497AF74E" w14:textId="5C65B33D" w:rsidR="00B96BFC" w:rsidRDefault="00CA262E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All </w:t>
            </w:r>
            <w:r w:rsidR="00B96BFC">
              <w:rPr>
                <w:rFonts w:ascii="Garamond" w:hAnsi="Garamond"/>
                <w:sz w:val="20"/>
                <w:szCs w:val="20"/>
              </w:rPr>
              <w:t>P</w:t>
            </w:r>
            <w:r>
              <w:rPr>
                <w:rFonts w:ascii="Garamond" w:hAnsi="Garamond"/>
                <w:sz w:val="20"/>
                <w:szCs w:val="20"/>
              </w:rPr>
              <w:t xml:space="preserve">ICU </w:t>
            </w:r>
            <w:r w:rsidR="00B96BFC">
              <w:rPr>
                <w:rFonts w:ascii="Garamond" w:hAnsi="Garamond"/>
                <w:sz w:val="20"/>
                <w:szCs w:val="20"/>
              </w:rPr>
              <w:t>patients</w:t>
            </w:r>
          </w:p>
        </w:tc>
        <w:tc>
          <w:tcPr>
            <w:tcW w:w="2835" w:type="dxa"/>
          </w:tcPr>
          <w:p w14:paraId="0D6E5A15" w14:textId="0739F2B4" w:rsidR="00B96BFC" w:rsidRDefault="0033600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6748">
              <w:rPr>
                <w:rFonts w:ascii="Garamond" w:hAnsi="Garamond"/>
                <w:sz w:val="20"/>
                <w:szCs w:val="20"/>
              </w:rPr>
              <w:t>(50.0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0C3520D3" w14:textId="0DEC5A1A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7,881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(81.</w:t>
            </w:r>
            <w:r>
              <w:rPr>
                <w:rFonts w:ascii="Garamond" w:hAnsi="Garamond"/>
                <w:sz w:val="20"/>
                <w:szCs w:val="20"/>
              </w:rPr>
              <w:t>8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D829CF0" w14:textId="31B4E781" w:rsidR="00B96BFC" w:rsidRDefault="00FE2A6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76.8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128EA63" w14:textId="1904C7B6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117,986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81.1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664FFF" w14:paraId="72140E7E" w14:textId="19B483BA" w:rsidTr="0069262E">
        <w:tc>
          <w:tcPr>
            <w:tcW w:w="3119" w:type="dxa"/>
          </w:tcPr>
          <w:p w14:paraId="77A2260C" w14:textId="7071A9B8" w:rsidR="00B96BFC" w:rsidRPr="00D03554" w:rsidRDefault="00B96BFC" w:rsidP="00EB2D6C">
            <w:pPr>
              <w:tabs>
                <w:tab w:val="left" w:pos="460"/>
                <w:tab w:val="left" w:pos="602"/>
              </w:tabs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Sepsis definition used</w:t>
            </w:r>
            <w:r w:rsidR="00483AFC">
              <w:rPr>
                <w:rFonts w:ascii="Garamond" w:hAnsi="Garamond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35" w:type="dxa"/>
          </w:tcPr>
          <w:p w14:paraId="229A9B77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D0109E9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4AD682" w14:textId="6D38F44C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2E2D0B" w14:textId="77777777" w:rsidR="00B96BFC" w:rsidRPr="00664FFF" w:rsidRDefault="00B96BFC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96BFC" w:rsidRPr="00706C43" w14:paraId="32F6CEF6" w14:textId="2F82E65C" w:rsidTr="0069262E">
        <w:tc>
          <w:tcPr>
            <w:tcW w:w="3119" w:type="dxa"/>
          </w:tcPr>
          <w:p w14:paraId="067CECBE" w14:textId="77777777" w:rsidR="00B96BFC" w:rsidRPr="00934A06" w:rsidRDefault="00B96BFC" w:rsidP="00EB2D6C">
            <w:pPr>
              <w:ind w:firstLine="318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2001 SCCM/ACCP criteria</w:t>
            </w:r>
          </w:p>
        </w:tc>
        <w:tc>
          <w:tcPr>
            <w:tcW w:w="2835" w:type="dxa"/>
          </w:tcPr>
          <w:p w14:paraId="0192D6F8" w14:textId="51BECB2D" w:rsidR="00B96BFC" w:rsidRPr="00706C43" w:rsidRDefault="0096124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3261" w:type="dxa"/>
          </w:tcPr>
          <w:p w14:paraId="724EB3FE" w14:textId="624BB3BF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94DA66E" w14:textId="6C80F3AE" w:rsidR="00B96BFC" w:rsidRDefault="00D50C8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10.1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4BCC3408" w14:textId="04BD6705" w:rsidR="00B96BFC" w:rsidRDefault="00703E1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2,317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(1.6)</w:t>
            </w:r>
          </w:p>
        </w:tc>
      </w:tr>
      <w:tr w:rsidR="00B96BFC" w:rsidRPr="00706C43" w14:paraId="78D0A807" w14:textId="73F50439" w:rsidTr="0069262E">
        <w:tc>
          <w:tcPr>
            <w:tcW w:w="3119" w:type="dxa"/>
          </w:tcPr>
          <w:p w14:paraId="416E8244" w14:textId="3339C718" w:rsidR="00B96BFC" w:rsidRPr="00706C43" w:rsidRDefault="00BE7E2B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2005 </w:t>
            </w:r>
            <w:r w:rsidR="00961242">
              <w:rPr>
                <w:rFonts w:ascii="Garamond" w:hAnsi="Garamond"/>
                <w:sz w:val="20"/>
                <w:szCs w:val="20"/>
              </w:rPr>
              <w:t>IPSCC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criteria</w:t>
            </w:r>
          </w:p>
        </w:tc>
        <w:tc>
          <w:tcPr>
            <w:tcW w:w="2835" w:type="dxa"/>
          </w:tcPr>
          <w:p w14:paraId="47884ECF" w14:textId="5F55F764" w:rsidR="00B96BFC" w:rsidRPr="00706C43" w:rsidRDefault="00F524B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75.0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7739FDDC" w14:textId="2123104E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3,116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(3</w:t>
            </w:r>
            <w:r>
              <w:rPr>
                <w:rFonts w:ascii="Garamond" w:hAnsi="Garamond"/>
                <w:sz w:val="20"/>
                <w:szCs w:val="20"/>
              </w:rPr>
              <w:t>2.4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3442873" w14:textId="71C31432" w:rsidR="00B96BFC" w:rsidRDefault="00D50C8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(6</w:t>
            </w:r>
            <w:r>
              <w:rPr>
                <w:rFonts w:ascii="Garamond" w:hAnsi="Garamond"/>
                <w:sz w:val="20"/>
                <w:szCs w:val="20"/>
              </w:rPr>
              <w:t>9.6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19AFFF70" w14:textId="6F4786A9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53,589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36.8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524BE" w:rsidRPr="00706C43" w14:paraId="5A14FDC0" w14:textId="4F71435A" w:rsidTr="0069262E">
        <w:tc>
          <w:tcPr>
            <w:tcW w:w="3119" w:type="dxa"/>
          </w:tcPr>
          <w:p w14:paraId="6ABAF65D" w14:textId="77777777" w:rsidR="00F524BE" w:rsidRPr="00706C43" w:rsidRDefault="00F524BE" w:rsidP="00F524BE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ACCM 2002</w:t>
            </w:r>
          </w:p>
        </w:tc>
        <w:tc>
          <w:tcPr>
            <w:tcW w:w="2835" w:type="dxa"/>
          </w:tcPr>
          <w:p w14:paraId="218A49B8" w14:textId="2DB22893" w:rsidR="00F524BE" w:rsidRPr="00706C43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3261" w:type="dxa"/>
          </w:tcPr>
          <w:p w14:paraId="7ACB2E9C" w14:textId="0489FFDF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513ADBF4" w14:textId="197F8DA3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(2.9)</w:t>
            </w:r>
          </w:p>
        </w:tc>
        <w:tc>
          <w:tcPr>
            <w:tcW w:w="1985" w:type="dxa"/>
          </w:tcPr>
          <w:p w14:paraId="4731ADE9" w14:textId="6AF7CC91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126 (0.1)</w:t>
            </w:r>
          </w:p>
        </w:tc>
      </w:tr>
      <w:tr w:rsidR="00F524BE" w:rsidRPr="00706C43" w14:paraId="0A8A2CE5" w14:textId="57E991CB" w:rsidTr="0069262E">
        <w:tc>
          <w:tcPr>
            <w:tcW w:w="3119" w:type="dxa"/>
          </w:tcPr>
          <w:p w14:paraId="72578DFB" w14:textId="77777777" w:rsidR="00F524BE" w:rsidRPr="00706C43" w:rsidRDefault="00F524BE" w:rsidP="00F524BE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ACCM 2007</w:t>
            </w:r>
          </w:p>
        </w:tc>
        <w:tc>
          <w:tcPr>
            <w:tcW w:w="2835" w:type="dxa"/>
          </w:tcPr>
          <w:p w14:paraId="23EED138" w14:textId="61A5E2D1" w:rsidR="00F524BE" w:rsidRPr="00706C43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3261" w:type="dxa"/>
          </w:tcPr>
          <w:p w14:paraId="18761478" w14:textId="0663A4EA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1BDD0EB6" w14:textId="3D392703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(1.4)</w:t>
            </w:r>
          </w:p>
        </w:tc>
        <w:tc>
          <w:tcPr>
            <w:tcW w:w="1985" w:type="dxa"/>
          </w:tcPr>
          <w:p w14:paraId="368B03E5" w14:textId="3CED1197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1,299 (0.9)</w:t>
            </w:r>
          </w:p>
        </w:tc>
      </w:tr>
      <w:tr w:rsidR="00F524BE" w:rsidRPr="00706C43" w14:paraId="65FA2311" w14:textId="0E21384B" w:rsidTr="0069262E">
        <w:tc>
          <w:tcPr>
            <w:tcW w:w="3119" w:type="dxa"/>
          </w:tcPr>
          <w:p w14:paraId="71E8F952" w14:textId="77777777" w:rsidR="00F524BE" w:rsidRPr="00706C43" w:rsidRDefault="00F524BE" w:rsidP="00F524BE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ICD-9 codes</w:t>
            </w:r>
          </w:p>
        </w:tc>
        <w:tc>
          <w:tcPr>
            <w:tcW w:w="2835" w:type="dxa"/>
          </w:tcPr>
          <w:p w14:paraId="11B1BE78" w14:textId="4EF74517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3261" w:type="dxa"/>
          </w:tcPr>
          <w:p w14:paraId="52B6D38B" w14:textId="5FF49152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6AE4C8D9" w14:textId="29D898EC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(8.7)</w:t>
            </w:r>
          </w:p>
        </w:tc>
        <w:tc>
          <w:tcPr>
            <w:tcW w:w="1985" w:type="dxa"/>
          </w:tcPr>
          <w:p w14:paraId="2B794F64" w14:textId="654E3A7B" w:rsidR="00F524BE" w:rsidRDefault="00F524BE" w:rsidP="00F524B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86,594 (59.5)</w:t>
            </w:r>
          </w:p>
        </w:tc>
      </w:tr>
      <w:tr w:rsidR="00B96BFC" w:rsidRPr="00706C43" w14:paraId="535DA5D2" w14:textId="67E7875E" w:rsidTr="0069262E">
        <w:tc>
          <w:tcPr>
            <w:tcW w:w="3119" w:type="dxa"/>
          </w:tcPr>
          <w:p w14:paraId="54492E84" w14:textId="5B783213" w:rsidR="00B96BFC" w:rsidRPr="00706C43" w:rsidRDefault="00B96BFC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Bone criteria</w:t>
            </w:r>
          </w:p>
        </w:tc>
        <w:tc>
          <w:tcPr>
            <w:tcW w:w="2835" w:type="dxa"/>
          </w:tcPr>
          <w:p w14:paraId="168A6F66" w14:textId="06B9549F" w:rsidR="00B96BFC" w:rsidRDefault="00F524B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6.3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0A73088D" w14:textId="7A75624B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(0.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7E04FAE" w14:textId="2F6126A7" w:rsidR="00B96BFC" w:rsidRDefault="00D50C8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1.4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8410B66" w14:textId="0BD14D50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359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0.2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706C43" w14:paraId="19A9FBBA" w14:textId="325F1143" w:rsidTr="0069262E">
        <w:tc>
          <w:tcPr>
            <w:tcW w:w="3119" w:type="dxa"/>
          </w:tcPr>
          <w:p w14:paraId="4AAF3A70" w14:textId="77777777" w:rsidR="00B96BFC" w:rsidRDefault="00B96BFC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Sepsis-3</w:t>
            </w:r>
          </w:p>
        </w:tc>
        <w:tc>
          <w:tcPr>
            <w:tcW w:w="2835" w:type="dxa"/>
          </w:tcPr>
          <w:p w14:paraId="3F61A9AA" w14:textId="484D645D" w:rsidR="00B96BFC" w:rsidRDefault="00F524B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6.3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15D248D0" w14:textId="7ABE3F71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6,303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65.5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0B6A378" w14:textId="7C750768" w:rsidR="00B96BFC" w:rsidRDefault="00D50C8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1.4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425FC94" w14:textId="0FA9875E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788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(0</w:t>
            </w:r>
            <w:r>
              <w:rPr>
                <w:rFonts w:ascii="Garamond" w:hAnsi="Garamond"/>
                <w:sz w:val="20"/>
                <w:szCs w:val="20"/>
              </w:rPr>
              <w:t>.5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B96BFC" w:rsidRPr="00706C43" w14:paraId="666D8308" w14:textId="405766F3" w:rsidTr="0069262E">
        <w:tc>
          <w:tcPr>
            <w:tcW w:w="3119" w:type="dxa"/>
          </w:tcPr>
          <w:p w14:paraId="292ACCD6" w14:textId="77777777" w:rsidR="00B96BFC" w:rsidRPr="00C83802" w:rsidRDefault="00B96BFC" w:rsidP="00EB2D6C">
            <w:pPr>
              <w:ind w:firstLine="321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Other</w:t>
            </w:r>
          </w:p>
        </w:tc>
        <w:tc>
          <w:tcPr>
            <w:tcW w:w="2835" w:type="dxa"/>
          </w:tcPr>
          <w:p w14:paraId="6A010568" w14:textId="3563B687" w:rsidR="00B96BFC" w:rsidRPr="00D03554" w:rsidRDefault="00F524BE" w:rsidP="00EB2D6C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12.5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  <w:r w:rsidR="00483AFC">
              <w:rPr>
                <w:rFonts w:ascii="Garamond" w:hAnsi="Garamond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61" w:type="dxa"/>
          </w:tcPr>
          <w:p w14:paraId="18DEBF57" w14:textId="5DC98556" w:rsidR="00B96BFC" w:rsidRDefault="0076606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1.4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439548D" w14:textId="328231E3" w:rsidR="00B96BFC" w:rsidRPr="00D03554" w:rsidRDefault="00D50C8A" w:rsidP="00EB2D6C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B96BFC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4.3</w:t>
            </w:r>
            <w:r w:rsidR="00B96BFC">
              <w:rPr>
                <w:rFonts w:ascii="Garamond" w:hAnsi="Garamond"/>
                <w:sz w:val="20"/>
                <w:szCs w:val="20"/>
              </w:rPr>
              <w:t>)</w:t>
            </w:r>
            <w:r w:rsidR="00483AFC">
              <w:rPr>
                <w:rFonts w:ascii="Garamond" w:hAnsi="Garamond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985" w:type="dxa"/>
          </w:tcPr>
          <w:p w14:paraId="7415400E" w14:textId="0D607BFC" w:rsidR="00B96BFC" w:rsidRDefault="00271E49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389</w:t>
            </w:r>
            <w:r w:rsidR="000362D4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0.3</w:t>
            </w:r>
            <w:r w:rsidR="000362D4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</w:tbl>
    <w:p w14:paraId="1248B3A2" w14:textId="6A8DA0C7" w:rsidR="00E76BA8" w:rsidRDefault="00E76BA8" w:rsidP="00E76BA8">
      <w:pPr>
        <w:tabs>
          <w:tab w:val="left" w:pos="142"/>
          <w:tab w:val="left" w:pos="284"/>
        </w:tabs>
        <w:ind w:left="-284"/>
        <w:rPr>
          <w:rFonts w:ascii="Garamond" w:hAnsi="Garamond"/>
          <w:sz w:val="20"/>
          <w:szCs w:val="20"/>
        </w:rPr>
      </w:pPr>
      <w:r w:rsidRPr="004A6B53">
        <w:rPr>
          <w:rFonts w:ascii="Garamond" w:hAnsi="Garamond"/>
          <w:sz w:val="20"/>
          <w:szCs w:val="20"/>
          <w:vertAlign w:val="superscript"/>
        </w:rPr>
        <w:t>a</w:t>
      </w:r>
      <w:r w:rsidR="00544229">
        <w:rPr>
          <w:rFonts w:ascii="Garamond" w:hAnsi="Garamond"/>
          <w:sz w:val="20"/>
          <w:szCs w:val="20"/>
        </w:rPr>
        <w:t>Values for a</w:t>
      </w:r>
      <w:r w:rsidRPr="004A6B53">
        <w:rPr>
          <w:rFonts w:ascii="Garamond" w:hAnsi="Garamond"/>
          <w:sz w:val="20"/>
          <w:szCs w:val="20"/>
        </w:rPr>
        <w:t xml:space="preserve">ge groups </w:t>
      </w:r>
      <w:r w:rsidR="00544229">
        <w:rPr>
          <w:rFonts w:ascii="Garamond" w:hAnsi="Garamond"/>
          <w:sz w:val="20"/>
          <w:szCs w:val="20"/>
        </w:rPr>
        <w:t xml:space="preserve">from eligible articles </w:t>
      </w:r>
      <w:r w:rsidRPr="004A6B53">
        <w:rPr>
          <w:rFonts w:ascii="Garamond" w:hAnsi="Garamond"/>
          <w:sz w:val="20"/>
          <w:szCs w:val="20"/>
        </w:rPr>
        <w:t>were</w:t>
      </w:r>
      <w:r w:rsidR="00544229">
        <w:rPr>
          <w:rFonts w:ascii="Garamond" w:hAnsi="Garamond"/>
          <w:sz w:val="20"/>
          <w:szCs w:val="20"/>
        </w:rPr>
        <w:t xml:space="preserve"> included in category that provided the closest approximation to the classification used in the article</w:t>
      </w:r>
      <w:r w:rsidRPr="004A6B53">
        <w:rPr>
          <w:rFonts w:ascii="Garamond" w:hAnsi="Garamond"/>
          <w:sz w:val="20"/>
          <w:szCs w:val="20"/>
        </w:rPr>
        <w:t>.</w:t>
      </w:r>
      <w:r w:rsidR="005F0BE5">
        <w:rPr>
          <w:rFonts w:ascii="Garamond" w:hAnsi="Garamond"/>
          <w:sz w:val="20"/>
          <w:szCs w:val="20"/>
        </w:rPr>
        <w:t xml:space="preserve"> Articles could have patients from more than one age group resulting in totals being greater than 100%.</w:t>
      </w:r>
    </w:p>
    <w:p w14:paraId="24D92AA1" w14:textId="3756F3E6" w:rsidR="00C4353F" w:rsidRPr="00C45A75" w:rsidRDefault="00483AFC" w:rsidP="00C4353F">
      <w:pPr>
        <w:ind w:left="-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  <w:lang w:val="fr-CA"/>
        </w:rPr>
        <w:t>b</w:t>
      </w:r>
      <w:r w:rsidR="00C4353F" w:rsidRPr="00483AFC">
        <w:rPr>
          <w:rFonts w:ascii="Garamond" w:hAnsi="Garamond"/>
          <w:sz w:val="20"/>
          <w:szCs w:val="20"/>
          <w:lang w:val="fr-CA"/>
        </w:rPr>
        <w:t xml:space="preserve">1. Bone RC et al. </w:t>
      </w:r>
      <w:r w:rsidR="00C4353F" w:rsidRPr="00C45A75">
        <w:rPr>
          <w:rFonts w:ascii="Garamond" w:hAnsi="Garamond"/>
          <w:sz w:val="20"/>
          <w:szCs w:val="20"/>
        </w:rPr>
        <w:t>Definitions for sepsis and organ failure and guidelines for the use</w:t>
      </w:r>
      <w:r w:rsidR="00C4353F">
        <w:rPr>
          <w:rFonts w:ascii="Garamond" w:hAnsi="Garamond"/>
          <w:sz w:val="20"/>
          <w:szCs w:val="20"/>
        </w:rPr>
        <w:t xml:space="preserve"> </w:t>
      </w:r>
      <w:r w:rsidR="00C4353F" w:rsidRPr="00C45A75">
        <w:rPr>
          <w:rFonts w:ascii="Garamond" w:hAnsi="Garamond"/>
          <w:sz w:val="20"/>
          <w:szCs w:val="20"/>
        </w:rPr>
        <w:t>of innovative therapies in sepsis. The ACCP/SCCM Consensus Conference Committee.</w:t>
      </w:r>
      <w:r w:rsidR="00C4353F">
        <w:rPr>
          <w:rFonts w:ascii="Garamond" w:hAnsi="Garamond"/>
          <w:sz w:val="20"/>
          <w:szCs w:val="20"/>
        </w:rPr>
        <w:t xml:space="preserve"> </w:t>
      </w:r>
      <w:r w:rsidR="00C4353F" w:rsidRPr="00C45A75">
        <w:rPr>
          <w:rFonts w:ascii="Garamond" w:hAnsi="Garamond"/>
          <w:sz w:val="20"/>
          <w:szCs w:val="20"/>
        </w:rPr>
        <w:t>American College of Chest Physicians/Society of Critical Care</w:t>
      </w:r>
      <w:r w:rsidR="00C4353F">
        <w:rPr>
          <w:rFonts w:ascii="Garamond" w:hAnsi="Garamond"/>
          <w:sz w:val="20"/>
          <w:szCs w:val="20"/>
        </w:rPr>
        <w:t xml:space="preserve"> </w:t>
      </w:r>
      <w:r w:rsidR="00C4353F" w:rsidRPr="00C45A75">
        <w:rPr>
          <w:rFonts w:ascii="Garamond" w:hAnsi="Garamond"/>
          <w:sz w:val="20"/>
          <w:szCs w:val="20"/>
        </w:rPr>
        <w:t xml:space="preserve">Medicine. Chest. 1992 Jun;101(6):1644-55. </w:t>
      </w:r>
      <w:r w:rsidR="00C4353F">
        <w:rPr>
          <w:rFonts w:ascii="Garamond" w:hAnsi="Garamond"/>
          <w:sz w:val="20"/>
          <w:szCs w:val="20"/>
        </w:rPr>
        <w:t xml:space="preserve"> </w:t>
      </w:r>
      <w:r w:rsidR="00C4353F" w:rsidRPr="00C45A75">
        <w:rPr>
          <w:rFonts w:ascii="Garamond" w:hAnsi="Garamond"/>
          <w:sz w:val="20"/>
          <w:szCs w:val="20"/>
        </w:rPr>
        <w:t>2. Levy MM et al. SCCM/ESICM/ACCP/ATS/SIS. 2001 SCCM/ESICM/ACCP/ATS/SIS International Sepsis Definitions Conference. Crit Care Med. 2003 Apr;31(4):1250-6. 3. Carcillo JA et al. Clinical practice parameters for hemodynamic support of pediatric and neonatal patients in septic shock. Crit Care Med. 2002 Jun;30(6):1365-78.</w:t>
      </w:r>
      <w:r w:rsidR="00C4353F">
        <w:rPr>
          <w:rFonts w:ascii="Garamond" w:hAnsi="Garamond"/>
          <w:sz w:val="20"/>
          <w:szCs w:val="20"/>
        </w:rPr>
        <w:t xml:space="preserve"> </w:t>
      </w:r>
      <w:r w:rsidR="00C4353F" w:rsidRPr="00C45A75">
        <w:rPr>
          <w:rFonts w:ascii="Garamond" w:hAnsi="Garamond"/>
          <w:sz w:val="20"/>
          <w:szCs w:val="20"/>
        </w:rPr>
        <w:t xml:space="preserve">4. Goldstein B et al. International Consensus Conference </w:t>
      </w:r>
      <w:r w:rsidR="00C4353F" w:rsidRPr="00C45A75">
        <w:rPr>
          <w:rFonts w:ascii="Garamond" w:hAnsi="Garamond"/>
          <w:sz w:val="20"/>
          <w:szCs w:val="20"/>
        </w:rPr>
        <w:lastRenderedPageBreak/>
        <w:t>on Pediatric Sepsis. International pediatric sepsis consensus conference: definitions for sepsis and organ dysfunction in pediatrics. Pediatr Crit Care Med. 2005 Jan;6(1):2-8. 5. Brierley J et al. Clinical practice parameters for hemodynamic support of pediatric and neonatal septic shock: 2007 update from the American College of Critical Care Medicine. Crit Care Med. 2009 Feb;37(2):666-88. 6. Singer M et al. The Third International Consensus Definitions for Sepsis and Septic Shock</w:t>
      </w:r>
    </w:p>
    <w:p w14:paraId="7F856485" w14:textId="3A45312A" w:rsidR="00D03554" w:rsidRPr="00C4353F" w:rsidRDefault="00C4353F" w:rsidP="00C4353F">
      <w:pPr>
        <w:tabs>
          <w:tab w:val="left" w:pos="142"/>
          <w:tab w:val="left" w:pos="284"/>
        </w:tabs>
        <w:ind w:left="-284"/>
        <w:rPr>
          <w:rFonts w:ascii="Garamond" w:hAnsi="Garamond"/>
          <w:sz w:val="20"/>
          <w:szCs w:val="20"/>
        </w:rPr>
      </w:pPr>
      <w:r w:rsidRPr="00C45A75">
        <w:rPr>
          <w:rFonts w:ascii="Garamond" w:hAnsi="Garamond"/>
          <w:sz w:val="20"/>
          <w:szCs w:val="20"/>
        </w:rPr>
        <w:t>(Sepsis-3). JAMA. 2016 Feb 23;315(8):801-10.</w:t>
      </w:r>
    </w:p>
    <w:p w14:paraId="0A91D1AA" w14:textId="4505FFB2" w:rsidR="00E76BA8" w:rsidRDefault="00483AFC" w:rsidP="00E76BA8">
      <w:pPr>
        <w:tabs>
          <w:tab w:val="left" w:pos="142"/>
          <w:tab w:val="left" w:pos="284"/>
        </w:tabs>
        <w:ind w:left="-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>c</w:t>
      </w:r>
      <w:r w:rsidR="00E76BA8" w:rsidRPr="004A6B53">
        <w:rPr>
          <w:rFonts w:ascii="Garamond" w:hAnsi="Garamond"/>
          <w:sz w:val="20"/>
          <w:szCs w:val="20"/>
        </w:rPr>
        <w:t xml:space="preserve">Three papers referred to hospital guidelines and one </w:t>
      </w:r>
      <w:r w:rsidR="00E76BA8">
        <w:rPr>
          <w:rFonts w:ascii="Garamond" w:hAnsi="Garamond"/>
          <w:sz w:val="20"/>
          <w:szCs w:val="20"/>
        </w:rPr>
        <w:t xml:space="preserve">defined sepsis </w:t>
      </w:r>
      <w:r w:rsidR="00E76BA8" w:rsidRPr="004A6B53">
        <w:rPr>
          <w:rFonts w:ascii="Garamond" w:hAnsi="Garamond"/>
          <w:sz w:val="20"/>
          <w:szCs w:val="20"/>
        </w:rPr>
        <w:t>as tachycardia plus hypothermia (35.0°C) or hyperthermia (38.5°C), or abnormal WBC count plus poor peripheral perfusion (mean arterial pressure 50 mm of Hg and/or absent peripheral pulses or capillary refilling time !3 seconds) in the absence of clinical dehydration</w:t>
      </w:r>
      <w:r w:rsidR="00E76BA8">
        <w:rPr>
          <w:rFonts w:ascii="Garamond" w:hAnsi="Garamond"/>
          <w:sz w:val="20"/>
          <w:szCs w:val="20"/>
        </w:rPr>
        <w:t>.</w:t>
      </w:r>
      <w:r w:rsidR="00E76BA8" w:rsidRPr="004A6B53">
        <w:rPr>
          <w:rFonts w:ascii="Garamond" w:hAnsi="Garamond"/>
          <w:sz w:val="20"/>
          <w:szCs w:val="20"/>
        </w:rPr>
        <w:t xml:space="preserve"> </w:t>
      </w:r>
    </w:p>
    <w:p w14:paraId="17251152" w14:textId="4239E662" w:rsidR="00E76BA8" w:rsidRDefault="00483AFC" w:rsidP="00E76BA8">
      <w:pPr>
        <w:tabs>
          <w:tab w:val="left" w:pos="142"/>
          <w:tab w:val="left" w:pos="284"/>
        </w:tabs>
        <w:ind w:left="-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>d</w:t>
      </w:r>
      <w:r w:rsidR="00E76BA8">
        <w:rPr>
          <w:rFonts w:ascii="Garamond" w:hAnsi="Garamond"/>
          <w:sz w:val="20"/>
          <w:szCs w:val="20"/>
        </w:rPr>
        <w:t xml:space="preserve">One paper used </w:t>
      </w:r>
      <w:r w:rsidR="00E76BA8" w:rsidRPr="006B49C1">
        <w:rPr>
          <w:rFonts w:ascii="Garamond" w:hAnsi="Garamond"/>
          <w:sz w:val="20"/>
          <w:szCs w:val="20"/>
        </w:rPr>
        <w:t>Carrol ED</w:t>
      </w:r>
      <w:r w:rsidR="00E76BA8">
        <w:rPr>
          <w:rFonts w:ascii="Garamond" w:hAnsi="Garamond"/>
          <w:sz w:val="20"/>
          <w:szCs w:val="20"/>
        </w:rPr>
        <w:t xml:space="preserve"> </w:t>
      </w:r>
      <w:r w:rsidR="00E76BA8" w:rsidRPr="006B49C1">
        <w:rPr>
          <w:rFonts w:ascii="Garamond" w:hAnsi="Garamond"/>
          <w:sz w:val="20"/>
          <w:szCs w:val="20"/>
        </w:rPr>
        <w:t>et al: The role of RANTES in meningococcal disease. J Infect Dis 2000; 182:363-366</w:t>
      </w:r>
      <w:r w:rsidR="00E76BA8">
        <w:rPr>
          <w:rFonts w:ascii="Garamond" w:hAnsi="Garamond"/>
          <w:sz w:val="20"/>
          <w:szCs w:val="20"/>
        </w:rPr>
        <w:t xml:space="preserve"> and one referenced </w:t>
      </w:r>
      <w:r w:rsidR="00E76BA8" w:rsidRPr="006B49C1">
        <w:rPr>
          <w:rFonts w:ascii="Garamond" w:hAnsi="Garamond"/>
          <w:sz w:val="20"/>
          <w:szCs w:val="20"/>
        </w:rPr>
        <w:t>Abraham E</w:t>
      </w:r>
      <w:r w:rsidR="00E76BA8">
        <w:rPr>
          <w:rFonts w:ascii="Garamond" w:hAnsi="Garamond"/>
          <w:sz w:val="20"/>
          <w:szCs w:val="20"/>
        </w:rPr>
        <w:t xml:space="preserve"> </w:t>
      </w:r>
      <w:r w:rsidR="00E76BA8" w:rsidRPr="006B49C1">
        <w:rPr>
          <w:rFonts w:ascii="Garamond" w:hAnsi="Garamond"/>
          <w:sz w:val="20"/>
          <w:szCs w:val="20"/>
        </w:rPr>
        <w:t>et al: Consensus conference definitions for sepsis, septic shock, acute lung injury, and acute respiratory distress syndrome: Time for a re</w:t>
      </w:r>
      <w:r w:rsidR="00E76BA8">
        <w:rPr>
          <w:rFonts w:ascii="Garamond" w:hAnsi="Garamond"/>
          <w:sz w:val="20"/>
          <w:szCs w:val="20"/>
        </w:rPr>
        <w:t>-</w:t>
      </w:r>
      <w:r w:rsidR="00E76BA8" w:rsidRPr="006B49C1">
        <w:rPr>
          <w:rFonts w:ascii="Garamond" w:hAnsi="Garamond"/>
          <w:sz w:val="20"/>
          <w:szCs w:val="20"/>
        </w:rPr>
        <w:t>evaluation. Crit Care Med 2000; 28:232-235</w:t>
      </w:r>
      <w:r w:rsidR="00E76BA8">
        <w:rPr>
          <w:rFonts w:ascii="Garamond" w:hAnsi="Garamond"/>
          <w:sz w:val="20"/>
          <w:szCs w:val="20"/>
        </w:rPr>
        <w:t>.</w:t>
      </w:r>
    </w:p>
    <w:p w14:paraId="2B87C25F" w14:textId="62E8F986" w:rsidR="00483AFC" w:rsidRDefault="00483AFC" w:rsidP="00E76BA8">
      <w:pPr>
        <w:tabs>
          <w:tab w:val="left" w:pos="142"/>
          <w:tab w:val="left" w:pos="284"/>
        </w:tabs>
        <w:ind w:left="-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>e</w:t>
      </w:r>
      <w:r>
        <w:rPr>
          <w:rFonts w:ascii="Garamond" w:hAnsi="Garamond"/>
          <w:sz w:val="20"/>
          <w:szCs w:val="20"/>
        </w:rPr>
        <w:t>Abbreviations: SCCM = Society of Critical Care Medicine; ACCP = American College of Chest Physicians; ACCM = American College of Critical Care Medicine; ICD-International Classification of Diseases; IPSCC = International Pediatric Sepsis Consensus Conference; PICU = Pediatric Intensive Unit.</w:t>
      </w:r>
    </w:p>
    <w:p w14:paraId="517C0936" w14:textId="77777777" w:rsidR="008B5C07" w:rsidRDefault="008B5C07"/>
    <w:sectPr w:rsidR="008B5C07" w:rsidSect="009D4CBF">
      <w:pgSz w:w="15840" w:h="12240" w:orient="landscape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A8"/>
    <w:rsid w:val="000362D4"/>
    <w:rsid w:val="000373BA"/>
    <w:rsid w:val="000D4CD4"/>
    <w:rsid w:val="001308C4"/>
    <w:rsid w:val="00167180"/>
    <w:rsid w:val="002111BC"/>
    <w:rsid w:val="00271E49"/>
    <w:rsid w:val="002B535B"/>
    <w:rsid w:val="002B73C5"/>
    <w:rsid w:val="003257DD"/>
    <w:rsid w:val="0033600B"/>
    <w:rsid w:val="003D4DD2"/>
    <w:rsid w:val="00440F07"/>
    <w:rsid w:val="00483AFC"/>
    <w:rsid w:val="004E1FEB"/>
    <w:rsid w:val="004F0C20"/>
    <w:rsid w:val="00502E6A"/>
    <w:rsid w:val="0050728F"/>
    <w:rsid w:val="00544229"/>
    <w:rsid w:val="005A45F5"/>
    <w:rsid w:val="005F0BE5"/>
    <w:rsid w:val="0069262E"/>
    <w:rsid w:val="00703E15"/>
    <w:rsid w:val="00766068"/>
    <w:rsid w:val="00770CEF"/>
    <w:rsid w:val="007A7893"/>
    <w:rsid w:val="008B5C07"/>
    <w:rsid w:val="008E37F9"/>
    <w:rsid w:val="00961242"/>
    <w:rsid w:val="009B2D27"/>
    <w:rsid w:val="009F6748"/>
    <w:rsid w:val="00A05F93"/>
    <w:rsid w:val="00B96BFC"/>
    <w:rsid w:val="00BE7E2B"/>
    <w:rsid w:val="00C4353F"/>
    <w:rsid w:val="00C67B49"/>
    <w:rsid w:val="00CA262E"/>
    <w:rsid w:val="00CD42CD"/>
    <w:rsid w:val="00D03554"/>
    <w:rsid w:val="00D03726"/>
    <w:rsid w:val="00D47ED2"/>
    <w:rsid w:val="00D50C8A"/>
    <w:rsid w:val="00DA6EBE"/>
    <w:rsid w:val="00E76BA8"/>
    <w:rsid w:val="00F524BE"/>
    <w:rsid w:val="00FC2223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5692C"/>
  <w15:chartTrackingRefBased/>
  <w15:docId w15:val="{E52C627C-C12A-3045-9E61-4EC1328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 Menon</dc:creator>
  <cp:keywords/>
  <dc:description/>
  <cp:lastModifiedBy>Baeuerlein, Christopher</cp:lastModifiedBy>
  <cp:revision>4</cp:revision>
  <dcterms:created xsi:type="dcterms:W3CDTF">2021-05-03T15:32:00Z</dcterms:created>
  <dcterms:modified xsi:type="dcterms:W3CDTF">2021-08-05T12:17:00Z</dcterms:modified>
</cp:coreProperties>
</file>