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1A3" w:rsidR="007E761C" w:rsidP="007E761C" w:rsidRDefault="007E761C" w14:paraId="53450484" w14:textId="77777777">
      <w:pPr>
        <w:jc w:val="center"/>
        <w:divId w:val="372769959"/>
        <w:rPr>
          <w:rFonts w:cstheme="minorHAnsi"/>
          <w:b/>
          <w:szCs w:val="22"/>
          <w:lang w:eastAsia="it-IT"/>
        </w:rPr>
      </w:pPr>
      <w:bookmarkStart w:name="_Toc58338689" w:id="0"/>
    </w:p>
    <w:p w:rsidRPr="00F620FC" w:rsidR="007E761C" w:rsidP="007E761C" w:rsidRDefault="007E761C" w14:paraId="19CB1499" w14:textId="77777777">
      <w:pPr>
        <w:jc w:val="center"/>
        <w:divId w:val="372769959"/>
        <w:rPr>
          <w:rFonts w:cstheme="minorHAnsi"/>
          <w:b/>
          <w:szCs w:val="22"/>
          <w:lang w:eastAsia="it-IT"/>
        </w:rPr>
      </w:pPr>
      <w:r w:rsidRPr="00F620FC">
        <w:rPr>
          <w:rFonts w:cstheme="minorHAnsi"/>
          <w:b/>
          <w:szCs w:val="22"/>
          <w:lang w:eastAsia="it-IT"/>
        </w:rPr>
        <w:t>International Guidelines for Management of Sepsis and Septic Shock</w:t>
      </w:r>
    </w:p>
    <w:p w:rsidRPr="00F620FC" w:rsidR="007E761C" w:rsidP="007E761C" w:rsidRDefault="007E761C" w14:paraId="1EE1E07D" w14:textId="77777777">
      <w:pPr>
        <w:tabs>
          <w:tab w:val="right" w:leader="dot" w:pos="8640"/>
        </w:tabs>
        <w:jc w:val="center"/>
        <w:divId w:val="372769959"/>
        <w:rPr>
          <w:rFonts w:cstheme="minorHAnsi"/>
          <w:szCs w:val="22"/>
          <w:lang w:eastAsia="it-IT"/>
        </w:rPr>
      </w:pPr>
    </w:p>
    <w:p w:rsidRPr="00F620FC" w:rsidR="007E761C" w:rsidP="007E761C" w:rsidRDefault="007E761C" w14:paraId="5A6DEA02" w14:textId="77777777">
      <w:pPr>
        <w:jc w:val="center"/>
        <w:divId w:val="372769959"/>
        <w:rPr>
          <w:rFonts w:cstheme="minorHAnsi"/>
          <w:szCs w:val="22"/>
          <w:lang w:eastAsia="it-IT"/>
        </w:rPr>
      </w:pPr>
    </w:p>
    <w:p w:rsidR="007E761C" w:rsidP="70248028" w:rsidRDefault="007E761C" w14:paraId="45B73D52" w14:textId="1A077C9F">
      <w:pPr>
        <w:jc w:val="center"/>
        <w:divId w:val="372769959"/>
        <w:rPr>
          <w:rFonts w:cs="Calibri" w:cstheme="minorAscii"/>
          <w:b w:val="1"/>
          <w:bCs w:val="1"/>
          <w:lang w:eastAsia="it-IT"/>
        </w:rPr>
      </w:pPr>
      <w:r w:rsidRPr="70248028" w:rsidR="007E761C">
        <w:rPr>
          <w:rFonts w:cs="Calibri" w:cstheme="minorAscii"/>
          <w:b w:val="1"/>
          <w:bCs w:val="1"/>
          <w:lang w:eastAsia="it-IT"/>
        </w:rPr>
        <w:t>Surviving Sepsis Campaign: International Guidelines for Management of Sepsis and Septic Shock: 202</w:t>
      </w:r>
      <w:r w:rsidRPr="70248028" w:rsidR="101D91E7">
        <w:rPr>
          <w:rFonts w:cs="Calibri" w:cstheme="minorAscii"/>
          <w:b w:val="1"/>
          <w:bCs w:val="1"/>
          <w:lang w:eastAsia="it-IT"/>
        </w:rPr>
        <w:t>1</w:t>
      </w:r>
    </w:p>
    <w:p w:rsidR="007E761C" w:rsidP="007E761C" w:rsidRDefault="007E761C" w14:paraId="21B85087" w14:textId="77777777">
      <w:pPr>
        <w:jc w:val="center"/>
        <w:divId w:val="372769959"/>
        <w:rPr>
          <w:rFonts w:cstheme="minorHAnsi"/>
          <w:b/>
          <w:szCs w:val="22"/>
          <w:lang w:eastAsia="it-IT"/>
        </w:rPr>
      </w:pPr>
    </w:p>
    <w:p w:rsidR="007E761C" w:rsidP="007E761C" w:rsidRDefault="007E761C" w14:paraId="36F60770" w14:textId="4E6BA28A">
      <w:pPr>
        <w:jc w:val="center"/>
        <w:divId w:val="372769959"/>
        <w:rPr>
          <w:rFonts w:cstheme="minorHAnsi"/>
          <w:b/>
          <w:szCs w:val="22"/>
          <w:lang w:eastAsia="it-IT"/>
        </w:rPr>
      </w:pPr>
      <w:r>
        <w:rPr>
          <w:rFonts w:cstheme="minorHAnsi"/>
          <w:b/>
          <w:szCs w:val="22"/>
          <w:lang w:eastAsia="it-IT"/>
        </w:rPr>
        <w:t>Appendix 4. Ventilation</w:t>
      </w:r>
    </w:p>
    <w:p w:rsidRPr="00F620FC" w:rsidR="007E761C" w:rsidP="007E761C" w:rsidRDefault="007E761C" w14:paraId="1788169A" w14:textId="77777777">
      <w:pPr>
        <w:jc w:val="center"/>
        <w:divId w:val="372769959"/>
        <w:rPr>
          <w:rFonts w:cstheme="minorHAnsi"/>
          <w:b/>
          <w:szCs w:val="22"/>
          <w:lang w:eastAsia="it-IT"/>
        </w:rPr>
      </w:pPr>
    </w:p>
    <w:p w:rsidRPr="00F620FC" w:rsidR="007E761C" w:rsidP="007E761C" w:rsidRDefault="007E761C" w14:paraId="5AD7CD4A" w14:textId="77777777">
      <w:pPr>
        <w:jc w:val="center"/>
        <w:divId w:val="372769959"/>
        <w:rPr>
          <w:szCs w:val="22"/>
        </w:rPr>
      </w:pPr>
    </w:p>
    <w:p w:rsidRPr="00F620FC" w:rsidR="007E761C" w:rsidP="007E761C" w:rsidRDefault="007E761C" w14:paraId="23EB6454" w14:textId="77777777">
      <w:pPr>
        <w:spacing w:line="360" w:lineRule="auto"/>
        <w:jc w:val="center"/>
        <w:divId w:val="372769959"/>
        <w:rPr>
          <w:sz w:val="22"/>
          <w:szCs w:val="22"/>
        </w:rPr>
      </w:pPr>
      <w:r w:rsidRPr="00F620FC">
        <w:rPr>
          <w:sz w:val="22"/>
          <w:szCs w:val="22"/>
        </w:rPr>
        <w:t>Laura Evans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Andrew Rhodes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sz w:val="22"/>
          <w:szCs w:val="22"/>
        </w:rPr>
        <w:t>, Waleed Alhazzani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Massimo Antonelli</w:t>
      </w:r>
      <w:r w:rsidRPr="00F620FC">
        <w:rPr>
          <w:rStyle w:val="EndnoteReference"/>
          <w:color w:val="000000"/>
          <w:sz w:val="22"/>
          <w:szCs w:val="22"/>
        </w:rPr>
        <w:t>4,</w:t>
      </w:r>
      <w:r w:rsidRPr="00F620FC">
        <w:rPr>
          <w:sz w:val="22"/>
          <w:szCs w:val="22"/>
        </w:rPr>
        <w:t xml:space="preserve"> Craig M Coopersmith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Craig French</w:t>
      </w:r>
      <w:r w:rsidRPr="00F620FC">
        <w:rPr>
          <w:rStyle w:val="EndnoteReference"/>
          <w:color w:val="000000"/>
          <w:sz w:val="22"/>
          <w:szCs w:val="22"/>
        </w:rPr>
        <w:t>6</w:t>
      </w:r>
      <w:r w:rsidRPr="00F620FC">
        <w:rPr>
          <w:sz w:val="22"/>
          <w:szCs w:val="22"/>
        </w:rPr>
        <w:t>, Flávia R. Machado</w:t>
      </w:r>
      <w:r w:rsidRPr="00F620FC">
        <w:rPr>
          <w:rStyle w:val="EndnoteReference"/>
          <w:color w:val="000000"/>
          <w:sz w:val="22"/>
          <w:szCs w:val="22"/>
        </w:rPr>
        <w:t>7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Lauralyn Mcintyre</w:t>
      </w:r>
      <w:r w:rsidRPr="00F620FC">
        <w:rPr>
          <w:rStyle w:val="EndnoteReference"/>
          <w:color w:val="000000"/>
          <w:sz w:val="22"/>
          <w:szCs w:val="22"/>
        </w:rPr>
        <w:t>8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Marlies Ostermann</w:t>
      </w:r>
      <w:r w:rsidRPr="00F620FC">
        <w:rPr>
          <w:rStyle w:val="EndnoteReference"/>
          <w:color w:val="000000"/>
          <w:sz w:val="22"/>
          <w:szCs w:val="22"/>
        </w:rPr>
        <w:t>9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Hallie C. Prescott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0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Christa Schorr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1</w:t>
      </w:r>
      <w:r w:rsidRPr="00F620FC">
        <w:rPr>
          <w:sz w:val="22"/>
          <w:szCs w:val="22"/>
        </w:rPr>
        <w:t>, Steven Simpson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2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W Joost Wiersinga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3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Fayez Alshamsi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4</w:t>
      </w:r>
      <w:r w:rsidRPr="00F620FC">
        <w:rPr>
          <w:sz w:val="22"/>
          <w:szCs w:val="22"/>
        </w:rPr>
        <w:t>, Derek C. Angus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5</w:t>
      </w:r>
      <w:r w:rsidRPr="00F620FC">
        <w:rPr>
          <w:sz w:val="22"/>
          <w:szCs w:val="22"/>
        </w:rPr>
        <w:t>, Yaseen Arabi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6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Luciano Azevedo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7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> Richard Beale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8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Gregory Beilman</w:t>
      </w:r>
      <w:r w:rsidRPr="00F620FC">
        <w:rPr>
          <w:rStyle w:val="EndnoteReference"/>
          <w:color w:val="000000"/>
          <w:sz w:val="22"/>
          <w:szCs w:val="22"/>
        </w:rPr>
        <w:t>1</w:t>
      </w:r>
      <w:r w:rsidRPr="00F620FC">
        <w:rPr>
          <w:color w:val="000000"/>
          <w:sz w:val="22"/>
          <w:szCs w:val="22"/>
          <w:vertAlign w:val="superscript"/>
        </w:rPr>
        <w:t>9</w:t>
      </w:r>
      <w:r w:rsidRPr="00F620FC">
        <w:rPr>
          <w:sz w:val="22"/>
          <w:szCs w:val="22"/>
        </w:rPr>
        <w:t>, Emilie Belley-Cote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0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Lisa Burry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1</w:t>
      </w:r>
      <w:r w:rsidRPr="00F620FC">
        <w:rPr>
          <w:sz w:val="22"/>
          <w:szCs w:val="22"/>
        </w:rPr>
        <w:t>,  Maurizio Cecconi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2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John Centofanti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3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Angel Coz Yataco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4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Jan De Waele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5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R. Phillip Dellinger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6</w:t>
      </w:r>
      <w:r w:rsidRPr="00F620FC">
        <w:rPr>
          <w:sz w:val="22"/>
          <w:szCs w:val="22"/>
        </w:rPr>
        <w:t>, Kent Doi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7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Bin Du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8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Elisa Estenssoro</w:t>
      </w:r>
      <w:r w:rsidRPr="00F620FC">
        <w:rPr>
          <w:rStyle w:val="EndnoteReference"/>
          <w:color w:val="000000"/>
          <w:sz w:val="22"/>
          <w:szCs w:val="22"/>
        </w:rPr>
        <w:t>2</w:t>
      </w:r>
      <w:r w:rsidRPr="00F620FC">
        <w:rPr>
          <w:color w:val="000000"/>
          <w:sz w:val="22"/>
          <w:szCs w:val="22"/>
          <w:vertAlign w:val="superscript"/>
        </w:rPr>
        <w:t>9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Ricard Ferrer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0</w:t>
      </w:r>
      <w:r w:rsidRPr="00F620FC">
        <w:rPr>
          <w:sz w:val="22"/>
          <w:szCs w:val="22"/>
        </w:rPr>
        <w:t>, Charles Gomersall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1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Carol Hodgson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2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> Morten Hylander Møller</w:t>
      </w:r>
      <w:r w:rsidRPr="00F620FC">
        <w:rPr>
          <w:sz w:val="22"/>
          <w:szCs w:val="22"/>
          <w:vertAlign w:val="superscript"/>
        </w:rPr>
        <w:t>33</w:t>
      </w:r>
      <w:r w:rsidRPr="00F620FC">
        <w:rPr>
          <w:sz w:val="22"/>
          <w:szCs w:val="22"/>
        </w:rPr>
        <w:t>, Theodore Iwashyna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4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Shevin Jacob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5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Ruth Kleinpell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6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Michael Klompas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7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Younsuck Koh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8</w:t>
      </w:r>
      <w:r w:rsidRPr="00F620FC">
        <w:rPr>
          <w:sz w:val="22"/>
          <w:szCs w:val="22"/>
        </w:rPr>
        <w:t>, Anand Kumar</w:t>
      </w:r>
      <w:r w:rsidRPr="00F620FC">
        <w:rPr>
          <w:rStyle w:val="EndnoteReference"/>
          <w:color w:val="000000"/>
          <w:sz w:val="22"/>
          <w:szCs w:val="22"/>
        </w:rPr>
        <w:t>3</w:t>
      </w:r>
      <w:r w:rsidRPr="00F620FC">
        <w:rPr>
          <w:color w:val="000000"/>
          <w:sz w:val="22"/>
          <w:szCs w:val="22"/>
          <w:vertAlign w:val="superscript"/>
        </w:rPr>
        <w:t>9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Arthur Kwizera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0</w:t>
      </w:r>
      <w:r w:rsidRPr="00F620FC">
        <w:rPr>
          <w:sz w:val="22"/>
          <w:szCs w:val="22"/>
        </w:rPr>
        <w:t>, Suzana Lobo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1</w:t>
      </w:r>
      <w:r w:rsidRPr="00F620FC">
        <w:rPr>
          <w:sz w:val="22"/>
          <w:szCs w:val="22"/>
        </w:rPr>
        <w:t>, Henry Masur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2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Steven McGloughlin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3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Sangeeta Mehta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4</w:t>
      </w:r>
      <w:r w:rsidRPr="00F620FC">
        <w:rPr>
          <w:sz w:val="22"/>
          <w:szCs w:val="22"/>
        </w:rPr>
        <w:t>, Yatin Mehta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5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Mervyn Mer</w:t>
      </w:r>
      <w:r w:rsidRPr="00F620FC">
        <w:rPr>
          <w:sz w:val="22"/>
          <w:szCs w:val="22"/>
          <w:vertAlign w:val="superscript"/>
        </w:rPr>
        <w:t>46</w:t>
      </w:r>
      <w:r w:rsidRPr="00F620FC">
        <w:rPr>
          <w:sz w:val="22"/>
          <w:szCs w:val="22"/>
        </w:rPr>
        <w:t>, Mark Nunnally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7</w:t>
      </w:r>
      <w:r w:rsidRPr="00F620FC">
        <w:rPr>
          <w:sz w:val="22"/>
          <w:szCs w:val="22"/>
        </w:rPr>
        <w:t>, Simon Oczkowski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8</w:t>
      </w:r>
      <w:r w:rsidRPr="00F620FC">
        <w:rPr>
          <w:sz w:val="22"/>
          <w:szCs w:val="22"/>
        </w:rPr>
        <w:t>, Tiffany Osborn</w:t>
      </w:r>
      <w:r w:rsidRPr="00F620FC">
        <w:rPr>
          <w:rStyle w:val="EndnoteReference"/>
          <w:color w:val="000000"/>
          <w:sz w:val="22"/>
          <w:szCs w:val="22"/>
        </w:rPr>
        <w:t>4</w:t>
      </w:r>
      <w:r w:rsidRPr="00F620FC">
        <w:rPr>
          <w:color w:val="000000"/>
          <w:sz w:val="22"/>
          <w:szCs w:val="22"/>
          <w:vertAlign w:val="superscript"/>
        </w:rPr>
        <w:t>9</w:t>
      </w:r>
      <w:r w:rsidRPr="00F620FC">
        <w:rPr>
          <w:sz w:val="22"/>
          <w:szCs w:val="22"/>
        </w:rPr>
        <w:t>, Elizabeth Papathanassoglou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0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Anders Perner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1</w:t>
      </w:r>
      <w:r w:rsidRPr="00F620FC">
        <w:rPr>
          <w:sz w:val="22"/>
          <w:szCs w:val="22"/>
        </w:rPr>
        <w:t>, Michael Puskarich</w:t>
      </w:r>
      <w:r w:rsidRPr="00F620FC">
        <w:rPr>
          <w:color w:val="000000"/>
          <w:sz w:val="22"/>
          <w:szCs w:val="22"/>
          <w:vertAlign w:val="superscript"/>
        </w:rPr>
        <w:t>52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Jason Roberts</w:t>
      </w:r>
      <w:r w:rsidRPr="00F620FC">
        <w:rPr>
          <w:color w:val="000000"/>
          <w:sz w:val="22"/>
          <w:szCs w:val="22"/>
          <w:vertAlign w:val="superscript"/>
        </w:rPr>
        <w:t>53</w:t>
      </w:r>
      <w:r w:rsidRPr="00F620FC">
        <w:rPr>
          <w:sz w:val="22"/>
          <w:szCs w:val="22"/>
        </w:rPr>
        <w:t>, William Schweickert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4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Maureen Seckel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5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Jonathan Sevransky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6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Charles L Sprung</w:t>
      </w:r>
      <w:r w:rsidRPr="00F620FC">
        <w:rPr>
          <w:rStyle w:val="EndnoteReference"/>
          <w:color w:val="000000"/>
          <w:sz w:val="22"/>
          <w:szCs w:val="22"/>
        </w:rPr>
        <w:t>57,</w:t>
      </w:r>
      <w:r w:rsidRPr="00F620FC">
        <w:rPr>
          <w:sz w:val="22"/>
          <w:szCs w:val="22"/>
        </w:rPr>
        <w:t xml:space="preserve"> Tobias Welte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8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Janice Zimmerman</w:t>
      </w:r>
      <w:r w:rsidRPr="00F620FC">
        <w:rPr>
          <w:rStyle w:val="EndnoteReference"/>
          <w:color w:val="000000"/>
          <w:sz w:val="22"/>
          <w:szCs w:val="22"/>
        </w:rPr>
        <w:t>5</w:t>
      </w:r>
      <w:r w:rsidRPr="00F620FC">
        <w:rPr>
          <w:color w:val="000000"/>
          <w:sz w:val="22"/>
          <w:szCs w:val="22"/>
          <w:vertAlign w:val="superscript"/>
        </w:rPr>
        <w:t>9</w:t>
      </w:r>
      <w:r w:rsidRPr="00F620FC">
        <w:rPr>
          <w:color w:val="000000"/>
          <w:sz w:val="22"/>
          <w:szCs w:val="22"/>
        </w:rPr>
        <w:t>,</w:t>
      </w:r>
      <w:r w:rsidRPr="00F620FC">
        <w:rPr>
          <w:sz w:val="22"/>
          <w:szCs w:val="22"/>
        </w:rPr>
        <w:t xml:space="preserve"> Mitchell Levy</w:t>
      </w:r>
      <w:r w:rsidRPr="00F620FC">
        <w:rPr>
          <w:rStyle w:val="EndnoteReference"/>
          <w:color w:val="000000"/>
          <w:sz w:val="22"/>
          <w:szCs w:val="22"/>
        </w:rPr>
        <w:t>6</w:t>
      </w:r>
      <w:r w:rsidRPr="00F620FC">
        <w:rPr>
          <w:color w:val="000000"/>
          <w:sz w:val="22"/>
          <w:szCs w:val="22"/>
          <w:vertAlign w:val="superscript"/>
        </w:rPr>
        <w:t>0</w:t>
      </w:r>
      <w:r w:rsidRPr="00F620FC">
        <w:rPr>
          <w:color w:val="000000"/>
          <w:sz w:val="22"/>
          <w:szCs w:val="22"/>
        </w:rPr>
        <w:t>.</w:t>
      </w:r>
    </w:p>
    <w:p w:rsidRPr="00F620FC" w:rsidR="007E761C" w:rsidP="007E761C" w:rsidRDefault="007E761C" w14:paraId="1874B931" w14:textId="77777777">
      <w:pPr>
        <w:ind w:left="720" w:hanging="360"/>
        <w:divId w:val="372769959"/>
      </w:pPr>
    </w:p>
    <w:p w:rsidRPr="00F620FC" w:rsidR="007E761C" w:rsidP="007E761C" w:rsidRDefault="007E761C" w14:paraId="50F15C00" w14:textId="77777777">
      <w:pPr>
        <w:divId w:val="372769959"/>
        <w:rPr>
          <w:rFonts w:cstheme="minorHAnsi"/>
          <w:b/>
          <w:bCs/>
          <w:szCs w:val="22"/>
        </w:rPr>
      </w:pPr>
      <w:r w:rsidRPr="00F620FC">
        <w:rPr>
          <w:rFonts w:cstheme="minorHAnsi"/>
          <w:b/>
          <w:bCs/>
          <w:szCs w:val="22"/>
        </w:rPr>
        <w:t>Affiliations</w:t>
      </w:r>
    </w:p>
    <w:p w:rsidRPr="00F620FC" w:rsidR="007E761C" w:rsidP="007E761C" w:rsidRDefault="007E761C" w14:paraId="5663459D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sz w:val="20"/>
        </w:rPr>
        <w:t>Division of Pulmonary, Critical Care and Sleep Medicine, University of Washington, USA</w:t>
      </w:r>
    </w:p>
    <w:p w:rsidRPr="00F620FC" w:rsidR="007E761C" w:rsidP="007E761C" w:rsidRDefault="007E761C" w14:paraId="39727B2A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color w:val="000000"/>
          <w:sz w:val="20"/>
        </w:rPr>
        <w:t>Adult Critical Care, St George’s University Hospitals NHS Foundation Trust &amp; St George’s University of London, London, UK</w:t>
      </w:r>
    </w:p>
    <w:p w:rsidRPr="00F620FC" w:rsidR="007E761C" w:rsidP="007E761C" w:rsidRDefault="007E761C" w14:paraId="77EBE002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color w:val="000000" w:themeColor="text1"/>
          <w:sz w:val="20"/>
        </w:rPr>
      </w:pPr>
      <w:r w:rsidRPr="00F620FC">
        <w:rPr>
          <w:color w:val="000000"/>
          <w:sz w:val="20"/>
        </w:rPr>
        <w:t xml:space="preserve">Department of Health Research Methods, Evidence, and Impact, McMaster University, Canada &amp; Department of </w:t>
      </w:r>
      <w:r w:rsidRPr="00F620FC">
        <w:rPr>
          <w:color w:val="000000" w:themeColor="text1"/>
          <w:sz w:val="20"/>
        </w:rPr>
        <w:t>Medicine, McMaster University, Hamilton, Canada</w:t>
      </w:r>
    </w:p>
    <w:p w:rsidRPr="00F620FC" w:rsidR="007E761C" w:rsidP="007E761C" w:rsidRDefault="007E761C" w14:paraId="2EFDA031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color w:val="000000" w:themeColor="text1"/>
          <w:sz w:val="20"/>
        </w:rPr>
      </w:pPr>
      <w:r w:rsidRPr="00F620FC">
        <w:rPr>
          <w:color w:val="000000" w:themeColor="text1"/>
          <w:sz w:val="20"/>
        </w:rPr>
        <w:t>Dipartimento di Scienze dell’ Emergenza  Anestesiologiche e della Rianimazione, Policlinico Universitario A. Gemelli IRCCS  Rome, Italy</w:t>
      </w:r>
    </w:p>
    <w:p w:rsidRPr="00F620FC" w:rsidR="007E761C" w:rsidP="007E761C" w:rsidRDefault="007E761C" w14:paraId="52F74E31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color w:val="000000" w:themeColor="text1"/>
          <w:sz w:val="20"/>
        </w:rPr>
        <w:t xml:space="preserve">Emory </w:t>
      </w:r>
      <w:r w:rsidRPr="00F620FC">
        <w:rPr>
          <w:rFonts w:cstheme="minorHAnsi"/>
          <w:sz w:val="20"/>
        </w:rPr>
        <w:t>University School of Medicine, USA</w:t>
      </w:r>
    </w:p>
    <w:p w:rsidRPr="00F620FC" w:rsidR="007E761C" w:rsidP="007E761C" w:rsidRDefault="007E761C" w14:paraId="747F9832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Western Health, Melbourne, Australia</w:t>
      </w:r>
    </w:p>
    <w:p w:rsidRPr="00F620FC" w:rsidR="007E761C" w:rsidP="007E761C" w:rsidRDefault="007E761C" w14:paraId="5DFEB3AB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Federal University of Sao Paulo, Sao Paulo, Brazil</w:t>
      </w:r>
    </w:p>
    <w:p w:rsidRPr="00F620FC" w:rsidR="007E761C" w:rsidP="007E761C" w:rsidRDefault="007E761C" w14:paraId="0F3F8A8E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Ottawa Hospital, Ottawa, ON, Canada</w:t>
      </w:r>
    </w:p>
    <w:p w:rsidRPr="00F620FC" w:rsidR="007E761C" w:rsidP="007E761C" w:rsidRDefault="007E761C" w14:paraId="13B31E7D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Guy’s &amp; St Thomas’ Hospital, London, England, UK</w:t>
      </w:r>
    </w:p>
    <w:p w:rsidRPr="00F620FC" w:rsidR="007E761C" w:rsidP="007E761C" w:rsidRDefault="007E761C" w14:paraId="59A55E07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Michigan and VA Center for Clinical Management Research</w:t>
      </w:r>
      <w:r w:rsidRPr="00F620FC">
        <w:rPr>
          <w:sz w:val="20"/>
        </w:rPr>
        <w:t>, USA</w:t>
      </w:r>
    </w:p>
    <w:p w:rsidRPr="00F620FC" w:rsidR="007E761C" w:rsidP="007E761C" w:rsidRDefault="007E761C" w14:paraId="38150A5C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Cooper Health System, Camden, NJ, USA</w:t>
      </w:r>
    </w:p>
    <w:p w:rsidRPr="00F620FC" w:rsidR="007E761C" w:rsidP="007E761C" w:rsidRDefault="007E761C" w14:paraId="1A3B40C5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University of Kansas Medical Center, Kansas City, KS, USA</w:t>
      </w:r>
    </w:p>
    <w:p w:rsidRPr="00F620FC" w:rsidR="007E761C" w:rsidP="007E761C" w:rsidRDefault="007E761C" w14:paraId="6E3074C5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divId w:val="372769959"/>
        <w:rPr>
          <w:rFonts w:ascii="Garamond" w:hAnsi="Garamond"/>
          <w:color w:val="000000"/>
          <w:sz w:val="20"/>
          <w:szCs w:val="20"/>
          <w:lang w:eastAsia="nl-NL"/>
        </w:rPr>
      </w:pPr>
      <w:r w:rsidRPr="00F620FC">
        <w:rPr>
          <w:rFonts w:ascii="Garamond" w:hAnsi="Garamond"/>
          <w:color w:val="000000"/>
          <w:sz w:val="20"/>
          <w:szCs w:val="20"/>
          <w:lang w:eastAsia="nl-NL"/>
        </w:rPr>
        <w:t>Division of Infectious Diseases, Amsterdam UMC, University of Amsterdam, Amsterdam</w:t>
      </w:r>
    </w:p>
    <w:p w:rsidRPr="00F620FC" w:rsidR="007E761C" w:rsidP="007E761C" w:rsidRDefault="007E761C" w14:paraId="53FC940A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Department of Internal Medicine, College of Medicine and Health Sciences, United Arab Emirates University, PO Box 17666, Al Ain, United Arab Emirates</w:t>
      </w:r>
    </w:p>
    <w:p w:rsidRPr="00F620FC" w:rsidR="007E761C" w:rsidP="007E761C" w:rsidRDefault="007E761C" w14:paraId="1BC821D2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University of Pittsburgh Critical Care Medicine CRISMA Laboratory, Pittsburgh, PA, USA</w:t>
      </w:r>
    </w:p>
    <w:p w:rsidRPr="00F620FC" w:rsidR="007E761C" w:rsidP="007E761C" w:rsidRDefault="007E761C" w14:paraId="67C63520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rFonts w:cs="Arial"/>
          <w:color w:val="000000"/>
          <w:sz w:val="20"/>
        </w:rPr>
        <w:t>Intensive Care Department, Ministry of National Guard Health Affairs, King Saud Bin Abdulaziz University for Health Sciences,</w:t>
      </w:r>
      <w:r w:rsidRPr="00F620FC">
        <w:rPr>
          <w:rFonts w:cs="Arial"/>
          <w:bCs/>
          <w:color w:val="000000"/>
          <w:sz w:val="20"/>
        </w:rPr>
        <w:t xml:space="preserve"> </w:t>
      </w:r>
      <w:r w:rsidRPr="00F620FC">
        <w:rPr>
          <w:rFonts w:cs="Arial"/>
          <w:color w:val="000000"/>
          <w:sz w:val="20"/>
          <w:shd w:val="clear" w:color="auto" w:fill="FFFFFF"/>
        </w:rPr>
        <w:t>King Abdullah International Medical Research Center,</w:t>
      </w:r>
      <w:r w:rsidRPr="00F620FC">
        <w:rPr>
          <w:rFonts w:cs="Arial"/>
          <w:color w:val="000000"/>
          <w:sz w:val="20"/>
        </w:rPr>
        <w:t xml:space="preserve"> Riyadh, Kingdom of Saudi Arabia</w:t>
      </w:r>
    </w:p>
    <w:p w:rsidRPr="00F620FC" w:rsidR="007E761C" w:rsidP="007E761C" w:rsidRDefault="007E761C" w14:paraId="39F10389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Sao Paulo, School of Medicine, Brazil</w:t>
      </w:r>
    </w:p>
    <w:p w:rsidRPr="00F620FC" w:rsidR="007E761C" w:rsidP="007E761C" w:rsidRDefault="007E761C" w14:paraId="6E2182B9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 xml:space="preserve">Guy’s &amp; St Thomas’ Hospital, London, England, UK </w:t>
      </w:r>
    </w:p>
    <w:p w:rsidRPr="00F620FC" w:rsidR="007E761C" w:rsidP="007E761C" w:rsidRDefault="007E761C" w14:paraId="16A0D8E3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Minnesota</w:t>
      </w:r>
    </w:p>
    <w:p w:rsidRPr="00F620FC" w:rsidR="007E761C" w:rsidP="007E761C" w:rsidRDefault="007E761C" w14:paraId="33AD42AC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color w:val="000000"/>
          <w:sz w:val="20"/>
        </w:rPr>
        <w:t>Population Health Research Institute, Hamilton, Canada</w:t>
      </w:r>
    </w:p>
    <w:p w:rsidRPr="00F620FC" w:rsidR="007E761C" w:rsidP="007E761C" w:rsidRDefault="007E761C" w14:paraId="18E3A1E5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lastRenderedPageBreak/>
        <w:t>Mount Sinai Hospital &amp; University of Toronto (Leslie Dan Faculty of Pharmacy), Ontario Canada</w:t>
      </w:r>
    </w:p>
    <w:p w:rsidRPr="00F620FC" w:rsidR="007E761C" w:rsidP="007E761C" w:rsidRDefault="007E761C" w14:paraId="6FC686C2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color w:val="000000"/>
          <w:sz w:val="20"/>
        </w:rPr>
        <w:t>Department of Anesthesia and Intensive care, Humanitas Clinical and Research Center, Rozzano, Milan, Italy.</w:t>
      </w:r>
    </w:p>
    <w:p w:rsidRPr="00F620FC" w:rsidR="007E761C" w:rsidP="007E761C" w:rsidRDefault="007E761C" w14:paraId="2E2CC600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color w:val="000000"/>
          <w:sz w:val="20"/>
        </w:rPr>
        <w:t>Department of Anesthesia, McMaster University, Hamilton, Canada</w:t>
      </w:r>
    </w:p>
    <w:p w:rsidRPr="00F620FC" w:rsidR="007E761C" w:rsidP="007E761C" w:rsidRDefault="007E761C" w14:paraId="06B4BBDB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Lexington Veterans Affairs Medical Center / University of Kentucky College of Medicine</w:t>
      </w:r>
    </w:p>
    <w:p w:rsidRPr="00F620FC" w:rsidR="007E761C" w:rsidP="007E761C" w:rsidRDefault="007E761C" w14:paraId="5E976978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Ghent University Hospital, Ghent, Belgium</w:t>
      </w:r>
    </w:p>
    <w:p w:rsidRPr="00F620FC" w:rsidR="007E761C" w:rsidP="007E761C" w:rsidRDefault="007E761C" w14:paraId="71B6012C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Cooper Health System, Camden, NJ, USA</w:t>
      </w:r>
    </w:p>
    <w:p w:rsidRPr="00F620FC" w:rsidR="007E761C" w:rsidP="007E761C" w:rsidRDefault="007E761C" w14:paraId="6E57FA5B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rFonts w:cstheme="minorHAnsi"/>
          <w:sz w:val="20"/>
        </w:rPr>
        <w:t>The University of Tokyo, Japan</w:t>
      </w:r>
    </w:p>
    <w:p w:rsidRPr="00F620FC" w:rsidR="007E761C" w:rsidP="007E761C" w:rsidRDefault="007E761C" w14:paraId="402C5B30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Medical ICU, Peking Union Medical College Hospital, 1 Shuai Fu Yuan, Beijing 100730</w:t>
      </w:r>
    </w:p>
    <w:p w:rsidRPr="00F620FC" w:rsidR="007E761C" w:rsidP="007E761C" w:rsidRDefault="007E761C" w14:paraId="00B30A19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Hospital Interzonal de Agudos San Martin de La Plata, Buenos Aires, Argentina</w:t>
      </w:r>
    </w:p>
    <w:p w:rsidRPr="00F620FC" w:rsidR="007E761C" w:rsidP="007E761C" w:rsidRDefault="007E761C" w14:paraId="6F970366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Intensive Care Department, Vall d'Hebron University Hospital, Vall d’Hebron Institut de Recerca. Barcelona, Spain.</w:t>
      </w:r>
    </w:p>
    <w:p w:rsidRPr="00F620FC" w:rsidR="007E761C" w:rsidP="007E761C" w:rsidRDefault="007E761C" w14:paraId="0F6A413E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Prince of Wales Hospital, Hong Kong, China</w:t>
      </w:r>
    </w:p>
    <w:p w:rsidRPr="00F620FC" w:rsidR="007E761C" w:rsidP="007E761C" w:rsidRDefault="007E761C" w14:paraId="7A5596CD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sz w:val="20"/>
        </w:rPr>
        <w:t xml:space="preserve">Australian and New Zealand Intensive Care Research Centre, </w:t>
      </w:r>
      <w:r w:rsidRPr="00F620FC">
        <w:rPr>
          <w:rFonts w:cstheme="minorHAnsi"/>
          <w:sz w:val="20"/>
        </w:rPr>
        <w:t>Monash University, Australia</w:t>
      </w:r>
    </w:p>
    <w:p w:rsidRPr="00F620FC" w:rsidR="007E761C" w:rsidP="007E761C" w:rsidRDefault="007E761C" w14:paraId="408727EA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color w:val="000000"/>
          <w:sz w:val="20"/>
        </w:rPr>
        <w:t>Copenhagen University Hospital Rigshospitalet</w:t>
      </w:r>
      <w:r w:rsidRPr="00F620FC">
        <w:rPr>
          <w:sz w:val="20"/>
        </w:rPr>
        <w:t xml:space="preserve">, </w:t>
      </w:r>
      <w:r w:rsidRPr="00F620FC">
        <w:rPr>
          <w:color w:val="000000"/>
          <w:sz w:val="20"/>
        </w:rPr>
        <w:t>Department of Intensive Care 4131</w:t>
      </w:r>
      <w:r w:rsidRPr="00F620FC">
        <w:rPr>
          <w:sz w:val="20"/>
        </w:rPr>
        <w:t xml:space="preserve">, </w:t>
      </w:r>
      <w:r w:rsidRPr="00F620FC">
        <w:rPr>
          <w:color w:val="000000"/>
          <w:sz w:val="20"/>
        </w:rPr>
        <w:t>Copenhagen, Denmark</w:t>
      </w:r>
    </w:p>
    <w:p w:rsidRPr="00F620FC" w:rsidR="007E761C" w:rsidP="007E761C" w:rsidRDefault="007E761C" w14:paraId="1C131626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Michigan Health System, USA</w:t>
      </w:r>
    </w:p>
    <w:p w:rsidRPr="00F620FC" w:rsidR="007E761C" w:rsidP="007E761C" w:rsidRDefault="007E761C" w14:paraId="234576FD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Liverpool School of Tropical Medicine, UK</w:t>
      </w:r>
    </w:p>
    <w:p w:rsidRPr="00F620FC" w:rsidR="007E761C" w:rsidP="007E761C" w:rsidRDefault="007E761C" w14:paraId="3AF290D1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Vanderbilt University Nashville TN, USA</w:t>
      </w:r>
    </w:p>
    <w:p w:rsidRPr="00F620FC" w:rsidR="007E761C" w:rsidP="007E761C" w:rsidRDefault="007E761C" w14:paraId="06AA71A7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Department of Medicine, Brigham and Women's Hospital, Boston MA; Department of Population Medicine, Harvard Medical School, and Harvard Pilgrim Health Care Institute, Boston MA, USA</w:t>
      </w:r>
    </w:p>
    <w:p w:rsidRPr="00F620FC" w:rsidR="007E761C" w:rsidP="007E761C" w:rsidRDefault="007E761C" w14:paraId="53D6D155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ASAN Medical Center, University of Ulsan College of Medicine, Seoul, South Korea</w:t>
      </w:r>
    </w:p>
    <w:p w:rsidRPr="00F620FC" w:rsidR="007E761C" w:rsidP="007E761C" w:rsidRDefault="007E761C" w14:paraId="73299686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University of Manitoba, Winnipeg, MB, Canada</w:t>
      </w:r>
    </w:p>
    <w:p w:rsidRPr="00F620FC" w:rsidR="007E761C" w:rsidP="007E761C" w:rsidRDefault="007E761C" w14:paraId="1D807B0F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Makerere University College of Health Sciences, Uganda</w:t>
      </w:r>
    </w:p>
    <w:p w:rsidRPr="00F620FC" w:rsidR="007E761C" w:rsidP="007E761C" w:rsidRDefault="007E761C" w14:paraId="64FDA2F9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Intensive Care Division. Faculdade de Medicina de São José do Rio Preto, São Paulo- Brazil</w:t>
      </w:r>
    </w:p>
    <w:p w:rsidRPr="00F620FC" w:rsidR="007E761C" w:rsidP="007E761C" w:rsidRDefault="007E761C" w14:paraId="716210F5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Critical Care Medicine department, NIH Clinical Center, Bethedsa, MD, USA</w:t>
      </w:r>
    </w:p>
    <w:p w:rsidRPr="00F620FC" w:rsidR="007E761C" w:rsidP="007E761C" w:rsidRDefault="007E761C" w14:paraId="5A31736D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rFonts w:cstheme="minorHAnsi"/>
          <w:sz w:val="20"/>
        </w:rPr>
        <w:t>Alfred Health, Australia</w:t>
      </w:r>
    </w:p>
    <w:p w:rsidRPr="00F620FC" w:rsidR="007E761C" w:rsidP="007E761C" w:rsidRDefault="007E761C" w14:paraId="3625F025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Medanta The Medicity, Gurugram, Haryana, India</w:t>
      </w:r>
    </w:p>
    <w:p w:rsidRPr="00F620FC" w:rsidR="007E761C" w:rsidP="007E761C" w:rsidRDefault="007E761C" w14:paraId="687A8338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Mount Sinai Hospital, Toronto, ON, Canada</w:t>
      </w:r>
    </w:p>
    <w:p w:rsidRPr="00F620FC" w:rsidR="007E761C" w:rsidP="007E761C" w:rsidRDefault="007E761C" w14:paraId="3F08FBFF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Charlotte Maxeke Johannesburg Academic Hospital and Faculty of Health Sciences, University of the Witwatersrand, Johannesburg, South Africa</w:t>
      </w:r>
    </w:p>
    <w:p w:rsidRPr="00F620FC" w:rsidR="007E761C" w:rsidP="007E761C" w:rsidRDefault="007E761C" w14:paraId="56B83AC1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New York University School of Medicine, New York, NY, USA</w:t>
      </w:r>
    </w:p>
    <w:p w:rsidRPr="00F620FC" w:rsidR="007E761C" w:rsidP="007E761C" w:rsidRDefault="007E761C" w14:paraId="74B2E523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color w:val="000000"/>
          <w:sz w:val="20"/>
        </w:rPr>
        <w:t>Department of Medicine, McMaster University, Hamilton, Canada</w:t>
      </w:r>
    </w:p>
    <w:p w:rsidRPr="00F620FC" w:rsidR="007E761C" w:rsidP="007E761C" w:rsidRDefault="007E761C" w14:paraId="0E0D668E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Washington University School of Medicine, St. Louis, MO, USA</w:t>
      </w:r>
    </w:p>
    <w:p w:rsidRPr="00F620FC" w:rsidR="007E761C" w:rsidP="007E761C" w:rsidRDefault="007E761C" w14:paraId="33240C5C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Faculty of Nursing, University of Alberta, Edmonton AB, Canada</w:t>
      </w:r>
    </w:p>
    <w:p w:rsidRPr="00F620FC" w:rsidR="007E761C" w:rsidP="007E761C" w:rsidRDefault="007E761C" w14:paraId="08FAF6CC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Rigshospitalet, Copenhagen, Denmark</w:t>
      </w:r>
    </w:p>
    <w:p w:rsidRPr="00F620FC" w:rsidR="007E761C" w:rsidP="007E761C" w:rsidRDefault="007E761C" w14:paraId="1EDAADA1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Minnesota / Hennepin County Medical Center</w:t>
      </w:r>
    </w:p>
    <w:p w:rsidRPr="00F620FC" w:rsidR="007E761C" w:rsidP="007E761C" w:rsidRDefault="007E761C" w14:paraId="4643B1D6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Queensland, Australia</w:t>
      </w:r>
    </w:p>
    <w:p w:rsidRPr="00F620FC" w:rsidR="007E761C" w:rsidP="007E761C" w:rsidRDefault="007E761C" w14:paraId="2E0A28FF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University of Pennsylvania, USA</w:t>
      </w:r>
    </w:p>
    <w:p w:rsidRPr="00F620FC" w:rsidR="007E761C" w:rsidP="007E761C" w:rsidRDefault="007E761C" w14:paraId="56D398B3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ChristianaCare, Newark, DE, USA</w:t>
      </w:r>
    </w:p>
    <w:p w:rsidRPr="00F620FC" w:rsidR="007E761C" w:rsidP="007E761C" w:rsidRDefault="007E761C" w14:paraId="0E95F19C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rFonts w:cstheme="minorHAnsi"/>
          <w:sz w:val="20"/>
        </w:rPr>
      </w:pPr>
      <w:r w:rsidRPr="00F620FC">
        <w:rPr>
          <w:rFonts w:cstheme="minorHAnsi"/>
          <w:sz w:val="20"/>
        </w:rPr>
        <w:t>Emory University School of Medicine, USA</w:t>
      </w:r>
    </w:p>
    <w:p w:rsidRPr="00F620FC" w:rsidR="007E761C" w:rsidP="007E761C" w:rsidRDefault="007E761C" w14:paraId="29629456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Faculty of Medicine, Hebrew University of Jerusalem, Israel and Department of Anesthesiology, Critical Care and Pain Medicine, Hadassah Medical Center, Jerusalem, Israel</w:t>
      </w:r>
    </w:p>
    <w:p w:rsidRPr="00F620FC" w:rsidR="007E761C" w:rsidP="007E761C" w:rsidRDefault="007E761C" w14:paraId="45E17697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Medizinische Hochschule Hannover and German Center of Lung Research (DZL), Germany</w:t>
      </w:r>
    </w:p>
    <w:p w:rsidRPr="00F620FC" w:rsidR="007E761C" w:rsidP="007E761C" w:rsidRDefault="007E761C" w14:paraId="758F6667" w14:textId="77777777">
      <w:pPr>
        <w:pStyle w:val="EndnoteText"/>
        <w:numPr>
          <w:ilvl w:val="0"/>
          <w:numId w:val="1"/>
        </w:numPr>
        <w:spacing w:line="240" w:lineRule="auto"/>
        <w:ind w:left="360"/>
        <w:divId w:val="372769959"/>
        <w:rPr>
          <w:sz w:val="20"/>
        </w:rPr>
      </w:pPr>
      <w:r w:rsidRPr="00F620FC">
        <w:rPr>
          <w:sz w:val="20"/>
        </w:rPr>
        <w:t>Houston Methodist Hospital, Houston, TX, USA</w:t>
      </w:r>
    </w:p>
    <w:p w:rsidRPr="00F620FC" w:rsidR="007E761C" w:rsidP="007E761C" w:rsidRDefault="007E761C" w14:paraId="19587EAC" w14:textId="77777777">
      <w:pPr>
        <w:pStyle w:val="ListParagraph"/>
        <w:numPr>
          <w:ilvl w:val="0"/>
          <w:numId w:val="1"/>
        </w:numPr>
        <w:spacing w:after="100" w:line="240" w:lineRule="auto"/>
        <w:ind w:left="360"/>
        <w:divId w:val="372769959"/>
        <w:rPr>
          <w:rFonts w:ascii="Garamond" w:hAnsi="Garamond"/>
          <w:sz w:val="20"/>
          <w:szCs w:val="20"/>
        </w:rPr>
      </w:pPr>
      <w:r w:rsidRPr="00F620FC">
        <w:rPr>
          <w:rFonts w:ascii="Garamond" w:hAnsi="Garamond"/>
          <w:color w:val="000000"/>
          <w:sz w:val="20"/>
          <w:szCs w:val="20"/>
        </w:rPr>
        <w:t>Warren Alpert School of Medicine at Brown University</w:t>
      </w:r>
      <w:r w:rsidRPr="00F620FC">
        <w:rPr>
          <w:rFonts w:ascii="Garamond" w:hAnsi="Garamond"/>
          <w:sz w:val="20"/>
          <w:szCs w:val="20"/>
        </w:rPr>
        <w:t>,</w:t>
      </w:r>
      <w:r w:rsidRPr="00F620FC">
        <w:rPr>
          <w:rFonts w:ascii="Garamond" w:hAnsi="Garamond"/>
          <w:color w:val="000000"/>
          <w:sz w:val="20"/>
          <w:szCs w:val="20"/>
        </w:rPr>
        <w:t xml:space="preserve"> Providence, Rhode Island &amp; Rhode Island Hospital</w:t>
      </w:r>
      <w:r w:rsidRPr="00F620FC">
        <w:rPr>
          <w:rFonts w:ascii="Garamond" w:hAnsi="Garamond"/>
          <w:sz w:val="20"/>
          <w:szCs w:val="20"/>
        </w:rPr>
        <w:t xml:space="preserve">, </w:t>
      </w:r>
      <w:r w:rsidRPr="00F620FC">
        <w:rPr>
          <w:rFonts w:ascii="Garamond" w:hAnsi="Garamond"/>
          <w:color w:val="000000"/>
          <w:sz w:val="20"/>
          <w:szCs w:val="20"/>
        </w:rPr>
        <w:t>Providence, Rhode Island.</w:t>
      </w:r>
    </w:p>
    <w:p w:rsidR="007C79CC" w:rsidP="007C79CC" w:rsidRDefault="007C79CC" w14:paraId="2B710EB1" w14:textId="5964C56F">
      <w:pPr>
        <w:pStyle w:val="Heading1"/>
        <w:divId w:val="372769959"/>
        <w:rPr>
          <w:rFonts w:eastAsia="Calibri" w:cs="Times New Roman"/>
          <w:bCs/>
          <w:color w:val="auto"/>
          <w:szCs w:val="24"/>
          <w:lang w:val="en-AU"/>
        </w:rPr>
      </w:pPr>
      <w:r w:rsidRPr="007C79CC">
        <w:rPr>
          <w:rFonts w:eastAsia="Calibri" w:cs="Times New Roman"/>
          <w:bCs/>
          <w:color w:val="auto"/>
          <w:szCs w:val="24"/>
          <w:lang w:val="en-AU"/>
        </w:rPr>
        <w:br w:type="page"/>
      </w:r>
    </w:p>
    <w:sdt>
      <w:sdtPr>
        <w:rPr>
          <w:rFonts w:eastAsiaTheme="minorEastAsia" w:cstheme="minorBidi"/>
          <w:b w:val="0"/>
          <w:bCs w:val="0"/>
          <w:color w:val="auto"/>
          <w:sz w:val="24"/>
          <w:szCs w:val="24"/>
          <w:lang w:val="en-CA"/>
        </w:rPr>
        <w:id w:val="4538284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17DE1" w:rsidRDefault="00A17DE1" w14:paraId="36398465" w14:textId="5BB01799">
          <w:pPr>
            <w:pStyle w:val="TOCHeading"/>
          </w:pPr>
          <w:r>
            <w:t xml:space="preserve">Table of </w:t>
          </w:r>
          <w:r w:rsidRPr="00A17DE1">
            <w:t>Contents</w:t>
          </w:r>
        </w:p>
        <w:p w:rsidR="00D61FE9" w:rsidRDefault="00A17DE1" w14:paraId="3002EA9D" w14:textId="3D14168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history="1" w:anchor="_Toc61378899">
            <w:r w:rsidRPr="000C7359" w:rsidR="00D61FE9">
              <w:rPr>
                <w:rStyle w:val="Hyperlink"/>
                <w:noProof/>
              </w:rPr>
              <w:t>In adults with sepsis-induced ARDS, should we use plateau pressure less than 30 cm H2O (vs. greater than 30 cm H2O)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_Toc61378899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4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7AEF5815" w14:textId="5299C60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0">
            <w:r w:rsidRPr="000C7359" w:rsidR="00D61FE9">
              <w:rPr>
                <w:rStyle w:val="Hyperlink"/>
                <w:noProof/>
              </w:rPr>
              <w:t>Evidence profile: plateau pressure less than 30 cm H2O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_Toc61378900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4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4B130FAB" w14:textId="764E903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1"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 xml:space="preserve">EtD. Summary of Judgements </w:t>
            </w:r>
            <w:r w:rsidRPr="000C7359" w:rsidR="00D61FE9">
              <w:rPr>
                <w:rStyle w:val="Hyperlink"/>
                <w:noProof/>
              </w:rPr>
              <w:t>plateau pressure less than 30 cm H2O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_Toc61378901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6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354CFEA5" w14:textId="5BCAAD6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02">
            <w:r w:rsidRPr="000C7359" w:rsidR="00D61FE9">
              <w:rPr>
                <w:rStyle w:val="Hyperlink"/>
                <w:noProof/>
              </w:rPr>
              <w:t>In adults with sepsis-induced ARDS, should we use low tidal volume ventilation?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_Toc61378902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8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65D1CC84" w14:textId="665257A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3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</w:t>
            </w:r>
            <w:r w:rsidRPr="000C7359" w:rsidR="00D61FE9">
              <w:rPr>
                <w:rStyle w:val="Hyperlink"/>
                <w:noProof/>
              </w:rPr>
              <w:t xml:space="preserve"> low tidal volume ventilation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_Toc61378903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8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3C9FD638" w14:textId="5C58E30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4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EtD. Summary of Judgements </w:t>
            </w:r>
            <w:r w:rsidRPr="000C7359" w:rsidR="00D61FE9">
              <w:rPr>
                <w:rStyle w:val="Hyperlink"/>
                <w:noProof/>
              </w:rPr>
              <w:t>low tidal volume ventilation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_Toc61378904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10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5AE9FC42" w14:textId="224DC51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05">
            <w:r w:rsidRPr="000C7359" w:rsidR="00D61FE9">
              <w:rPr>
                <w:rStyle w:val="Hyperlink"/>
                <w:noProof/>
              </w:rPr>
              <w:t>In adults with sepsis-induced ARDS, should a high PEEP strategy be used?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_Toc61378905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12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5D7F489E" w14:textId="28E7BD5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6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Evidence profile: </w:t>
            </w:r>
            <w:r w:rsidRPr="000C7359" w:rsidR="00D61FE9">
              <w:rPr>
                <w:rStyle w:val="Hyperlink"/>
                <w:noProof/>
              </w:rPr>
              <w:t>high PEEP strategy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_Toc61378906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12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7711AAAA" w14:textId="3753333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7"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 xml:space="preserve">EtD.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Summary of Judgements </w:t>
            </w:r>
            <w:r w:rsidRPr="000C7359" w:rsidR="00D61FE9">
              <w:rPr>
                <w:rStyle w:val="Hyperlink"/>
                <w:noProof/>
              </w:rPr>
              <w:t>high PEEP strategy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_Toc61378907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14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7BCD30B8" w14:textId="7520A51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08">
            <w:r w:rsidRPr="000C7359" w:rsidR="00D61FE9">
              <w:rPr>
                <w:rStyle w:val="Hyperlink"/>
                <w:noProof/>
              </w:rPr>
              <w:t>In adults with sepsis-induced ARDS, should we use recruitment maneuvers?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_Toc61378908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16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09D2F184" w14:textId="776A17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09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</w:t>
            </w:r>
            <w:r w:rsidRPr="000C7359" w:rsidR="00D61FE9">
              <w:rPr>
                <w:rStyle w:val="Hyperlink"/>
                <w:noProof/>
              </w:rPr>
              <w:t xml:space="preserve"> recruitment maneuvers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_Toc61378909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16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7C88135D" w14:textId="3C82511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0"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 xml:space="preserve">EtD.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Summary of Judgements </w:t>
            </w:r>
            <w:r w:rsidRPr="000C7359" w:rsidR="00D61FE9">
              <w:rPr>
                <w:rStyle w:val="Hyperlink"/>
                <w:noProof/>
              </w:rPr>
              <w:t>recruitment maneuvers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_Toc61378910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18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0B5BE2C1" w14:textId="362E39C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11">
            <w:r w:rsidRPr="000C7359" w:rsidR="00D61FE9">
              <w:rPr>
                <w:rStyle w:val="Hyperlink"/>
                <w:noProof/>
              </w:rPr>
              <w:t>In adults with sepsis-induced ARDS, should we use prone ventilation?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_Toc61378911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20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5F16C547" w14:textId="6056A6F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2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</w:t>
            </w:r>
            <w:r w:rsidRPr="000C7359" w:rsidR="00D61FE9">
              <w:rPr>
                <w:rStyle w:val="Hyperlink"/>
                <w:noProof/>
              </w:rPr>
              <w:t xml:space="preserve"> prone ventilation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_Toc61378912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20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079B135B" w14:textId="0E3BAC6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3"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E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t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D. S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ummary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 xml:space="preserve">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of 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j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udgements </w:t>
            </w:r>
            <w:r w:rsidRPr="000C7359" w:rsidR="00D61FE9">
              <w:rPr>
                <w:rStyle w:val="Hyperlink"/>
                <w:noProof/>
              </w:rPr>
              <w:t>prone ventilation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_Toc61378913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23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63424660" w14:textId="65B3681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14">
            <w:r w:rsidRPr="000C7359" w:rsidR="00D61FE9">
              <w:rPr>
                <w:rStyle w:val="Hyperlink"/>
                <w:noProof/>
              </w:rPr>
              <w:t>In adults with sepsis-induced respiratory failure, should we use Non-invasive ventilation?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_Toc61378914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25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0092B32F" w14:textId="60121D5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5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</w:t>
            </w:r>
            <w:r w:rsidRPr="000C7359" w:rsidR="00D61FE9">
              <w:rPr>
                <w:rStyle w:val="Hyperlink"/>
                <w:noProof/>
              </w:rPr>
              <w:t xml:space="preserve"> Non-invasive ventilation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_Toc61378915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25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16F0D18B" w14:textId="1C93D2F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6"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E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t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D. S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ummary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 xml:space="preserve">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of 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j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udgements </w:t>
            </w:r>
            <w:r w:rsidRPr="000C7359" w:rsidR="00D61FE9">
              <w:rPr>
                <w:rStyle w:val="Hyperlink"/>
                <w:noProof/>
              </w:rPr>
              <w:t>Non invasive ventilation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_Toc61378916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27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2FA36F34" w14:textId="1F923F1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17">
            <w:r w:rsidRPr="000C7359" w:rsidR="00D61FE9">
              <w:rPr>
                <w:rStyle w:val="Hyperlink"/>
                <w:noProof/>
              </w:rPr>
              <w:t>In adults with sepsis-induced respiratory failure without ARDS, should we use low tidal volume?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_Toc61378917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29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2BEDFB97" w14:textId="49EC694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8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</w:t>
            </w:r>
            <w:r w:rsidRPr="000C7359" w:rsidR="00D61FE9">
              <w:rPr>
                <w:rStyle w:val="Hyperlink"/>
                <w:noProof/>
              </w:rPr>
              <w:t xml:space="preserve"> low tidal volume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_Toc61378918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29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63D99BF1" w14:textId="2934C0E2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19"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E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t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D. S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ummary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 xml:space="preserve">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of </w:t>
            </w:r>
            <w:r w:rsidRPr="000C7359" w:rsidR="00D61FE9">
              <w:rPr>
                <w:rStyle w:val="Hyperlink"/>
                <w:rFonts w:eastAsia="Times New Roman"/>
                <w:caps/>
                <w:noProof/>
                <w:lang w:val="en"/>
              </w:rPr>
              <w:t>j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 xml:space="preserve">udgements </w:t>
            </w:r>
            <w:r w:rsidRPr="000C7359" w:rsidR="00D61FE9">
              <w:rPr>
                <w:rStyle w:val="Hyperlink"/>
                <w:noProof/>
              </w:rPr>
              <w:t>low tidal volume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_Toc61378919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30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2E406B12" w14:textId="3BE29DA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20">
            <w:r w:rsidRPr="000C7359" w:rsidR="00D61FE9">
              <w:rPr>
                <w:rStyle w:val="Hyperlink"/>
                <w:noProof/>
              </w:rPr>
              <w:t>In adults with sepsis-induced hypoxemic failure, should we use HFNO vs. NIV?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_Toc61378920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32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78584CBB" w14:textId="6469E41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21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 HFNO therapy compared to NIV for sepsis-induced hypoxemic respiratory failure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_Toc61378921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32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6E848ECD" w14:textId="2A99148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22"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>E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>t</w:t>
            </w:r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>D. S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>ummary</w:t>
            </w:r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 xml:space="preserve"> 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 xml:space="preserve">of </w:t>
            </w:r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>j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 xml:space="preserve">udgements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HFNO therapy compared to NIV for sepsis-induced hypoxemic respiratory failure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_Toc61378922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33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6E674BD3" w14:textId="72F95DA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23">
            <w:r w:rsidRPr="000C7359" w:rsidR="00D61FE9">
              <w:rPr>
                <w:rStyle w:val="Hyperlink"/>
                <w:noProof/>
              </w:rPr>
              <w:t>In adults with sepsis-induced hypoxemic failure, should we use conservative oxygen targets vs. control?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_Toc61378923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35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0BD4D983" w14:textId="086BAF0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24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 Conservative oxygen targets compared to control for sepsis-induced hypoxemic respiratory failure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_Toc61378924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35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7FA933CD" w14:textId="30082E5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25">
            <w:r w:rsidRPr="000C7359" w:rsidR="00D61FE9">
              <w:rPr>
                <w:rStyle w:val="Hyperlink"/>
                <w:noProof/>
              </w:rPr>
              <w:t>EtD. Summary of judgements Conservative oxygen targets compared to control for sepsis-induced hypoxemic respiratory failure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_Toc61378925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37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19354F0A" w14:textId="2EB3CB1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lang w:val="en-GB" w:eastAsia="en-GB"/>
            </w:rPr>
          </w:pPr>
          <w:hyperlink w:history="1" w:anchor="_Toc61378926">
            <w:r w:rsidRPr="000C7359" w:rsidR="00D61FE9">
              <w:rPr>
                <w:rStyle w:val="Hyperlink"/>
                <w:noProof/>
              </w:rPr>
              <w:t>In adults with sepsis-induced ARDS, should we use ECMO?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_Toc61378926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39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2D25E702" w14:textId="24B0399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27"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Evidence profile: ECMO compared to usual care for sepsis-induced ARDS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_Toc61378927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39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D61FE9" w:rsidRDefault="00450B4D" w14:paraId="221C104B" w14:textId="6B2222C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noProof/>
              <w:sz w:val="24"/>
              <w:szCs w:val="24"/>
              <w:lang w:val="en-GB" w:eastAsia="en-GB"/>
            </w:rPr>
          </w:pPr>
          <w:hyperlink w:history="1" w:anchor="_Toc61378928"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>E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>t</w:t>
            </w:r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>D. S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>ummary</w:t>
            </w:r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 xml:space="preserve"> 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 xml:space="preserve">of </w:t>
            </w:r>
            <w:r w:rsidRPr="000C7359" w:rsidR="00D61FE9">
              <w:rPr>
                <w:rStyle w:val="Hyperlink"/>
                <w:rFonts w:eastAsia="Times New Roman" w:cs="Calibri"/>
                <w:caps/>
                <w:noProof/>
                <w:lang w:val="en"/>
              </w:rPr>
              <w:t>j</w:t>
            </w:r>
            <w:r w:rsidRPr="000C7359" w:rsidR="00D61FE9">
              <w:rPr>
                <w:rStyle w:val="Hyperlink"/>
                <w:rFonts w:eastAsia="Times New Roman" w:cs="Calibri"/>
                <w:noProof/>
                <w:lang w:val="en"/>
              </w:rPr>
              <w:t xml:space="preserve">udgements </w:t>
            </w:r>
            <w:r w:rsidRPr="000C7359" w:rsidR="00D61FE9">
              <w:rPr>
                <w:rStyle w:val="Hyperlink"/>
                <w:rFonts w:eastAsia="Times New Roman"/>
                <w:noProof/>
                <w:lang w:val="en"/>
              </w:rPr>
              <w:t>ECMO compared to usual care for sepsis-induced ARDS</w:t>
            </w:r>
            <w:r w:rsidR="00D61FE9">
              <w:rPr>
                <w:noProof/>
                <w:webHidden/>
              </w:rPr>
              <w:tab/>
            </w:r>
            <w:r w:rsidR="00D61FE9">
              <w:rPr>
                <w:noProof/>
                <w:webHidden/>
              </w:rPr>
              <w:fldChar w:fldCharType="begin"/>
            </w:r>
            <w:r w:rsidR="00D61FE9">
              <w:rPr>
                <w:noProof/>
                <w:webHidden/>
              </w:rPr>
              <w:instrText xml:space="preserve"> PAGEREF _Toc61378928 \h </w:instrText>
            </w:r>
            <w:r w:rsidR="00D61FE9">
              <w:rPr>
                <w:noProof/>
                <w:webHidden/>
              </w:rPr>
            </w:r>
            <w:r w:rsidR="00D61FE9">
              <w:rPr>
                <w:noProof/>
                <w:webHidden/>
              </w:rPr>
              <w:fldChar w:fldCharType="separate"/>
            </w:r>
            <w:r w:rsidR="00D61FE9">
              <w:rPr>
                <w:noProof/>
                <w:webHidden/>
              </w:rPr>
              <w:t>41</w:t>
            </w:r>
            <w:r w:rsidR="00D61FE9">
              <w:rPr>
                <w:noProof/>
                <w:webHidden/>
              </w:rPr>
              <w:fldChar w:fldCharType="end"/>
            </w:r>
          </w:hyperlink>
        </w:p>
        <w:p w:rsidR="00A17DE1" w:rsidRDefault="00A17DE1" w14:paraId="5798F0D4" w14:textId="29A9DB8C">
          <w:r>
            <w:rPr>
              <w:b/>
              <w:bCs/>
              <w:noProof/>
            </w:rPr>
            <w:fldChar w:fldCharType="end"/>
          </w:r>
        </w:p>
      </w:sdtContent>
    </w:sdt>
    <w:p w:rsidRPr="00A17DE1" w:rsidR="00A17DE1" w:rsidP="00A17DE1" w:rsidRDefault="00A17DE1" w14:paraId="09F711E3" w14:textId="77777777">
      <w:pPr>
        <w:divId w:val="372769959"/>
        <w:rPr>
          <w:lang w:val="en-AU"/>
        </w:rPr>
      </w:pPr>
    </w:p>
    <w:p w:rsidR="007C79CC" w:rsidP="007C79CC" w:rsidRDefault="007C79CC" w14:paraId="00226F9B" w14:textId="77777777">
      <w:pPr>
        <w:pStyle w:val="Heading1"/>
        <w:divId w:val="372769959"/>
        <w:rPr>
          <w:b w:val="0"/>
          <w:bCs/>
          <w:szCs w:val="24"/>
          <w:u w:val="single"/>
        </w:rPr>
        <w:sectPr w:rsidR="007C79CC" w:rsidSect="007C79CC">
          <w:footerReference w:type="even" r:id="rId8"/>
          <w:footerReference w:type="default" r:id="rId9"/>
          <w:pgSz w:w="12240" w:h="15840" w:orient="portrait"/>
          <w:pgMar w:top="1440" w:right="1440" w:bottom="1440" w:left="1440" w:header="720" w:footer="720" w:gutter="0"/>
          <w:cols w:space="720"/>
          <w:docGrid w:linePitch="326"/>
        </w:sectPr>
      </w:pPr>
    </w:p>
    <w:p w:rsidR="005335AD" w:rsidP="007C79CC" w:rsidRDefault="005335AD" w14:paraId="248BABBE" w14:textId="7B1B5327">
      <w:pPr>
        <w:pStyle w:val="Heading1"/>
        <w:divId w:val="372769959"/>
      </w:pPr>
      <w:bookmarkStart w:name="_Toc61378899" w:id="1"/>
      <w:r w:rsidRPr="007C79CC">
        <w:lastRenderedPageBreak/>
        <w:t xml:space="preserve">In adults with sepsis-induced ARDS, should we </w:t>
      </w:r>
      <w:bookmarkEnd w:id="0"/>
      <w:r w:rsidRPr="007C79CC">
        <w:t>use plateau pressure less than 30 cm H2O (vs. greater than 30 cm H2O)</w:t>
      </w:r>
      <w:bookmarkEnd w:id="1"/>
    </w:p>
    <w:p w:rsidR="007C79CC" w:rsidP="007C79CC" w:rsidRDefault="007C79CC" w14:paraId="6251EF8F" w14:textId="60B02027">
      <w:pPr>
        <w:divId w:val="372769959"/>
      </w:pPr>
    </w:p>
    <w:p w:rsidRPr="007C79CC" w:rsidR="007C79CC" w:rsidP="007C79CC" w:rsidRDefault="007C79CC" w14:paraId="5FCE5AEC" w14:textId="3DAD5EB9">
      <w:pPr>
        <w:pStyle w:val="Heading2"/>
        <w:divId w:val="372769959"/>
      </w:pPr>
      <w:bookmarkStart w:name="_Toc61378900" w:id="2"/>
      <w:r>
        <w:t xml:space="preserve">Evidence profile: </w:t>
      </w:r>
      <w:r w:rsidRPr="007C79CC">
        <w:t>plateau pressure less than 30 cm H2O</w:t>
      </w:r>
      <w:bookmarkEnd w:id="2"/>
    </w:p>
    <w:p w:rsidRPr="0021022F" w:rsidR="005335AD" w:rsidRDefault="005335AD" w14:paraId="1D485DC9" w14:textId="77777777">
      <w:pPr>
        <w:spacing w:line="140" w:lineRule="atLeast"/>
        <w:divId w:val="372769959"/>
        <w:rPr>
          <w:rFonts w:eastAsia="Times New Roman"/>
          <w:b/>
          <w:bCs/>
          <w:color w:val="000000"/>
          <w:sz w:val="14"/>
          <w:szCs w:val="14"/>
          <w:lang w:val="en"/>
        </w:rPr>
      </w:pPr>
    </w:p>
    <w:p w:rsidRPr="0021022F" w:rsidR="005335AD" w:rsidP="005335AD" w:rsidRDefault="005335AD" w14:paraId="7C429F9D" w14:textId="77777777">
      <w:pPr>
        <w:spacing w:line="140" w:lineRule="atLeast"/>
        <w:divId w:val="2009946298"/>
        <w:rPr>
          <w:rFonts w:eastAsia="Times New Roman"/>
          <w:color w:val="000000"/>
          <w:sz w:val="14"/>
          <w:szCs w:val="1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21022F" w:rsidR="0021022F" w:rsidTr="0021022F" w14:paraId="61BC8783" w14:textId="77777777">
        <w:trPr>
          <w:divId w:val="1761025994"/>
        </w:trPr>
        <w:tc>
          <w:tcPr>
            <w:tcW w:w="0" w:type="auto"/>
            <w:gridSpan w:val="7"/>
            <w:hideMark/>
          </w:tcPr>
          <w:p w:rsidRPr="0021022F" w:rsidR="00FA7635" w:rsidRDefault="0021022F" w14:paraId="22F241B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21022F" w:rsidR="00571BB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21022F" w:rsidR="00FA7635" w:rsidRDefault="00571BBC" w14:paraId="42CF26A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21022F" w:rsidR="00FA7635" w:rsidRDefault="00571BBC" w14:paraId="200A981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21022F" w:rsidR="00FA7635" w:rsidRDefault="0021022F" w14:paraId="517A099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21022F" w:rsidR="00FA7635" w:rsidRDefault="00571BBC" w14:paraId="51CDDDA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21022F" w:rsidR="0021022F" w:rsidTr="0021022F" w14:paraId="05DB9003" w14:textId="77777777">
        <w:trPr>
          <w:divId w:val="1761025994"/>
        </w:trPr>
        <w:tc>
          <w:tcPr>
            <w:tcW w:w="0" w:type="auto"/>
            <w:hideMark/>
          </w:tcPr>
          <w:p w:rsidRPr="0021022F" w:rsidR="00FA7635" w:rsidRDefault="00571BBC" w14:paraId="18A7898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21022F" w:rsidR="00FA7635" w:rsidRDefault="00571BBC" w14:paraId="6E52D65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21022F" w:rsidR="00FA7635" w:rsidRDefault="00571BBC" w14:paraId="7AF544C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21022F" w:rsidR="00FA7635" w:rsidRDefault="00571BBC" w14:paraId="2E5BA437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21022F" w:rsidR="00FA7635" w:rsidRDefault="00571BBC" w14:paraId="0CB78E7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21022F" w:rsidR="00FA7635" w:rsidRDefault="00571BBC" w14:paraId="78E09BA7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21022F" w:rsidR="00FA7635" w:rsidRDefault="00571BBC" w14:paraId="5BC0599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21022F" w:rsidR="00FA7635" w:rsidRDefault="00571BBC" w14:paraId="7D3AD74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plateau pressures less than 30 cm H20</w:t>
            </w:r>
          </w:p>
        </w:tc>
        <w:tc>
          <w:tcPr>
            <w:tcW w:w="0" w:type="auto"/>
            <w:hideMark/>
          </w:tcPr>
          <w:p w:rsidRPr="0021022F" w:rsidR="00FA7635" w:rsidRDefault="00571BBC" w14:paraId="55622A5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higher plateau pressures</w:t>
            </w:r>
          </w:p>
        </w:tc>
        <w:tc>
          <w:tcPr>
            <w:tcW w:w="0" w:type="auto"/>
            <w:hideMark/>
          </w:tcPr>
          <w:p w:rsidRPr="0021022F" w:rsidR="00FA7635" w:rsidRDefault="00571BBC" w14:paraId="320034F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21022F" w:rsidR="00FA7635" w:rsidRDefault="00571BBC" w14:paraId="4CFD836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21022F" w:rsidR="00FA7635" w:rsidRDefault="00FA7635" w14:paraId="34A7212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21022F" w:rsidR="00FA7635" w:rsidRDefault="00FA7635" w14:paraId="0AAF65A8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06248022" w14:textId="77777777">
        <w:trPr>
          <w:divId w:val="1761025994"/>
        </w:trPr>
        <w:tc>
          <w:tcPr>
            <w:tcW w:w="0" w:type="auto"/>
            <w:gridSpan w:val="13"/>
            <w:hideMark/>
          </w:tcPr>
          <w:p w:rsidRPr="0021022F" w:rsidR="00FA7635" w:rsidRDefault="00571BBC" w14:paraId="53307C7C" w14:textId="77777777">
            <w:pPr>
              <w:divId w:val="1526671019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</w:t>
            </w:r>
          </w:p>
        </w:tc>
      </w:tr>
      <w:tr w:rsidRPr="0021022F" w:rsidR="0021022F" w:rsidTr="0021022F" w14:paraId="6A76EC54" w14:textId="77777777">
        <w:trPr>
          <w:divId w:val="1761025994"/>
        </w:trPr>
        <w:tc>
          <w:tcPr>
            <w:tcW w:w="250" w:type="pct"/>
            <w:hideMark/>
          </w:tcPr>
          <w:p w:rsidRPr="0021022F" w:rsidR="00FA7635" w:rsidRDefault="00571BBC" w14:paraId="41545F16" w14:textId="77777777">
            <w:pPr>
              <w:jc w:val="center"/>
              <w:divId w:val="196038005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FA7635" w:rsidRDefault="00571BBC" w14:paraId="5CD09473" w14:textId="77777777">
            <w:pPr>
              <w:jc w:val="center"/>
              <w:divId w:val="33098335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FA7635" w:rsidRDefault="00571BBC" w14:paraId="48DBE83A" w14:textId="77777777">
            <w:pPr>
              <w:jc w:val="center"/>
              <w:divId w:val="35877505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3768DADA" w14:textId="77777777">
            <w:pPr>
              <w:jc w:val="center"/>
              <w:divId w:val="155924696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FA7635" w:rsidRDefault="00571BBC" w14:paraId="4CA0B89B" w14:textId="77777777">
            <w:pPr>
              <w:jc w:val="center"/>
              <w:divId w:val="153041353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4CD7033A" w14:textId="77777777">
            <w:pPr>
              <w:jc w:val="center"/>
              <w:divId w:val="29125612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FA7635" w:rsidRDefault="00571BBC" w14:paraId="6FA397A4" w14:textId="77777777">
            <w:pPr>
              <w:jc w:val="center"/>
              <w:divId w:val="108731341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FA7635" w:rsidRDefault="00571BBC" w14:paraId="71FD6B08" w14:textId="77777777">
            <w:pPr>
              <w:jc w:val="center"/>
              <w:divId w:val="145228901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173/516 (33.5%) </w:t>
            </w:r>
          </w:p>
        </w:tc>
        <w:tc>
          <w:tcPr>
            <w:tcW w:w="400" w:type="pct"/>
            <w:hideMark/>
          </w:tcPr>
          <w:p w:rsidRPr="0021022F" w:rsidR="00FA7635" w:rsidRDefault="00571BBC" w14:paraId="220006DF" w14:textId="77777777">
            <w:pPr>
              <w:jc w:val="center"/>
              <w:divId w:val="1901401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208/513 (40.5%) </w:t>
            </w:r>
          </w:p>
        </w:tc>
        <w:tc>
          <w:tcPr>
            <w:tcW w:w="400" w:type="pct"/>
            <w:hideMark/>
          </w:tcPr>
          <w:p w:rsidRPr="0021022F" w:rsidR="00FA7635" w:rsidRDefault="00571BBC" w14:paraId="76146151" w14:textId="77777777">
            <w:pPr>
              <w:jc w:val="center"/>
              <w:divId w:val="56691738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0.83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(0.70 to 0.97)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FA7635" w:rsidRDefault="00571BBC" w14:paraId="06E64522" w14:textId="77777777">
            <w:pPr>
              <w:jc w:val="center"/>
              <w:divId w:val="160642129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69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122 fewer to 12 fewer) </w:t>
            </w:r>
          </w:p>
        </w:tc>
        <w:tc>
          <w:tcPr>
            <w:tcW w:w="750" w:type="dxa"/>
            <w:hideMark/>
          </w:tcPr>
          <w:p w:rsidRPr="0021022F" w:rsidR="00FA7635" w:rsidRDefault="00571BBC" w14:paraId="4AF6E19F" w14:textId="77777777">
            <w:pPr>
              <w:jc w:val="center"/>
              <w:divId w:val="155230922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FA7635" w:rsidRDefault="00571BBC" w14:paraId="7C3A7A68" w14:textId="77777777">
            <w:pPr>
              <w:jc w:val="center"/>
              <w:divId w:val="159432161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33709B43" w14:textId="77777777">
        <w:trPr>
          <w:divId w:val="1761025994"/>
        </w:trPr>
        <w:tc>
          <w:tcPr>
            <w:tcW w:w="0" w:type="auto"/>
            <w:gridSpan w:val="13"/>
            <w:hideMark/>
          </w:tcPr>
          <w:p w:rsidRPr="0021022F" w:rsidR="00FA7635" w:rsidRDefault="00571BBC" w14:paraId="6F5538CA" w14:textId="77777777">
            <w:pPr>
              <w:divId w:val="67113484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Hospital Mortality</w:t>
            </w:r>
          </w:p>
        </w:tc>
      </w:tr>
      <w:tr w:rsidRPr="0021022F" w:rsidR="0021022F" w:rsidTr="0021022F" w14:paraId="17152B2E" w14:textId="77777777">
        <w:trPr>
          <w:divId w:val="1761025994"/>
        </w:trPr>
        <w:tc>
          <w:tcPr>
            <w:tcW w:w="250" w:type="pct"/>
            <w:hideMark/>
          </w:tcPr>
          <w:p w:rsidRPr="0021022F" w:rsidR="00FA7635" w:rsidRDefault="00571BBC" w14:paraId="0201392D" w14:textId="77777777">
            <w:pPr>
              <w:jc w:val="center"/>
              <w:divId w:val="145019894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FA7635" w:rsidRDefault="00571BBC" w14:paraId="03FB330A" w14:textId="77777777">
            <w:pPr>
              <w:jc w:val="center"/>
              <w:divId w:val="109478179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FA7635" w:rsidRDefault="00571BBC" w14:paraId="56E1C93F" w14:textId="77777777">
            <w:pPr>
              <w:jc w:val="center"/>
              <w:divId w:val="203229823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2EF252B7" w14:textId="77777777">
            <w:pPr>
              <w:jc w:val="center"/>
              <w:divId w:val="189893466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215C030F" w14:textId="77777777">
            <w:pPr>
              <w:jc w:val="center"/>
              <w:divId w:val="192036410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61EE225A" w14:textId="77777777">
            <w:pPr>
              <w:jc w:val="center"/>
              <w:divId w:val="201853060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FA7635" w:rsidRDefault="00571BBC" w14:paraId="07A8B09D" w14:textId="77777777">
            <w:pPr>
              <w:jc w:val="center"/>
              <w:divId w:val="4211507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FA7635" w:rsidRDefault="00571BBC" w14:paraId="6D8C294F" w14:textId="77777777">
            <w:pPr>
              <w:jc w:val="center"/>
              <w:divId w:val="184663312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146/458 (31.9%) </w:t>
            </w:r>
          </w:p>
        </w:tc>
        <w:tc>
          <w:tcPr>
            <w:tcW w:w="400" w:type="pct"/>
            <w:hideMark/>
          </w:tcPr>
          <w:p w:rsidRPr="0021022F" w:rsidR="00FA7635" w:rsidRDefault="00571BBC" w14:paraId="3519B755" w14:textId="77777777">
            <w:pPr>
              <w:jc w:val="center"/>
              <w:divId w:val="106765105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186/455 (40.9%) </w:t>
            </w:r>
          </w:p>
        </w:tc>
        <w:tc>
          <w:tcPr>
            <w:tcW w:w="400" w:type="pct"/>
            <w:hideMark/>
          </w:tcPr>
          <w:p w:rsidRPr="0021022F" w:rsidR="00FA7635" w:rsidRDefault="00571BBC" w14:paraId="369B06A1" w14:textId="77777777">
            <w:pPr>
              <w:jc w:val="center"/>
              <w:divId w:val="19401363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(0.66 to 0.93)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FA7635" w:rsidRDefault="00571BBC" w14:paraId="745A24A7" w14:textId="77777777">
            <w:pPr>
              <w:jc w:val="center"/>
              <w:divId w:val="101515748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90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139 fewer to 29 fewer) </w:t>
            </w:r>
          </w:p>
        </w:tc>
        <w:tc>
          <w:tcPr>
            <w:tcW w:w="750" w:type="dxa"/>
            <w:hideMark/>
          </w:tcPr>
          <w:p w:rsidRPr="0021022F" w:rsidR="00FA7635" w:rsidRDefault="00571BBC" w14:paraId="413D1686" w14:textId="77777777">
            <w:pPr>
              <w:jc w:val="center"/>
              <w:divId w:val="210857725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⨁⨁⨁⨁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HIGH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FA7635" w:rsidRDefault="00571BBC" w14:paraId="5F95F642" w14:textId="77777777">
            <w:pPr>
              <w:jc w:val="center"/>
              <w:divId w:val="119257048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2F427C8F" w14:textId="77777777">
        <w:trPr>
          <w:divId w:val="1761025994"/>
        </w:trPr>
        <w:tc>
          <w:tcPr>
            <w:tcW w:w="0" w:type="auto"/>
            <w:gridSpan w:val="13"/>
            <w:hideMark/>
          </w:tcPr>
          <w:p w:rsidRPr="0021022F" w:rsidR="00FA7635" w:rsidRDefault="00571BBC" w14:paraId="22263817" w14:textId="77777777">
            <w:pPr>
              <w:divId w:val="1787386870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- 60-day mortality</w:t>
            </w:r>
          </w:p>
        </w:tc>
      </w:tr>
      <w:tr w:rsidRPr="0021022F" w:rsidR="0021022F" w:rsidTr="0021022F" w14:paraId="11389932" w14:textId="77777777">
        <w:trPr>
          <w:divId w:val="1761025994"/>
        </w:trPr>
        <w:tc>
          <w:tcPr>
            <w:tcW w:w="250" w:type="pct"/>
            <w:hideMark/>
          </w:tcPr>
          <w:p w:rsidRPr="0021022F" w:rsidR="00FA7635" w:rsidRDefault="00571BBC" w14:paraId="24B14840" w14:textId="77777777">
            <w:pPr>
              <w:jc w:val="center"/>
              <w:divId w:val="43359489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21022F" w:rsidR="00FA7635" w:rsidRDefault="00571BBC" w14:paraId="402D91F9" w14:textId="77777777">
            <w:pPr>
              <w:jc w:val="center"/>
              <w:divId w:val="59185638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FA7635" w:rsidRDefault="00571BBC" w14:paraId="2F45C551" w14:textId="77777777">
            <w:pPr>
              <w:jc w:val="center"/>
              <w:divId w:val="90329438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22AF6F52" w14:textId="77777777">
            <w:pPr>
              <w:jc w:val="center"/>
              <w:divId w:val="82077731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3F4E6DC9" w14:textId="77777777">
            <w:pPr>
              <w:jc w:val="center"/>
              <w:divId w:val="50262735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3ED69F6C" w14:textId="77777777">
            <w:pPr>
              <w:jc w:val="center"/>
              <w:divId w:val="121577931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FA7635" w:rsidRDefault="00571BBC" w14:paraId="4AAEBF2F" w14:textId="77777777">
            <w:pPr>
              <w:jc w:val="center"/>
              <w:divId w:val="84197259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FA7635" w:rsidRDefault="00571BBC" w14:paraId="2CE95CD2" w14:textId="77777777">
            <w:pPr>
              <w:jc w:val="center"/>
              <w:divId w:val="75452274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27/58 (46.6%) </w:t>
            </w:r>
          </w:p>
        </w:tc>
        <w:tc>
          <w:tcPr>
            <w:tcW w:w="400" w:type="pct"/>
            <w:hideMark/>
          </w:tcPr>
          <w:p w:rsidRPr="0021022F" w:rsidR="00FA7635" w:rsidRDefault="00571BBC" w14:paraId="0F9AA99A" w14:textId="77777777">
            <w:pPr>
              <w:jc w:val="center"/>
              <w:divId w:val="180620006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22/58 (37.9%) </w:t>
            </w:r>
          </w:p>
        </w:tc>
        <w:tc>
          <w:tcPr>
            <w:tcW w:w="400" w:type="pct"/>
            <w:hideMark/>
          </w:tcPr>
          <w:p w:rsidRPr="0021022F" w:rsidR="00FA7635" w:rsidRDefault="00571BBC" w14:paraId="3B692D19" w14:textId="77777777">
            <w:pPr>
              <w:jc w:val="center"/>
              <w:divId w:val="212920187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1.23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(0.80 to 1.89)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FA7635" w:rsidRDefault="00571BBC" w14:paraId="4CF3DBBE" w14:textId="77777777">
            <w:pPr>
              <w:jc w:val="center"/>
              <w:divId w:val="172964657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87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76 fewer to 338 more) </w:t>
            </w:r>
          </w:p>
        </w:tc>
        <w:tc>
          <w:tcPr>
            <w:tcW w:w="750" w:type="dxa"/>
            <w:hideMark/>
          </w:tcPr>
          <w:p w:rsidRPr="0021022F" w:rsidR="00FA7635" w:rsidRDefault="00571BBC" w14:paraId="4241E2B0" w14:textId="77777777">
            <w:pPr>
              <w:jc w:val="center"/>
              <w:divId w:val="168369856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FA7635" w:rsidRDefault="00571BBC" w14:paraId="74A24B88" w14:textId="77777777">
            <w:pPr>
              <w:jc w:val="center"/>
              <w:divId w:val="144719537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6506E02E" w14:textId="77777777">
        <w:trPr>
          <w:divId w:val="1761025994"/>
        </w:trPr>
        <w:tc>
          <w:tcPr>
            <w:tcW w:w="0" w:type="auto"/>
            <w:gridSpan w:val="13"/>
            <w:hideMark/>
          </w:tcPr>
          <w:p w:rsidRPr="0021022F" w:rsidR="00FA7635" w:rsidRDefault="00571BBC" w14:paraId="4359BF26" w14:textId="77777777">
            <w:pPr>
              <w:divId w:val="52169045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Barotrauma</w:t>
            </w:r>
          </w:p>
        </w:tc>
      </w:tr>
      <w:tr w:rsidRPr="0021022F" w:rsidR="0021022F" w:rsidTr="0021022F" w14:paraId="336003AB" w14:textId="77777777">
        <w:trPr>
          <w:divId w:val="1761025994"/>
        </w:trPr>
        <w:tc>
          <w:tcPr>
            <w:tcW w:w="250" w:type="pct"/>
            <w:hideMark/>
          </w:tcPr>
          <w:p w:rsidRPr="0021022F" w:rsidR="00FA7635" w:rsidRDefault="00571BBC" w14:paraId="53D33A92" w14:textId="77777777">
            <w:pPr>
              <w:jc w:val="center"/>
              <w:divId w:val="209724649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FA7635" w:rsidRDefault="00571BBC" w14:paraId="697AE886" w14:textId="77777777">
            <w:pPr>
              <w:jc w:val="center"/>
              <w:divId w:val="137372794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FA7635" w:rsidRDefault="00571BBC" w14:paraId="2B3755B1" w14:textId="77777777">
            <w:pPr>
              <w:jc w:val="center"/>
              <w:divId w:val="25074768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04DF2831" w14:textId="77777777">
            <w:pPr>
              <w:jc w:val="center"/>
              <w:divId w:val="88048050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00159ED2" w14:textId="77777777">
            <w:pPr>
              <w:jc w:val="center"/>
              <w:divId w:val="141285191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587A888C" w14:textId="77777777">
            <w:pPr>
              <w:jc w:val="center"/>
              <w:divId w:val="183031924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FA7635" w:rsidRDefault="00571BBC" w14:paraId="6FD54DC8" w14:textId="77777777">
            <w:pPr>
              <w:jc w:val="center"/>
              <w:divId w:val="121623295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FA7635" w:rsidRDefault="00571BBC" w14:paraId="6515E0D9" w14:textId="77777777">
            <w:pPr>
              <w:jc w:val="center"/>
              <w:divId w:val="34775392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19/516 (3.7%) </w:t>
            </w:r>
          </w:p>
        </w:tc>
        <w:tc>
          <w:tcPr>
            <w:tcW w:w="400" w:type="pct"/>
            <w:hideMark/>
          </w:tcPr>
          <w:p w:rsidRPr="0021022F" w:rsidR="00FA7635" w:rsidRDefault="00571BBC" w14:paraId="135FD3F4" w14:textId="77777777">
            <w:pPr>
              <w:jc w:val="center"/>
              <w:divId w:val="213543821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19/513 (3.7%) </w:t>
            </w:r>
          </w:p>
        </w:tc>
        <w:tc>
          <w:tcPr>
            <w:tcW w:w="400" w:type="pct"/>
            <w:hideMark/>
          </w:tcPr>
          <w:p w:rsidRPr="0021022F" w:rsidR="00FA7635" w:rsidRDefault="00571BBC" w14:paraId="5E52F96D" w14:textId="77777777">
            <w:pPr>
              <w:jc w:val="center"/>
              <w:divId w:val="180107460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(0.54 to 1.84)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FA7635" w:rsidRDefault="00571BBC" w14:paraId="3037B6DF" w14:textId="77777777">
            <w:pPr>
              <w:jc w:val="center"/>
              <w:divId w:val="24831719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17 fewer to 31 more) </w:t>
            </w:r>
          </w:p>
        </w:tc>
        <w:tc>
          <w:tcPr>
            <w:tcW w:w="750" w:type="dxa"/>
            <w:hideMark/>
          </w:tcPr>
          <w:p w:rsidRPr="0021022F" w:rsidR="00FA7635" w:rsidRDefault="00571BBC" w14:paraId="646F4E8B" w14:textId="77777777">
            <w:pPr>
              <w:jc w:val="center"/>
              <w:divId w:val="19558225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FA7635" w:rsidRDefault="00571BBC" w14:paraId="1D2519EB" w14:textId="77777777">
            <w:pPr>
              <w:jc w:val="center"/>
              <w:divId w:val="124414349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2405BBAE" w14:textId="77777777">
        <w:trPr>
          <w:divId w:val="1761025994"/>
        </w:trPr>
        <w:tc>
          <w:tcPr>
            <w:tcW w:w="0" w:type="auto"/>
            <w:gridSpan w:val="13"/>
            <w:hideMark/>
          </w:tcPr>
          <w:p w:rsidRPr="0021022F" w:rsidR="00FA7635" w:rsidRDefault="00571BBC" w14:paraId="057992EA" w14:textId="77777777">
            <w:pPr>
              <w:divId w:val="1000353046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Ventilator Free Days</w:t>
            </w:r>
          </w:p>
        </w:tc>
      </w:tr>
      <w:tr w:rsidRPr="0021022F" w:rsidR="0021022F" w:rsidTr="0021022F" w14:paraId="28131FA8" w14:textId="77777777">
        <w:trPr>
          <w:divId w:val="1761025994"/>
        </w:trPr>
        <w:tc>
          <w:tcPr>
            <w:tcW w:w="250" w:type="pct"/>
            <w:hideMark/>
          </w:tcPr>
          <w:p w:rsidRPr="0021022F" w:rsidR="00FA7635" w:rsidRDefault="00571BBC" w14:paraId="0AFDBD2F" w14:textId="77777777">
            <w:pPr>
              <w:jc w:val="center"/>
              <w:divId w:val="1112481054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FA7635" w:rsidRDefault="00571BBC" w14:paraId="434F65AD" w14:textId="77777777">
            <w:pPr>
              <w:jc w:val="center"/>
              <w:divId w:val="30605982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FA7635" w:rsidRDefault="00571BBC" w14:paraId="57FC8120" w14:textId="77777777">
            <w:pPr>
              <w:jc w:val="center"/>
              <w:divId w:val="176568530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0CF29C51" w14:textId="77777777">
            <w:pPr>
              <w:jc w:val="center"/>
              <w:divId w:val="105947768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FA7635" w:rsidRDefault="00571BBC" w14:paraId="52639449" w14:textId="77777777">
            <w:pPr>
              <w:jc w:val="center"/>
              <w:divId w:val="498664214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513C8B96" w14:textId="77777777">
            <w:pPr>
              <w:jc w:val="center"/>
              <w:divId w:val="196800346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FA7635" w:rsidRDefault="00571BBC" w14:paraId="1AC3D5E2" w14:textId="77777777">
            <w:pPr>
              <w:jc w:val="center"/>
              <w:divId w:val="163047654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FA7635" w:rsidRDefault="00571BBC" w14:paraId="65F0F127" w14:textId="77777777">
            <w:pPr>
              <w:jc w:val="center"/>
              <w:divId w:val="187387708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490 </w:t>
            </w:r>
          </w:p>
        </w:tc>
        <w:tc>
          <w:tcPr>
            <w:tcW w:w="400" w:type="pct"/>
            <w:hideMark/>
          </w:tcPr>
          <w:p w:rsidRPr="0021022F" w:rsidR="00FA7635" w:rsidRDefault="00571BBC" w14:paraId="67604BE4" w14:textId="77777777">
            <w:pPr>
              <w:jc w:val="center"/>
              <w:divId w:val="47750030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487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FA7635" w:rsidRDefault="00571BBC" w14:paraId="744C6B27" w14:textId="77777777">
            <w:pPr>
              <w:jc w:val="center"/>
              <w:divId w:val="125786007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FA7635" w:rsidRDefault="00571BBC" w14:paraId="32B7A4A4" w14:textId="77777777">
            <w:pPr>
              <w:jc w:val="center"/>
              <w:divId w:val="910775769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1.8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(0.35 higher to 3.25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FA7635" w:rsidRDefault="00571BBC" w14:paraId="4A33E997" w14:textId="77777777">
            <w:pPr>
              <w:jc w:val="center"/>
              <w:divId w:val="337852274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FA7635" w:rsidRDefault="00571BBC" w14:paraId="449520AB" w14:textId="77777777">
            <w:pPr>
              <w:jc w:val="center"/>
              <w:divId w:val="901015308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506FFCB6" w14:textId="77777777">
        <w:trPr>
          <w:divId w:val="1761025994"/>
        </w:trPr>
        <w:tc>
          <w:tcPr>
            <w:tcW w:w="0" w:type="auto"/>
            <w:gridSpan w:val="13"/>
            <w:hideMark/>
          </w:tcPr>
          <w:p w:rsidRPr="0021022F" w:rsidR="00FA7635" w:rsidRDefault="00571BBC" w14:paraId="00B23A37" w14:textId="77777777">
            <w:pPr>
              <w:divId w:val="1776438769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Duration of Mechanical Ventilation</w:t>
            </w:r>
          </w:p>
        </w:tc>
      </w:tr>
      <w:tr w:rsidRPr="0021022F" w:rsidR="0021022F" w:rsidTr="0021022F" w14:paraId="09145A44" w14:textId="77777777">
        <w:trPr>
          <w:divId w:val="1761025994"/>
        </w:trPr>
        <w:tc>
          <w:tcPr>
            <w:tcW w:w="250" w:type="pct"/>
            <w:hideMark/>
          </w:tcPr>
          <w:p w:rsidRPr="0021022F" w:rsidR="00FA7635" w:rsidRDefault="00571BBC" w14:paraId="733EBCD0" w14:textId="77777777">
            <w:pPr>
              <w:jc w:val="center"/>
              <w:divId w:val="104578900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FA7635" w:rsidRDefault="00571BBC" w14:paraId="48DE760B" w14:textId="77777777">
            <w:pPr>
              <w:jc w:val="center"/>
              <w:divId w:val="161081875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FA7635" w:rsidRDefault="00571BBC" w14:paraId="19634EDA" w14:textId="77777777">
            <w:pPr>
              <w:jc w:val="center"/>
              <w:divId w:val="182269713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11D4C648" w14:textId="77777777">
            <w:pPr>
              <w:jc w:val="center"/>
              <w:divId w:val="1531528592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2AC77DC4" w14:textId="77777777">
            <w:pPr>
              <w:jc w:val="center"/>
              <w:divId w:val="938946384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FA7635" w:rsidRDefault="00571BBC" w14:paraId="4230983A" w14:textId="77777777">
            <w:pPr>
              <w:jc w:val="center"/>
              <w:divId w:val="42349573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21022F" w:rsidR="00FA7635" w:rsidRDefault="00571BBC" w14:paraId="5D4CC29C" w14:textId="77777777">
            <w:pPr>
              <w:jc w:val="center"/>
              <w:divId w:val="184886729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FA7635" w:rsidRDefault="00571BBC" w14:paraId="64D2B6D5" w14:textId="77777777">
            <w:pPr>
              <w:jc w:val="center"/>
              <w:divId w:val="186740480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84 </w:t>
            </w:r>
          </w:p>
        </w:tc>
        <w:tc>
          <w:tcPr>
            <w:tcW w:w="400" w:type="pct"/>
            <w:hideMark/>
          </w:tcPr>
          <w:p w:rsidRPr="0021022F" w:rsidR="00FA7635" w:rsidRDefault="00571BBC" w14:paraId="02BCF342" w14:textId="77777777">
            <w:pPr>
              <w:jc w:val="center"/>
              <w:divId w:val="112998040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84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FA7635" w:rsidRDefault="00571BBC" w14:paraId="25CCD157" w14:textId="77777777">
            <w:pPr>
              <w:jc w:val="center"/>
              <w:divId w:val="336076504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FA7635" w:rsidRDefault="00571BBC" w14:paraId="3D87D073" w14:textId="77777777">
            <w:pPr>
              <w:jc w:val="center"/>
              <w:divId w:val="1704019531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0.54 lower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(1.64 lower to </w:t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lastRenderedPageBreak/>
              <w:t>0.56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FA7635" w:rsidRDefault="00571BBC" w14:paraId="1E548E17" w14:textId="77777777">
            <w:pPr>
              <w:jc w:val="center"/>
              <w:divId w:val="175035031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lastRenderedPageBreak/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FA7635" w:rsidRDefault="00571BBC" w14:paraId="2CDBD8AE" w14:textId="77777777">
            <w:pPr>
              <w:jc w:val="center"/>
              <w:divId w:val="94037683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</w:tbl>
    <w:p w:rsidRPr="0021022F" w:rsidR="00FA7635" w:rsidRDefault="00571BBC" w14:paraId="6CD78804" w14:textId="77777777">
      <w:pPr>
        <w:pStyle w:val="NormalWeb"/>
        <w:spacing w:line="140" w:lineRule="atLeast"/>
        <w:divId w:val="1761025994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FA7635" w:rsidRDefault="00571BBC" w14:paraId="2389ECD4" w14:textId="77777777">
      <w:pPr>
        <w:pStyle w:val="Heading4"/>
        <w:spacing w:line="140" w:lineRule="atLeast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FA7635" w:rsidRDefault="00571BBC" w14:paraId="7D4F3FBA" w14:textId="77777777">
      <w:pPr>
        <w:spacing w:line="140" w:lineRule="atLeast"/>
        <w:divId w:val="414207159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a. I</w:t>
      </w:r>
      <w:r w:rsidRPr="0021022F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=60%; heterogeneity in pooled MA. Difference in mortality endpoints between studies (hospital mortality vs. 60-day mortality data) </w:t>
      </w:r>
    </w:p>
    <w:p w:rsidRPr="0021022F" w:rsidR="00FA7635" w:rsidRDefault="00571BBC" w14:paraId="644CC40B" w14:textId="77777777">
      <w:pPr>
        <w:spacing w:line="140" w:lineRule="atLeast"/>
        <w:divId w:val="624117977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Wide CI do not differentiate harm or benefit </w:t>
      </w:r>
    </w:p>
    <w:p w:rsidRPr="0021022F" w:rsidR="00FA7635" w:rsidRDefault="00571BBC" w14:paraId="7009D566" w14:textId="77777777">
      <w:pPr>
        <w:spacing w:line="140" w:lineRule="atLeast"/>
        <w:divId w:val="978147380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c. I</w:t>
      </w:r>
      <w:r w:rsidRPr="0021022F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=57% </w:t>
      </w:r>
    </w:p>
    <w:p w:rsidRPr="0021022F" w:rsidR="005335AD" w:rsidP="005335AD" w:rsidRDefault="00571BBC" w14:paraId="444CB07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Wide CI do not exclude harm or benefit </w:t>
      </w:r>
    </w:p>
    <w:p w:rsidRPr="0021022F" w:rsidR="005335AD" w:rsidP="005335AD" w:rsidRDefault="005335AD" w14:paraId="4D1B0D10" w14:textId="77777777">
      <w:pPr>
        <w:spacing w:line="140" w:lineRule="atLeast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</w:p>
    <w:p w:rsidR="0021022F" w:rsidP="005335AD" w:rsidRDefault="0021022F" w14:paraId="21D1095D" w14:textId="77777777">
      <w:pPr>
        <w:spacing w:line="140" w:lineRule="atLeast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</w:p>
    <w:p w:rsidR="0021022F" w:rsidP="005335AD" w:rsidRDefault="0021022F" w14:paraId="6B60F37F" w14:textId="77777777">
      <w:pPr>
        <w:spacing w:line="140" w:lineRule="atLeast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</w:p>
    <w:p w:rsidR="007C79CC" w:rsidP="005335AD" w:rsidRDefault="007C79CC" w14:paraId="5C046ED2" w14:textId="77777777">
      <w:pPr>
        <w:spacing w:line="140" w:lineRule="atLeast"/>
        <w:divId w:val="1756708166"/>
        <w:rPr>
          <w:rFonts w:eastAsia="Times New Roman" w:cs="Calibri"/>
          <w:b/>
          <w:bCs/>
          <w:color w:val="000000"/>
          <w:sz w:val="30"/>
          <w:szCs w:val="30"/>
          <w:lang w:val="en"/>
        </w:rPr>
      </w:pPr>
      <w:r>
        <w:rPr>
          <w:rFonts w:eastAsia="Times New Roman" w:cs="Calibri"/>
          <w:b/>
          <w:bCs/>
          <w:color w:val="000000"/>
          <w:sz w:val="30"/>
          <w:szCs w:val="30"/>
          <w:lang w:val="en"/>
        </w:rPr>
        <w:br w:type="page"/>
      </w:r>
    </w:p>
    <w:p w:rsidR="005335AD" w:rsidP="007C79CC" w:rsidRDefault="0021022F" w14:paraId="016A509E" w14:textId="2B4044C8">
      <w:pPr>
        <w:pStyle w:val="Heading2"/>
        <w:divId w:val="1756708166"/>
      </w:pPr>
      <w:bookmarkStart w:name="_Toc61378901" w:id="3"/>
      <w:r w:rsidRPr="0021022F">
        <w:rPr>
          <w:rFonts w:eastAsia="Times New Roman" w:cs="Calibri"/>
          <w:bCs/>
          <w:color w:val="000000"/>
          <w:sz w:val="30"/>
          <w:szCs w:val="30"/>
          <w:lang w:val="en"/>
        </w:rPr>
        <w:lastRenderedPageBreak/>
        <w:t>EtD. Summary of Judgements</w:t>
      </w:r>
      <w:r w:rsidR="007C79CC">
        <w:rPr>
          <w:rFonts w:eastAsia="Times New Roman" w:cs="Calibri"/>
          <w:bCs/>
          <w:color w:val="000000"/>
          <w:sz w:val="30"/>
          <w:szCs w:val="30"/>
          <w:lang w:val="en"/>
        </w:rPr>
        <w:t xml:space="preserve"> </w:t>
      </w:r>
      <w:r w:rsidRPr="007C79CC" w:rsidR="007C79CC">
        <w:t>plateau pressure less than 30 cm H2O</w:t>
      </w:r>
      <w:bookmarkEnd w:id="3"/>
    </w:p>
    <w:p w:rsidRPr="0021022F" w:rsidR="007C79CC" w:rsidP="005335AD" w:rsidRDefault="007C79CC" w14:paraId="5B9B8572" w14:textId="77777777">
      <w:pPr>
        <w:spacing w:line="140" w:lineRule="atLeast"/>
        <w:divId w:val="1756708166"/>
        <w:rPr>
          <w:rFonts w:eastAsia="Times New Roman"/>
          <w:b/>
          <w:bCs/>
          <w:color w:val="000000"/>
          <w:sz w:val="14"/>
          <w:szCs w:val="14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33"/>
        <w:gridCol w:w="1739"/>
        <w:gridCol w:w="1763"/>
        <w:gridCol w:w="1554"/>
        <w:gridCol w:w="1653"/>
      </w:tblGrid>
      <w:tr w:rsidRPr="0021022F" w:rsidR="005335AD" w:rsidTr="005335AD" w14:paraId="1C031F37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6A36C14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6761B5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21022F" w:rsidR="005335AD" w:rsidTr="005335AD" w14:paraId="7A8BE71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ED12F3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A0D073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0DB296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2CFBB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663314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6658FC3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148FD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82124C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0B35B558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42C40A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0BA346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278D0B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FEC0E5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DEFF8B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A25C3A0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5CE929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0DB616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16CEF1F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67AB88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D05D8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44CAF1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CE5782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A3FE4A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033F579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45CE0C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A27E02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13F49BC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C245FC1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A7A213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A5A0ED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BF8BE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0AD3CF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1090847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28F743E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46B50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21022F" w:rsidR="005335AD" w:rsidTr="005335AD" w14:paraId="631B6AE8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A07DF4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B0E82E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6C0FAB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45FF32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00139B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A0F69F5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C60C55A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77FF65E" w14:textId="77777777">
            <w:pPr>
              <w:jc w:val="center"/>
              <w:rPr>
                <w:rFonts w:eastAsia="Times New Roman"/>
              </w:rPr>
            </w:pPr>
          </w:p>
        </w:tc>
      </w:tr>
      <w:tr w:rsidRPr="0021022F" w:rsidR="005335AD" w:rsidTr="005335AD" w14:paraId="06CAF0B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DE142A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5C73B5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73B57C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AA481A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40FD61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E95F1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961627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80BC68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66C1387C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281A2F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2562C6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EF1841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265540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4564D9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DEA7B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783A9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102E2B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1CF30746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DA0E65C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0B2194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B80D2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814547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EF9490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C734551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D37220C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721F6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5335AD" w:rsidTr="005335AD" w14:paraId="59D592A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26AC25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4AEB9D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E1BF0A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0EB18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61A68F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E3A847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5F942F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68AE73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5335AD" w:rsidTr="005335AD" w14:paraId="6EE8961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1690BA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5F0FBD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8F9DF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4F03E7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F99FFA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1F2678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B79FA5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18679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16A82F27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BD34B7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40232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0361BD9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7B38C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1E1720E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857031B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D1F08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AA6A8D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5335AD" w:rsidTr="005335AD" w14:paraId="3709B95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4D25A5FC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85DA4F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B8D76B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7D0FF0B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6791A8B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5A025C68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279FD92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5335AD" w:rsidP="0021022F" w:rsidRDefault="005335AD" w14:paraId="3A5A58B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5335AD" w:rsidP="005335AD" w:rsidRDefault="005335AD" w14:paraId="0B176705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5D2CC172" w14:textId="77777777">
      <w:pPr>
        <w:divId w:val="1756708166"/>
        <w:rPr>
          <w:rFonts w:eastAsia="Times New Roman"/>
          <w:lang w:val="en"/>
        </w:rPr>
      </w:pPr>
    </w:p>
    <w:p w:rsidRPr="00A17DE1" w:rsidR="005335AD" w:rsidP="00A17DE1" w:rsidRDefault="005335AD" w14:paraId="1BD7D155" w14:textId="36DD26F8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6A2D55F8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21022F" w:rsidR="005335AD" w:rsidTr="005335AD" w14:paraId="5C75D2D9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5335AD" w:rsidP="0021022F" w:rsidRDefault="005335AD" w14:paraId="41866B4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5335AD" w:rsidP="0021022F" w:rsidRDefault="005335AD" w14:paraId="5CCEE5A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5335AD" w:rsidP="0021022F" w:rsidRDefault="005335AD" w14:paraId="084DF7F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5335AD" w:rsidP="0021022F" w:rsidRDefault="005335AD" w14:paraId="322F6C1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5335AD" w:rsidP="0021022F" w:rsidRDefault="005335AD" w14:paraId="60529D9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olor w:val="FFFFFF"/>
              </w:rPr>
              <w:t>Strong recommendation for the intervention</w:t>
            </w:r>
          </w:p>
        </w:tc>
      </w:tr>
      <w:tr w:rsidRPr="0021022F" w:rsidR="005335AD" w:rsidTr="005335AD" w14:paraId="1D866168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5335AD" w:rsidP="0021022F" w:rsidRDefault="005335AD" w14:paraId="2F26B2DD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5335AD" w:rsidP="0021022F" w:rsidRDefault="005335AD" w14:paraId="7AA88E91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5335AD" w:rsidP="0021022F" w:rsidRDefault="005335AD" w14:paraId="2F72390D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5335AD" w:rsidP="0021022F" w:rsidRDefault="005335AD" w14:paraId="4C03829C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5335AD" w:rsidP="0021022F" w:rsidRDefault="005335AD" w14:paraId="3DB6812D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21022F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</w:tr>
    </w:tbl>
    <w:p w:rsidRPr="0021022F" w:rsidR="005335AD" w:rsidRDefault="005335AD" w14:paraId="0535E1E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7C79CC" w:rsidP="00621606" w:rsidRDefault="007C79CC" w14:paraId="0F682147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7C79CC" w:rsidR="00621606" w:rsidP="007C79CC" w:rsidRDefault="00621606" w14:paraId="7F271361" w14:textId="28D16AE6">
      <w:pPr>
        <w:pStyle w:val="Heading1"/>
        <w:divId w:val="1756708166"/>
      </w:pPr>
      <w:bookmarkStart w:name="_Toc61378902" w:id="4"/>
      <w:r w:rsidRPr="007C79CC">
        <w:lastRenderedPageBreak/>
        <w:t>In adults with sepsis-induced ARDS, should we use low tidal volume ventilation?</w:t>
      </w:r>
      <w:bookmarkEnd w:id="4"/>
    </w:p>
    <w:p w:rsidR="00621606" w:rsidP="00621606" w:rsidRDefault="00621606" w14:paraId="191F7B9C" w14:textId="04FEC5B0">
      <w:pPr>
        <w:divId w:val="1756708166"/>
      </w:pPr>
    </w:p>
    <w:p w:rsidRPr="0021022F" w:rsidR="007C79CC" w:rsidP="007C79CC" w:rsidRDefault="007C79CC" w14:paraId="3CF29308" w14:textId="7D143E23">
      <w:pPr>
        <w:pStyle w:val="Heading2"/>
        <w:divId w:val="1756708166"/>
      </w:pPr>
      <w:bookmarkStart w:name="_Toc61378903" w:id="5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7C79CC">
        <w:t xml:space="preserve"> low tidal volume ventilation</w:t>
      </w:r>
      <w:bookmarkEnd w:id="5"/>
    </w:p>
    <w:p w:rsidRPr="0021022F" w:rsidR="00621606" w:rsidP="00621606" w:rsidRDefault="00621606" w14:paraId="67D5BD7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21022F" w:rsidR="0021022F" w:rsidTr="0021022F" w14:paraId="1ED6EB5F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21022F" w:rsidR="00621606" w:rsidP="0021022F" w:rsidRDefault="0021022F" w14:paraId="0DD1E44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21022F" w:rsidR="00621606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21022F" w:rsidR="00621606" w:rsidP="0021022F" w:rsidRDefault="00621606" w14:paraId="4830640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21022F" w:rsidR="00621606" w:rsidP="0021022F" w:rsidRDefault="00621606" w14:paraId="0379EBF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21022F" w:rsidR="00621606" w:rsidP="0021022F" w:rsidRDefault="0021022F" w14:paraId="775CFAAD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21022F" w:rsidR="00621606" w:rsidP="0021022F" w:rsidRDefault="00621606" w14:paraId="4509AA4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21022F" w:rsidR="0021022F" w:rsidTr="0021022F" w14:paraId="41504BEC" w14:textId="77777777">
        <w:trPr>
          <w:divId w:val="1756708166"/>
        </w:trPr>
        <w:tc>
          <w:tcPr>
            <w:tcW w:w="0" w:type="auto"/>
            <w:hideMark/>
          </w:tcPr>
          <w:p w:rsidRPr="0021022F" w:rsidR="00621606" w:rsidP="0021022F" w:rsidRDefault="00621606" w14:paraId="3610531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2B512A7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63D71A8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4E20A9B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561ADB8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5F65411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4A7E977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7584E1ED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low tidal-volume ventilation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05DC486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6ED30C8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3193B6B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21022F" w:rsidR="00621606" w:rsidP="0021022F" w:rsidRDefault="00621606" w14:paraId="0AD4414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21022F" w:rsidR="00621606" w:rsidP="0021022F" w:rsidRDefault="00621606" w14:paraId="0BD9E5C4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26E4A677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407D6DA8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</w:t>
            </w:r>
          </w:p>
        </w:tc>
      </w:tr>
      <w:tr w:rsidRPr="0021022F" w:rsidR="0021022F" w:rsidTr="0021022F" w14:paraId="25A2A4C5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2CD2F44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33F31C5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09324C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7F795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024BA3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4C08E2C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0BF04CC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CBD298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218/655 (33.3%)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FEF20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277/642 (43.1%)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33C621C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(0.62 to 0.97)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530ADCA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95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164 fewer to 13 fewer)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62C0F60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⨁⨁⨁⨁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HIGH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1FAC075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3C5F511D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6B97DF53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- 28-day mortality</w:t>
            </w:r>
          </w:p>
        </w:tc>
      </w:tr>
      <w:tr w:rsidRPr="0021022F" w:rsidR="0021022F" w:rsidTr="0021022F" w14:paraId="7C953B33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2FB796F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3128060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677C3B7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40341C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BFED2B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69E7BB5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7A0B875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75338E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11/29 (37.9%)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3EBA767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17/24 (70.8%)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25EB1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0.54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(0.31 to 0.91)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55C4D88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326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489 fewer to 64 fewer)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7BB368B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2CC42A3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05A95406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040D19F4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- 60-day mortality</w:t>
            </w:r>
          </w:p>
        </w:tc>
      </w:tr>
      <w:tr w:rsidRPr="0021022F" w:rsidR="0021022F" w:rsidTr="0021022F" w14:paraId="6C780EFE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4C092E5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17448A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B901B6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277ED1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6DCFB82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4D811A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002AD02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0580F5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27/58 (46.6%)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3F66C1E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22/58 (37.9%)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64290C4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1.23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(0.80 to 1.89)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15C9A9B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87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76 fewer to 338 more)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7480666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7CE4B17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5017E2E5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54E42979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Hospital Mortality</w:t>
            </w:r>
          </w:p>
        </w:tc>
      </w:tr>
      <w:tr w:rsidRPr="0021022F" w:rsidR="0021022F" w:rsidTr="0021022F" w14:paraId="0A3EF080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3F68402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1D723DF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42C0C54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85C779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0E64333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50EC0A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12013BB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45D3AD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191/597 (32.0%)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7A7360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255/584 (43.7%)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04CF8D6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0.73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(0.63 to 0.85)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29711F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118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162 fewer to 65 fewer)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73D3803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⨁⨁⨁⨁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HIGH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13E9C53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437F98BA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2B9D101B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Barotrauma</w:t>
            </w:r>
          </w:p>
        </w:tc>
      </w:tr>
      <w:tr w:rsidRPr="0021022F" w:rsidR="0021022F" w:rsidTr="0021022F" w14:paraId="1D059A11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1112E4E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1CE4106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456899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6E8A8C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6A025E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8D9C9B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761BFB9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A8FE41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15/537 (2.8%)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6D2D1E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26/542 (4.8%)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77012C3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0.65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(0.34 to 1.24)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03097DF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17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32 fewer to 12 more)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1E3233B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06F5C1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0521A558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7AF431A6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Days on Mechanical Ventilation</w:t>
            </w:r>
          </w:p>
        </w:tc>
      </w:tr>
      <w:tr w:rsidRPr="0021022F" w:rsidR="0021022F" w:rsidTr="0021022F" w14:paraId="729B2415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76D0D42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44676B9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4E97DCF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304F0C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F9514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52FEF5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4AFD158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6A2E9AF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84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8FB591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84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7D96522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0ADB5B5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0.54 lower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(1.64 lower to </w:t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lastRenderedPageBreak/>
              <w:t>0.56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1C4D08E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lastRenderedPageBreak/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525A708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36D752F5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44C4394F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Ventilator-Free Days</w:t>
            </w:r>
          </w:p>
        </w:tc>
      </w:tr>
      <w:tr w:rsidRPr="0021022F" w:rsidR="0021022F" w:rsidTr="0021022F" w14:paraId="4E8F0DBA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7D9650E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0AA9935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68655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0A7AF6B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A57E6D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09403CA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00626A2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A8FB54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540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629835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532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19F70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2CA1249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2.23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(1.01 lower to 5.47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3D0534D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0BC98F6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0236B89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610E71F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LOS</w:t>
            </w:r>
          </w:p>
        </w:tc>
      </w:tr>
      <w:tr w:rsidRPr="0021022F" w:rsidR="0021022F" w:rsidTr="0021022F" w14:paraId="6F2D745E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08546AF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29989E7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F03003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12B871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4DEA8EB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A71EB0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3F516E1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31FA25D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648A00F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58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D530FF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16985E9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3.8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(5.12 lower to 12.72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6E714A8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0B44F31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</w:tbl>
    <w:p w:rsidRPr="0021022F" w:rsidR="00621606" w:rsidP="00621606" w:rsidRDefault="00621606" w14:paraId="3DD625E5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621606" w:rsidP="00621606" w:rsidRDefault="00621606" w14:paraId="5B78A3D2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621606" w:rsidP="00621606" w:rsidRDefault="00621606" w14:paraId="3E31A32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Patients included mixed ARDS, but majority (60% of more) were due to sepsis or sepsis-induced ARDS </w:t>
      </w:r>
    </w:p>
    <w:p w:rsidRPr="0021022F" w:rsidR="00621606" w:rsidP="00621606" w:rsidRDefault="00621606" w14:paraId="114BFBC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Significant difference; small sample of patients </w:t>
      </w:r>
    </w:p>
    <w:p w:rsidRPr="0021022F" w:rsidR="00621606" w:rsidP="00621606" w:rsidRDefault="00621606" w14:paraId="2B071CD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Crosses line of no effects; small sample of patients </w:t>
      </w:r>
    </w:p>
    <w:p w:rsidRPr="0021022F" w:rsidR="00621606" w:rsidP="00621606" w:rsidRDefault="00621606" w14:paraId="4AEA679B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I2=0% for hospital mortality across 5 studies. There was variability between protocols in managing control group and intervention (open lung strategy utilization, definition of low-tidal volume). This did not effect the overall heterogeneity in estimates. </w:t>
      </w:r>
    </w:p>
    <w:p w:rsidRPr="0021022F" w:rsidR="00621606" w:rsidP="00621606" w:rsidRDefault="00621606" w14:paraId="1D9576A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e. I2 = 59%; heterogeneity between studies in terms of intervention/control protocols </w:t>
      </w:r>
    </w:p>
    <w:p w:rsidRPr="0021022F" w:rsidR="00621606" w:rsidP="00621606" w:rsidRDefault="00621606" w14:paraId="09F6D51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621606" w:rsidP="00621606" w:rsidRDefault="00621606" w14:paraId="5D59B21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7C79CC" w:rsidP="00621606" w:rsidRDefault="007C79CC" w14:paraId="4EEAEC67" w14:textId="77777777">
      <w:pPr>
        <w:pStyle w:val="Heading1"/>
        <w:spacing w:after="20"/>
        <w:divId w:val="1756708166"/>
        <w:rPr>
          <w:rFonts w:eastAsia="Times New Roman" w:cs="Calibri"/>
          <w:color w:val="000000"/>
          <w:sz w:val="30"/>
          <w:szCs w:val="30"/>
          <w:lang w:val="en"/>
        </w:rPr>
      </w:pPr>
      <w:r>
        <w:rPr>
          <w:rFonts w:eastAsia="Times New Roman" w:cs="Calibri"/>
          <w:color w:val="000000"/>
          <w:sz w:val="30"/>
          <w:szCs w:val="30"/>
          <w:lang w:val="en"/>
        </w:rPr>
        <w:br w:type="page"/>
      </w:r>
    </w:p>
    <w:p w:rsidR="00621606" w:rsidP="007C79CC" w:rsidRDefault="0021022F" w14:paraId="5511006E" w14:textId="082DC8B2">
      <w:pPr>
        <w:pStyle w:val="Heading2"/>
        <w:divId w:val="1756708166"/>
        <w:rPr>
          <w:rFonts w:eastAsia="Times New Roman"/>
          <w:lang w:val="en"/>
        </w:rPr>
      </w:pPr>
      <w:bookmarkStart w:name="_Toc61378904" w:id="6"/>
      <w:r>
        <w:rPr>
          <w:rFonts w:eastAsia="Times New Roman"/>
          <w:lang w:val="en"/>
        </w:rPr>
        <w:lastRenderedPageBreak/>
        <w:t>EtD. S</w:t>
      </w:r>
      <w:r w:rsidRPr="0021022F">
        <w:rPr>
          <w:rFonts w:eastAsia="Times New Roman"/>
          <w:lang w:val="en"/>
        </w:rPr>
        <w:t xml:space="preserve">ummary of </w:t>
      </w:r>
      <w:r>
        <w:rPr>
          <w:rFonts w:eastAsia="Times New Roman"/>
          <w:lang w:val="en"/>
        </w:rPr>
        <w:t>J</w:t>
      </w:r>
      <w:r w:rsidRPr="0021022F">
        <w:rPr>
          <w:rFonts w:eastAsia="Times New Roman"/>
          <w:lang w:val="en"/>
        </w:rPr>
        <w:t>udgements</w:t>
      </w:r>
      <w:r w:rsidR="007C79CC">
        <w:rPr>
          <w:rFonts w:eastAsia="Times New Roman"/>
          <w:lang w:val="en"/>
        </w:rPr>
        <w:t xml:space="preserve"> </w:t>
      </w:r>
      <w:r w:rsidRPr="007C79CC" w:rsidR="007C79CC">
        <w:t>low tidal volume ventilation</w:t>
      </w:r>
      <w:bookmarkEnd w:id="6"/>
    </w:p>
    <w:p w:rsidRPr="007C79CC" w:rsidR="007C79CC" w:rsidP="007C79CC" w:rsidRDefault="007C79CC" w14:paraId="20449946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33"/>
        <w:gridCol w:w="1739"/>
        <w:gridCol w:w="1763"/>
        <w:gridCol w:w="1554"/>
        <w:gridCol w:w="1653"/>
      </w:tblGrid>
      <w:tr w:rsidRPr="0021022F" w:rsidR="00621606" w:rsidTr="00621606" w14:paraId="09508182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84A5607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6D30AC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21022F" w:rsidR="00621606" w:rsidTr="00621606" w14:paraId="7486D53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085013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98C5C2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8B8B8A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190F97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1BF54C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4240426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4C005F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5B0A3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61BC240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3AF72D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CD6126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B8CC0F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1D3FC3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C7F385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7A27A6A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F3F0F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1443BE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36DDCC0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9BE0EA9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B452A2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76E31C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979119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4A577D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AF38211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AD1B5E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A3BE57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7598F668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5E940A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061EFC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839810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1180FE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326343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BAEA143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56D5B68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F589D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21022F" w:rsidR="00621606" w:rsidTr="00621606" w14:paraId="7870516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831F1E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F195FE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B8174A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06583E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181650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C0E3F12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996893A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F1B614C" w14:textId="77777777">
            <w:pPr>
              <w:jc w:val="center"/>
              <w:rPr>
                <w:rFonts w:eastAsia="Times New Roman"/>
              </w:rPr>
            </w:pPr>
          </w:p>
        </w:tc>
      </w:tr>
      <w:tr w:rsidRPr="0021022F" w:rsidR="00621606" w:rsidTr="00621606" w14:paraId="4C9FFBD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7EF265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C9DEC3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17C887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18C59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04AECE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56E9B5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F4AB24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FA5F47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37F6C0E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08DC1D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951772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554A8D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BDD6D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8AEB4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16054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78809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8E302F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6D0C4B3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0528CA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9E986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EDACFE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B67534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5F2634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ED81D4C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3E8B969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21DD1F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621606" w:rsidTr="00621606" w14:paraId="1FEF6F9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BAD709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7C4358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D46677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0FD126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7B709A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3F918A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6340DE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606DA3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21022F" w:rsidR="00621606" w:rsidTr="00621606" w14:paraId="4659E44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F99B3E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6966A0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36F27B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A54BEF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02F489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0FFFB6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75B991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00E0EC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512A37E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198290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56BB1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F8D72B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077263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600A00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1082D46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1BD97B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17143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1F02542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BAFE971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69B81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6BC140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8584A9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E31A59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1A9A668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461D1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7C22B4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621606" w:rsidP="00621606" w:rsidRDefault="00621606" w14:paraId="37621E9A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21022F" w:rsidR="00621606" w:rsidP="00621606" w:rsidRDefault="00621606" w14:paraId="4A3CBEA7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21022F" w:rsidR="00621606" w:rsidP="00621606" w:rsidRDefault="00621606" w14:paraId="176AFC2A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21022F" w:rsidR="00621606" w:rsidP="00621606" w:rsidRDefault="00621606" w14:paraId="7E589585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21022F" w:rsidR="00621606" w:rsidP="00621606" w:rsidRDefault="00621606" w14:paraId="276D0D59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21022F" w:rsidR="00621606" w:rsidP="00621606" w:rsidRDefault="00621606" w14:paraId="1DA5D6E4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A17DE1" w:rsidR="00621606" w:rsidP="00A17DE1" w:rsidRDefault="00621606" w14:paraId="7E31AE35" w14:textId="284805C9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6E12C583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21022F" w:rsidR="00621606" w:rsidTr="00621606" w14:paraId="1930E826" w14:textId="77777777">
        <w:trPr>
          <w:divId w:val="1756708166"/>
          <w:trHeight w:val="2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52F52F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231CB8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1FCDF97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3BE7C77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45DBB80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olor w:val="FFFFFF"/>
              </w:rPr>
              <w:t>Strong recommendation for the intervention</w:t>
            </w:r>
          </w:p>
        </w:tc>
      </w:tr>
      <w:tr w:rsidRPr="0021022F" w:rsidR="00621606" w:rsidTr="00621606" w14:paraId="113525A2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0446C556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2A0D2B51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5643894F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77F76F17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6A6DCBED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21022F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</w:tr>
    </w:tbl>
    <w:p w:rsidRPr="0021022F" w:rsidR="00621606" w:rsidP="00621606" w:rsidRDefault="00621606" w14:paraId="3EF165DC" w14:textId="77777777">
      <w:pPr>
        <w:spacing w:line="140" w:lineRule="atLeast"/>
        <w:divId w:val="1756708166"/>
        <w:rPr>
          <w:rFonts w:eastAsia="Times New Roman"/>
          <w:color w:val="000000"/>
          <w:lang w:val="en"/>
        </w:rPr>
      </w:pPr>
    </w:p>
    <w:p w:rsidRPr="0021022F" w:rsidR="00621606" w:rsidRDefault="00621606" w14:paraId="64BD30F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7C79CC" w:rsidP="00621606" w:rsidRDefault="007C79CC" w14:paraId="344531BC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7C79CC" w:rsidR="00621606" w:rsidP="007C79CC" w:rsidRDefault="00621606" w14:paraId="490C8FF5" w14:textId="5D91D023">
      <w:pPr>
        <w:pStyle w:val="Heading1"/>
        <w:divId w:val="1756708166"/>
      </w:pPr>
      <w:bookmarkStart w:name="_Toc61378905" w:id="7"/>
      <w:r w:rsidRPr="007C79CC">
        <w:lastRenderedPageBreak/>
        <w:t>In adults with sepsis-induced ARDS, should a high PEEP strategy be used?</w:t>
      </w:r>
      <w:bookmarkEnd w:id="7"/>
    </w:p>
    <w:p w:rsidRPr="0021022F" w:rsidR="00621606" w:rsidRDefault="00621606" w14:paraId="01FB792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621606" w:rsidP="00621606" w:rsidRDefault="00621606" w14:paraId="2762B9A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7C79CC" w:rsidP="007C79CC" w:rsidRDefault="007C79CC" w14:paraId="6AA214D1" w14:textId="0D4D453D">
      <w:pPr>
        <w:pStyle w:val="Heading2"/>
        <w:divId w:val="1756708166"/>
        <w:rPr>
          <w:rFonts w:eastAsia="Times New Roman"/>
          <w:lang w:val="en"/>
        </w:rPr>
      </w:pPr>
      <w:bookmarkStart w:name="_Toc61378906" w:id="8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 xml:space="preserve">: </w:t>
      </w:r>
      <w:r w:rsidRPr="007C79CC">
        <w:t>high PEEP strategy</w:t>
      </w:r>
      <w:bookmarkEnd w:id="8"/>
    </w:p>
    <w:p w:rsidRPr="0021022F" w:rsidR="00621606" w:rsidP="00621606" w:rsidRDefault="00621606" w14:paraId="1178631C" w14:textId="111841D4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21022F" w:rsidR="0021022F" w:rsidTr="0021022F" w14:paraId="194CCE75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21022F" w:rsidR="00621606" w:rsidP="0021022F" w:rsidRDefault="0021022F" w14:paraId="527ED8D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21022F" w:rsidR="00621606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21022F" w:rsidR="00621606" w:rsidP="0021022F" w:rsidRDefault="00621606" w14:paraId="6751049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21022F" w:rsidR="00621606" w:rsidP="0021022F" w:rsidRDefault="00621606" w14:paraId="2A2940C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21022F" w:rsidR="00621606" w:rsidP="0021022F" w:rsidRDefault="0021022F" w14:paraId="0BA7408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21022F" w:rsidR="00621606" w:rsidP="0021022F" w:rsidRDefault="00621606" w14:paraId="2A625467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21022F" w:rsidR="0021022F" w:rsidTr="0021022F" w14:paraId="56E9FA87" w14:textId="77777777">
        <w:trPr>
          <w:divId w:val="1756708166"/>
        </w:trPr>
        <w:tc>
          <w:tcPr>
            <w:tcW w:w="0" w:type="auto"/>
            <w:hideMark/>
          </w:tcPr>
          <w:p w:rsidRPr="0021022F" w:rsidR="00621606" w:rsidP="0021022F" w:rsidRDefault="00621606" w14:paraId="32992C9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39500DF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4F33D12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11EAE57D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7B72A19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77AEB62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048F30A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044AC7A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high PEEP strategy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43D9CF4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15F16B1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69A6808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21022F" w:rsidR="00621606" w:rsidP="0021022F" w:rsidRDefault="00621606" w14:paraId="339DFB89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21022F" w:rsidR="00621606" w:rsidP="0021022F" w:rsidRDefault="00621606" w14:paraId="4EC78299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60E258BA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693CE9C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Hospital Mortality</w:t>
            </w:r>
          </w:p>
        </w:tc>
      </w:tr>
      <w:tr w:rsidRPr="0021022F" w:rsidR="0021022F" w:rsidTr="0021022F" w14:paraId="1EC2ED5E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6672D00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5DA485E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0BB28A9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B7BDD9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9F07A5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99233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58DFAAA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7A3679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751/1782 (42.1%)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72C912C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784/1806 (43.4%)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6E1FB6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0.93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(0.81 to 1.06)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4675ED7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30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82 fewer to 26 more)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3524BD2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5D79A52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5469BB61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3718FB34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28-day Mortality</w:t>
            </w:r>
          </w:p>
        </w:tc>
      </w:tr>
      <w:tr w:rsidRPr="0021022F" w:rsidR="0021022F" w:rsidTr="0021022F" w14:paraId="15102663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774648A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5E5D6B3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40E7A45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198FC7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5195C8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8FFB3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748EB8B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251F8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554/1468 (37.7%)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3DC028A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583/1500 (38.9%)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0FE3644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(0.72 to 1.07)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218AF60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47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109 fewer to 27 more)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6B0E06A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1422C5E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5B586E67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279D5F29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Mortality</w:t>
            </w:r>
          </w:p>
        </w:tc>
      </w:tr>
      <w:tr w:rsidRPr="0021022F" w:rsidR="0021022F" w:rsidTr="0021022F" w14:paraId="3D453C55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6A903C5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3A677DB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F4DCFF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72FCFF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604AB23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2CA2CBC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7C6F8FA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EE763D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503/1141 (44.1%)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6DED3AE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531/1169 (45.4%)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40F9213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0.86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(0.69 to 1.06)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307CBD8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64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141 fewer to 27 more)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3C80EAB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38B971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3BD604B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24285F2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Barotrauma</w:t>
            </w:r>
          </w:p>
        </w:tc>
      </w:tr>
      <w:tr w:rsidRPr="0021022F" w:rsidR="0021022F" w:rsidTr="0021022F" w14:paraId="7C5DB6BB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1C800C9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776FDF7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9DC8D3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D21ED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59B104A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70D0C1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4A95540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DC6491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177/1814 (9.8%)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1AEE02E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126/1834 (6.9%)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37F2C0D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1.14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(0.69 to 1.89)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76DDFA2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10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21 fewer to 61 more)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3CD1E35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5B0C27B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2CCF7B7C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323816C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Ventilator-free days at day 28</w:t>
            </w:r>
          </w:p>
        </w:tc>
      </w:tr>
      <w:tr w:rsidRPr="0021022F" w:rsidR="0021022F" w:rsidTr="0021022F" w14:paraId="7AAC6C20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2EC102B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3D90EE1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7C0A74C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82F6F6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0ED2A72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426354F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77C0553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892CB2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1269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288171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1265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9EAC69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1ED164A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1.51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(1.07 lower to 4.09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620F0D5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767ED4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438C3CAA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621606" w:rsidP="0021022F" w:rsidRDefault="00621606" w14:paraId="43BCF83E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Days of Mechanical Ventilation</w:t>
            </w:r>
          </w:p>
        </w:tc>
      </w:tr>
      <w:tr w:rsidRPr="0021022F" w:rsidR="0021022F" w:rsidTr="0021022F" w14:paraId="5C63BF77" w14:textId="77777777">
        <w:trPr>
          <w:divId w:val="1756708166"/>
        </w:trPr>
        <w:tc>
          <w:tcPr>
            <w:tcW w:w="250" w:type="pct"/>
            <w:hideMark/>
          </w:tcPr>
          <w:p w:rsidRPr="0021022F" w:rsidR="00621606" w:rsidP="0021022F" w:rsidRDefault="00621606" w14:paraId="76000CF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621606" w:rsidP="0021022F" w:rsidRDefault="00621606" w14:paraId="7AFD427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60EB524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3EC13F0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169C787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621606" w:rsidP="0021022F" w:rsidRDefault="00621606" w14:paraId="0BC7380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621606" w:rsidP="0021022F" w:rsidRDefault="00621606" w14:paraId="74BDAF4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2BFAE46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505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53183B1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535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621606" w:rsidP="0021022F" w:rsidRDefault="00621606" w14:paraId="63A104F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621606" w:rsidP="0021022F" w:rsidRDefault="00621606" w14:paraId="3347E5A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2.29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(2.22 lower to 6.8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621606" w:rsidP="0021022F" w:rsidRDefault="00621606" w14:paraId="6842D9F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621606" w:rsidP="0021022F" w:rsidRDefault="00621606" w14:paraId="67AFBFF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</w:tbl>
    <w:p w:rsidRPr="0021022F" w:rsidR="00621606" w:rsidP="00621606" w:rsidRDefault="00621606" w14:paraId="79B53189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lastRenderedPageBreak/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621606" w:rsidP="00621606" w:rsidRDefault="00621606" w14:paraId="373A57E5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621606" w:rsidP="00621606" w:rsidRDefault="00621606" w14:paraId="544AC13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Included all ARDS patients. High PEEP&gt;10 in all studies. Elected not to downgrade as majority of ARDS patients in each study were due to pneumonia, sepsis, or septic shock (approximately 60-70%) </w:t>
      </w:r>
    </w:p>
    <w:p w:rsidRPr="0021022F" w:rsidR="00621606" w:rsidP="00621606" w:rsidRDefault="00621606" w14:paraId="52E3FADB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Wide range of outcomes (CI) </w:t>
      </w:r>
    </w:p>
    <w:p w:rsidRPr="0021022F" w:rsidR="00621606" w:rsidP="00621606" w:rsidRDefault="00621606" w14:paraId="0F1B782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Heterogeneity in outcomes between high PEEP and low PEEP </w:t>
      </w:r>
    </w:p>
    <w:p w:rsidRPr="0021022F" w:rsidR="00621606" w:rsidP="00621606" w:rsidRDefault="00621606" w14:paraId="2BDD4CC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Large Confidence interval; large range of IQR reported in individual studies. </w:t>
      </w:r>
    </w:p>
    <w:p w:rsidRPr="0021022F" w:rsidR="005335AD" w:rsidRDefault="005335AD" w14:paraId="63D75B9D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621606" w:rsidRDefault="00621606" w14:paraId="57E27066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7C79CC" w:rsidP="00621606" w:rsidRDefault="007C79CC" w14:paraId="05D8C02A" w14:textId="77777777">
      <w:pPr>
        <w:pStyle w:val="Heading1"/>
        <w:spacing w:after="20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  <w:r>
        <w:rPr>
          <w:rFonts w:eastAsia="Times New Roman" w:cs="Calibri"/>
          <w:caps/>
          <w:color w:val="000000"/>
          <w:sz w:val="30"/>
          <w:szCs w:val="30"/>
          <w:lang w:val="en"/>
        </w:rPr>
        <w:br w:type="page"/>
      </w:r>
    </w:p>
    <w:p w:rsidR="00621606" w:rsidP="007C79CC" w:rsidRDefault="0021022F" w14:paraId="24FED525" w14:textId="523572EB">
      <w:pPr>
        <w:pStyle w:val="Heading2"/>
        <w:divId w:val="1756708166"/>
      </w:pPr>
      <w:bookmarkStart w:name="_Toc61378907" w:id="9"/>
      <w:r>
        <w:rPr>
          <w:rFonts w:eastAsia="Times New Roman"/>
          <w:caps/>
          <w:lang w:val="en"/>
        </w:rPr>
        <w:lastRenderedPageBreak/>
        <w:t xml:space="preserve">EtD. </w:t>
      </w:r>
      <w:r>
        <w:rPr>
          <w:rFonts w:eastAsia="Times New Roman"/>
          <w:lang w:val="en"/>
        </w:rPr>
        <w:t>S</w:t>
      </w:r>
      <w:r w:rsidRPr="0021022F">
        <w:rPr>
          <w:rFonts w:eastAsia="Times New Roman"/>
          <w:lang w:val="en"/>
        </w:rPr>
        <w:t xml:space="preserve">ummary of </w:t>
      </w:r>
      <w:r>
        <w:rPr>
          <w:rFonts w:eastAsia="Times New Roman"/>
          <w:lang w:val="en"/>
        </w:rPr>
        <w:t>J</w:t>
      </w:r>
      <w:r w:rsidRPr="0021022F">
        <w:rPr>
          <w:rFonts w:eastAsia="Times New Roman"/>
          <w:lang w:val="en"/>
        </w:rPr>
        <w:t>udgements</w:t>
      </w:r>
      <w:r w:rsidR="007C79CC">
        <w:rPr>
          <w:rFonts w:eastAsia="Times New Roman"/>
          <w:lang w:val="en"/>
        </w:rPr>
        <w:t xml:space="preserve"> </w:t>
      </w:r>
      <w:r w:rsidRPr="007C79CC" w:rsidR="007C79CC">
        <w:t>high PEEP strategy</w:t>
      </w:r>
      <w:bookmarkEnd w:id="9"/>
    </w:p>
    <w:p w:rsidRPr="007C79CC" w:rsidR="007C79CC" w:rsidP="007C79CC" w:rsidRDefault="007C79CC" w14:paraId="67869475" w14:textId="77777777">
      <w:pPr>
        <w:divId w:val="1756708166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722"/>
        <w:gridCol w:w="1722"/>
        <w:gridCol w:w="1740"/>
        <w:gridCol w:w="1734"/>
        <w:gridCol w:w="1734"/>
        <w:gridCol w:w="1574"/>
        <w:gridCol w:w="1654"/>
      </w:tblGrid>
      <w:tr w:rsidRPr="0021022F" w:rsidR="00621606" w:rsidTr="00621606" w14:paraId="159AA829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F43A8FB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1B69C6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21022F" w:rsidR="00621606" w:rsidTr="00621606" w14:paraId="4A8CB0FB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931DBB9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8C7363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D77353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14268E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BBE8C6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81C3CD4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E5677D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63F6ED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6915D65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26E7CD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3B79D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6173CC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48319B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47EA4F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98BCB55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30464C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A9B0B8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300377B7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5CDA0F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CA46B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AACF8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8C7C64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30DC30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2005A82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29CFB1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B58FD8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63FE5F4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014867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E784F8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8902A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DC3705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DB9ACD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728C264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1B6740F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F8F35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21022F" w:rsidR="00621606" w:rsidTr="00621606" w14:paraId="243DD18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0997591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A40088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594F0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DEE566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B7694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F1C70A1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1199965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E1E876A" w14:textId="77777777">
            <w:pPr>
              <w:jc w:val="center"/>
              <w:rPr>
                <w:rFonts w:eastAsia="Times New Roman"/>
              </w:rPr>
            </w:pPr>
          </w:p>
        </w:tc>
      </w:tr>
      <w:tr w:rsidRPr="0021022F" w:rsidR="00621606" w:rsidTr="00621606" w14:paraId="5D8AA42B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29C617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454E7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84BADF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A5D579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9F4F4C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55F120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B43053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52CAA3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7D057BE4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AC8FB8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B67730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AB53B8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5B944F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F96B36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36D7F2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AB434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E563A3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088D741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66EE78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7B49F5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752F9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5348C4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BF7059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E9E64DF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D9091F5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E3C40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621606" w:rsidTr="00621606" w14:paraId="30FA053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5ABB53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75368B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5E5836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0F0075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355D87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F5D1F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2A160C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40A7A1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621606" w:rsidTr="00621606" w14:paraId="284114B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2A5FDEC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50B07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327A48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2DFC30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D49EA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7BB732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D3DE7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AD9954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5174C71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63C4B2B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C0897C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40B2A45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056DC7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F55AD8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4EF197D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3B1BD8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4BFE9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621606" w:rsidTr="00621606" w14:paraId="0BF1DD9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806F2D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0D9EACA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1B530D6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5C36678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2E2FC0C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790448DE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46C690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621606" w:rsidP="0021022F" w:rsidRDefault="00621606" w14:paraId="3E061F7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621606" w:rsidP="00621606" w:rsidRDefault="00621606" w14:paraId="58CFB184" w14:textId="77777777">
      <w:pPr>
        <w:divId w:val="1756708166"/>
        <w:rPr>
          <w:rFonts w:eastAsia="Times New Roman" w:cs="Calibri"/>
          <w:color w:val="000000"/>
          <w:lang w:val="en"/>
        </w:rPr>
      </w:pPr>
    </w:p>
    <w:p w:rsidRPr="00A17DE1" w:rsidR="00621606" w:rsidP="00A17DE1" w:rsidRDefault="00621606" w14:paraId="32D9FADB" w14:textId="61301618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0CCC78F4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21022F" w:rsidR="00621606" w:rsidTr="00621606" w14:paraId="77428315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6F797E9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22FA81A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7F4CEE5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4561219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olor w:val="FFFFFF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621606" w:rsidP="0021022F" w:rsidRDefault="00621606" w14:paraId="3A5202C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for the intervention</w:t>
            </w:r>
          </w:p>
        </w:tc>
      </w:tr>
      <w:tr w:rsidRPr="0021022F" w:rsidR="00621606" w:rsidTr="00621606" w14:paraId="0FBF0457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4DABAC32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4DF9E5D6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06F31D42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37B630A3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21022F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621606" w:rsidP="0021022F" w:rsidRDefault="00621606" w14:paraId="6374B7E0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</w:tr>
    </w:tbl>
    <w:p w:rsidRPr="0021022F" w:rsidR="00621606" w:rsidRDefault="00621606" w14:paraId="2E1629AA" w14:textId="77777777">
      <w:pPr>
        <w:spacing w:line="140" w:lineRule="atLeast"/>
        <w:divId w:val="1756708166"/>
        <w:rPr>
          <w:rFonts w:eastAsia="Times New Roman"/>
          <w:color w:val="000000"/>
          <w:lang w:val="en"/>
        </w:rPr>
      </w:pPr>
    </w:p>
    <w:p w:rsidRPr="0021022F" w:rsidR="00AB40DB" w:rsidRDefault="00AB40DB" w14:paraId="37571AB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7C79CC" w:rsidP="00AB40DB" w:rsidRDefault="007C79CC" w14:paraId="590767FC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7C79CC" w:rsidR="00AB40DB" w:rsidP="007C79CC" w:rsidRDefault="00AB40DB" w14:paraId="23A7B705" w14:textId="0C2D2324">
      <w:pPr>
        <w:pStyle w:val="Heading1"/>
        <w:divId w:val="1756708166"/>
      </w:pPr>
      <w:bookmarkStart w:name="_Toc61378908" w:id="10"/>
      <w:r w:rsidRPr="007C79CC">
        <w:lastRenderedPageBreak/>
        <w:t xml:space="preserve">In adults with sepsis-induced ARDS, should we use recruitment </w:t>
      </w:r>
      <w:r w:rsidRPr="007C79CC" w:rsidR="0021022F">
        <w:t>maneuvers</w:t>
      </w:r>
      <w:r w:rsidRPr="007C79CC">
        <w:t>?</w:t>
      </w:r>
      <w:bookmarkEnd w:id="10"/>
    </w:p>
    <w:p w:rsidR="00AB40DB" w:rsidP="00AB40DB" w:rsidRDefault="00AB40DB" w14:paraId="7424EF90" w14:textId="3AA9C178">
      <w:pPr>
        <w:spacing w:line="140" w:lineRule="atLeast"/>
        <w:divId w:val="1756708166"/>
        <w:rPr>
          <w:rFonts w:eastAsia="Times New Roman"/>
          <w:b/>
          <w:bCs/>
          <w:color w:val="000000"/>
          <w:sz w:val="14"/>
          <w:szCs w:val="14"/>
          <w:lang w:val="en"/>
        </w:rPr>
      </w:pPr>
    </w:p>
    <w:p w:rsidR="007C79CC" w:rsidP="00AB40DB" w:rsidRDefault="007C79CC" w14:paraId="1D6FE493" w14:textId="68A095EB">
      <w:pPr>
        <w:spacing w:line="140" w:lineRule="atLeast"/>
        <w:divId w:val="1756708166"/>
        <w:rPr>
          <w:rFonts w:eastAsia="Times New Roman"/>
          <w:b/>
          <w:bCs/>
          <w:color w:val="000000"/>
          <w:sz w:val="14"/>
          <w:szCs w:val="14"/>
          <w:lang w:val="en"/>
        </w:rPr>
      </w:pPr>
    </w:p>
    <w:p w:rsidRPr="0021022F" w:rsidR="007C79CC" w:rsidP="007C79CC" w:rsidRDefault="007C79CC" w14:paraId="73A45340" w14:textId="5D420FE6">
      <w:pPr>
        <w:pStyle w:val="Heading2"/>
        <w:divId w:val="1756708166"/>
        <w:rPr>
          <w:rFonts w:eastAsia="Times New Roman"/>
          <w:bCs/>
          <w:color w:val="000000"/>
          <w:sz w:val="14"/>
          <w:szCs w:val="14"/>
          <w:lang w:val="en"/>
        </w:rPr>
      </w:pPr>
      <w:bookmarkStart w:name="_Toc61378909" w:id="11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7C79CC">
        <w:t xml:space="preserve"> recruitment maneuvers</w:t>
      </w:r>
      <w:bookmarkEnd w:id="11"/>
    </w:p>
    <w:p w:rsidRPr="0021022F" w:rsidR="00AB40DB" w:rsidP="00AB40DB" w:rsidRDefault="00AB40DB" w14:paraId="480762B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107"/>
        <w:gridCol w:w="971"/>
        <w:gridCol w:w="1039"/>
        <w:gridCol w:w="890"/>
        <w:gridCol w:w="1328"/>
        <w:gridCol w:w="1328"/>
      </w:tblGrid>
      <w:tr w:rsidRPr="0021022F" w:rsidR="0021022F" w:rsidTr="0021022F" w14:paraId="33719D29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21022F" w:rsidR="00AB40DB" w:rsidP="0021022F" w:rsidRDefault="0021022F" w14:paraId="5E630CF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21022F" w:rsidR="00AB40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21022F" w:rsidR="00AB40DB" w:rsidP="0021022F" w:rsidRDefault="00AB40DB" w14:paraId="18F5AE6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21022F" w:rsidR="00AB40DB" w:rsidP="0021022F" w:rsidRDefault="00AB40DB" w14:paraId="242FBE1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21022F" w:rsidR="00AB40DB" w:rsidP="0021022F" w:rsidRDefault="0021022F" w14:paraId="569C660D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21022F" w:rsidR="00AB40DB" w:rsidP="0021022F" w:rsidRDefault="00AB40DB" w14:paraId="4903D79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21022F" w:rsidR="0021022F" w:rsidTr="0021022F" w14:paraId="4110134E" w14:textId="77777777">
        <w:trPr>
          <w:divId w:val="1756708166"/>
        </w:trPr>
        <w:tc>
          <w:tcPr>
            <w:tcW w:w="0" w:type="auto"/>
            <w:hideMark/>
          </w:tcPr>
          <w:p w:rsidRPr="0021022F" w:rsidR="00AB40DB" w:rsidP="0021022F" w:rsidRDefault="00AB40DB" w14:paraId="28A6EC5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26C4784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5A48078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1854981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005A5A2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2540864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376CD11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649DA85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recruitment maneuvers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0F509ED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22E9D07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7EEFD1A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21022F" w:rsidR="00AB40DB" w:rsidP="0021022F" w:rsidRDefault="00AB40DB" w14:paraId="5149EA4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21022F" w:rsidR="00AB40DB" w:rsidP="0021022F" w:rsidRDefault="00AB40DB" w14:paraId="1BAC6E4C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37566613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20C16BEF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at 28-days</w:t>
            </w:r>
          </w:p>
        </w:tc>
      </w:tr>
      <w:tr w:rsidRPr="0021022F" w:rsidR="0021022F" w:rsidTr="0021022F" w14:paraId="70F0A5D9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0896ADD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1798AB4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56EFEB9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D2E7C3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0B601AD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00F2107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616F13E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7D5A665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490/1256 (39.0%)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1016225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509/1290 (39.5%)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3C2FC5D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0.90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(0.74 to 1.09)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0FC65E7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39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103 fewer to 36 more)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4823CBE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20517B3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2D51B204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5B1770D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at 28-days - Traditional Recruitment Maneuver</w:t>
            </w:r>
          </w:p>
        </w:tc>
      </w:tr>
      <w:tr w:rsidRPr="0021022F" w:rsidR="0021022F" w:rsidTr="0021022F" w14:paraId="384C5396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322714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203FC79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9D7DEF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79927D8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03E69A4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0B987E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289FC1A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13D3D1A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184/658 (28.0%)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401E7B7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232/688 (33.7%)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6C73338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0.79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(0.64 to 0.96)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1A8BF3A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71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121 fewer to 13 fewer)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060FC14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2575EE8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2E172F03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632F7137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at 28-days - Incremental PEEP Recruitment</w:t>
            </w:r>
          </w:p>
        </w:tc>
      </w:tr>
      <w:tr w:rsidRPr="0021022F" w:rsidR="0021022F" w:rsidTr="0021022F" w14:paraId="20EE5007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4A734C5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4445C0E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3059F4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9BC46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56E2CE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562055C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3186DE2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1E06310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306/598 (51.2%)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6E929F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277/602 (46.0%)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0A0C03C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1.12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(1.00 to 1.25)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09FACEE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55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0 fewer to 115 more)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75E132C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5B6731C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79EF10FD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7180EC1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Hospital Mortality</w:t>
            </w:r>
          </w:p>
        </w:tc>
      </w:tr>
      <w:tr w:rsidRPr="0021022F" w:rsidR="0021022F" w:rsidTr="0021022F" w14:paraId="148A59F9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636BAED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35208FA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3D34EA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3224F1A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E570A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7C30314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5FDE70D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739AD2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588/1255 (46.9%)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15894F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623/1289 (48.3%)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4FCB83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0.90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(0.78 to 1.04)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4D7F8D0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48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106 fewer to 19 more)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315217B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3565917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182A8C12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1AAA73D6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Hospital Mortality - Traditional Recruitment Maneuver</w:t>
            </w:r>
          </w:p>
        </w:tc>
      </w:tr>
      <w:tr w:rsidRPr="0021022F" w:rsidR="0021022F" w:rsidTr="0021022F" w14:paraId="7A4A9DDF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334C524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11FD291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381D184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F39A1A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70FC5F0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1CD6B96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74939C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5DDD47E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238/658 (36.2%)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0D1CDD1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288/687 (41.9%)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275B53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0.85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(0.75 to 0.97)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75A847F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63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105 fewer to 13 fewer)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53DD7B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72C7E93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1B04C2BB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1B976B86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Hospital Mortality - Incremental PEEP Recruitment</w:t>
            </w:r>
          </w:p>
        </w:tc>
      </w:tr>
      <w:tr w:rsidRPr="0021022F" w:rsidR="0021022F" w:rsidTr="0021022F" w14:paraId="78BBBE8D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20AF4B9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7FF48B0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638709F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E97762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239C429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3CB413F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636FCF6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5373FA2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350/597 (58.6%)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2351A22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335/602 (55.6%)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0DC6C48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1.06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(0.97 to 1.17)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1D6D58E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33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17 fewer to 95 more)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06F7D60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6CD9C08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2E2328D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558A1A63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P/F Ratio after 24 hours</w:t>
            </w:r>
          </w:p>
        </w:tc>
      </w:tr>
      <w:tr w:rsidRPr="0021022F" w:rsidR="0021022F" w:rsidTr="0021022F" w14:paraId="6DBD174E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15E2E15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3BEC0F5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6A1547A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D6BDE9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3E4619E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225D43E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6F02041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3B6337F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682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68673B0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718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5B5040C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30D1E5D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49.67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(27.75 higher to 71.59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7F6B30E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4E3F4EC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  <w:tr w:rsidRPr="0021022F" w:rsidR="0021022F" w:rsidTr="0021022F" w14:paraId="06F0FE3C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AB40DB" w:rsidP="0021022F" w:rsidRDefault="00AB40DB" w14:paraId="0A33F956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Barotrauma</w:t>
            </w:r>
          </w:p>
        </w:tc>
      </w:tr>
      <w:tr w:rsidRPr="0021022F" w:rsidR="0021022F" w:rsidTr="0021022F" w14:paraId="2E0ACE1C" w14:textId="77777777">
        <w:trPr>
          <w:divId w:val="1756708166"/>
        </w:trPr>
        <w:tc>
          <w:tcPr>
            <w:tcW w:w="250" w:type="pct"/>
            <w:hideMark/>
          </w:tcPr>
          <w:p w:rsidRPr="0021022F" w:rsidR="00AB40DB" w:rsidP="0021022F" w:rsidRDefault="00AB40DB" w14:paraId="6655FAC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300" w:type="pct"/>
            <w:hideMark/>
          </w:tcPr>
          <w:p w:rsidRPr="0021022F" w:rsidR="00AB40DB" w:rsidP="0021022F" w:rsidRDefault="00AB40DB" w14:paraId="0B83240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4109D1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30BE798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1647E33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AB40DB" w:rsidP="0021022F" w:rsidRDefault="00AB40DB" w14:paraId="5EE3916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21022F" w:rsidR="00AB40DB" w:rsidP="0021022F" w:rsidRDefault="00AB40DB" w14:paraId="5B4E555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672CCF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67/691 (9.7%)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3D2287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71/716 (9.9%) </w:t>
            </w:r>
          </w:p>
        </w:tc>
        <w:tc>
          <w:tcPr>
            <w:tcW w:w="400" w:type="pct"/>
            <w:hideMark/>
          </w:tcPr>
          <w:p w:rsidRPr="0021022F" w:rsidR="00AB40DB" w:rsidP="0021022F" w:rsidRDefault="00AB40DB" w14:paraId="70C62C3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0.79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(0.46 to 1.37)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AB40DB" w:rsidP="0021022F" w:rsidRDefault="00AB40DB" w14:paraId="7D9A7FD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21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54 fewer to 37 more) </w:t>
            </w:r>
          </w:p>
        </w:tc>
        <w:tc>
          <w:tcPr>
            <w:tcW w:w="750" w:type="dxa"/>
            <w:hideMark/>
          </w:tcPr>
          <w:p w:rsidRPr="0021022F" w:rsidR="00AB40DB" w:rsidP="0021022F" w:rsidRDefault="00AB40DB" w14:paraId="2B27106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AB40DB" w:rsidP="0021022F" w:rsidRDefault="00AB40DB" w14:paraId="14AC38C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</w:tbl>
    <w:p w:rsidRPr="0021022F" w:rsidR="00AB40DB" w:rsidP="00AB40DB" w:rsidRDefault="00AB40DB" w14:paraId="6F91DB44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AB40DB" w:rsidP="00AB40DB" w:rsidRDefault="00AB40DB" w14:paraId="4995AA67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AB40DB" w:rsidP="00AB40DB" w:rsidRDefault="00AB40DB" w14:paraId="0DB6FE1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Wide confidence interval; CI crosses line of no effect. </w:t>
      </w:r>
    </w:p>
    <w:p w:rsidRPr="0021022F" w:rsidR="00AB40DB" w:rsidP="00AB40DB" w:rsidRDefault="00AB40DB" w14:paraId="403DCB6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Only 4 RCTs included with N=1200. Did not grade down for indirectness although treatment incorporated various interventions along with recruitment (PEEP strategy, target Vt) </w:t>
      </w:r>
    </w:p>
    <w:p w:rsidRPr="0021022F" w:rsidR="000D6438" w:rsidP="000D6438" w:rsidRDefault="00AB40DB" w14:paraId="1DB150F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c. I</w:t>
      </w:r>
      <w:r w:rsidRPr="0021022F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= 87% </w:t>
      </w:r>
    </w:p>
    <w:p w:rsidRPr="0021022F" w:rsidR="000D6438" w:rsidP="000D6438" w:rsidRDefault="000D6438" w14:paraId="367AE034" w14:textId="77777777">
      <w:pPr>
        <w:spacing w:line="140" w:lineRule="atLeast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</w:p>
    <w:p w:rsidR="00A17DE1" w:rsidP="000D6438" w:rsidRDefault="00A17DE1" w14:paraId="4AE5817F" w14:textId="77777777">
      <w:pPr>
        <w:spacing w:line="140" w:lineRule="atLeast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  <w:r>
        <w:rPr>
          <w:rFonts w:eastAsia="Times New Roman" w:cs="Calibri"/>
          <w:caps/>
          <w:color w:val="000000"/>
          <w:sz w:val="30"/>
          <w:szCs w:val="30"/>
          <w:lang w:val="en"/>
        </w:rPr>
        <w:br w:type="page"/>
      </w:r>
    </w:p>
    <w:p w:rsidR="000D6438" w:rsidP="00A17DE1" w:rsidRDefault="0021022F" w14:paraId="22F7FCA4" w14:textId="2D6B24E8">
      <w:pPr>
        <w:pStyle w:val="Heading2"/>
        <w:divId w:val="1756708166"/>
      </w:pPr>
      <w:bookmarkStart w:name="_Toc61378910" w:id="12"/>
      <w:r>
        <w:rPr>
          <w:rFonts w:eastAsia="Times New Roman"/>
          <w:caps/>
          <w:lang w:val="en"/>
        </w:rPr>
        <w:lastRenderedPageBreak/>
        <w:t xml:space="preserve">EtD. </w:t>
      </w:r>
      <w:r>
        <w:rPr>
          <w:rFonts w:eastAsia="Times New Roman"/>
          <w:lang w:val="en"/>
        </w:rPr>
        <w:t>S</w:t>
      </w:r>
      <w:r w:rsidRPr="0021022F">
        <w:rPr>
          <w:rFonts w:eastAsia="Times New Roman"/>
          <w:lang w:val="en"/>
        </w:rPr>
        <w:t xml:space="preserve">ummary of </w:t>
      </w:r>
      <w:r>
        <w:rPr>
          <w:rFonts w:eastAsia="Times New Roman"/>
          <w:lang w:val="en"/>
        </w:rPr>
        <w:t>J</w:t>
      </w:r>
      <w:r w:rsidRPr="0021022F">
        <w:rPr>
          <w:rFonts w:eastAsia="Times New Roman"/>
          <w:lang w:val="en"/>
        </w:rPr>
        <w:t>udgements</w:t>
      </w:r>
      <w:r w:rsidR="00A17DE1">
        <w:rPr>
          <w:rFonts w:eastAsia="Times New Roman"/>
          <w:lang w:val="en"/>
        </w:rPr>
        <w:t xml:space="preserve"> </w:t>
      </w:r>
      <w:r w:rsidRPr="007C79CC" w:rsidR="00A17DE1">
        <w:t>recruitment maneuvers</w:t>
      </w:r>
      <w:bookmarkEnd w:id="12"/>
    </w:p>
    <w:p w:rsidRPr="0021022F" w:rsidR="00A17DE1" w:rsidP="000D6438" w:rsidRDefault="00A17DE1" w14:paraId="0273985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39"/>
        <w:gridCol w:w="1763"/>
        <w:gridCol w:w="1733"/>
        <w:gridCol w:w="1554"/>
        <w:gridCol w:w="1653"/>
      </w:tblGrid>
      <w:tr w:rsidRPr="0021022F" w:rsidR="000D6438" w:rsidTr="000D6438" w14:paraId="0EA6955B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1EA3D993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EDEA68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21022F" w:rsidR="000D6438" w:rsidTr="000D6438" w14:paraId="3BA9E0F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7BC8C8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767703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6495DD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7A1520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2D593D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69668A4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13392F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13EE651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5F1ADBB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F28AFA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6E8B6B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8B7A6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86A842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95C01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9BC87F5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0B88DF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32BB71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740EDDD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46B114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A83CEC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DA0824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1B2E3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6D8A75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098F6AC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73BE93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06DEC4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1D8C4EF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962B20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A55178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D75680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C25567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F72353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B6F9AA8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38CCA44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B38651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21022F" w:rsidR="000D6438" w:rsidTr="000D6438" w14:paraId="6AC2BF2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ABE71D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721EE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1BBD8F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23CA5F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BB7428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0801A6C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D8271F0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059A95A" w14:textId="77777777">
            <w:pPr>
              <w:jc w:val="center"/>
              <w:rPr>
                <w:rFonts w:eastAsia="Times New Roman"/>
              </w:rPr>
            </w:pPr>
          </w:p>
        </w:tc>
      </w:tr>
      <w:tr w:rsidRPr="0021022F" w:rsidR="000D6438" w:rsidTr="000D6438" w14:paraId="6504F59C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C2B423C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298CB3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AB7F70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E8BEA4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8A6BA5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F47B02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C3F02B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185737D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0ED6AA8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A4F53B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04B58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58E986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A79EEA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2C555D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77AAC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827B9E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1714AA5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70A4B90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C58293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D31598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9454F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311C80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C3291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B130B19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49DBE49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299C84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0D6438" w:rsidTr="000D6438" w14:paraId="6ED81BE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A5C64E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59857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06471E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8727A0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AC0CAA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12AEB3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468E7D9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373DC5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0D6438" w:rsidTr="000D6438" w14:paraId="5E93A64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3B3CFF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43D858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73772D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53C84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DAC90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01D77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574492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9286AB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1D9E5A45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15E046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EDB8F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8192DC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78FEBAC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F4F819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082C357C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30C9A8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5912D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0D6438" w:rsidTr="000D6438" w14:paraId="118B20B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EF9B93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D4477D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6B701D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25CDB96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04E24F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30EC15CE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6C0D5B0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0D6438" w:rsidP="0021022F" w:rsidRDefault="000D6438" w14:paraId="5769D13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0D6438" w:rsidP="000D6438" w:rsidRDefault="000D6438" w14:paraId="2173C7A2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7C43F5C5" w14:textId="77777777">
      <w:pPr>
        <w:divId w:val="1756708166"/>
        <w:rPr>
          <w:rFonts w:eastAsia="Times New Roman"/>
          <w:b/>
          <w:bCs/>
          <w:lang w:val="en"/>
        </w:rPr>
      </w:pPr>
    </w:p>
    <w:p w:rsidRPr="00A17DE1" w:rsidR="000D6438" w:rsidP="00A17DE1" w:rsidRDefault="000D6438" w14:paraId="71BE4493" w14:textId="395B3D1B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55F1D3E8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21022F" w:rsidR="000D6438" w:rsidTr="000D6438" w14:paraId="05908BE8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0D6438" w:rsidP="0021022F" w:rsidRDefault="000D6438" w14:paraId="2B59BA7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0D6438" w:rsidP="0021022F" w:rsidRDefault="000D6438" w14:paraId="2C53DCE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0D6438" w:rsidP="0021022F" w:rsidRDefault="000D6438" w14:paraId="284F143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0D6438" w:rsidP="0021022F" w:rsidRDefault="000D6438" w14:paraId="7CC74A9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olor w:val="FFFFFF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0D6438" w:rsidP="0021022F" w:rsidRDefault="000D6438" w14:paraId="048536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for the intervention</w:t>
            </w:r>
          </w:p>
        </w:tc>
      </w:tr>
      <w:tr w:rsidRPr="0021022F" w:rsidR="000D6438" w:rsidTr="000D6438" w14:paraId="13731DDE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0D6438" w:rsidP="0021022F" w:rsidRDefault="000D6438" w14:paraId="15540811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0D6438" w:rsidP="0021022F" w:rsidRDefault="000D6438" w14:paraId="53C64446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0D6438" w:rsidP="0021022F" w:rsidRDefault="000D6438" w14:paraId="783611EF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0D6438" w:rsidP="0021022F" w:rsidRDefault="000D6438" w14:paraId="4D5AFC3A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21022F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0D6438" w:rsidP="0021022F" w:rsidRDefault="000D6438" w14:paraId="368B2765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</w:tr>
    </w:tbl>
    <w:p w:rsidRPr="0021022F" w:rsidR="000D6438" w:rsidRDefault="000D6438" w14:paraId="3671CA9E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0D6438" w:rsidRDefault="00A17DE1" w14:paraId="1A993F76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A17DE1" w:rsidR="000D6438" w:rsidP="00A17DE1" w:rsidRDefault="000D6438" w14:paraId="4676EDF5" w14:textId="26DC0048">
      <w:pPr>
        <w:pStyle w:val="Heading1"/>
        <w:divId w:val="1756708166"/>
      </w:pPr>
      <w:bookmarkStart w:name="_Toc61378911" w:id="13"/>
      <w:r w:rsidRPr="00A17DE1">
        <w:lastRenderedPageBreak/>
        <w:t>In adults with sepsis-induced ARDS, should we use prone ventilation?</w:t>
      </w:r>
      <w:bookmarkEnd w:id="13"/>
    </w:p>
    <w:p w:rsidR="00A17DE1" w:rsidP="00A17DE1" w:rsidRDefault="00A17DE1" w14:paraId="7E629430" w14:textId="610393F5">
      <w:pPr>
        <w:divId w:val="1756708166"/>
      </w:pPr>
    </w:p>
    <w:p w:rsidRPr="00A17DE1" w:rsidR="00A17DE1" w:rsidP="00A17DE1" w:rsidRDefault="00A17DE1" w14:paraId="61501AFC" w14:textId="47B436C2">
      <w:pPr>
        <w:pStyle w:val="Heading2"/>
        <w:divId w:val="1756708166"/>
      </w:pPr>
      <w:bookmarkStart w:name="_Toc61378912" w:id="14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A17DE1">
        <w:t xml:space="preserve"> prone ventilation</w:t>
      </w:r>
      <w:bookmarkEnd w:id="14"/>
    </w:p>
    <w:p w:rsidRPr="0021022F" w:rsidR="000D6438" w:rsidP="000D6438" w:rsidRDefault="000D6438" w14:paraId="4C3AC5E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21022F" w:rsidR="0021022F" w:rsidTr="0021022F" w14:paraId="0BB0790E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21022F" w:rsidR="000D6438" w:rsidP="0021022F" w:rsidRDefault="0021022F" w14:paraId="05C62E9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21022F" w:rsidR="000D6438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21022F" w:rsidR="000D6438" w:rsidP="0021022F" w:rsidRDefault="000D6438" w14:paraId="1EF544B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21022F" w:rsidR="000D6438" w:rsidP="0021022F" w:rsidRDefault="000D6438" w14:paraId="425B259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21022F" w:rsidR="000D6438" w:rsidP="0021022F" w:rsidRDefault="0021022F" w14:paraId="3DBDA8E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21022F" w:rsidR="000D6438" w:rsidP="0021022F" w:rsidRDefault="000D6438" w14:paraId="3006B09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21022F" w:rsidR="0021022F" w:rsidTr="0021022F" w14:paraId="40092D96" w14:textId="77777777">
        <w:trPr>
          <w:divId w:val="1756708166"/>
        </w:trPr>
        <w:tc>
          <w:tcPr>
            <w:tcW w:w="0" w:type="auto"/>
            <w:hideMark/>
          </w:tcPr>
          <w:p w:rsidRPr="0021022F" w:rsidR="000D6438" w:rsidP="0021022F" w:rsidRDefault="000D6438" w14:paraId="0C20C16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5FA8C33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68570327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6D20E30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21B1968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34E8619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51F44ED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24828E4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prone ventilation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3F98849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supine ventilation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5923966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454DEFC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21022F" w:rsidR="000D6438" w:rsidP="0021022F" w:rsidRDefault="000D6438" w14:paraId="59F51AAF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21022F" w:rsidR="000D6438" w:rsidP="0021022F" w:rsidRDefault="000D6438" w14:paraId="2B0D808B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55A9497D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3B26AC3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</w:t>
            </w:r>
          </w:p>
        </w:tc>
      </w:tr>
      <w:tr w:rsidRPr="0021022F" w:rsidR="0021022F" w:rsidTr="0021022F" w14:paraId="27CBCD6B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5A75314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5CEF533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458658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E3CED1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260C3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52E7E8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63B907F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4C7453E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335/1067 (31.4%)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5C4448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363/1012 (35.9%)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7584AC1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0.83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(0.66 to 1.05)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7DCA635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61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122 fewer to 18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5851E5F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58F0C53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615962CB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509438F1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Lung Protective Ventilation group</w:t>
            </w:r>
          </w:p>
        </w:tc>
      </w:tr>
      <w:tr w:rsidRPr="0021022F" w:rsidR="0021022F" w:rsidTr="0021022F" w14:paraId="36AE96A8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3D2FFF8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7569D81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8930D1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3C693FF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CC8754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148BAC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7E3239C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67DFB78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98/426 (23.0%)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0C9071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142/422 (33.6%)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1C6ED68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0.69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(0.43 to 1.11)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6327EB0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104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192 fewer to 37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0D7149E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4E2D309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58B487B4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62D67788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Non-Lung protective ventilation</w:t>
            </w:r>
          </w:p>
        </w:tc>
      </w:tr>
      <w:tr w:rsidRPr="0021022F" w:rsidR="0021022F" w:rsidTr="0021022F" w14:paraId="19FA2E1E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20C6E26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08E947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876C2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F00361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62896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1E23A87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5902948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5308DAD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237/641 (37.0%)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15BFE46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221/590 (37.5%)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7DAA71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0.96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(0.80 to 1.16)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0ED02D4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15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75 fewer to 60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63662CF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61D7418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68DCE00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2DC7E65A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&gt;12 hours prone</w:t>
            </w:r>
          </w:p>
        </w:tc>
      </w:tr>
      <w:tr w:rsidRPr="0021022F" w:rsidR="0021022F" w:rsidTr="0021022F" w14:paraId="536FD0FB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7C8BB53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16B3500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810EE2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3C8E674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3E1CDF5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4B0F08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430983A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5F0B7D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131/502 (26.1%)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56E1F7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177/482 (36.7%)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35D04C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0.71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(0.52 to 0.97)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13129D1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106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176 fewer to 11 fewer)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4C22559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5C3AB64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3A10DB3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03B10B73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&lt;12 hours prone</w:t>
            </w:r>
          </w:p>
        </w:tc>
      </w:tr>
      <w:tr w:rsidRPr="0021022F" w:rsidR="0021022F" w:rsidTr="0021022F" w14:paraId="33464073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33B6E62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0AA78AA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880175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50D490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9B7E0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E3D755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66CC354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432472A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204/565 (36.1%)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684F61A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186/530 (35.1%)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486266F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1.04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(0.89 to 1.21)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0213D72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14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39 fewer to 74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4E320EC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716E65D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4BD1DD7C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2923571E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Moderate to severe ARDS</w:t>
            </w:r>
          </w:p>
        </w:tc>
      </w:tr>
      <w:tr w:rsidRPr="0021022F" w:rsidR="0021022F" w:rsidTr="0021022F" w14:paraId="17686236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4D2AB1B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79F19B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4F09A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D537A7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68EA7A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9C1E1B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6DFD30F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54BC3B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131/502 (26.1%)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669F99B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177/482 (36.7%)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13DA078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0.71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(0.52 to 0.97)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2E60C44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106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176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fewer to 11 fewer)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5155BA2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lastRenderedPageBreak/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60D2F0A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1998BE2A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1A8C7608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All ARDS</w:t>
            </w:r>
          </w:p>
        </w:tc>
      </w:tr>
      <w:tr w:rsidRPr="0021022F" w:rsidR="0021022F" w:rsidTr="0021022F" w14:paraId="41321562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13C4200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660CC2E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129DA0B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42A3D1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3760A8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27D890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24FD76D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AC474D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204/565 (36.1%)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4DC334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186/530 (35.1%)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54B179D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1.04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(0.89 to 1.21)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379B3A9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14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39 fewer to 74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5924844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68F2AF0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5F11652E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396B290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P/F Ratio on Day 4</w:t>
            </w:r>
          </w:p>
        </w:tc>
      </w:tr>
      <w:tr w:rsidRPr="0021022F" w:rsidR="0021022F" w:rsidTr="0021022F" w14:paraId="4A08981A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396370A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36E663F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3F956FF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2F4446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FF0BA5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129B22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17A3BF5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7FEFF8D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588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34295B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590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31977FC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1C0ED98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24.39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(11.64 higher to 37.14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00BAF14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1EC6C1E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  <w:tr w:rsidRPr="0021022F" w:rsidR="0021022F" w:rsidTr="0021022F" w14:paraId="4B2A07FD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46BFE7B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Barotrauma</w:t>
            </w:r>
          </w:p>
        </w:tc>
      </w:tr>
      <w:tr w:rsidRPr="0021022F" w:rsidR="0021022F" w:rsidTr="0021022F" w14:paraId="36EA2FA4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268155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4ACAE10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426D72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117D8D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4AE59CD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5BFF3C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0FF7C7D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FB9BBC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44/747 (5.9%)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036577C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46/685 (6.7%)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66B0761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(0.59 to 1.31)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1AAE382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8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28 fewer to 21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28ADF38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34658D4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1A3E917E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513285A9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Unplanned CVC Removal</w:t>
            </w:r>
          </w:p>
        </w:tc>
      </w:tr>
      <w:tr w:rsidRPr="0021022F" w:rsidR="0021022F" w:rsidTr="0021022F" w14:paraId="2F392083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6D60543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238C43E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715170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F21774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1E8E14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7E17A43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6C03544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56C600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60/314 (19.1%)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04FE3E6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40/321 (12.5%)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8AD03A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1.72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(0.43 to 6.84)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10712E4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90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71 fewer to 728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6108234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103DD5A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640B91A8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3DA0FCB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Pressure Sores</w:t>
            </w:r>
          </w:p>
        </w:tc>
      </w:tr>
      <w:tr w:rsidRPr="0021022F" w:rsidR="0021022F" w:rsidTr="0021022F" w14:paraId="2AA9C446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2ADFB5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6332419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1A0C083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AA3FA3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FC256A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3D836CF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75F7CB7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3E468E7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244/561 (43.5%)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33D4687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185/526 (35.2%)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76B7582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1.22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(1.05 to 1.41)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72BE4E6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77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18 more to 144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09D284B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⨁⨁⨁⨁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HIGH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6C3AE68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757E6128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4DDB6A0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Airway Complications - Unplanned extubation</w:t>
            </w:r>
          </w:p>
        </w:tc>
      </w:tr>
      <w:tr w:rsidRPr="0021022F" w:rsidR="0021022F" w:rsidTr="0021022F" w14:paraId="0EECC2D8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0C622F9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2DC8C1F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9C71D1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36B2EF5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993BD9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03DDD29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6FE4477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3976A7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112/1061 (10.6%)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02DB376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97/1006 (9.6%)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2EE9802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1.14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(0.78 to 1.67)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4EE5225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13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21 fewer to 65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4762745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2715EB3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21022F" w:rsidR="0021022F" w:rsidTr="0021022F" w14:paraId="6F005462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0D6438" w:rsidP="0021022F" w:rsidRDefault="000D6438" w14:paraId="2BFB9E9A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Airway Complications - ETT Obstruction</w:t>
            </w:r>
          </w:p>
        </w:tc>
      </w:tr>
      <w:tr w:rsidRPr="0021022F" w:rsidR="0021022F" w:rsidTr="0021022F" w14:paraId="301C8EDE" w14:textId="77777777">
        <w:trPr>
          <w:divId w:val="1756708166"/>
        </w:trPr>
        <w:tc>
          <w:tcPr>
            <w:tcW w:w="250" w:type="pct"/>
            <w:hideMark/>
          </w:tcPr>
          <w:p w:rsidRPr="0021022F" w:rsidR="000D6438" w:rsidP="0021022F" w:rsidRDefault="000D6438" w14:paraId="7AB216A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0D6438" w:rsidP="0021022F" w:rsidRDefault="000D6438" w14:paraId="1D1C09F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57B727F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2885036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11E043A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0D6438" w:rsidP="0021022F" w:rsidRDefault="000D6438" w14:paraId="638F870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0D6438" w:rsidP="0021022F" w:rsidRDefault="000D6438" w14:paraId="143CD87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7D48FF6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130/816 (15.9%)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747C139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76/778 (9.8%) </w:t>
            </w:r>
          </w:p>
        </w:tc>
        <w:tc>
          <w:tcPr>
            <w:tcW w:w="400" w:type="pct"/>
            <w:hideMark/>
          </w:tcPr>
          <w:p w:rsidRPr="0021022F" w:rsidR="000D6438" w:rsidP="0021022F" w:rsidRDefault="000D6438" w14:paraId="5709B3E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1.78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(1.22 to 2.59)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0D6438" w:rsidP="0021022F" w:rsidRDefault="000D6438" w14:paraId="2A4833A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76 more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21 more to 155 more) </w:t>
            </w:r>
          </w:p>
        </w:tc>
        <w:tc>
          <w:tcPr>
            <w:tcW w:w="750" w:type="dxa"/>
            <w:hideMark/>
          </w:tcPr>
          <w:p w:rsidRPr="0021022F" w:rsidR="000D6438" w:rsidP="0021022F" w:rsidRDefault="000D6438" w14:paraId="2EF1B1F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MODERATE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0D6438" w:rsidP="0021022F" w:rsidRDefault="000D6438" w14:paraId="0944D14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</w:tbl>
    <w:p w:rsidRPr="0021022F" w:rsidR="000D6438" w:rsidP="000D6438" w:rsidRDefault="000D6438" w14:paraId="52A1B5D6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0D6438" w:rsidP="000D6438" w:rsidRDefault="000D6438" w14:paraId="20C9AEC2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lastRenderedPageBreak/>
        <w:t>Explanations</w:t>
      </w:r>
    </w:p>
    <w:p w:rsidRPr="0021022F" w:rsidR="000D6438" w:rsidP="000D6438" w:rsidRDefault="000D6438" w14:paraId="7441FE0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All studies had lack of blinding of participants and personnel. However, ROB was not graded down as outcomes were objective and unlikely to be altered due to blinding. </w:t>
      </w:r>
    </w:p>
    <w:p w:rsidRPr="0021022F" w:rsidR="000D6438" w:rsidP="000D6438" w:rsidRDefault="000D6438" w14:paraId="22BC0DB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Heterogeneity between studies, I2=70% </w:t>
      </w:r>
    </w:p>
    <w:p w:rsidRPr="0021022F" w:rsidR="000D6438" w:rsidP="000D6438" w:rsidRDefault="000D6438" w14:paraId="2366188B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Wide CI - outcomes crosses line of no effect </w:t>
      </w:r>
    </w:p>
    <w:p w:rsidRPr="0021022F" w:rsidR="000D6438" w:rsidP="000D6438" w:rsidRDefault="000D6438" w14:paraId="1EC84CC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I2 = 74% </w:t>
      </w:r>
    </w:p>
    <w:p w:rsidRPr="0021022F" w:rsidR="000D6438" w:rsidP="000D6438" w:rsidRDefault="000D6438" w14:paraId="05368F05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e. I2=62% </w:t>
      </w:r>
    </w:p>
    <w:p w:rsidRPr="0021022F" w:rsidR="000D6438" w:rsidP="000D6438" w:rsidRDefault="000D6438" w14:paraId="191957A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f. I2=43% </w:t>
      </w:r>
    </w:p>
    <w:p w:rsidRPr="0021022F" w:rsidR="000D6438" w:rsidP="000D6438" w:rsidRDefault="000D6438" w14:paraId="7C45962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g. I2=91% </w:t>
      </w:r>
    </w:p>
    <w:p w:rsidRPr="0021022F" w:rsidR="000D6438" w:rsidP="000D6438" w:rsidRDefault="000D6438" w14:paraId="149D9416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h. I2-35% </w:t>
      </w:r>
    </w:p>
    <w:p w:rsidRPr="0021022F" w:rsidR="000D6438" w:rsidP="000D6438" w:rsidRDefault="000D6438" w14:paraId="7C46BBA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i. I2=31% </w:t>
      </w:r>
    </w:p>
    <w:p w:rsidRPr="0021022F" w:rsidR="000D6438" w:rsidP="000D6438" w:rsidRDefault="000D6438" w14:paraId="409AB1B7" w14:textId="77777777">
      <w:pPr>
        <w:divId w:val="1756708166"/>
      </w:pPr>
    </w:p>
    <w:p w:rsidR="00A17DE1" w:rsidP="00366158" w:rsidRDefault="00A17DE1" w14:paraId="4A84FA63" w14:textId="77777777">
      <w:pPr>
        <w:pStyle w:val="Heading1"/>
        <w:spacing w:after="20"/>
        <w:divId w:val="1756708166"/>
        <w:rPr>
          <w:rFonts w:eastAsia="Times New Roman" w:cs="Calibri"/>
          <w:caps/>
          <w:color w:val="000000"/>
          <w:sz w:val="30"/>
          <w:szCs w:val="30"/>
          <w:lang w:val="en"/>
        </w:rPr>
      </w:pPr>
      <w:r>
        <w:rPr>
          <w:rFonts w:eastAsia="Times New Roman" w:cs="Calibri"/>
          <w:caps/>
          <w:color w:val="000000"/>
          <w:sz w:val="30"/>
          <w:szCs w:val="30"/>
          <w:lang w:val="en"/>
        </w:rPr>
        <w:br w:type="page"/>
      </w:r>
    </w:p>
    <w:p w:rsidR="00366158" w:rsidP="00A17DE1" w:rsidRDefault="0021022F" w14:paraId="09A0999E" w14:textId="3180031B">
      <w:pPr>
        <w:pStyle w:val="Heading2"/>
        <w:divId w:val="1756708166"/>
      </w:pPr>
      <w:bookmarkStart w:name="_Toc61378913" w:id="15"/>
      <w:r>
        <w:rPr>
          <w:rFonts w:eastAsia="Times New Roman"/>
          <w:caps/>
          <w:lang w:val="en"/>
        </w:rPr>
        <w:lastRenderedPageBreak/>
        <w:t>E</w:t>
      </w:r>
      <w:r>
        <w:rPr>
          <w:rFonts w:eastAsia="Times New Roman"/>
          <w:lang w:val="en"/>
        </w:rPr>
        <w:t>t</w:t>
      </w:r>
      <w:r>
        <w:rPr>
          <w:rFonts w:eastAsia="Times New Roman"/>
          <w:caps/>
          <w:lang w:val="en"/>
        </w:rPr>
        <w:t xml:space="preserve">D. </w:t>
      </w:r>
      <w:r w:rsidRPr="0021022F" w:rsidR="00366158">
        <w:rPr>
          <w:rFonts w:eastAsia="Times New Roman"/>
          <w:caps/>
          <w:lang w:val="en"/>
        </w:rPr>
        <w:t>S</w:t>
      </w:r>
      <w:r w:rsidRPr="0021022F">
        <w:rPr>
          <w:rFonts w:eastAsia="Times New Roman"/>
          <w:lang w:val="en"/>
        </w:rPr>
        <w:t>ummary</w:t>
      </w:r>
      <w:r w:rsidRPr="0021022F" w:rsidR="00366158">
        <w:rPr>
          <w:rFonts w:eastAsia="Times New Roman"/>
          <w:caps/>
          <w:lang w:val="en"/>
        </w:rPr>
        <w:t xml:space="preserve"> </w:t>
      </w:r>
      <w:r w:rsidRPr="0021022F">
        <w:rPr>
          <w:rFonts w:eastAsia="Times New Roman"/>
          <w:lang w:val="en"/>
        </w:rPr>
        <w:t xml:space="preserve">of </w:t>
      </w:r>
      <w:r w:rsidRPr="0021022F" w:rsidR="00366158">
        <w:rPr>
          <w:rFonts w:eastAsia="Times New Roman"/>
          <w:caps/>
          <w:lang w:val="en"/>
        </w:rPr>
        <w:t>j</w:t>
      </w:r>
      <w:r w:rsidRPr="0021022F">
        <w:rPr>
          <w:rFonts w:eastAsia="Times New Roman"/>
          <w:lang w:val="en"/>
        </w:rPr>
        <w:t>udgements</w:t>
      </w:r>
      <w:r w:rsidR="00A17DE1">
        <w:rPr>
          <w:rFonts w:eastAsia="Times New Roman"/>
          <w:lang w:val="en"/>
        </w:rPr>
        <w:t xml:space="preserve"> </w:t>
      </w:r>
      <w:r w:rsidRPr="00A17DE1" w:rsidR="00A17DE1">
        <w:t>prone ventilation</w:t>
      </w:r>
      <w:bookmarkEnd w:id="15"/>
    </w:p>
    <w:p w:rsidRPr="00A17DE1" w:rsidR="00A17DE1" w:rsidP="00A17DE1" w:rsidRDefault="00A17DE1" w14:paraId="1704033E" w14:textId="77777777">
      <w:pPr>
        <w:divId w:val="1756708166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33"/>
        <w:gridCol w:w="1739"/>
        <w:gridCol w:w="1763"/>
        <w:gridCol w:w="1554"/>
        <w:gridCol w:w="1653"/>
      </w:tblGrid>
      <w:tr w:rsidRPr="0021022F" w:rsidR="00366158" w:rsidTr="00366158" w14:paraId="53087D4F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131F798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4F4811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21022F" w:rsidR="00366158" w:rsidTr="00366158" w14:paraId="2318D79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7BC1D8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6C4EDF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BE9686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458260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4B844E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C38CBCF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9EF6EE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17EA8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2BBC51D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B12F23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0E2798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B5CF23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7C49D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CE353B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81066FB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84B85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44F27F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675898B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29BB62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AA7362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BD6580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8FCE6A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9297F2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7FF6630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C001EA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BA581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47792E75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CE8C09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831153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E08510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0183B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CA7CBB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C3E3386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94B5693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A4516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21022F" w:rsidR="00366158" w:rsidTr="00366158" w14:paraId="70163EB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EF80B7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CDC4FE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AF17CC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D4C927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D9AE31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A062AA4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99EAE25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78B8FBD" w14:textId="77777777">
            <w:pPr>
              <w:jc w:val="center"/>
              <w:rPr>
                <w:rFonts w:eastAsia="Times New Roman"/>
              </w:rPr>
            </w:pPr>
          </w:p>
        </w:tc>
      </w:tr>
      <w:tr w:rsidRPr="0021022F" w:rsidR="00366158" w:rsidTr="00366158" w14:paraId="3A3D3516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071ED3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DA744D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5095D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355C0F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BD86AB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881F38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C6832B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46FA5E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3A05CFD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92A6B7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B6A030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D03305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E62125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3661E7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FABC8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C33AC9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572391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42ABAA0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C03883C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E8E157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BD9CAB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D41FA7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7334F7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67D9CEC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BF9BEC8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718EF9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366158" w:rsidTr="00366158" w14:paraId="408D317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EA791C8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D9096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EE7953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554FD2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87FCF3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A3CCD2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997A4F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9A16AD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21022F" w:rsidR="00366158" w:rsidTr="00366158" w14:paraId="67EA6727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3AEACD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F28B5E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7D8236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79D427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AECD8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B4422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FED7A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486F17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2E1E9ED4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68425D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6ACD82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FEC9C8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33E549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93F10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3771ED1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2BE60FA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33F3E17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21022F" w:rsidR="00366158" w:rsidTr="00366158" w14:paraId="53FCCBCB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7BFEEC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aps/>
                <w:color w:val="FFFFFF"/>
              </w:rPr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49371D6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26F061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5849000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39434A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1022F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67B42E59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0663041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022F" w:rsidR="00366158" w:rsidP="0021022F" w:rsidRDefault="00366158" w14:paraId="1F9FE40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21022F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366158" w:rsidP="00366158" w:rsidRDefault="00366158" w14:paraId="24231B5E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717E937E" w14:textId="77777777">
      <w:pPr>
        <w:divId w:val="1756708166"/>
        <w:rPr>
          <w:rFonts w:eastAsia="Times New Roman"/>
          <w:b/>
          <w:bCs/>
          <w:lang w:val="en"/>
        </w:rPr>
      </w:pPr>
    </w:p>
    <w:p w:rsidRPr="00A17DE1" w:rsidR="00366158" w:rsidP="00A17DE1" w:rsidRDefault="00366158" w14:paraId="71DD98D9" w14:textId="02D2F145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4E9D47A9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21022F" w:rsidR="00366158" w:rsidTr="00366158" w14:paraId="197807B5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366158" w:rsidP="0021022F" w:rsidRDefault="00366158" w14:paraId="5D3DA36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366158" w:rsidP="0021022F" w:rsidRDefault="00366158" w14:paraId="20B2C03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366158" w:rsidP="0021022F" w:rsidRDefault="00366158" w14:paraId="0486073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366158" w:rsidP="0021022F" w:rsidRDefault="00366158" w14:paraId="24CF395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21022F">
              <w:rPr>
                <w:rFonts w:ascii="Garamond" w:hAnsi="Garamond" w:cs="Calibri"/>
                <w:color w:val="000000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21022F" w:rsidR="00366158" w:rsidP="0021022F" w:rsidRDefault="00366158" w14:paraId="3CD6DA0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21022F">
              <w:rPr>
                <w:rFonts w:ascii="Garamond" w:hAnsi="Garamond" w:cs="Calibri"/>
                <w:b/>
                <w:bCs/>
                <w:color w:val="FFFFFF"/>
              </w:rPr>
              <w:t>Strong recommendation for the intervention</w:t>
            </w:r>
          </w:p>
        </w:tc>
      </w:tr>
      <w:tr w:rsidRPr="0021022F" w:rsidR="00366158" w:rsidTr="00366158" w14:paraId="50137727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366158" w:rsidP="0021022F" w:rsidRDefault="00366158" w14:paraId="2CCC5C35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366158" w:rsidP="0021022F" w:rsidRDefault="00366158" w14:paraId="36FA3299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366158" w:rsidP="0021022F" w:rsidRDefault="00366158" w14:paraId="3773ED27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366158" w:rsidP="0021022F" w:rsidRDefault="00366158" w14:paraId="755DB546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21022F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21022F" w:rsidR="00366158" w:rsidP="0021022F" w:rsidRDefault="00366158" w14:paraId="270042E8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21022F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</w:tr>
    </w:tbl>
    <w:p w:rsidRPr="0021022F" w:rsidR="00366158" w:rsidP="000D6438" w:rsidRDefault="00366158" w14:paraId="15CEE7D7" w14:textId="77777777">
      <w:pPr>
        <w:divId w:val="1756708166"/>
      </w:pPr>
    </w:p>
    <w:p w:rsidRPr="0021022F" w:rsidR="00C2299C" w:rsidRDefault="00C2299C" w14:paraId="22AA7CD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C2299C" w:rsidRDefault="00A17DE1" w14:paraId="444664B1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A17DE1" w:rsidR="00C2299C" w:rsidP="00C2299C" w:rsidRDefault="00C2299C" w14:paraId="01845E03" w14:textId="5E33FCE1">
      <w:pPr>
        <w:pStyle w:val="Heading1"/>
        <w:divId w:val="1756708166"/>
        <w:rPr>
          <w:bCs/>
          <w:szCs w:val="24"/>
        </w:rPr>
      </w:pPr>
      <w:bookmarkStart w:name="_Toc61378914" w:id="16"/>
      <w:r w:rsidRPr="00A17DE1">
        <w:rPr>
          <w:bCs/>
          <w:szCs w:val="24"/>
        </w:rPr>
        <w:lastRenderedPageBreak/>
        <w:t xml:space="preserve">In adults with sepsis-induced respiratory failure, should we use </w:t>
      </w:r>
      <w:r w:rsidRPr="00A17DE1" w:rsidR="00A17DE1">
        <w:rPr>
          <w:bCs/>
          <w:szCs w:val="24"/>
        </w:rPr>
        <w:t>Non-invasive ventilation</w:t>
      </w:r>
      <w:r w:rsidRPr="00A17DE1">
        <w:rPr>
          <w:bCs/>
          <w:szCs w:val="24"/>
        </w:rPr>
        <w:t>?</w:t>
      </w:r>
      <w:bookmarkEnd w:id="16"/>
    </w:p>
    <w:p w:rsidR="00A17DE1" w:rsidP="00A17DE1" w:rsidRDefault="00A17DE1" w14:paraId="01DDA20E" w14:textId="2E9E9242">
      <w:pPr>
        <w:divId w:val="1756708166"/>
      </w:pPr>
    </w:p>
    <w:p w:rsidRPr="00A17DE1" w:rsidR="00A17DE1" w:rsidP="00A17DE1" w:rsidRDefault="00A17DE1" w14:paraId="145DB709" w14:textId="69D93CD4">
      <w:pPr>
        <w:pStyle w:val="Heading2"/>
        <w:divId w:val="1756708166"/>
      </w:pPr>
      <w:bookmarkStart w:name="_Toc61378915" w:id="17"/>
      <w:r>
        <w:rPr>
          <w:rFonts w:eastAsia="Times New Roman"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A17DE1">
        <w:t xml:space="preserve"> </w:t>
      </w:r>
      <w:r>
        <w:t>Non-invasive ventilation</w:t>
      </w:r>
      <w:bookmarkEnd w:id="17"/>
    </w:p>
    <w:p w:rsidRPr="0021022F" w:rsidR="00C2299C" w:rsidP="00C2299C" w:rsidRDefault="00C2299C" w14:paraId="4E17500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21022F" w:rsidR="0021022F" w:rsidTr="0021022F" w14:paraId="217F90F8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21022F" w:rsidR="00C2299C" w:rsidP="0021022F" w:rsidRDefault="0021022F" w14:paraId="6F65626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21022F" w:rsidR="00C2299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21022F" w:rsidR="00C2299C" w:rsidP="0021022F" w:rsidRDefault="00C2299C" w14:paraId="1F7CCA2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21022F" w:rsidR="00C2299C" w:rsidP="0021022F" w:rsidRDefault="00C2299C" w14:paraId="116437F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21022F" w:rsidR="00C2299C" w:rsidP="0021022F" w:rsidRDefault="0021022F" w14:paraId="4CC4245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21022F" w:rsidR="00C2299C" w:rsidP="0021022F" w:rsidRDefault="00C2299C" w14:paraId="1BB247F7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21022F" w:rsidR="0021022F" w:rsidTr="0021022F" w14:paraId="6F36C4E5" w14:textId="77777777">
        <w:trPr>
          <w:divId w:val="1756708166"/>
        </w:trPr>
        <w:tc>
          <w:tcPr>
            <w:tcW w:w="0" w:type="auto"/>
            <w:hideMark/>
          </w:tcPr>
          <w:p w:rsidRPr="0021022F" w:rsidR="00C2299C" w:rsidP="0021022F" w:rsidRDefault="00C2299C" w14:paraId="35E9437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50CD65F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72CCE69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39B6AAA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2FBDE8A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2392ADD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4D24489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040235E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non-invasive ventilation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63DBBA3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IPPV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7F837FC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72CA178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21022F" w:rsidR="00C2299C" w:rsidP="0021022F" w:rsidRDefault="00C2299C" w14:paraId="4DF4E02B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21022F" w:rsidR="00C2299C" w:rsidP="0021022F" w:rsidRDefault="00C2299C" w14:paraId="4648BAE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7D374EBF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C2299C" w:rsidP="0021022F" w:rsidRDefault="00C2299C" w14:paraId="232C800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Mortality</w:t>
            </w:r>
          </w:p>
        </w:tc>
      </w:tr>
      <w:tr w:rsidRPr="0021022F" w:rsidR="0021022F" w:rsidTr="0021022F" w14:paraId="0E05024D" w14:textId="77777777">
        <w:trPr>
          <w:divId w:val="1756708166"/>
        </w:trPr>
        <w:tc>
          <w:tcPr>
            <w:tcW w:w="250" w:type="pct"/>
            <w:hideMark/>
          </w:tcPr>
          <w:p w:rsidRPr="0021022F" w:rsidR="00C2299C" w:rsidP="0021022F" w:rsidRDefault="00C2299C" w14:paraId="4DD4F1E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C2299C" w:rsidP="0021022F" w:rsidRDefault="00C2299C" w14:paraId="7D519A0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3E8E56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759A798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4235B70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21BBEA0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21022F" w:rsidR="00C2299C" w:rsidP="0021022F" w:rsidRDefault="00C2299C" w14:paraId="410ED26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70A9D56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26/74 (35.1%)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3E6C245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30/73 (41.1%)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55BBBEC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0.84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(0.44 to 1.62)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1E91CA1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66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230 fewer to 255 more) </w:t>
            </w:r>
          </w:p>
        </w:tc>
        <w:tc>
          <w:tcPr>
            <w:tcW w:w="750" w:type="dxa"/>
            <w:hideMark/>
          </w:tcPr>
          <w:p w:rsidRPr="0021022F" w:rsidR="00C2299C" w:rsidP="0021022F" w:rsidRDefault="00C2299C" w14:paraId="5A02448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C2299C" w:rsidP="0021022F" w:rsidRDefault="00C2299C" w14:paraId="240C7C3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3DF86D3C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C2299C" w:rsidP="0021022F" w:rsidRDefault="00C2299C" w14:paraId="7135F4AC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NIV Failure (Intubation Rates)</w:t>
            </w:r>
          </w:p>
        </w:tc>
      </w:tr>
      <w:tr w:rsidRPr="0021022F" w:rsidR="0021022F" w:rsidTr="0021022F" w14:paraId="65EF166E" w14:textId="77777777">
        <w:trPr>
          <w:divId w:val="1756708166"/>
        </w:trPr>
        <w:tc>
          <w:tcPr>
            <w:tcW w:w="250" w:type="pct"/>
            <w:hideMark/>
          </w:tcPr>
          <w:p w:rsidRPr="0021022F" w:rsidR="00C2299C" w:rsidP="0021022F" w:rsidRDefault="00C2299C" w14:paraId="7E836F4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21022F" w:rsidR="00C2299C" w:rsidP="0021022F" w:rsidRDefault="00C2299C" w14:paraId="1351313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2CD9E1D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3DB9232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0285B42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5E5C3B9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21022F" w:rsidR="00C2299C" w:rsidP="0021022F" w:rsidRDefault="00C2299C" w14:paraId="1366F56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6FE0A62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37/74 (50.0%)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185372E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73/73 (100.0%)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546AB82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0.58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(0.25 to 1.35)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1D2722D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420 fewer per 1,000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750 fewer to 350 more) </w:t>
            </w:r>
          </w:p>
        </w:tc>
        <w:tc>
          <w:tcPr>
            <w:tcW w:w="750" w:type="dxa"/>
            <w:hideMark/>
          </w:tcPr>
          <w:p w:rsidRPr="0021022F" w:rsidR="00C2299C" w:rsidP="0021022F" w:rsidRDefault="00C2299C" w14:paraId="0170127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C2299C" w:rsidP="0021022F" w:rsidRDefault="00C2299C" w14:paraId="4381CF0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47561AE6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C2299C" w:rsidP="0021022F" w:rsidRDefault="00C2299C" w14:paraId="203C60B1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LOS</w:t>
            </w:r>
          </w:p>
        </w:tc>
      </w:tr>
      <w:tr w:rsidRPr="0021022F" w:rsidR="0021022F" w:rsidTr="0021022F" w14:paraId="36242DA3" w14:textId="77777777">
        <w:trPr>
          <w:divId w:val="1756708166"/>
        </w:trPr>
        <w:tc>
          <w:tcPr>
            <w:tcW w:w="250" w:type="pct"/>
            <w:hideMark/>
          </w:tcPr>
          <w:p w:rsidRPr="0021022F" w:rsidR="00C2299C" w:rsidP="0021022F" w:rsidRDefault="00C2299C" w14:paraId="4D52D70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C2299C" w:rsidP="0021022F" w:rsidRDefault="00C2299C" w14:paraId="7E0FE97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437CE78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29CB09C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6D42C1B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350DE8E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21022F" w:rsidR="00C2299C" w:rsidP="0021022F" w:rsidRDefault="00C2299C" w14:paraId="71AC25D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743510C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56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32D1BAC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48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32F709F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4A46CA0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13.65 lower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(17.43 lower to 9.87 lower)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C2299C" w:rsidP="0021022F" w:rsidRDefault="00C2299C" w14:paraId="18C18BA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C2299C" w:rsidP="0021022F" w:rsidRDefault="00C2299C" w14:paraId="5417F52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47B34E10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C2299C" w:rsidP="0021022F" w:rsidRDefault="00C2299C" w14:paraId="24F78B9A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P/F Ratio after 60 minutes</w:t>
            </w:r>
          </w:p>
        </w:tc>
      </w:tr>
      <w:tr w:rsidRPr="0021022F" w:rsidR="0021022F" w:rsidTr="0021022F" w14:paraId="6918E13A" w14:textId="77777777">
        <w:trPr>
          <w:divId w:val="1756708166"/>
        </w:trPr>
        <w:tc>
          <w:tcPr>
            <w:tcW w:w="250" w:type="pct"/>
            <w:hideMark/>
          </w:tcPr>
          <w:p w:rsidRPr="0021022F" w:rsidR="00C2299C" w:rsidP="0021022F" w:rsidRDefault="00C2299C" w14:paraId="44C6A1B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21022F" w:rsidR="00C2299C" w:rsidP="0021022F" w:rsidRDefault="00C2299C" w14:paraId="1336C48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371DF06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129C108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08321F7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05ED388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21022F" w:rsidR="00C2299C" w:rsidP="0021022F" w:rsidRDefault="00C2299C" w14:paraId="789F2E6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0DC4BDB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54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4FAF4FF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59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139C07A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63DD953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21.49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(7.82 lower to 50.81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C2299C" w:rsidP="0021022F" w:rsidRDefault="00C2299C" w14:paraId="46B21DC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C2299C" w:rsidP="0021022F" w:rsidRDefault="00C2299C" w14:paraId="3A2CF0A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Pr="0021022F" w:rsidR="0021022F" w:rsidTr="0021022F" w14:paraId="67217BEF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21022F" w:rsidR="00C2299C" w:rsidP="0021022F" w:rsidRDefault="00C2299C" w14:paraId="7A854E8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21022F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P/F Ratio after 24 hours</w:t>
            </w:r>
          </w:p>
        </w:tc>
      </w:tr>
      <w:tr w:rsidRPr="0021022F" w:rsidR="0021022F" w:rsidTr="0021022F" w14:paraId="67A2F7FB" w14:textId="77777777">
        <w:trPr>
          <w:divId w:val="1756708166"/>
        </w:trPr>
        <w:tc>
          <w:tcPr>
            <w:tcW w:w="250" w:type="pct"/>
            <w:hideMark/>
          </w:tcPr>
          <w:p w:rsidRPr="0021022F" w:rsidR="00C2299C" w:rsidP="0021022F" w:rsidRDefault="00C2299C" w14:paraId="0A9C6E5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21022F" w:rsidR="00C2299C" w:rsidP="0021022F" w:rsidRDefault="00C2299C" w14:paraId="2E41FC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34899F2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1EAC43E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51B51A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350" w:type="pct"/>
            <w:hideMark/>
          </w:tcPr>
          <w:p w:rsidRPr="0021022F" w:rsidR="00C2299C" w:rsidP="0021022F" w:rsidRDefault="00C2299C" w14:paraId="2BBFF19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21022F" w:rsidR="00C2299C" w:rsidP="0021022F" w:rsidRDefault="00C2299C" w14:paraId="7DA314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74556D2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34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0C48588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31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21022F" w:rsidR="00C2299C" w:rsidP="0021022F" w:rsidRDefault="00C2299C" w14:paraId="4E797FF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21022F" w:rsidR="00C2299C" w:rsidP="0021022F" w:rsidRDefault="00C2299C" w14:paraId="262F452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21022F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9 higher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(28.44 lower to 46.44 higher)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21022F" w:rsidR="00C2299C" w:rsidP="0021022F" w:rsidRDefault="00C2299C" w14:paraId="7E7BDC6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1022F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21022F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21022F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21022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21022F" w:rsidR="00C2299C" w:rsidP="0021022F" w:rsidRDefault="00C2299C" w14:paraId="70C2437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</w:tbl>
    <w:p w:rsidRPr="0021022F" w:rsidR="00C2299C" w:rsidP="00C2299C" w:rsidRDefault="00C2299C" w14:paraId="72104A99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C2299C" w:rsidP="00C2299C" w:rsidRDefault="00C2299C" w14:paraId="760AB76E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lastRenderedPageBreak/>
        <w:t>Explanations</w:t>
      </w:r>
    </w:p>
    <w:p w:rsidRPr="0021022F" w:rsidR="00C2299C" w:rsidP="00C2299C" w:rsidRDefault="00C2299C" w14:paraId="142BEDE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Blinding did not occur in all studies </w:t>
      </w:r>
    </w:p>
    <w:p w:rsidRPr="0021022F" w:rsidR="00C2299C" w:rsidP="00C2299C" w:rsidRDefault="00C2299C" w14:paraId="7451680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b. I</w:t>
      </w:r>
      <w:r w:rsidRPr="0021022F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=58%; point estimate from each study favours different modality </w:t>
      </w:r>
    </w:p>
    <w:p w:rsidRPr="0021022F" w:rsidR="00C2299C" w:rsidP="00C2299C" w:rsidRDefault="00C2299C" w14:paraId="72113447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Causes of acute hypoxemic respiratory failure (ARF) varied in studies. Pneumonia/sepsis accounted for 30-72% of patients between studies. </w:t>
      </w:r>
    </w:p>
    <w:p w:rsidRPr="0021022F" w:rsidR="00C2299C" w:rsidP="00C2299C" w:rsidRDefault="00C2299C" w14:paraId="190F705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Wide CIs do not exclude harm </w:t>
      </w:r>
    </w:p>
    <w:p w:rsidRPr="0021022F" w:rsidR="00C2299C" w:rsidP="00C2299C" w:rsidRDefault="00C2299C" w14:paraId="0054BC4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e. Wide CIs do not distinguish which modality more effective </w:t>
      </w:r>
    </w:p>
    <w:p w:rsidRPr="0021022F" w:rsidR="00C2299C" w:rsidP="00C2299C" w:rsidRDefault="00C2299C" w14:paraId="4DC6C18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f. Single study excluded patients with COPD; causes of ARDS due to pneumonia/infection account for 73% and 52% of patients between NIV and IPPV groups respectively </w:t>
      </w:r>
    </w:p>
    <w:p w:rsidRPr="0021022F" w:rsidR="00C2299C" w:rsidRDefault="00C2299C" w14:paraId="5CFA8566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C2299C" w:rsidRDefault="00C2299C" w14:paraId="11DC74D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C2299C" w:rsidRDefault="00C2299C" w14:paraId="517C482E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C2299C" w:rsidRDefault="00C2299C" w14:paraId="27E9FD4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C2299C" w:rsidRDefault="00C2299C" w14:paraId="56A579B5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ED49A2" w:rsidRDefault="00A17DE1" w14:paraId="76BF239D" w14:textId="77777777">
      <w:pPr>
        <w:pStyle w:val="Heading1"/>
        <w:spacing w:after="20"/>
        <w:rPr>
          <w:rFonts w:eastAsia="Times New Roman" w:cs="Calibri"/>
          <w:caps/>
          <w:color w:val="000000"/>
          <w:sz w:val="30"/>
          <w:szCs w:val="30"/>
          <w:lang w:val="en"/>
        </w:rPr>
      </w:pPr>
      <w:r>
        <w:rPr>
          <w:rFonts w:eastAsia="Times New Roman" w:cs="Calibri"/>
          <w:caps/>
          <w:color w:val="000000"/>
          <w:sz w:val="30"/>
          <w:szCs w:val="30"/>
          <w:lang w:val="en"/>
        </w:rPr>
        <w:br w:type="page"/>
      </w:r>
    </w:p>
    <w:p w:rsidRPr="00A17DE1" w:rsidR="00ED49A2" w:rsidP="00A17DE1" w:rsidRDefault="00ED49A2" w14:paraId="253AFF74" w14:textId="0D7E0620">
      <w:pPr>
        <w:pStyle w:val="Heading2"/>
        <w:rPr>
          <w:bCs/>
          <w:szCs w:val="24"/>
        </w:rPr>
      </w:pPr>
      <w:bookmarkStart w:name="_Toc61378916" w:id="18"/>
      <w:r w:rsidRPr="00A17DE1">
        <w:rPr>
          <w:rFonts w:eastAsia="Times New Roman"/>
          <w:caps/>
          <w:lang w:val="en"/>
        </w:rPr>
        <w:lastRenderedPageBreak/>
        <w:t>E</w:t>
      </w:r>
      <w:r w:rsidRPr="00A17DE1">
        <w:rPr>
          <w:rFonts w:eastAsia="Times New Roman"/>
          <w:lang w:val="en"/>
        </w:rPr>
        <w:t>t</w:t>
      </w:r>
      <w:r w:rsidRPr="00A17DE1">
        <w:rPr>
          <w:rFonts w:eastAsia="Times New Roman"/>
          <w:caps/>
          <w:lang w:val="en"/>
        </w:rPr>
        <w:t>D. S</w:t>
      </w:r>
      <w:r w:rsidRPr="00A17DE1">
        <w:rPr>
          <w:rFonts w:eastAsia="Times New Roman"/>
          <w:lang w:val="en"/>
        </w:rPr>
        <w:t>ummary</w:t>
      </w:r>
      <w:r w:rsidRPr="00A17DE1">
        <w:rPr>
          <w:rFonts w:eastAsia="Times New Roman"/>
          <w:caps/>
          <w:lang w:val="en"/>
        </w:rPr>
        <w:t xml:space="preserve"> </w:t>
      </w:r>
      <w:r w:rsidRPr="00A17DE1">
        <w:rPr>
          <w:rFonts w:eastAsia="Times New Roman"/>
          <w:lang w:val="en"/>
        </w:rPr>
        <w:t xml:space="preserve">of </w:t>
      </w:r>
      <w:r w:rsidRPr="00A17DE1">
        <w:rPr>
          <w:rFonts w:eastAsia="Times New Roman"/>
          <w:caps/>
          <w:lang w:val="en"/>
        </w:rPr>
        <w:t>j</w:t>
      </w:r>
      <w:r w:rsidRPr="00A17DE1">
        <w:rPr>
          <w:rFonts w:eastAsia="Times New Roman"/>
          <w:lang w:val="en"/>
        </w:rPr>
        <w:t>udgements</w:t>
      </w:r>
      <w:r w:rsidRPr="00A17DE1" w:rsidR="00A17DE1">
        <w:rPr>
          <w:rFonts w:eastAsia="Times New Roman"/>
          <w:lang w:val="en"/>
        </w:rPr>
        <w:t xml:space="preserve"> </w:t>
      </w:r>
      <w:r w:rsidRPr="00A17DE1" w:rsidR="00A17DE1">
        <w:rPr>
          <w:bCs/>
          <w:szCs w:val="24"/>
        </w:rPr>
        <w:t>Non invasive ventilation</w:t>
      </w:r>
      <w:bookmarkEnd w:id="18"/>
    </w:p>
    <w:p w:rsidRPr="00A17DE1" w:rsidR="00A17DE1" w:rsidP="00A17DE1" w:rsidRDefault="00A17DE1" w14:paraId="36BDA4DC" w14:textId="7777777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724"/>
        <w:gridCol w:w="1724"/>
        <w:gridCol w:w="1742"/>
        <w:gridCol w:w="1736"/>
        <w:gridCol w:w="1736"/>
        <w:gridCol w:w="1560"/>
        <w:gridCol w:w="1657"/>
      </w:tblGrid>
      <w:tr w:rsidRPr="00ED49A2" w:rsidR="00876A35" w:rsidTr="00876A35" w14:paraId="48152231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366D1CA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A8B2B9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ED49A2" w:rsidR="00876A35" w:rsidTr="00876A35" w14:paraId="54A5B40B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DCD8AE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15625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0EB21B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779F3C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C89ED5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263DAFC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BD4B2F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9E36B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876A35" w:rsidTr="00876A35" w14:paraId="59BC8127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3F8E3A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E439AA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2919A1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6D23E6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AAFBBD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2C5440D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4D07B9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D232E8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876A35" w:rsidTr="00876A35" w14:paraId="761FA138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FB39108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6CFADE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84F7A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C1B0C1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4AC944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BC1E055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7C7E39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A73C3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876A35" w:rsidTr="00876A35" w14:paraId="6D9190F6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678E97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7A23BE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5E0B81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902A2B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529435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B081F10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19CA233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1073BE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ED49A2" w:rsidR="00876A35" w:rsidTr="00876A35" w14:paraId="7022394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473263B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08E587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FE4751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A6CE57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EAC1F0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C2E77A6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DB11909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E1A4052" w14:textId="77777777">
            <w:pPr>
              <w:jc w:val="center"/>
              <w:rPr>
                <w:rFonts w:eastAsia="Times New Roman"/>
              </w:rPr>
            </w:pPr>
          </w:p>
        </w:tc>
      </w:tr>
      <w:tr w:rsidRPr="00ED49A2" w:rsidR="00876A35" w:rsidTr="00876A35" w14:paraId="55C5B6C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BFCD23A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D19EF2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6F7D32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C6B626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EAB7D0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3E7A34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86F7D5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8281BF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876A35" w:rsidTr="00876A35" w14:paraId="54A4E8B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D011D2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EC716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6BC460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FD75A1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3A77B7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B37978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EBC40E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71390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876A35" w:rsidTr="00876A35" w14:paraId="29A87DAC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57FD16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39217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69C0EE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BF4440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4E29C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4970FC9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24548DE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70944F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876A35" w:rsidTr="00876A35" w14:paraId="5FD095B8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FE9E83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B7DFFF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BD2525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EAEC89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252778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0BFC5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81970D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330B9E9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876A35" w:rsidTr="00876A35" w14:paraId="1D88782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00CA5E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044BA7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7B298F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9A2E98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9E51FC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6000EC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B44803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2DF7FBE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876A35" w:rsidTr="00876A35" w14:paraId="203714E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77768A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5AF7D19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030B41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177AE5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0C04A4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4BEDA0A4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638852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159E1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876A35" w:rsidTr="00876A35" w14:paraId="089B6815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C2A207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72C255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3A11F6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73E46B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7B2C09B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637E6C07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40336C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876A35" w:rsidP="0021022F" w:rsidRDefault="00876A35" w14:paraId="0A58B81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876A35" w:rsidP="00876A35" w:rsidRDefault="00876A35" w14:paraId="4CF4AEAB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7B372DE8" w14:textId="77777777">
      <w:pPr>
        <w:divId w:val="1756708166"/>
        <w:rPr>
          <w:rFonts w:eastAsia="Times New Roman"/>
          <w:lang w:val="en"/>
        </w:rPr>
      </w:pPr>
    </w:p>
    <w:p w:rsidRPr="00A17DE1" w:rsidR="00876A35" w:rsidP="00A17DE1" w:rsidRDefault="00876A35" w14:paraId="61DDA312" w14:textId="649675EF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="00A17DE1" w:rsidP="00A17DE1" w:rsidRDefault="00A17DE1" w14:paraId="6CF5E8FD" w14:textId="30F83689">
      <w:pPr>
        <w:divId w:val="1756708166"/>
        <w:rPr>
          <w:lang w:val="en"/>
        </w:rPr>
      </w:pPr>
    </w:p>
    <w:p w:rsidRPr="00A17DE1" w:rsidR="00A17DE1" w:rsidP="00A17DE1" w:rsidRDefault="00A17DE1" w14:paraId="3D50ECBA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ED49A2" w:rsidR="00876A35" w:rsidTr="00876A35" w14:paraId="1A4DFCB4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876A35" w:rsidP="0021022F" w:rsidRDefault="00876A35" w14:paraId="0EC5D84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876A35" w:rsidP="0021022F" w:rsidRDefault="00876A35" w14:paraId="57072DD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876A35" w:rsidP="0021022F" w:rsidRDefault="00876A35" w14:paraId="4975F8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olor w:val="FFFFFF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876A35" w:rsidP="0021022F" w:rsidRDefault="00876A35" w14:paraId="4DCC3D1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876A35" w:rsidP="0021022F" w:rsidRDefault="00876A35" w14:paraId="2F4F8FD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for the intervention</w:t>
            </w:r>
          </w:p>
        </w:tc>
      </w:tr>
      <w:tr w:rsidRPr="00ED49A2" w:rsidR="00876A35" w:rsidTr="00876A35" w14:paraId="284592E4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876A35" w:rsidP="0021022F" w:rsidRDefault="00876A35" w14:paraId="3CE457D0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876A35" w:rsidP="0021022F" w:rsidRDefault="00876A35" w14:paraId="1F0998E9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876A35" w:rsidP="0021022F" w:rsidRDefault="00876A35" w14:paraId="4E3BEE06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D49A2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876A35" w:rsidP="0021022F" w:rsidRDefault="00876A35" w14:paraId="6C272BAD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876A35" w:rsidP="0021022F" w:rsidRDefault="00876A35" w14:paraId="35C38156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</w:tr>
    </w:tbl>
    <w:p w:rsidRPr="0021022F" w:rsidR="00550A5A" w:rsidRDefault="00550A5A" w14:paraId="08F8778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550A5A" w:rsidRDefault="00550A5A" w14:paraId="3F0E58CD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550A5A" w:rsidRDefault="00A17DE1" w14:paraId="68F78C55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="00550A5A" w:rsidP="00A17DE1" w:rsidRDefault="00550A5A" w14:paraId="24717363" w14:textId="7BCF8E5D">
      <w:pPr>
        <w:pStyle w:val="Heading1"/>
        <w:divId w:val="1756708166"/>
      </w:pPr>
      <w:bookmarkStart w:name="_Toc61378917" w:id="19"/>
      <w:r w:rsidRPr="00A17DE1">
        <w:lastRenderedPageBreak/>
        <w:t>In adults with sepsis-induced respiratory failure without ARDS, should we use low tidal volume?</w:t>
      </w:r>
      <w:bookmarkEnd w:id="19"/>
    </w:p>
    <w:p w:rsidR="00A17DE1" w:rsidP="00A17DE1" w:rsidRDefault="00A17DE1" w14:paraId="64957ECB" w14:textId="562E1912">
      <w:pPr>
        <w:divId w:val="1756708166"/>
      </w:pPr>
    </w:p>
    <w:p w:rsidRPr="00A17DE1" w:rsidR="00A17DE1" w:rsidP="00A17DE1" w:rsidRDefault="00A17DE1" w14:paraId="4184B3E3" w14:textId="22F1B135">
      <w:pPr>
        <w:pStyle w:val="Heading2"/>
        <w:divId w:val="1756708166"/>
      </w:pPr>
      <w:bookmarkStart w:name="_Toc61378918" w:id="20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A17DE1">
        <w:t xml:space="preserve"> low tidal volume</w:t>
      </w:r>
      <w:bookmarkEnd w:id="20"/>
    </w:p>
    <w:p w:rsidRPr="0021022F" w:rsidR="00550A5A" w:rsidRDefault="00550A5A" w14:paraId="2F64584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550A5A" w:rsidP="00550A5A" w:rsidRDefault="00550A5A" w14:paraId="379CA325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ED49A2" w:rsidR="00ED49A2" w:rsidTr="00ED49A2" w14:paraId="4CEB92C0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ED49A2" w:rsidR="00550A5A" w:rsidP="0021022F" w:rsidRDefault="00ED49A2" w14:paraId="0F2B911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ED49A2" w:rsidR="00550A5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ED49A2" w:rsidR="00550A5A" w:rsidP="0021022F" w:rsidRDefault="00550A5A" w14:paraId="156AFB1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ED49A2" w:rsidR="00550A5A" w:rsidP="0021022F" w:rsidRDefault="00550A5A" w14:paraId="442FC7B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ED49A2" w:rsidR="00550A5A" w:rsidP="0021022F" w:rsidRDefault="00ED49A2" w14:paraId="780CDAC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ED49A2" w:rsidR="00550A5A" w:rsidP="0021022F" w:rsidRDefault="00550A5A" w14:paraId="2032838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ED49A2" w:rsidR="00ED49A2" w:rsidTr="00ED49A2" w14:paraId="06C7A4D1" w14:textId="77777777">
        <w:trPr>
          <w:divId w:val="1756708166"/>
        </w:trPr>
        <w:tc>
          <w:tcPr>
            <w:tcW w:w="0" w:type="auto"/>
            <w:hideMark/>
          </w:tcPr>
          <w:p w:rsidRPr="00ED49A2" w:rsidR="00550A5A" w:rsidP="0021022F" w:rsidRDefault="00550A5A" w14:paraId="0469B40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662B658D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29E3AE3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1EA00FB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7D88744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76E12DC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37A69D8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0DF6740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low tidal volume ventilation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42CEE40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160F8B9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6D6AAA3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ED49A2" w:rsidR="00550A5A" w:rsidP="0021022F" w:rsidRDefault="00550A5A" w14:paraId="30101C8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ED49A2" w:rsidR="00550A5A" w:rsidP="0021022F" w:rsidRDefault="00550A5A" w14:paraId="752425B6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D49A2" w:rsidR="00ED49A2" w:rsidTr="00ED49A2" w14:paraId="1538DB44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50A5A" w:rsidP="0021022F" w:rsidRDefault="00550A5A" w14:paraId="340A9668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</w:t>
            </w:r>
          </w:p>
        </w:tc>
      </w:tr>
      <w:tr w:rsidRPr="00ED49A2" w:rsidR="00ED49A2" w:rsidTr="00ED49A2" w14:paraId="3E3E0A38" w14:textId="77777777">
        <w:trPr>
          <w:divId w:val="1756708166"/>
        </w:trPr>
        <w:tc>
          <w:tcPr>
            <w:tcW w:w="250" w:type="pct"/>
            <w:hideMark/>
          </w:tcPr>
          <w:p w:rsidRPr="00ED49A2" w:rsidR="00550A5A" w:rsidP="0021022F" w:rsidRDefault="00550A5A" w14:paraId="41407E1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550A5A" w:rsidP="0021022F" w:rsidRDefault="00550A5A" w14:paraId="62332A8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5FF2560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6EDB291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68C4AD2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5C32870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ED49A2" w:rsidR="00550A5A" w:rsidP="0021022F" w:rsidRDefault="00550A5A" w14:paraId="19721E2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49FBDAD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193/562 (34.3%)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5E07630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182/567 (32.1%)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5C6F56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1.07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(0.91 to 1.26)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3666388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22 more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29 fewer to 83 more) </w:t>
            </w:r>
          </w:p>
        </w:tc>
        <w:tc>
          <w:tcPr>
            <w:tcW w:w="750" w:type="dxa"/>
            <w:hideMark/>
          </w:tcPr>
          <w:p w:rsidRPr="00ED49A2" w:rsidR="00550A5A" w:rsidP="0021022F" w:rsidRDefault="00550A5A" w14:paraId="0A92A37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50A5A" w:rsidP="0021022F" w:rsidRDefault="00550A5A" w14:paraId="3696476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37E9C15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50A5A" w:rsidP="0021022F" w:rsidRDefault="00550A5A" w14:paraId="6D1ACAFA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Duration of Mechanical Ventilation (days)</w:t>
            </w:r>
          </w:p>
        </w:tc>
      </w:tr>
      <w:tr w:rsidRPr="00ED49A2" w:rsidR="00ED49A2" w:rsidTr="00ED49A2" w14:paraId="4D0F45B9" w14:textId="77777777">
        <w:trPr>
          <w:divId w:val="1756708166"/>
        </w:trPr>
        <w:tc>
          <w:tcPr>
            <w:tcW w:w="250" w:type="pct"/>
            <w:hideMark/>
          </w:tcPr>
          <w:p w:rsidRPr="00ED49A2" w:rsidR="00550A5A" w:rsidP="0021022F" w:rsidRDefault="00550A5A" w14:paraId="1DAB35C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550A5A" w:rsidP="0021022F" w:rsidRDefault="00550A5A" w14:paraId="4C3B8B0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2350928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65125E3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0CB4887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04E52BE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ED49A2" w:rsidR="00550A5A" w:rsidP="0021022F" w:rsidRDefault="00550A5A" w14:paraId="66D3215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4CB3560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534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16F75C2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550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2A97EED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21B23BF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0.11 higher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(2.11 lower to 2.33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550A5A" w:rsidP="0021022F" w:rsidRDefault="00550A5A" w14:paraId="4DB363B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50A5A" w:rsidP="0021022F" w:rsidRDefault="00550A5A" w14:paraId="760586B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3EEE44A8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50A5A" w:rsidP="0021022F" w:rsidRDefault="00550A5A" w14:paraId="5DF29941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Development of ARDS</w:t>
            </w:r>
          </w:p>
        </w:tc>
      </w:tr>
      <w:tr w:rsidRPr="00ED49A2" w:rsidR="00ED49A2" w:rsidTr="00ED49A2" w14:paraId="6A04B042" w14:textId="77777777">
        <w:trPr>
          <w:divId w:val="1756708166"/>
        </w:trPr>
        <w:tc>
          <w:tcPr>
            <w:tcW w:w="250" w:type="pct"/>
            <w:hideMark/>
          </w:tcPr>
          <w:p w:rsidRPr="00ED49A2" w:rsidR="00550A5A" w:rsidP="0021022F" w:rsidRDefault="00550A5A" w14:paraId="55CCA60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ED49A2" w:rsidR="00550A5A" w:rsidP="0021022F" w:rsidRDefault="00550A5A" w14:paraId="270AB2A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6073EB5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5A19019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0C5EB72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550A5A" w:rsidP="0021022F" w:rsidRDefault="00550A5A" w14:paraId="28A6117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550" w:type="pct"/>
            <w:hideMark/>
          </w:tcPr>
          <w:p w:rsidRPr="00ED49A2" w:rsidR="00550A5A" w:rsidP="0021022F" w:rsidRDefault="00550A5A" w14:paraId="05F8CD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34E08A1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19/524 (3.6%)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251DE6E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33/536 (6.2%) </w:t>
            </w:r>
          </w:p>
        </w:tc>
        <w:tc>
          <w:tcPr>
            <w:tcW w:w="400" w:type="pct"/>
            <w:hideMark/>
          </w:tcPr>
          <w:p w:rsidRPr="00ED49A2" w:rsidR="00550A5A" w:rsidP="0021022F" w:rsidRDefault="00550A5A" w14:paraId="072EEF6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0.59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(0.34 to 1.02)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50A5A" w:rsidP="0021022F" w:rsidRDefault="00550A5A" w14:paraId="2EA2F59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25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41 fewer to 1 more) </w:t>
            </w:r>
          </w:p>
        </w:tc>
        <w:tc>
          <w:tcPr>
            <w:tcW w:w="750" w:type="dxa"/>
            <w:hideMark/>
          </w:tcPr>
          <w:p w:rsidRPr="00ED49A2" w:rsidR="00550A5A" w:rsidP="0021022F" w:rsidRDefault="00550A5A" w14:paraId="3CB4A46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50A5A" w:rsidP="0021022F" w:rsidRDefault="00550A5A" w14:paraId="7913071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</w:tbl>
    <w:p w:rsidRPr="0021022F" w:rsidR="00550A5A" w:rsidP="00550A5A" w:rsidRDefault="00550A5A" w14:paraId="50EAD42E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550A5A" w:rsidP="00550A5A" w:rsidRDefault="00550A5A" w14:paraId="5BDABA62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550A5A" w:rsidP="00550A5A" w:rsidRDefault="00550A5A" w14:paraId="712D1AFD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Intervention was not blinded in most studies; not lowered as mortality is objective outcome </w:t>
      </w:r>
    </w:p>
    <w:p w:rsidRPr="0021022F" w:rsidR="00550A5A" w:rsidP="00550A5A" w:rsidRDefault="00550A5A" w14:paraId="6A71507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Studies were performed in a wide variety of patients with respiratory failure. Sepsis accounted for less than the majority of patients included. </w:t>
      </w:r>
    </w:p>
    <w:p w:rsidRPr="0021022F" w:rsidR="00550A5A" w:rsidP="00550A5A" w:rsidRDefault="00550A5A" w14:paraId="182A0A4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Wide confidence intervals cannot exclude harm or benefit </w:t>
      </w:r>
    </w:p>
    <w:p w:rsidRPr="0021022F" w:rsidR="00550A5A" w:rsidP="00550A5A" w:rsidRDefault="00550A5A" w14:paraId="1FD82B9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Intervention was not blinded in most studies. </w:t>
      </w:r>
    </w:p>
    <w:p w:rsidRPr="0021022F" w:rsidR="00550A5A" w:rsidP="00550A5A" w:rsidRDefault="00550A5A" w14:paraId="430D20BD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e. Not downgraded as the point estimate is non-significant </w:t>
      </w:r>
    </w:p>
    <w:p w:rsidRPr="0021022F" w:rsidR="00550A5A" w:rsidP="00550A5A" w:rsidRDefault="00550A5A" w14:paraId="69ADC72D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f. Statistical heterogeneity with I</w:t>
      </w:r>
      <w:r w:rsidRPr="00ED49A2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&gt;80%. Point estimates of each study showed varying results. </w:t>
      </w:r>
    </w:p>
    <w:p w:rsidRPr="0021022F" w:rsidR="00550A5A" w:rsidP="00550A5A" w:rsidRDefault="00550A5A" w14:paraId="4ABF055B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g. I</w:t>
      </w:r>
      <w:r w:rsidRPr="00ED49A2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=65%, non-significant. Point estimates of trials favour intervention (low-tidal volume) </w:t>
      </w:r>
    </w:p>
    <w:p w:rsidRPr="0021022F" w:rsidR="009E0854" w:rsidP="00550A5A" w:rsidRDefault="009E0854" w14:paraId="1D3D3F24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E0854" w:rsidP="00550A5A" w:rsidRDefault="009E0854" w14:paraId="190D4EE6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ED49A2" w:rsidRDefault="00A17DE1" w14:paraId="3D479AE3" w14:textId="77777777">
      <w:pPr>
        <w:pStyle w:val="Heading1"/>
        <w:spacing w:after="20"/>
        <w:rPr>
          <w:rFonts w:eastAsia="Times New Roman" w:cs="Calibri"/>
          <w:caps/>
          <w:color w:val="000000"/>
          <w:sz w:val="30"/>
          <w:szCs w:val="30"/>
          <w:lang w:val="en"/>
        </w:rPr>
      </w:pPr>
      <w:r>
        <w:rPr>
          <w:rFonts w:eastAsia="Times New Roman" w:cs="Calibri"/>
          <w:caps/>
          <w:color w:val="000000"/>
          <w:sz w:val="30"/>
          <w:szCs w:val="30"/>
          <w:lang w:val="en"/>
        </w:rPr>
        <w:br w:type="page"/>
      </w:r>
    </w:p>
    <w:p w:rsidR="00ED49A2" w:rsidP="00A17DE1" w:rsidRDefault="00ED49A2" w14:paraId="2E988F58" w14:textId="4E25EA81">
      <w:pPr>
        <w:pStyle w:val="Heading2"/>
        <w:rPr>
          <w:rFonts w:eastAsia="Times New Roman"/>
          <w:lang w:val="en"/>
        </w:rPr>
      </w:pPr>
      <w:bookmarkStart w:name="_Toc61378919" w:id="21"/>
      <w:r>
        <w:rPr>
          <w:rFonts w:eastAsia="Times New Roman"/>
          <w:caps/>
          <w:lang w:val="en"/>
        </w:rPr>
        <w:lastRenderedPageBreak/>
        <w:t>E</w:t>
      </w:r>
      <w:r>
        <w:rPr>
          <w:rFonts w:eastAsia="Times New Roman"/>
          <w:lang w:val="en"/>
        </w:rPr>
        <w:t>t</w:t>
      </w:r>
      <w:r>
        <w:rPr>
          <w:rFonts w:eastAsia="Times New Roman"/>
          <w:caps/>
          <w:lang w:val="en"/>
        </w:rPr>
        <w:t xml:space="preserve">D. </w:t>
      </w:r>
      <w:r w:rsidRPr="0021022F">
        <w:rPr>
          <w:rFonts w:eastAsia="Times New Roman"/>
          <w:caps/>
          <w:lang w:val="en"/>
        </w:rPr>
        <w:t>S</w:t>
      </w:r>
      <w:r w:rsidRPr="0021022F">
        <w:rPr>
          <w:rFonts w:eastAsia="Times New Roman"/>
          <w:lang w:val="en"/>
        </w:rPr>
        <w:t>ummary</w:t>
      </w:r>
      <w:r w:rsidRPr="0021022F">
        <w:rPr>
          <w:rFonts w:eastAsia="Times New Roman"/>
          <w:caps/>
          <w:lang w:val="en"/>
        </w:rPr>
        <w:t xml:space="preserve"> </w:t>
      </w:r>
      <w:r w:rsidRPr="0021022F">
        <w:rPr>
          <w:rFonts w:eastAsia="Times New Roman"/>
          <w:lang w:val="en"/>
        </w:rPr>
        <w:t xml:space="preserve">of </w:t>
      </w:r>
      <w:r w:rsidRPr="0021022F">
        <w:rPr>
          <w:rFonts w:eastAsia="Times New Roman"/>
          <w:caps/>
          <w:lang w:val="en"/>
        </w:rPr>
        <w:t>j</w:t>
      </w:r>
      <w:r w:rsidRPr="0021022F">
        <w:rPr>
          <w:rFonts w:eastAsia="Times New Roman"/>
          <w:lang w:val="en"/>
        </w:rPr>
        <w:t>udgements</w:t>
      </w:r>
      <w:r w:rsidR="00A17DE1">
        <w:rPr>
          <w:rFonts w:eastAsia="Times New Roman"/>
          <w:lang w:val="en"/>
        </w:rPr>
        <w:t xml:space="preserve"> </w:t>
      </w:r>
      <w:r w:rsidRPr="00A17DE1" w:rsidR="00A17DE1">
        <w:t>low tidal volume</w:t>
      </w:r>
      <w:bookmarkEnd w:id="21"/>
    </w:p>
    <w:p w:rsidRPr="00A17DE1" w:rsidR="00A17DE1" w:rsidP="00A17DE1" w:rsidRDefault="00A17DE1" w14:paraId="50BAC979" w14:textId="77777777">
      <w:pPr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39"/>
        <w:gridCol w:w="1763"/>
        <w:gridCol w:w="1733"/>
        <w:gridCol w:w="1554"/>
        <w:gridCol w:w="1653"/>
      </w:tblGrid>
      <w:tr w:rsidRPr="00ED49A2" w:rsidR="009E0854" w:rsidTr="009E0854" w14:paraId="137DD77D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2DBFE8E1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655C54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ED49A2" w:rsidR="009E0854" w:rsidTr="009E0854" w14:paraId="1FE5CBE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DC08DB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F09348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F317F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8F63F6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9EA1DD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587A462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FBA374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5E7FD1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58E43E4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DCB2CC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6810D4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FE65D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397AD9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CEA812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B6950BE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24B5CD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03694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62F34DC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736817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110766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F9A7F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2519E23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D07F87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5D519E5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B4F467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B4F797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4871267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2AFAAD4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DD606D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6D1004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B03A69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61AB4B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992A8DE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A6519D3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239C90F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ED49A2" w:rsidR="009E0854" w:rsidTr="009E0854" w14:paraId="7A9DEE7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7DEB1C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556D86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FB8378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937806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146A08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D892718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1ADAB92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E9BD096" w14:textId="77777777">
            <w:pPr>
              <w:jc w:val="center"/>
              <w:rPr>
                <w:rFonts w:eastAsia="Times New Roman"/>
              </w:rPr>
            </w:pPr>
          </w:p>
        </w:tc>
      </w:tr>
      <w:tr w:rsidRPr="00ED49A2" w:rsidR="009E0854" w:rsidTr="009E0854" w14:paraId="75C4BA4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7D17118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8EC6BE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0F5448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C51E7C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D365C4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97E9C3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93C631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2CB34E0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6A99C10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72C2DC9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4E53DC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97FD94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8BE63E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B0BBE8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C9A306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24042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64D9D5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4280B4BB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27904DF8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60BDD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044846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F991B1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FB23F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44325F2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F13A66E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FE4AAF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9E0854" w:rsidTr="009E0854" w14:paraId="1C2BC1C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EA2375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031AA1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C56477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5013CC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B86A61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79EB8E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F28CCC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B461F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9E0854" w:rsidTr="009E0854" w14:paraId="60399F9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5B61CA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676FED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E1AC6A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4440B5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17439E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2DD8A2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80A38C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6B315FE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400CC88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1DAC99B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19188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72F595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E84391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18E6F9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05C881E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8DEB5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2E8979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9E0854" w:rsidTr="009E0854" w14:paraId="1104D83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4576F91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003E5A0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3103EE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14A93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3510B8C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D8C9A94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7613112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9E0854" w:rsidP="0021022F" w:rsidRDefault="009E0854" w14:paraId="5485185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9E0854" w:rsidP="009E0854" w:rsidRDefault="009E0854" w14:paraId="01E8934D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658EF4AA" w14:textId="77777777">
      <w:pPr>
        <w:divId w:val="1756708166"/>
        <w:rPr>
          <w:rFonts w:eastAsia="Times New Roman"/>
          <w:b/>
          <w:bCs/>
          <w:lang w:val="en"/>
        </w:rPr>
      </w:pPr>
    </w:p>
    <w:p w:rsidRPr="00A17DE1" w:rsidR="009E0854" w:rsidP="00A17DE1" w:rsidRDefault="009E0854" w14:paraId="52679D1B" w14:textId="2F7639AA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2178C013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ED49A2" w:rsidR="009E0854" w:rsidTr="009E0854" w14:paraId="5CD7DF06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9E0854" w:rsidP="0021022F" w:rsidRDefault="009E0854" w14:paraId="6C02EE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9E0854" w:rsidP="0021022F" w:rsidRDefault="009E0854" w14:paraId="47761FE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9E0854" w:rsidP="0021022F" w:rsidRDefault="009E0854" w14:paraId="19B20E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9E0854" w:rsidP="0021022F" w:rsidRDefault="009E0854" w14:paraId="5EE01F9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olor w:val="FFFFFF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9E0854" w:rsidP="0021022F" w:rsidRDefault="009E0854" w14:paraId="57290CA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for the intervention</w:t>
            </w:r>
          </w:p>
        </w:tc>
      </w:tr>
      <w:tr w:rsidRPr="00ED49A2" w:rsidR="009E0854" w:rsidTr="009E0854" w14:paraId="785B9FF5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9E0854" w:rsidP="0021022F" w:rsidRDefault="009E0854" w14:paraId="6093E064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9E0854" w:rsidP="0021022F" w:rsidRDefault="009E0854" w14:paraId="241435CB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9E0854" w:rsidP="0021022F" w:rsidRDefault="009E0854" w14:paraId="366081F1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9E0854" w:rsidP="0021022F" w:rsidRDefault="009E0854" w14:paraId="2F65C22F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D49A2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9E0854" w:rsidP="0021022F" w:rsidRDefault="009E0854" w14:paraId="6DD7516C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</w:tr>
    </w:tbl>
    <w:p w:rsidRPr="00ED49A2" w:rsidR="009E0854" w:rsidP="00550A5A" w:rsidRDefault="009E0854" w14:paraId="6E14606E" w14:textId="77777777">
      <w:pPr>
        <w:spacing w:line="140" w:lineRule="atLeast"/>
        <w:divId w:val="1756708166"/>
        <w:rPr>
          <w:rFonts w:eastAsia="Times New Roman"/>
          <w:color w:val="000000"/>
          <w:lang w:val="en"/>
        </w:rPr>
      </w:pPr>
    </w:p>
    <w:p w:rsidRPr="0021022F" w:rsidR="00E876FA" w:rsidP="00E876FA" w:rsidRDefault="00E876FA" w14:paraId="2EB6725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883F59" w:rsidRDefault="00A17DE1" w14:paraId="694B4A0E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A17DE1" w:rsidR="00883F59" w:rsidP="00A17DE1" w:rsidRDefault="00883F59" w14:paraId="284C6F0F" w14:textId="36101224">
      <w:pPr>
        <w:pStyle w:val="Heading1"/>
        <w:divId w:val="1756708166"/>
      </w:pPr>
      <w:bookmarkStart w:name="_Toc61378920" w:id="22"/>
      <w:r w:rsidRPr="00A17DE1">
        <w:lastRenderedPageBreak/>
        <w:t>In adults with sepsis-induced hypoxemic failure, should we use HFNO vs. NIV?</w:t>
      </w:r>
      <w:bookmarkEnd w:id="22"/>
    </w:p>
    <w:p w:rsidRPr="00A17DE1" w:rsidR="00A17DE1" w:rsidP="00A17DE1" w:rsidRDefault="00A17DE1" w14:paraId="228DD423" w14:textId="77777777">
      <w:pPr>
        <w:divId w:val="1756708166"/>
      </w:pPr>
    </w:p>
    <w:p w:rsidRPr="0021022F" w:rsidR="00883F59" w:rsidP="00E876FA" w:rsidRDefault="00883F59" w14:paraId="174D5FEE" w14:textId="77777777">
      <w:pPr>
        <w:spacing w:line="140" w:lineRule="atLeast"/>
        <w:divId w:val="1756708166"/>
        <w:rPr>
          <w:rFonts w:eastAsia="Times New Roman"/>
          <w:b/>
          <w:bCs/>
          <w:color w:val="000000"/>
          <w:sz w:val="14"/>
          <w:szCs w:val="14"/>
          <w:lang w:val="en"/>
        </w:rPr>
      </w:pPr>
    </w:p>
    <w:p w:rsidRPr="0021022F" w:rsidR="00E876FA" w:rsidP="00A17DE1" w:rsidRDefault="00A17DE1" w14:paraId="0E65D9E6" w14:textId="058F72BF">
      <w:pPr>
        <w:pStyle w:val="Heading2"/>
        <w:divId w:val="1756708166"/>
        <w:rPr>
          <w:rFonts w:eastAsia="Times New Roman"/>
          <w:lang w:val="en"/>
        </w:rPr>
      </w:pPr>
      <w:bookmarkStart w:name="_Toc61378921" w:id="23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21022F" w:rsidR="00E876FA">
        <w:rPr>
          <w:rFonts w:eastAsia="Times New Roman"/>
          <w:lang w:val="en"/>
        </w:rPr>
        <w:t xml:space="preserve"> HFNO therapy compared to NIV for sepsis-induced hypoxemic respiratory failure</w:t>
      </w:r>
      <w:bookmarkEnd w:id="23"/>
      <w:r w:rsidRPr="0021022F" w:rsidR="00E876FA">
        <w:rPr>
          <w:rFonts w:eastAsia="Times New Roman"/>
          <w:lang w:val="en"/>
        </w:rPr>
        <w:t xml:space="preserve"> </w:t>
      </w:r>
    </w:p>
    <w:p w:rsidRPr="0021022F" w:rsidR="00E876FA" w:rsidP="00E876FA" w:rsidRDefault="00E876FA" w14:paraId="7464F50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ED49A2" w:rsidR="00ED49A2" w:rsidTr="00ED49A2" w14:paraId="579509B1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ED49A2" w:rsidR="00E876FA" w:rsidP="0021022F" w:rsidRDefault="00ED49A2" w14:paraId="6018779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ED49A2" w:rsidR="00E876F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ED49A2" w:rsidR="00E876FA" w:rsidP="0021022F" w:rsidRDefault="00E876FA" w14:paraId="25B0AD4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ED49A2" w:rsidR="00E876FA" w:rsidP="0021022F" w:rsidRDefault="00E876FA" w14:paraId="05F54DD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ED49A2" w:rsidR="00E876FA" w:rsidP="0021022F" w:rsidRDefault="00ED49A2" w14:paraId="2EB74BE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ED49A2" w:rsidR="00E876FA" w:rsidP="0021022F" w:rsidRDefault="00E876FA" w14:paraId="48E6C15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ED49A2" w:rsidR="00ED49A2" w:rsidTr="00ED49A2" w14:paraId="48A0D7ED" w14:textId="77777777">
        <w:trPr>
          <w:divId w:val="1756708166"/>
        </w:trPr>
        <w:tc>
          <w:tcPr>
            <w:tcW w:w="0" w:type="auto"/>
            <w:hideMark/>
          </w:tcPr>
          <w:p w:rsidRPr="00ED49A2" w:rsidR="00E876FA" w:rsidP="0021022F" w:rsidRDefault="00E876FA" w14:paraId="0BA19D47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521B555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7DA55B9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4BB8B00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0745476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07D1B60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1341027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400738A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HFNO therapy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701496A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NIV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60E4BC3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4216714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ED49A2" w:rsidR="00E876FA" w:rsidP="0021022F" w:rsidRDefault="00E876FA" w14:paraId="7203EFE7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ED49A2" w:rsidR="00E876FA" w:rsidP="0021022F" w:rsidRDefault="00E876FA" w14:paraId="1C17659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D49A2" w:rsidR="00ED49A2" w:rsidTr="00ED49A2" w14:paraId="55EDD3DF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E876FA" w:rsidP="0021022F" w:rsidRDefault="00E876FA" w14:paraId="5D886DEC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Mortality</w:t>
            </w:r>
          </w:p>
        </w:tc>
      </w:tr>
      <w:tr w:rsidRPr="00ED49A2" w:rsidR="00ED49A2" w:rsidTr="00ED49A2" w14:paraId="3118FC8E" w14:textId="77777777">
        <w:trPr>
          <w:divId w:val="1756708166"/>
        </w:trPr>
        <w:tc>
          <w:tcPr>
            <w:tcW w:w="250" w:type="pct"/>
            <w:hideMark/>
          </w:tcPr>
          <w:p w:rsidRPr="00ED49A2" w:rsidR="00E876FA" w:rsidP="0021022F" w:rsidRDefault="00E876FA" w14:paraId="1FE5E36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E876FA" w:rsidP="0021022F" w:rsidRDefault="00E876FA" w14:paraId="51510A7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2D0BEF6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3DEBBF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182F80F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7173DD6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ED49A2" w:rsidR="00E876FA" w:rsidP="0021022F" w:rsidRDefault="00E876FA" w14:paraId="05015F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20A977F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12/106 (11.3%)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206C996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27/110 (24.5%)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0144AC6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0.46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(0.25 to 0.86)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4296AB8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133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184 fewer to 34 fewer) </w:t>
            </w:r>
          </w:p>
        </w:tc>
        <w:tc>
          <w:tcPr>
            <w:tcW w:w="750" w:type="dxa"/>
            <w:hideMark/>
          </w:tcPr>
          <w:p w:rsidRPr="00ED49A2" w:rsidR="00E876FA" w:rsidP="0021022F" w:rsidRDefault="00E876FA" w14:paraId="2940530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E876FA" w:rsidP="0021022F" w:rsidRDefault="00E876FA" w14:paraId="23BD52A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0841553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E876FA" w:rsidP="0021022F" w:rsidRDefault="00E876FA" w14:paraId="269DA14A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at Day 90</w:t>
            </w:r>
          </w:p>
        </w:tc>
      </w:tr>
      <w:tr w:rsidRPr="00ED49A2" w:rsidR="00ED49A2" w:rsidTr="00ED49A2" w14:paraId="370F8545" w14:textId="77777777">
        <w:trPr>
          <w:divId w:val="1756708166"/>
        </w:trPr>
        <w:tc>
          <w:tcPr>
            <w:tcW w:w="250" w:type="pct"/>
            <w:hideMark/>
          </w:tcPr>
          <w:p w:rsidRPr="00ED49A2" w:rsidR="00E876FA" w:rsidP="0021022F" w:rsidRDefault="00E876FA" w14:paraId="4D6F2E2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E876FA" w:rsidP="0021022F" w:rsidRDefault="00E876FA" w14:paraId="3D4B05E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022D75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2511381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20A0EED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58F8B3C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ED49A2" w:rsidR="00E876FA" w:rsidP="0021022F" w:rsidRDefault="00E876FA" w14:paraId="5816DB0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7FDD525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13/106 (12.3%)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68ABBEC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31/110 (28.2%)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1FC37C2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0.44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(0.24 to 0.79)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297E375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158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214 fewer to 59 fewer) </w:t>
            </w:r>
          </w:p>
        </w:tc>
        <w:tc>
          <w:tcPr>
            <w:tcW w:w="750" w:type="dxa"/>
            <w:hideMark/>
          </w:tcPr>
          <w:p w:rsidRPr="00ED49A2" w:rsidR="00E876FA" w:rsidP="0021022F" w:rsidRDefault="00E876FA" w14:paraId="6A1EACC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E876FA" w:rsidP="0021022F" w:rsidRDefault="00E876FA" w14:paraId="35D7E8E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4CC3ADFB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E876FA" w:rsidP="0021022F" w:rsidRDefault="00E876FA" w14:paraId="6978723E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Need for Intubation</w:t>
            </w:r>
          </w:p>
        </w:tc>
      </w:tr>
      <w:tr w:rsidRPr="00ED49A2" w:rsidR="00ED49A2" w:rsidTr="00ED49A2" w14:paraId="7A5CD250" w14:textId="77777777">
        <w:trPr>
          <w:divId w:val="1756708166"/>
        </w:trPr>
        <w:tc>
          <w:tcPr>
            <w:tcW w:w="250" w:type="pct"/>
            <w:hideMark/>
          </w:tcPr>
          <w:p w:rsidRPr="00ED49A2" w:rsidR="00E876FA" w:rsidP="0021022F" w:rsidRDefault="00E876FA" w14:paraId="09F660E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E876FA" w:rsidP="0021022F" w:rsidRDefault="00E876FA" w14:paraId="4BEF8AC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3FAAE0F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1985F95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43BB579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051D408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ED49A2" w:rsidR="00E876FA" w:rsidP="0021022F" w:rsidRDefault="00E876FA" w14:paraId="4E409B9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1F9D939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40/106 (37.7%)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7B3420B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55/110 (50.0%)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19D7AE9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0.75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(0.55 to 1.03)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025109C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125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225 fewer to 15 more) </w:t>
            </w:r>
          </w:p>
        </w:tc>
        <w:tc>
          <w:tcPr>
            <w:tcW w:w="750" w:type="dxa"/>
            <w:hideMark/>
          </w:tcPr>
          <w:p w:rsidRPr="00ED49A2" w:rsidR="00E876FA" w:rsidP="0021022F" w:rsidRDefault="00E876FA" w14:paraId="79F00E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E876FA" w:rsidP="0021022F" w:rsidRDefault="00E876FA" w14:paraId="09681E3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702DF2D3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E876FA" w:rsidP="0021022F" w:rsidRDefault="00E876FA" w14:paraId="55FD4431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Ventilator Free Days at Day 28</w:t>
            </w:r>
          </w:p>
        </w:tc>
      </w:tr>
      <w:tr w:rsidRPr="00ED49A2" w:rsidR="00ED49A2" w:rsidTr="00ED49A2" w14:paraId="6A0EE382" w14:textId="77777777">
        <w:trPr>
          <w:divId w:val="1756708166"/>
        </w:trPr>
        <w:tc>
          <w:tcPr>
            <w:tcW w:w="250" w:type="pct"/>
            <w:hideMark/>
          </w:tcPr>
          <w:p w:rsidRPr="00ED49A2" w:rsidR="00E876FA" w:rsidP="0021022F" w:rsidRDefault="00E876FA" w14:paraId="2DC97F7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E876FA" w:rsidP="0021022F" w:rsidRDefault="00E876FA" w14:paraId="262CBB8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1D23BB3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7ED2AA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72DC9DC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E876FA" w:rsidP="0021022F" w:rsidRDefault="00E876FA" w14:paraId="149D7F3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0" w:type="pct"/>
            <w:hideMark/>
          </w:tcPr>
          <w:p w:rsidRPr="00ED49A2" w:rsidR="00E876FA" w:rsidP="0021022F" w:rsidRDefault="00E876FA" w14:paraId="7925083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1CB8ED2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106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7D6F2D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110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E876FA" w:rsidP="0021022F" w:rsidRDefault="00E876FA" w14:paraId="2D2A33B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E876FA" w:rsidP="0021022F" w:rsidRDefault="00E876FA" w14:paraId="470F1C2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5 higher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(2.29 higher to 7.71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E876FA" w:rsidP="0021022F" w:rsidRDefault="00E876FA" w14:paraId="29B78C6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E876FA" w:rsidP="0021022F" w:rsidRDefault="00E876FA" w14:paraId="0192713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</w:tbl>
    <w:p w:rsidRPr="0021022F" w:rsidR="00E876FA" w:rsidP="00E876FA" w:rsidRDefault="00E876FA" w14:paraId="583AF4D4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E876FA" w:rsidP="00E876FA" w:rsidRDefault="00E876FA" w14:paraId="68CF3EF5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E876FA" w:rsidP="00E876FA" w:rsidRDefault="00E876FA" w14:paraId="71AF23F4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Small sample size, single study, low event rate (3-5 events could change confidence in estimate) </w:t>
      </w:r>
    </w:p>
    <w:p w:rsidRPr="0021022F" w:rsidR="00E876FA" w:rsidP="00E876FA" w:rsidRDefault="00E876FA" w14:paraId="6703378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Wide CI </w:t>
      </w:r>
    </w:p>
    <w:p w:rsidRPr="0021022F" w:rsidR="00E876FA" w:rsidRDefault="00E876FA" w14:paraId="0175576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B43AA9" w:rsidRDefault="00B43AA9" w14:paraId="0DA7212D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B43AA9" w:rsidRDefault="00B43AA9" w14:paraId="5FB0808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B43AA9" w:rsidRDefault="00B43AA9" w14:paraId="113ED34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B43AA9" w:rsidRDefault="00B43AA9" w14:paraId="323D31D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B43AA9" w:rsidRDefault="00B43AA9" w14:paraId="70AE3BD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ED49A2" w:rsidP="00A17DE1" w:rsidRDefault="00ED49A2" w14:paraId="673B1B38" w14:textId="505EB70E">
      <w:pPr>
        <w:pStyle w:val="Heading2"/>
        <w:rPr>
          <w:rFonts w:eastAsia="Times New Roman"/>
          <w:lang w:val="en"/>
        </w:rPr>
      </w:pPr>
      <w:bookmarkStart w:name="_Toc61378922" w:id="24"/>
      <w:r>
        <w:rPr>
          <w:rFonts w:eastAsia="Times New Roman" w:cs="Calibri"/>
          <w:caps/>
          <w:color w:val="000000"/>
          <w:sz w:val="30"/>
          <w:szCs w:val="30"/>
          <w:lang w:val="en"/>
        </w:rPr>
        <w:t>E</w:t>
      </w:r>
      <w:r>
        <w:rPr>
          <w:rFonts w:eastAsia="Times New Roman" w:cs="Calibri"/>
          <w:color w:val="000000"/>
          <w:sz w:val="30"/>
          <w:szCs w:val="30"/>
          <w:lang w:val="en"/>
        </w:rPr>
        <w:t>t</w:t>
      </w:r>
      <w:r>
        <w:rPr>
          <w:rFonts w:eastAsia="Times New Roman" w:cs="Calibri"/>
          <w:caps/>
          <w:color w:val="000000"/>
          <w:sz w:val="30"/>
          <w:szCs w:val="30"/>
          <w:lang w:val="en"/>
        </w:rPr>
        <w:t xml:space="preserve">D. </w:t>
      </w:r>
      <w:r w:rsidRPr="0021022F">
        <w:rPr>
          <w:rFonts w:eastAsia="Times New Roman" w:cs="Calibri"/>
          <w:caps/>
          <w:color w:val="000000"/>
          <w:sz w:val="30"/>
          <w:szCs w:val="30"/>
          <w:lang w:val="en"/>
        </w:rPr>
        <w:t>S</w:t>
      </w:r>
      <w:r w:rsidRPr="0021022F">
        <w:rPr>
          <w:rFonts w:eastAsia="Times New Roman" w:cs="Calibri"/>
          <w:color w:val="000000"/>
          <w:sz w:val="30"/>
          <w:szCs w:val="30"/>
          <w:lang w:val="en"/>
        </w:rPr>
        <w:t>ummary</w:t>
      </w:r>
      <w:r w:rsidRPr="0021022F">
        <w:rPr>
          <w:rFonts w:eastAsia="Times New Roman" w:cs="Calibri"/>
          <w:caps/>
          <w:color w:val="000000"/>
          <w:sz w:val="30"/>
          <w:szCs w:val="30"/>
          <w:lang w:val="en"/>
        </w:rPr>
        <w:t xml:space="preserve"> </w:t>
      </w:r>
      <w:r w:rsidRPr="0021022F">
        <w:rPr>
          <w:rFonts w:eastAsia="Times New Roman" w:cs="Calibri"/>
          <w:color w:val="000000"/>
          <w:sz w:val="30"/>
          <w:szCs w:val="30"/>
          <w:lang w:val="en"/>
        </w:rPr>
        <w:t xml:space="preserve">of </w:t>
      </w:r>
      <w:r w:rsidRPr="0021022F">
        <w:rPr>
          <w:rFonts w:eastAsia="Times New Roman" w:cs="Calibri"/>
          <w:caps/>
          <w:color w:val="000000"/>
          <w:sz w:val="30"/>
          <w:szCs w:val="30"/>
          <w:lang w:val="en"/>
        </w:rPr>
        <w:t>j</w:t>
      </w:r>
      <w:r w:rsidRPr="0021022F">
        <w:rPr>
          <w:rFonts w:eastAsia="Times New Roman" w:cs="Calibri"/>
          <w:color w:val="000000"/>
          <w:sz w:val="30"/>
          <w:szCs w:val="30"/>
          <w:lang w:val="en"/>
        </w:rPr>
        <w:t>udgements</w:t>
      </w:r>
      <w:r w:rsidR="00A17DE1">
        <w:rPr>
          <w:rFonts w:eastAsia="Times New Roman" w:cs="Calibri"/>
          <w:color w:val="000000"/>
          <w:sz w:val="30"/>
          <w:szCs w:val="30"/>
          <w:lang w:val="en"/>
        </w:rPr>
        <w:t xml:space="preserve"> </w:t>
      </w:r>
      <w:r w:rsidRPr="0021022F" w:rsidR="00A17DE1">
        <w:rPr>
          <w:rFonts w:eastAsia="Times New Roman"/>
          <w:lang w:val="en"/>
        </w:rPr>
        <w:t>HFNO therapy compared to NIV for sepsis-induced hypoxemic respiratory failure</w:t>
      </w:r>
      <w:bookmarkEnd w:id="24"/>
    </w:p>
    <w:p w:rsidRPr="00A17DE1" w:rsidR="00A17DE1" w:rsidP="00A17DE1" w:rsidRDefault="00A17DE1" w14:paraId="5CA163A9" w14:textId="77777777">
      <w:pPr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39"/>
        <w:gridCol w:w="1733"/>
        <w:gridCol w:w="1763"/>
        <w:gridCol w:w="1554"/>
        <w:gridCol w:w="1653"/>
      </w:tblGrid>
      <w:tr w:rsidRPr="00ED49A2" w:rsidR="00435D38" w:rsidTr="00435D38" w14:paraId="11DAB59B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1902B74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2DFE17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ED49A2" w:rsidR="00435D38" w:rsidTr="00435D38" w14:paraId="5428821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E75C784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773BC0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E00AD9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B11107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8B07F9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61AA036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6811CD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23C738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435D38" w:rsidTr="00435D38" w14:paraId="790B864C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11499B5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E5982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AE8C41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EB7E44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FBE230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C53BC0F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3625B7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2F5C0A7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435D38" w:rsidTr="00435D38" w14:paraId="1305A56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A2BFB7C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45B90D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7D0B5A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CD5222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78B25C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03427D2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BE85A7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BE2488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435D38" w:rsidTr="00435D38" w14:paraId="13C47A3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AA7675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33539C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BF706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ECF88F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AC5E0B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44AB1C9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09335AD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A7EF68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ED49A2" w:rsidR="00435D38" w:rsidTr="00435D38" w14:paraId="19AFA3E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391CD19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B76239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E40BDF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4C459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BA04EF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2001BFA8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E2261C6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80DEFA8" w14:textId="77777777">
            <w:pPr>
              <w:jc w:val="center"/>
              <w:rPr>
                <w:rFonts w:eastAsia="Times New Roman"/>
              </w:rPr>
            </w:pPr>
          </w:p>
        </w:tc>
      </w:tr>
      <w:tr w:rsidRPr="00ED49A2" w:rsidR="00435D38" w:rsidTr="00435D38" w14:paraId="12E1F34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2306EC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7176E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8FE22F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890441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190B84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7F9CBF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51387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293289E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435D38" w:rsidTr="00435D38" w14:paraId="7EA5E22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13EF51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74E18D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A1C295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56A616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D2820E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78358B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4EF6F0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0830D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435D38" w:rsidTr="00435D38" w14:paraId="4CED7A74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CE3270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15C03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2047FD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1A9769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D37085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34900F9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2B72FD8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8B32D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435D38" w:rsidTr="00435D38" w14:paraId="0256D5D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D7F9E1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3E0AC0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D35447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F8F751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D8C15F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232EB4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067836F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CE1827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435D38" w:rsidTr="00435D38" w14:paraId="5A70FBB4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8556A72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FE1881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A2F6BD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84916D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6FEC42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56B7B18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602386E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DFC12F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Don't know</w:t>
            </w:r>
          </w:p>
        </w:tc>
      </w:tr>
      <w:tr w:rsidRPr="00ED49A2" w:rsidR="00435D38" w:rsidTr="00435D38" w14:paraId="23B68EB9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B74FE09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2426A5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8F6B25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B23D3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871C13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F0DB6DD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C2D275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7B4BBDA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435D38" w:rsidTr="00435D38" w14:paraId="41C54DF4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2D8E22C1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0D80DE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3B99E47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9DF17C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1EA0FA8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20B6D0FA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207BBD7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435D38" w:rsidP="0021022F" w:rsidRDefault="00435D38" w14:paraId="461F81D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435D38" w:rsidP="00435D38" w:rsidRDefault="00435D38" w14:paraId="494C679A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2A415A09" w14:textId="77777777">
      <w:pPr>
        <w:divId w:val="1756708166"/>
        <w:rPr>
          <w:rFonts w:eastAsia="Times New Roman"/>
          <w:b/>
          <w:bCs/>
          <w:lang w:val="en"/>
        </w:rPr>
      </w:pPr>
    </w:p>
    <w:p w:rsidRPr="00A17DE1" w:rsidR="00435D38" w:rsidP="00A17DE1" w:rsidRDefault="00435D38" w14:paraId="132F503F" w14:textId="63D98147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7E783B15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ED49A2" w:rsidR="00435D38" w:rsidTr="00435D38" w14:paraId="00C57245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435D38" w:rsidP="0021022F" w:rsidRDefault="00435D38" w14:paraId="1926377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435D38" w:rsidP="0021022F" w:rsidRDefault="00435D38" w14:paraId="6A29802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435D38" w:rsidP="0021022F" w:rsidRDefault="00435D38" w14:paraId="552648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olor w:val="FFFFFF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435D38" w:rsidP="0021022F" w:rsidRDefault="00435D38" w14:paraId="38B4C1B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435D38" w:rsidP="0021022F" w:rsidRDefault="00435D38" w14:paraId="0978F7C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for the intervention</w:t>
            </w:r>
          </w:p>
        </w:tc>
      </w:tr>
      <w:tr w:rsidRPr="00ED49A2" w:rsidR="00435D38" w:rsidTr="00435D38" w14:paraId="6DE2A3FA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435D38" w:rsidP="0021022F" w:rsidRDefault="00435D38" w14:paraId="31BD7BA9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435D38" w:rsidP="0021022F" w:rsidRDefault="00435D38" w14:paraId="4D3DDDE2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435D38" w:rsidP="0021022F" w:rsidRDefault="00435D38" w14:paraId="59760420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D49A2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435D38" w:rsidP="0021022F" w:rsidRDefault="00435D38" w14:paraId="1F8919B1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435D38" w:rsidP="0021022F" w:rsidRDefault="00435D38" w14:paraId="69AB5B83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</w:tr>
    </w:tbl>
    <w:p w:rsidRPr="00ED49A2" w:rsidR="00B43AA9" w:rsidRDefault="00B43AA9" w14:paraId="2AB9A389" w14:textId="77777777">
      <w:pPr>
        <w:spacing w:line="140" w:lineRule="atLeast"/>
        <w:divId w:val="1756708166"/>
        <w:rPr>
          <w:rFonts w:eastAsia="Times New Roman"/>
          <w:color w:val="000000"/>
          <w:lang w:val="en"/>
        </w:rPr>
      </w:pPr>
    </w:p>
    <w:p w:rsidR="00A17DE1" w:rsidP="0031082D" w:rsidRDefault="00A17DE1" w14:paraId="35B59D73" w14:textId="77777777">
      <w:pPr>
        <w:pStyle w:val="Heading1"/>
        <w:divId w:val="1756708166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Pr="00A17DE1" w:rsidR="0031082D" w:rsidP="00A17DE1" w:rsidRDefault="0031082D" w14:paraId="4D2B72DA" w14:textId="136626A3">
      <w:pPr>
        <w:pStyle w:val="Heading1"/>
        <w:divId w:val="1756708166"/>
      </w:pPr>
      <w:bookmarkStart w:name="_Toc61378923" w:id="25"/>
      <w:r w:rsidRPr="00A17DE1">
        <w:lastRenderedPageBreak/>
        <w:t>In adults with sepsis-induced hypoxemic failure, should we use conservative oxygen targets vs. control?</w:t>
      </w:r>
      <w:bookmarkEnd w:id="25"/>
    </w:p>
    <w:p w:rsidRPr="0021022F" w:rsidR="0031082D" w:rsidRDefault="0031082D" w14:paraId="16E2001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P="00A17DE1" w:rsidRDefault="00A17DE1" w14:paraId="772B6074" w14:textId="10EB963B">
      <w:pPr>
        <w:pStyle w:val="Heading2"/>
        <w:divId w:val="1756708166"/>
        <w:rPr>
          <w:rFonts w:eastAsia="Times New Roman"/>
          <w:lang w:val="en"/>
        </w:rPr>
      </w:pPr>
      <w:bookmarkStart w:name="_Toc61378924" w:id="26"/>
      <w:r>
        <w:rPr>
          <w:rFonts w:eastAsia="Times New Roman"/>
          <w:bCs/>
          <w:lang w:val="en"/>
        </w:rPr>
        <w:t>Evidence profile</w:t>
      </w:r>
      <w:r w:rsidRPr="00326E63">
        <w:rPr>
          <w:rFonts w:eastAsia="Times New Roman"/>
          <w:lang w:val="en"/>
        </w:rPr>
        <w:t>:</w:t>
      </w:r>
      <w:r w:rsidRPr="0021022F" w:rsidR="009372F5">
        <w:rPr>
          <w:rFonts w:eastAsia="Times New Roman"/>
          <w:lang w:val="en"/>
        </w:rPr>
        <w:t xml:space="preserve"> Conservative oxygen targets compared to control for sepsis-induced hypoxemic respiratory failure</w:t>
      </w:r>
      <w:bookmarkEnd w:id="26"/>
      <w:r w:rsidRPr="0021022F" w:rsidR="009372F5">
        <w:rPr>
          <w:rFonts w:eastAsia="Times New Roman"/>
          <w:lang w:val="en"/>
        </w:rPr>
        <w:t xml:space="preserve"> </w:t>
      </w:r>
    </w:p>
    <w:p w:rsidRPr="0021022F" w:rsidR="009372F5" w:rsidP="009372F5" w:rsidRDefault="009372F5" w14:paraId="56202F0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75"/>
        <w:gridCol w:w="1274"/>
        <w:gridCol w:w="1158"/>
        <w:gridCol w:w="1139"/>
        <w:gridCol w:w="1451"/>
        <w:gridCol w:w="1158"/>
        <w:gridCol w:w="1019"/>
        <w:gridCol w:w="1020"/>
        <w:gridCol w:w="890"/>
        <w:gridCol w:w="1308"/>
        <w:gridCol w:w="1308"/>
      </w:tblGrid>
      <w:tr w:rsidRPr="00ED49A2" w:rsidR="00ED49A2" w:rsidTr="00ED49A2" w14:paraId="20159DF9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ED49A2" w:rsidR="009372F5" w:rsidP="0021022F" w:rsidRDefault="00ED49A2" w14:paraId="2BB85D1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ED49A2" w:rsidR="009372F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ED49A2" w:rsidR="009372F5" w:rsidP="0021022F" w:rsidRDefault="009372F5" w14:paraId="5AD7C40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ED49A2" w:rsidR="009372F5" w:rsidP="0021022F" w:rsidRDefault="009372F5" w14:paraId="2288DCE6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ED49A2" w:rsidR="009372F5" w:rsidP="0021022F" w:rsidRDefault="00ED49A2" w14:paraId="778F238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ED49A2" w:rsidR="009372F5" w:rsidP="0021022F" w:rsidRDefault="009372F5" w14:paraId="495369FB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ED49A2" w:rsidR="00ED49A2" w:rsidTr="00ED49A2" w14:paraId="10B040C1" w14:textId="77777777">
        <w:trPr>
          <w:divId w:val="1756708166"/>
        </w:trPr>
        <w:tc>
          <w:tcPr>
            <w:tcW w:w="0" w:type="auto"/>
            <w:hideMark/>
          </w:tcPr>
          <w:p w:rsidRPr="00ED49A2" w:rsidR="009372F5" w:rsidP="0021022F" w:rsidRDefault="009372F5" w14:paraId="785A207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349D3CB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0F301D1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43D7D91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4AAF040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3739F90D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46143B4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11328DDA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conservative oxygen targets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5B78981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3C70B26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4A781A44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ED49A2" w:rsidR="009372F5" w:rsidP="0021022F" w:rsidRDefault="009372F5" w14:paraId="7C94732C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ED49A2" w:rsidR="009372F5" w:rsidP="0021022F" w:rsidRDefault="009372F5" w14:paraId="6613625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D49A2" w:rsidR="00ED49A2" w:rsidTr="00ED49A2" w14:paraId="244729F2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54B0F8D7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</w:t>
            </w:r>
          </w:p>
        </w:tc>
      </w:tr>
      <w:tr w:rsidRPr="00ED49A2" w:rsidR="00ED49A2" w:rsidTr="00ED49A2" w14:paraId="4AE29501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5920FA9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613A25E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0ECC1D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478DEB4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2A87820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2B94C0E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04B84C4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2D52559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112/398 (28.1%)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4AAB7FD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121/389 (31.1%)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054351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0.95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(0.64 to 1.43)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2985B9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16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112 fewer to 134 more)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0A239CA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133DF4B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1EF45431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717B36DB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Mortality at day 90</w:t>
            </w:r>
          </w:p>
        </w:tc>
      </w:tr>
      <w:tr w:rsidRPr="00ED49A2" w:rsidR="00ED49A2" w:rsidTr="00ED49A2" w14:paraId="066FED18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1E4E8D2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468AEC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5A8FE1A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5CD1BA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74E54A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1B616C5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0386B20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6167AD1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60/182 (33.0%)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6169798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47/171 (27.5%)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2667B57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1.20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(0.87 to 1.65)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73A8668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55 more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36 fewer to 179 more)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1E71FE8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163EE8A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5CAC51A6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0EE75B75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Hospital Mortality</w:t>
            </w:r>
          </w:p>
        </w:tc>
      </w:tr>
      <w:tr w:rsidRPr="00ED49A2" w:rsidR="00ED49A2" w:rsidTr="00ED49A2" w14:paraId="3FE9D944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59C5255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7B368B3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7687AC8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4DF362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0D17D5F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6679624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59BBA13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0E25BFD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52/216 (24.1%)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593E29D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74/218 (33.9%)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40D7416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0.71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(0.53 to 0.96)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1CF48C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98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160 fewer to 14 fewer)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6CCFDDC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7D7D030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1A2B5965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0940E8B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LOS</w:t>
            </w:r>
          </w:p>
        </w:tc>
      </w:tr>
      <w:tr w:rsidRPr="00ED49A2" w:rsidR="00ED49A2" w:rsidTr="00ED49A2" w14:paraId="6F459F2F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0C1126A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09056A0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2FC25F3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4ECADF4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57E45FA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6F36D16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250D262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047E75A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398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0273367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390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18FD6E0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4D7344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0.4 higher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(0.52 lower to 1.32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5A1070E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43C81E7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  <w:tr w:rsidRPr="00ED49A2" w:rsidR="00ED49A2" w:rsidTr="00ED49A2" w14:paraId="4C14B952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5CF8B3C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Ventilator Free Days</w:t>
            </w:r>
          </w:p>
        </w:tc>
      </w:tr>
      <w:tr w:rsidRPr="00ED49A2" w:rsidR="00ED49A2" w:rsidTr="00ED49A2" w14:paraId="7BBD4C2A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5216603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3F753D1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0FB5C73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4BA9633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3C50696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73E8A39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3ED94F9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1CE5AF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398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5485C30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390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2A96B31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726135E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0.68 lower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(3.56 lower to 2.2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165D896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1D6D0DF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  <w:tr w:rsidRPr="00ED49A2" w:rsidR="00ED49A2" w:rsidTr="00ED49A2" w14:paraId="67A6D227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281FD122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(full ICU Rox)</w:t>
            </w:r>
          </w:p>
        </w:tc>
      </w:tr>
      <w:tr w:rsidRPr="00ED49A2" w:rsidR="00ED49A2" w:rsidTr="00ED49A2" w14:paraId="309A76DA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05D902F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7153FE5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3E525C4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78AADAA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4D92D76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155DDD1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4CF772F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4C01CBF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231/747 (30.9%)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7BF9931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242/749 (32.3%)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08D08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0.92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(0.67 to 1.25)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2D9BC2F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26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107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fewer to 81 more)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4B933BE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lastRenderedPageBreak/>
              <w:t>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6A6E9D6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79441BBB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30CE66A2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Mortality - Mortality at Day 90 (full ICU Rox)</w:t>
            </w:r>
          </w:p>
        </w:tc>
      </w:tr>
      <w:tr w:rsidRPr="00ED49A2" w:rsidR="00ED49A2" w:rsidTr="00ED49A2" w14:paraId="3ECA4BFB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44E8CEB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324E3C9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7E7709A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37B935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574F5BD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1A8237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109F682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4E6C6F3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179/531 (33.7%)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0F4A91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168/531 (31.6%)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508A69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1.07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(0.90 to 1.27)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27EB954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22 more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32 fewer to 85 more)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13CB3F0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773EC9A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1301EFB8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71D1A709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ICU LOS (full ICU Rox)</w:t>
            </w:r>
          </w:p>
        </w:tc>
      </w:tr>
      <w:tr w:rsidRPr="00ED49A2" w:rsidR="00ED49A2" w:rsidTr="00ED49A2" w14:paraId="58F69EF4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4C562B9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20D390E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6F6AE59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72F63BA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6B5C3EA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4CDD632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643226E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730AAA2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752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7B2DA1C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750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20A36D5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38A7533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0.06 higher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(0.81 lower to 0.92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062F407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5DC7E70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  <w:tr w:rsidRPr="00ED49A2" w:rsidR="00ED49A2" w:rsidTr="00ED49A2" w14:paraId="2335EC68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9372F5" w:rsidP="0021022F" w:rsidRDefault="009372F5" w14:paraId="083CE550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Ventilator Free Days (full ICU Rox)</w:t>
            </w:r>
          </w:p>
        </w:tc>
      </w:tr>
      <w:tr w:rsidRPr="00ED49A2" w:rsidR="00ED49A2" w:rsidTr="00ED49A2" w14:paraId="40307E21" w14:textId="77777777">
        <w:trPr>
          <w:divId w:val="1756708166"/>
        </w:trPr>
        <w:tc>
          <w:tcPr>
            <w:tcW w:w="250" w:type="pct"/>
            <w:hideMark/>
          </w:tcPr>
          <w:p w:rsidRPr="00ED49A2" w:rsidR="009372F5" w:rsidP="0021022F" w:rsidRDefault="009372F5" w14:paraId="66BB0A0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hideMark/>
          </w:tcPr>
          <w:p w:rsidRPr="00ED49A2" w:rsidR="009372F5" w:rsidP="0021022F" w:rsidRDefault="009372F5" w14:paraId="307D7E5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5965E0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3469F2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5F96FF3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50" w:type="pct"/>
            <w:hideMark/>
          </w:tcPr>
          <w:p w:rsidRPr="00ED49A2" w:rsidR="009372F5" w:rsidP="0021022F" w:rsidRDefault="009372F5" w14:paraId="3EC9051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0" w:type="pct"/>
            <w:hideMark/>
          </w:tcPr>
          <w:p w:rsidRPr="00ED49A2" w:rsidR="009372F5" w:rsidP="0021022F" w:rsidRDefault="009372F5" w14:paraId="40D6359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74D234E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752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F4435F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750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9372F5" w:rsidP="0021022F" w:rsidRDefault="009372F5" w14:paraId="36D8346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9372F5" w:rsidP="0021022F" w:rsidRDefault="009372F5" w14:paraId="1F5F392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0.22 higher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(1.16 lower to 1.61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9372F5" w:rsidP="0021022F" w:rsidRDefault="009372F5" w14:paraId="23211A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VERY 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9372F5" w:rsidP="0021022F" w:rsidRDefault="009372F5" w14:paraId="47F2944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IMPORTANT </w:t>
            </w:r>
          </w:p>
        </w:tc>
      </w:tr>
    </w:tbl>
    <w:p w:rsidRPr="0021022F" w:rsidR="009372F5" w:rsidP="009372F5" w:rsidRDefault="009372F5" w14:paraId="1F639341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9372F5" w:rsidP="009372F5" w:rsidRDefault="009372F5" w14:paraId="4A14E13B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9372F5" w:rsidP="009372F5" w:rsidRDefault="009372F5" w14:paraId="1E116C4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a. I</w:t>
      </w:r>
      <w:r w:rsidRPr="00ED49A2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=65%; point estimates vary between studies between harm and benefit. </w:t>
      </w:r>
    </w:p>
    <w:p w:rsidRPr="0021022F" w:rsidR="009372F5" w:rsidP="009372F5" w:rsidRDefault="009372F5" w14:paraId="1D72A89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Small subset of sepsis patients in included studies </w:t>
      </w:r>
    </w:p>
    <w:p w:rsidRPr="0021022F" w:rsidR="009372F5" w:rsidP="009372F5" w:rsidRDefault="009372F5" w14:paraId="52BAA4C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Wide CI do not exclude harm or benefit </w:t>
      </w:r>
    </w:p>
    <w:p w:rsidRPr="0021022F" w:rsidR="009372F5" w:rsidP="009372F5" w:rsidRDefault="009372F5" w14:paraId="5D509D7E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Single study with small sample size </w:t>
      </w:r>
    </w:p>
    <w:p w:rsidRPr="0021022F" w:rsidR="009372F5" w:rsidP="009372F5" w:rsidRDefault="009372F5" w14:paraId="78B6C8E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e. CI does not discriminate harm from benefit </w:t>
      </w:r>
    </w:p>
    <w:p w:rsidRPr="0021022F" w:rsidR="009372F5" w:rsidP="009372F5" w:rsidRDefault="009372F5" w14:paraId="17456557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f. I</w:t>
      </w:r>
      <w:r w:rsidRPr="00ED49A2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= 61%; heterogeneity between study outcomes </w:t>
      </w:r>
    </w:p>
    <w:p w:rsidRPr="0021022F" w:rsidR="009372F5" w:rsidP="009372F5" w:rsidRDefault="009372F5" w14:paraId="5C4D68F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>g. I</w:t>
      </w:r>
      <w:r w:rsidRPr="00ED49A2">
        <w:rPr>
          <w:rFonts w:eastAsia="Times New Roman"/>
          <w:color w:val="000000"/>
          <w:sz w:val="14"/>
          <w:szCs w:val="14"/>
          <w:vertAlign w:val="superscript"/>
          <w:lang w:val="en"/>
        </w:rPr>
        <w:t>2</w:t>
      </w: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=62% </w:t>
      </w:r>
    </w:p>
    <w:p w:rsidRPr="0021022F" w:rsidR="0031082D" w:rsidRDefault="0031082D" w14:paraId="20C1761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38DC5BC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78BA7C3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253C6BC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19FE84E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543CADA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36DF2B4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2A8AFD95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312F13F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761DFEF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77CA21F7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2085E66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4BE5105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2DB12E1B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01427A6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6E5DBA65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1CC4A8C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3F8AE76E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4EDD2F57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166E084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1640664F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3FA1A85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37C4AC16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0F0A9998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9372F5" w:rsidRDefault="009372F5" w14:paraId="24B30847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A17DE1" w:rsidR="00A17DE1" w:rsidP="00A17DE1" w:rsidRDefault="00ED49A2" w14:paraId="620F8EEF" w14:textId="77777777">
      <w:pPr>
        <w:pStyle w:val="Heading2"/>
      </w:pPr>
      <w:bookmarkStart w:name="_Toc61378925" w:id="27"/>
      <w:r w:rsidRPr="00A17DE1">
        <w:t>EtD. Summary of judgements</w:t>
      </w:r>
      <w:r w:rsidRPr="00A17DE1" w:rsidR="00A17DE1">
        <w:t xml:space="preserve"> Conservative oxygen targets compared to control for sepsis-induced hypoxemic respiratory failure</w:t>
      </w:r>
      <w:bookmarkEnd w:id="27"/>
      <w:r w:rsidRPr="00A17DE1" w:rsidR="00A17DE1">
        <w:t xml:space="preserve"> </w:t>
      </w:r>
    </w:p>
    <w:p w:rsidRPr="00A17DE1" w:rsidR="00ED49A2" w:rsidP="00A17DE1" w:rsidRDefault="00A17DE1" w14:paraId="03515E25" w14:textId="5CF8B612">
      <w:pPr>
        <w:spacing w:line="140" w:lineRule="atLeast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 </w:t>
      </w:r>
    </w:p>
    <w:p w:rsidRPr="00A17DE1" w:rsidR="00A17DE1" w:rsidP="00A17DE1" w:rsidRDefault="00A17DE1" w14:paraId="477C44FE" w14:textId="77777777">
      <w:pPr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21"/>
        <w:gridCol w:w="1721"/>
        <w:gridCol w:w="1763"/>
        <w:gridCol w:w="1739"/>
        <w:gridCol w:w="1733"/>
        <w:gridCol w:w="1554"/>
        <w:gridCol w:w="1653"/>
      </w:tblGrid>
      <w:tr w:rsidRPr="00ED49A2" w:rsidR="00BB0307" w:rsidTr="00BB0307" w14:paraId="10E18A7E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3955674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3229601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ED49A2" w:rsidR="00BB0307" w:rsidTr="00BB0307" w14:paraId="641C8B9C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78ACD6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2F7BDA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5331DC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5098BD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A47AF2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B17F790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1811B5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103A6A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2702F6DC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624DC0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F1ACCA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2299B5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138A0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4774CC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FC87A28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903158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65E342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3DE141E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7C52F1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2AC3EA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4ED4AF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E61B09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4C02F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BEE0660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57760E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FCD311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2C5E367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5A93E9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8D3D9C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255E7A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4A5CFE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824EA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B44C901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8DFEE0D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1BC35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ED49A2" w:rsidR="00BB0307" w:rsidTr="00BB0307" w14:paraId="08B5921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55D26F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1AC9C2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5EEAC5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056D70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E841BA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D26D0E1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5282C85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140A98E" w14:textId="77777777">
            <w:pPr>
              <w:jc w:val="center"/>
              <w:rPr>
                <w:rFonts w:eastAsia="Times New Roman"/>
              </w:rPr>
            </w:pPr>
          </w:p>
        </w:tc>
      </w:tr>
      <w:tr w:rsidRPr="00ED49A2" w:rsidR="00BB0307" w:rsidTr="00BB0307" w14:paraId="6DF14A2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8B34118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FD5186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D15E35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BC0264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588395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60BD0F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E5D375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9214F6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546DF0EB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CB6015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D5F7F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3B080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531669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33A2D9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9F4A9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A1EB3F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6EB858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6CC4C21D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8C04AA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3FCB5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0DEBC7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BF22B3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470464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244EA49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8DCB9DA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6D2B70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BB0307" w:rsidTr="00BB0307" w14:paraId="7D505218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357B750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7205DB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FB908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87AC0F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849CD2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250099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38CB7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85B301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BB0307" w:rsidTr="00BB0307" w14:paraId="6A4A41C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D6A52F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2FD851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2E8193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D1BA2C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841742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212DD2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8BB163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C4FBE7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3D6971B7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3DC96C3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34A6C4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928ACE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87DA39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6F9758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2B1E9330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4F01556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0137314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BB0307" w:rsidTr="00BB0307" w14:paraId="6191BA7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113C50E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1F952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4CE11F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0942EF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FDB55D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7C79AA5E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6289C2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BB0307" w:rsidP="0021022F" w:rsidRDefault="00BB0307" w14:paraId="5A0A8B6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BB0307" w:rsidP="00BB0307" w:rsidRDefault="00BB0307" w14:paraId="2EAA4F5A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Pr="0021022F" w:rsidR="005C5A27" w:rsidRDefault="005C5A27" w14:paraId="74174F7B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Pr="0021022F" w:rsidR="005C5A27" w:rsidRDefault="005C5A27" w14:paraId="3D512363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ED49A2" w:rsidP="005C5A27" w:rsidRDefault="00ED49A2" w14:paraId="6CC7509F" w14:textId="77777777">
      <w:pPr>
        <w:pStyle w:val="Heading1"/>
        <w:divId w:val="1756708166"/>
        <w:rPr>
          <w:b w:val="0"/>
          <w:bCs/>
          <w:szCs w:val="24"/>
          <w:u w:val="single"/>
        </w:rPr>
        <w:sectPr w:rsidR="00ED49A2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Pr="00A17DE1" w:rsidR="005C5A27" w:rsidP="00A17DE1" w:rsidRDefault="005C5A27" w14:paraId="356CE4CA" w14:textId="29B7942D">
      <w:pPr>
        <w:pStyle w:val="Heading1"/>
        <w:divId w:val="1756708166"/>
      </w:pPr>
      <w:bookmarkStart w:name="_Toc61378926" w:id="28"/>
      <w:r w:rsidRPr="00A17DE1">
        <w:lastRenderedPageBreak/>
        <w:t>In adults with sepsis-</w:t>
      </w:r>
      <w:r w:rsidRPr="00A17DE1" w:rsidR="000804CF">
        <w:t>induced ARDS</w:t>
      </w:r>
      <w:r w:rsidRPr="00A17DE1">
        <w:t xml:space="preserve">, should we use </w:t>
      </w:r>
      <w:r w:rsidRPr="00A17DE1" w:rsidR="000804CF">
        <w:t>ECMO</w:t>
      </w:r>
      <w:r w:rsidRPr="00A17DE1">
        <w:t>?</w:t>
      </w:r>
      <w:bookmarkEnd w:id="28"/>
    </w:p>
    <w:p w:rsidRPr="00A17DE1" w:rsidR="00A17DE1" w:rsidP="00A17DE1" w:rsidRDefault="00A17DE1" w14:paraId="02BC3B99" w14:textId="77777777">
      <w:pPr>
        <w:divId w:val="1756708166"/>
      </w:pPr>
    </w:p>
    <w:p w:rsidRPr="0021022F" w:rsidR="005C5A27" w:rsidP="005C5A27" w:rsidRDefault="005C5A27" w14:paraId="2D91EB2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5C5A27" w:rsidP="00A17DE1" w:rsidRDefault="00A17DE1" w14:paraId="51F63158" w14:textId="3CF3F863">
      <w:pPr>
        <w:pStyle w:val="Heading2"/>
        <w:divId w:val="1756708166"/>
        <w:rPr>
          <w:rFonts w:eastAsia="Times New Roman"/>
          <w:lang w:val="en"/>
        </w:rPr>
      </w:pPr>
      <w:bookmarkStart w:name="_Toc61378927" w:id="29"/>
      <w:r>
        <w:rPr>
          <w:rFonts w:eastAsia="Times New Roman"/>
          <w:bCs/>
          <w:lang w:val="en"/>
        </w:rPr>
        <w:t>Evidence profile</w:t>
      </w:r>
      <w:r w:rsidRPr="0021022F" w:rsidR="005C5A27">
        <w:rPr>
          <w:rFonts w:eastAsia="Times New Roman"/>
          <w:lang w:val="en"/>
        </w:rPr>
        <w:t>: ECMO compared to usual care for sepsis-induced ARDS</w:t>
      </w:r>
      <w:bookmarkEnd w:id="29"/>
      <w:r w:rsidRPr="0021022F" w:rsidR="005C5A27">
        <w:rPr>
          <w:rFonts w:eastAsia="Times New Roman"/>
          <w:lang w:val="en"/>
        </w:rPr>
        <w:t xml:space="preserve"> </w:t>
      </w:r>
    </w:p>
    <w:p w:rsidRPr="0021022F" w:rsidR="00A17DE1" w:rsidP="005C5A27" w:rsidRDefault="00A17DE1" w14:paraId="61F2702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34"/>
        <w:gridCol w:w="895"/>
        <w:gridCol w:w="1274"/>
        <w:gridCol w:w="1158"/>
        <w:gridCol w:w="1139"/>
        <w:gridCol w:w="1471"/>
        <w:gridCol w:w="1039"/>
        <w:gridCol w:w="1039"/>
        <w:gridCol w:w="1039"/>
        <w:gridCol w:w="890"/>
        <w:gridCol w:w="1328"/>
        <w:gridCol w:w="1328"/>
      </w:tblGrid>
      <w:tr w:rsidRPr="00ED49A2" w:rsidR="00ED49A2" w:rsidTr="00ED49A2" w14:paraId="22212E6E" w14:textId="77777777">
        <w:trPr>
          <w:divId w:val="1756708166"/>
        </w:trPr>
        <w:tc>
          <w:tcPr>
            <w:tcW w:w="0" w:type="auto"/>
            <w:gridSpan w:val="7"/>
            <w:hideMark/>
          </w:tcPr>
          <w:p w:rsidRPr="00ED49A2" w:rsidR="005C5A27" w:rsidP="0021022F" w:rsidRDefault="00ED49A2" w14:paraId="6CCFED6F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  <w:r w:rsidRPr="00ED49A2" w:rsidR="005C5A2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assessment</w:t>
            </w:r>
          </w:p>
        </w:tc>
        <w:tc>
          <w:tcPr>
            <w:tcW w:w="0" w:type="auto"/>
            <w:gridSpan w:val="2"/>
            <w:hideMark/>
          </w:tcPr>
          <w:p w:rsidRPr="00ED49A2" w:rsidR="005C5A27" w:rsidP="0021022F" w:rsidRDefault="005C5A27" w14:paraId="7FD4ADD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0" w:type="auto"/>
            <w:gridSpan w:val="2"/>
            <w:hideMark/>
          </w:tcPr>
          <w:p w:rsidRPr="00ED49A2" w:rsidR="005C5A27" w:rsidP="0021022F" w:rsidRDefault="005C5A27" w14:paraId="1D1CF36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00" w:type="pct"/>
            <w:vMerge w:val="restart"/>
            <w:hideMark/>
          </w:tcPr>
          <w:p w:rsidRPr="00ED49A2" w:rsidR="005C5A27" w:rsidP="0021022F" w:rsidRDefault="00ED49A2" w14:paraId="7AB1C2F3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0" w:type="auto"/>
            <w:vMerge w:val="restart"/>
            <w:hideMark/>
          </w:tcPr>
          <w:p w:rsidRPr="00ED49A2" w:rsidR="005C5A27" w:rsidP="0021022F" w:rsidRDefault="005C5A27" w14:paraId="1090E80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Importance</w:t>
            </w:r>
          </w:p>
        </w:tc>
      </w:tr>
      <w:tr w:rsidRPr="00ED49A2" w:rsidR="00ED49A2" w:rsidTr="00ED49A2" w14:paraId="65B0A9BD" w14:textId="77777777">
        <w:trPr>
          <w:divId w:val="1756708166"/>
        </w:trPr>
        <w:tc>
          <w:tcPr>
            <w:tcW w:w="0" w:type="auto"/>
            <w:hideMark/>
          </w:tcPr>
          <w:p w:rsidRPr="00ED49A2" w:rsidR="005C5A27" w:rsidP="0021022F" w:rsidRDefault="005C5A27" w14:paraId="6DFEF10C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68725750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058C7EF1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79EEA615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53667F3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1E2B707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03867F5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59D0EF78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ECMO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3F7FC2E2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usual care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23642E59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5552C26E" w14:textId="7777777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0" w:type="auto"/>
            <w:vMerge/>
            <w:hideMark/>
          </w:tcPr>
          <w:p w:rsidRPr="00ED49A2" w:rsidR="005C5A27" w:rsidP="0021022F" w:rsidRDefault="005C5A27" w14:paraId="62F9D558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Pr="00ED49A2" w:rsidR="005C5A27" w:rsidP="0021022F" w:rsidRDefault="005C5A27" w14:paraId="257A7394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D49A2" w:rsidR="00ED49A2" w:rsidTr="00ED49A2" w14:paraId="7380B15D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456CA19C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60-day Mortality</w:t>
            </w:r>
          </w:p>
        </w:tc>
      </w:tr>
      <w:tr w:rsidRPr="00ED49A2" w:rsidR="00ED49A2" w:rsidTr="00ED49A2" w14:paraId="4B5F0BA8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2B2138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348F6E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7D96788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109AD96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1F929F0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56EBB73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2BE1AE5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0BEA6A9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73/214 (34.1%)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3B08100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101/215 (47.0%)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3F5BA8F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0.73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(0.57 to 0.92)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3A6E166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127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202 fewer to 38 fewer)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2C5F0F6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55DE473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295F1C2B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184EFD7B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30-day Mortality</w:t>
            </w:r>
          </w:p>
        </w:tc>
      </w:tr>
      <w:tr w:rsidRPr="00ED49A2" w:rsidR="00ED49A2" w:rsidTr="00ED49A2" w14:paraId="672C4739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40C8783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65B87A3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7136996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56A8E2E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2816B9E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0AE5920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2420E81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1D74C5B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61/214 (28.5%)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23D21E5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90/215 (41.9%)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4EE33BD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0.68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(0.52 to 0.89)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7E7C469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134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201 fewer to 46 fewer)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00AD806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1B24A07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4E5EBC6B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28B54D2F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Death or severe disability at 6 months</w:t>
            </w:r>
          </w:p>
        </w:tc>
      </w:tr>
      <w:tr w:rsidRPr="00ED49A2" w:rsidR="00ED49A2" w:rsidTr="00ED49A2" w14:paraId="5C8AFDAF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236F457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7EC9A67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1904568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567892D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6AA74B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2F01B8F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7020F72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3BB75C5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33/90 (36.7%)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045DDA6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46/90 (51.1%)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1F90A41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0.72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(0.51 to 1.01)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0AF3FE2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143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250 fewer to 5 more)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4D6A7C1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0927F26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4D8BC5DF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5B32F91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Stroke</w:t>
            </w:r>
          </w:p>
        </w:tc>
      </w:tr>
      <w:tr w:rsidRPr="00ED49A2" w:rsidR="00ED49A2" w:rsidTr="00ED49A2" w14:paraId="10987BE1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0632CA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659F30B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271E030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4565FB4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7464C7C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5951DF7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34F773F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14295F8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3/124 (2.4%)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1242240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8/125 (6.4%)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0E6D92B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0.38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(0.10 to 1.39)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1CA22C5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40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58 fewer to 25 more)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148C698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69B99BB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3C9B15D4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44D50E86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Hemorrhagic Stroke</w:t>
            </w:r>
          </w:p>
        </w:tc>
      </w:tr>
      <w:tr w:rsidRPr="00ED49A2" w:rsidR="00ED49A2" w:rsidTr="00ED49A2" w14:paraId="615B8A6B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24A1361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57A5D70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1037990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3FF6D88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7BDD2F8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6F74ECE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73B1A08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00692F7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3/124 (2.4%)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5E4DE36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5/125 (4.0%)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6D18FE9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0.60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(0.15 to 2.48)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72EAF25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16 fewer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34 fewer to 59 more)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3A5FE29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0B83FBB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3BED7507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0FDA11E7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Bleeding - leading to transfusion</w:t>
            </w:r>
          </w:p>
        </w:tc>
      </w:tr>
      <w:tr w:rsidRPr="00ED49A2" w:rsidR="00ED49A2" w:rsidTr="00ED49A2" w14:paraId="267872A2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1FAF6A8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2796A6D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598B723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55A9F90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74C3793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0A0D9CC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4745474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47CD453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57/124 (46.0%)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28E52C9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35/125 (28.0%)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7AEB8B7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1.64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(1.17 to 2.31)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3953524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179 more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(from 48 more to 367 more)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4C88C1E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lastRenderedPageBreak/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3584107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2705F229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75D27CAD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Bleeding - Massive transfusion</w:t>
            </w:r>
          </w:p>
        </w:tc>
      </w:tr>
      <w:tr w:rsidRPr="00ED49A2" w:rsidR="00ED49A2" w:rsidTr="00ED49A2" w14:paraId="54C67EBF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2A27C55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52CB830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646DD81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6507C79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767FDE03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22751F3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023B39D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352734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3/124 (2.4%)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3C23E5D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1/125 (0.8%)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48364F7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block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RR 3.02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(0.32 to 28.68)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6694401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16 more per 1,000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(from 5 fewer to 221 more)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606B3F04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0D5D710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  <w:tr w:rsidRPr="00ED49A2" w:rsidR="00ED49A2" w:rsidTr="00ED49A2" w14:paraId="41A75B74" w14:textId="77777777">
        <w:trPr>
          <w:divId w:val="1756708166"/>
        </w:trPr>
        <w:tc>
          <w:tcPr>
            <w:tcW w:w="0" w:type="auto"/>
            <w:gridSpan w:val="13"/>
            <w:hideMark/>
          </w:tcPr>
          <w:p w:rsidRPr="00ED49A2" w:rsidR="005C5A27" w:rsidP="0021022F" w:rsidRDefault="005C5A27" w14:paraId="5DF957BA" w14:textId="77777777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D49A2">
              <w:rPr>
                <w:rStyle w:val="label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Days free from mechanical ventilation</w:t>
            </w:r>
          </w:p>
        </w:tc>
      </w:tr>
      <w:tr w:rsidRPr="00ED49A2" w:rsidR="00ED49A2" w:rsidTr="00ED49A2" w14:paraId="531FBFA0" w14:textId="77777777">
        <w:trPr>
          <w:divId w:val="1756708166"/>
        </w:trPr>
        <w:tc>
          <w:tcPr>
            <w:tcW w:w="250" w:type="pct"/>
            <w:hideMark/>
          </w:tcPr>
          <w:p w:rsidRPr="00ED49A2" w:rsidR="005C5A27" w:rsidP="0021022F" w:rsidRDefault="005C5A27" w14:paraId="4C6C45A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hideMark/>
          </w:tcPr>
          <w:p w:rsidRPr="00ED49A2" w:rsidR="005C5A27" w:rsidP="0021022F" w:rsidRDefault="005C5A27" w14:paraId="70B93A0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randomised trials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0CF45CB7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15958C4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2532872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hideMark/>
          </w:tcPr>
          <w:p w:rsidRPr="00ED49A2" w:rsidR="005C5A27" w:rsidP="0021022F" w:rsidRDefault="005C5A27" w14:paraId="1E77F8C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very serious 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ED49A2">
              <w:rPr>
                <w:rStyle w:val="comma"/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50" w:type="pct"/>
            <w:hideMark/>
          </w:tcPr>
          <w:p w:rsidRPr="00ED49A2" w:rsidR="005C5A27" w:rsidP="0021022F" w:rsidRDefault="005C5A27" w14:paraId="7B90A03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none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765E823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124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22B57E8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125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hideMark/>
          </w:tcPr>
          <w:p w:rsidRPr="00ED49A2" w:rsidR="005C5A27" w:rsidP="0021022F" w:rsidRDefault="005C5A27" w14:paraId="27C3A3B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"/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Pr="00ED49A2" w:rsidR="005C5A27" w:rsidP="0021022F" w:rsidRDefault="005C5A27" w14:paraId="176D40F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 xml:space="preserve">MD </w:t>
            </w:r>
            <w:r w:rsidRPr="00ED49A2">
              <w:rPr>
                <w:rStyle w:val="cell-value"/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9 lower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cell-value"/>
                <w:rFonts w:eastAsia="Times New Roman"/>
                <w:color w:val="000000" w:themeColor="text1"/>
                <w:sz w:val="18"/>
                <w:szCs w:val="18"/>
              </w:rPr>
              <w:t>(18.05 lower to 0.05 higher)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hideMark/>
          </w:tcPr>
          <w:p w:rsidRPr="00ED49A2" w:rsidR="005C5A27" w:rsidP="0021022F" w:rsidRDefault="005C5A27" w14:paraId="5561D2C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Style w:val="quality-sign"/>
                <w:rFonts w:ascii="Cambria Math" w:hAnsi="Cambria Math" w:eastAsia="Times New Roman" w:cs="Cambria Math"/>
                <w:color w:val="000000" w:themeColor="text1"/>
                <w:sz w:val="18"/>
                <w:szCs w:val="18"/>
              </w:rPr>
              <w:t>⨁⨁</w:t>
            </w:r>
            <w:r w:rsidRPr="00ED49A2">
              <w:rPr>
                <w:rStyle w:val="quality-sign"/>
                <w:rFonts w:ascii="Segoe UI Symbol" w:hAnsi="Segoe UI Symbol" w:eastAsia="Times New Roman" w:cs="Segoe UI Symbol"/>
                <w:color w:val="000000" w:themeColor="text1"/>
                <w:sz w:val="18"/>
                <w:szCs w:val="18"/>
              </w:rPr>
              <w:t>◯◯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ED49A2">
              <w:rPr>
                <w:rStyle w:val="quality-text"/>
                <w:rFonts w:eastAsia="Times New Roman"/>
                <w:color w:val="000000" w:themeColor="text1"/>
                <w:sz w:val="18"/>
                <w:szCs w:val="18"/>
              </w:rPr>
              <w:t>LOW</w:t>
            </w: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hideMark/>
          </w:tcPr>
          <w:p w:rsidRPr="00ED49A2" w:rsidR="005C5A27" w:rsidP="0021022F" w:rsidRDefault="005C5A27" w14:paraId="24E07CC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D49A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CRITICAL </w:t>
            </w:r>
          </w:p>
        </w:tc>
      </w:tr>
    </w:tbl>
    <w:p w:rsidRPr="0021022F" w:rsidR="005C5A27" w:rsidP="005C5A27" w:rsidRDefault="005C5A27" w14:paraId="04073518" w14:textId="77777777">
      <w:pPr>
        <w:pStyle w:val="NormalWeb"/>
        <w:spacing w:line="140" w:lineRule="atLeast"/>
        <w:divId w:val="1756708166"/>
        <w:rPr>
          <w:rFonts w:ascii="Garamond" w:hAnsi="Garamond"/>
          <w:color w:val="000000"/>
          <w:sz w:val="14"/>
          <w:szCs w:val="14"/>
          <w:lang w:val="en"/>
        </w:rPr>
      </w:pP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CI: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Confidence interval;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RR: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Risk ratio; </w:t>
      </w:r>
      <w:r w:rsidRPr="0021022F">
        <w:rPr>
          <w:rFonts w:ascii="Garamond" w:hAnsi="Garamond"/>
          <w:b/>
          <w:bCs/>
          <w:color w:val="000000"/>
          <w:sz w:val="14"/>
          <w:szCs w:val="14"/>
          <w:lang w:val="en"/>
        </w:rPr>
        <w:t>MD:</w:t>
      </w:r>
      <w:r w:rsidRPr="0021022F">
        <w:rPr>
          <w:rFonts w:ascii="Garamond" w:hAnsi="Garamond"/>
          <w:color w:val="000000"/>
          <w:sz w:val="14"/>
          <w:szCs w:val="14"/>
          <w:lang w:val="en"/>
        </w:rPr>
        <w:t xml:space="preserve"> Mean difference</w:t>
      </w:r>
    </w:p>
    <w:p w:rsidRPr="0021022F" w:rsidR="005C5A27" w:rsidP="005C5A27" w:rsidRDefault="005C5A27" w14:paraId="238C96A3" w14:textId="77777777">
      <w:pPr>
        <w:pStyle w:val="Heading4"/>
        <w:spacing w:line="140" w:lineRule="atLeast"/>
        <w:divId w:val="1756708166"/>
        <w:rPr>
          <w:rFonts w:ascii="Garamond" w:hAnsi="Garamond" w:eastAsia="Times New Roman"/>
          <w:color w:val="000000"/>
          <w:lang w:val="en"/>
        </w:rPr>
      </w:pPr>
      <w:r w:rsidRPr="0021022F">
        <w:rPr>
          <w:rFonts w:ascii="Garamond" w:hAnsi="Garamond" w:eastAsia="Times New Roman"/>
          <w:color w:val="000000"/>
          <w:lang w:val="en"/>
        </w:rPr>
        <w:t>Explanations</w:t>
      </w:r>
    </w:p>
    <w:p w:rsidRPr="0021022F" w:rsidR="005C5A27" w:rsidP="005C5A27" w:rsidRDefault="005C5A27" w14:paraId="637BB88A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a. Combes study stopped early for no benefit; Peek trial with smaller sample size showed small effect </w:t>
      </w:r>
    </w:p>
    <w:p w:rsidRPr="0021022F" w:rsidR="005C5A27" w:rsidP="005C5A27" w:rsidRDefault="005C5A27" w14:paraId="1C63715C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b. Small total sample </w:t>
      </w:r>
    </w:p>
    <w:p w:rsidRPr="0021022F" w:rsidR="005C5A27" w:rsidP="005C5A27" w:rsidRDefault="005C5A27" w14:paraId="2E008720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c. Only 1 study reporting data with small sample - unable to compare consistency across studies. </w:t>
      </w:r>
    </w:p>
    <w:p w:rsidRPr="0021022F" w:rsidR="005C5A27" w:rsidP="005C5A27" w:rsidRDefault="005C5A27" w14:paraId="654CB302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  <w:r w:rsidRPr="0021022F">
        <w:rPr>
          <w:rFonts w:eastAsia="Times New Roman"/>
          <w:color w:val="000000"/>
          <w:sz w:val="14"/>
          <w:szCs w:val="14"/>
          <w:lang w:val="en"/>
        </w:rPr>
        <w:t xml:space="preserve">d. CI cross line of no effect </w:t>
      </w:r>
    </w:p>
    <w:p w:rsidRPr="0021022F" w:rsidR="005C5A27" w:rsidRDefault="005C5A27" w14:paraId="4A7C5281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p w:rsidR="00A17DE1" w:rsidP="00ED49A2" w:rsidRDefault="00A17DE1" w14:paraId="3661D02D" w14:textId="77777777">
      <w:pPr>
        <w:pStyle w:val="Heading1"/>
        <w:spacing w:after="20"/>
        <w:rPr>
          <w:rFonts w:eastAsia="Times New Roman" w:cs="Calibri"/>
          <w:caps/>
          <w:color w:val="000000"/>
          <w:sz w:val="30"/>
          <w:szCs w:val="30"/>
          <w:lang w:val="en"/>
        </w:rPr>
      </w:pPr>
      <w:r>
        <w:rPr>
          <w:rFonts w:eastAsia="Times New Roman" w:cs="Calibri"/>
          <w:caps/>
          <w:color w:val="000000"/>
          <w:sz w:val="30"/>
          <w:szCs w:val="30"/>
          <w:lang w:val="en"/>
        </w:rPr>
        <w:br w:type="page"/>
      </w:r>
    </w:p>
    <w:p w:rsidR="00ED49A2" w:rsidP="00A17DE1" w:rsidRDefault="00ED49A2" w14:paraId="1E760598" w14:textId="4F9B0646">
      <w:pPr>
        <w:pStyle w:val="Heading2"/>
        <w:rPr>
          <w:rFonts w:eastAsia="Times New Roman"/>
          <w:bCs/>
          <w:lang w:val="en"/>
        </w:rPr>
      </w:pPr>
      <w:bookmarkStart w:name="_Toc61378928" w:id="30"/>
      <w:r>
        <w:rPr>
          <w:rFonts w:eastAsia="Times New Roman" w:cs="Calibri"/>
          <w:caps/>
          <w:color w:val="000000"/>
          <w:sz w:val="30"/>
          <w:szCs w:val="30"/>
          <w:lang w:val="en"/>
        </w:rPr>
        <w:lastRenderedPageBreak/>
        <w:t>E</w:t>
      </w:r>
      <w:r>
        <w:rPr>
          <w:rFonts w:eastAsia="Times New Roman" w:cs="Calibri"/>
          <w:color w:val="000000"/>
          <w:sz w:val="30"/>
          <w:szCs w:val="30"/>
          <w:lang w:val="en"/>
        </w:rPr>
        <w:t>t</w:t>
      </w:r>
      <w:r>
        <w:rPr>
          <w:rFonts w:eastAsia="Times New Roman" w:cs="Calibri"/>
          <w:caps/>
          <w:color w:val="000000"/>
          <w:sz w:val="30"/>
          <w:szCs w:val="30"/>
          <w:lang w:val="en"/>
        </w:rPr>
        <w:t xml:space="preserve">D. </w:t>
      </w:r>
      <w:r w:rsidRPr="0021022F">
        <w:rPr>
          <w:rFonts w:eastAsia="Times New Roman" w:cs="Calibri"/>
          <w:caps/>
          <w:color w:val="000000"/>
          <w:sz w:val="30"/>
          <w:szCs w:val="30"/>
          <w:lang w:val="en"/>
        </w:rPr>
        <w:t>S</w:t>
      </w:r>
      <w:r w:rsidRPr="0021022F">
        <w:rPr>
          <w:rFonts w:eastAsia="Times New Roman" w:cs="Calibri"/>
          <w:color w:val="000000"/>
          <w:sz w:val="30"/>
          <w:szCs w:val="30"/>
          <w:lang w:val="en"/>
        </w:rPr>
        <w:t>ummary</w:t>
      </w:r>
      <w:r w:rsidRPr="0021022F">
        <w:rPr>
          <w:rFonts w:eastAsia="Times New Roman" w:cs="Calibri"/>
          <w:caps/>
          <w:color w:val="000000"/>
          <w:sz w:val="30"/>
          <w:szCs w:val="30"/>
          <w:lang w:val="en"/>
        </w:rPr>
        <w:t xml:space="preserve"> </w:t>
      </w:r>
      <w:r w:rsidRPr="0021022F">
        <w:rPr>
          <w:rFonts w:eastAsia="Times New Roman" w:cs="Calibri"/>
          <w:color w:val="000000"/>
          <w:sz w:val="30"/>
          <w:szCs w:val="30"/>
          <w:lang w:val="en"/>
        </w:rPr>
        <w:t xml:space="preserve">of </w:t>
      </w:r>
      <w:r w:rsidRPr="0021022F">
        <w:rPr>
          <w:rFonts w:eastAsia="Times New Roman" w:cs="Calibri"/>
          <w:caps/>
          <w:color w:val="000000"/>
          <w:sz w:val="30"/>
          <w:szCs w:val="30"/>
          <w:lang w:val="en"/>
        </w:rPr>
        <w:t>j</w:t>
      </w:r>
      <w:r w:rsidRPr="0021022F">
        <w:rPr>
          <w:rFonts w:eastAsia="Times New Roman" w:cs="Calibri"/>
          <w:color w:val="000000"/>
          <w:sz w:val="30"/>
          <w:szCs w:val="30"/>
          <w:lang w:val="en"/>
        </w:rPr>
        <w:t>udgements</w:t>
      </w:r>
      <w:r w:rsidR="00A17DE1">
        <w:rPr>
          <w:rFonts w:eastAsia="Times New Roman" w:cs="Calibri"/>
          <w:color w:val="000000"/>
          <w:sz w:val="30"/>
          <w:szCs w:val="30"/>
          <w:lang w:val="en"/>
        </w:rPr>
        <w:t xml:space="preserve"> </w:t>
      </w:r>
      <w:r w:rsidRPr="0021022F" w:rsidR="00A17DE1">
        <w:rPr>
          <w:rFonts w:eastAsia="Times New Roman"/>
          <w:lang w:val="en"/>
        </w:rPr>
        <w:t>ECMO compared to usual care for sepsis-induced ARDS</w:t>
      </w:r>
      <w:bookmarkEnd w:id="30"/>
    </w:p>
    <w:p w:rsidRPr="00A17DE1" w:rsidR="00A17DE1" w:rsidP="00A17DE1" w:rsidRDefault="00A17DE1" w14:paraId="1A04DD5F" w14:textId="77777777">
      <w:pPr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718"/>
        <w:gridCol w:w="1718"/>
        <w:gridCol w:w="1737"/>
        <w:gridCol w:w="1761"/>
        <w:gridCol w:w="1731"/>
        <w:gridCol w:w="1568"/>
        <w:gridCol w:w="1650"/>
      </w:tblGrid>
      <w:tr w:rsidRPr="00ED49A2" w:rsidR="00571BBC" w:rsidTr="00571BBC" w14:paraId="3C6999FE" w14:textId="77777777">
        <w:trPr>
          <w:divId w:val="175670816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0C14CD2" w14:textId="77777777">
            <w:pPr>
              <w:rPr>
                <w:rFonts w:eastAsia="Times New Roman" w:cs="Calibri"/>
                <w:caps/>
                <w:color w:val="00000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2ACDB6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Judgement</w:t>
            </w:r>
          </w:p>
        </w:tc>
      </w:tr>
      <w:tr w:rsidRPr="00ED49A2" w:rsidR="00571BBC" w:rsidTr="00571BBC" w14:paraId="51D9BD3A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A45791F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Problem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6446E8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A5224B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C564B6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596A11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EAF4C9E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61B31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C59F35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1504F4FF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93D4BE3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F9519E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610B0D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95C880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DDBA4F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E55C1C5" w14:textId="7777777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AF79B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8183DB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7A35100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A3787B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Undesirable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F5F6B3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AA0620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5DCE8C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Small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6DBE6E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Trivial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D35EB02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885835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50BA13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3AF5DDE0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0B3B959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9DA74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CA700C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DD6328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D5E3E1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380BD49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CEA9DEB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FB918B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ED49A2" w:rsidR="00571BBC" w:rsidTr="00571BBC" w14:paraId="4D7D590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54DB97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Values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1D0AA9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D2D9B6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9AFA6D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2A1746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6FC7B60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F15DC6D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4B63789" w14:textId="77777777">
            <w:pPr>
              <w:jc w:val="center"/>
              <w:rPr>
                <w:rFonts w:eastAsia="Times New Roman"/>
              </w:rPr>
            </w:pPr>
          </w:p>
        </w:tc>
      </w:tr>
      <w:tr w:rsidRPr="00ED49A2" w:rsidR="00571BBC" w:rsidTr="00571BBC" w14:paraId="65CED607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CCCA48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Balance of effects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1D1949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03EE0E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7474C5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548B5E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177CC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BDC7DE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4D68C3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57C73D1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AF5AAAD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Resources required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DA18A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Large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947B6A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costs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F3652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Negligible costs and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2099BB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Moderate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5A70F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Large savings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518C2C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1F5A4F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5E25D42E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17EE07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B75F18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Very 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6C06A2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Low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EB5B3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Moderate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BA4271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High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37B6303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F922788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503642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 included studies</w:t>
            </w:r>
          </w:p>
        </w:tc>
      </w:tr>
      <w:tr w:rsidRPr="00ED49A2" w:rsidR="00571BBC" w:rsidTr="00571BBC" w14:paraId="7697B1D3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C49C266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Cost effectiveness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4B3AD2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C0692C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33A8FF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8B1301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08E17B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Favors the intervention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6312EC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7DCA44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No included studies</w:t>
            </w:r>
          </w:p>
        </w:tc>
      </w:tr>
      <w:tr w:rsidRPr="00ED49A2" w:rsidR="00571BBC" w:rsidTr="00571BBC" w14:paraId="4F79D134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48DF107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Equity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46459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8C2F54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Probably reduced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A488CD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 impact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C5105F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2B5E2B4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Increased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56AFCB4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116B71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1E3E0B52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F5BA36B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t>Acceptability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998E6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09BFA5E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84C1C1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ADF107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A86E10C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37457F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15F409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  <w:tr w:rsidRPr="00ED49A2" w:rsidR="00571BBC" w:rsidTr="00571BBC" w14:paraId="7E199D21" w14:textId="77777777">
        <w:trPr>
          <w:divId w:val="1756708166"/>
        </w:trPr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4D45052E" w14:textId="77777777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Garamond" w:hAnsi="Garamond" w:cs="Calibri"/>
                <w:b/>
                <w:bCs/>
                <w:cap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aps/>
                <w:color w:val="FFFFFF"/>
              </w:rPr>
              <w:lastRenderedPageBreak/>
              <w:t>Feasibility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BE49EF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CB40B4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no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220910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Probably 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1669BB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Yes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713C89D2" w14:textId="77777777">
            <w:pPr>
              <w:rPr>
                <w:rFonts w:cs="Calibri"/>
                <w:color w:val="AEAAAA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3A803D4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ED49A2">
              <w:rPr>
                <w:rFonts w:ascii="Garamond" w:hAnsi="Garamond" w:cs="Calibri"/>
                <w:b/>
                <w:bCs/>
                <w:color w:val="000000"/>
              </w:rPr>
              <w:t>Varies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D49A2" w:rsidR="00571BBC" w:rsidP="0021022F" w:rsidRDefault="00571BBC" w14:paraId="64BB3CD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AEAAAA"/>
              </w:rPr>
            </w:pPr>
            <w:r w:rsidRPr="00ED49A2">
              <w:rPr>
                <w:rFonts w:ascii="Garamond" w:hAnsi="Garamond" w:cs="Calibri"/>
                <w:color w:val="AEAAAA"/>
              </w:rPr>
              <w:t>Don't know</w:t>
            </w:r>
          </w:p>
        </w:tc>
      </w:tr>
    </w:tbl>
    <w:p w:rsidRPr="0021022F" w:rsidR="00571BBC" w:rsidP="00571BBC" w:rsidRDefault="00571BBC" w14:paraId="37ADEE74" w14:textId="77777777">
      <w:pPr>
        <w:divId w:val="1756708166"/>
        <w:rPr>
          <w:rFonts w:eastAsia="Times New Roman" w:cs="Calibri"/>
          <w:color w:val="000000"/>
          <w:sz w:val="16"/>
          <w:szCs w:val="16"/>
          <w:lang w:val="en"/>
        </w:rPr>
      </w:pPr>
    </w:p>
    <w:p w:rsidR="00A17DE1" w:rsidP="00A17DE1" w:rsidRDefault="00A17DE1" w14:paraId="0B5FC002" w14:textId="77777777">
      <w:pPr>
        <w:divId w:val="1756708166"/>
        <w:rPr>
          <w:rFonts w:eastAsia="Times New Roman"/>
          <w:b/>
          <w:bCs/>
          <w:lang w:val="en"/>
        </w:rPr>
      </w:pPr>
    </w:p>
    <w:p w:rsidRPr="00A17DE1" w:rsidR="00571BBC" w:rsidP="00A17DE1" w:rsidRDefault="00571BBC" w14:paraId="26A1AE89" w14:textId="69660F24">
      <w:pPr>
        <w:divId w:val="1756708166"/>
        <w:rPr>
          <w:rFonts w:eastAsia="Times New Roman"/>
          <w:b/>
          <w:bCs/>
          <w:lang w:val="en"/>
        </w:rPr>
      </w:pPr>
      <w:r w:rsidRPr="00A17DE1">
        <w:rPr>
          <w:rFonts w:eastAsia="Times New Roman"/>
          <w:b/>
          <w:bCs/>
          <w:lang w:val="en"/>
        </w:rPr>
        <w:t>Type of recommendation</w:t>
      </w:r>
    </w:p>
    <w:p w:rsidRPr="00A17DE1" w:rsidR="00A17DE1" w:rsidP="00A17DE1" w:rsidRDefault="00A17DE1" w14:paraId="19B900F2" w14:textId="77777777">
      <w:pPr>
        <w:divId w:val="1756708166"/>
        <w:rPr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Pr="00ED49A2" w:rsidR="00571BBC" w:rsidTr="00571BBC" w14:paraId="0C72A670" w14:textId="77777777">
        <w:trPr>
          <w:divId w:val="1756708166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571BBC" w:rsidP="0021022F" w:rsidRDefault="00571BBC" w14:paraId="23B181C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571BBC" w:rsidP="0021022F" w:rsidRDefault="00571BBC" w14:paraId="6BCD92F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571BBC" w:rsidP="0021022F" w:rsidRDefault="00571BBC" w14:paraId="488C642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571BBC" w:rsidP="0021022F" w:rsidRDefault="00571BBC" w14:paraId="4CEBE6C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b/>
                <w:bCs/>
                <w:color w:val="FFFFFF"/>
              </w:rPr>
            </w:pPr>
            <w:r w:rsidRPr="00ED49A2">
              <w:rPr>
                <w:rFonts w:ascii="Garamond" w:hAnsi="Garamond" w:cs="Calibri"/>
                <w:b/>
                <w:bCs/>
                <w:color w:val="FFFFFF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Pr="00ED49A2" w:rsidR="00571BBC" w:rsidP="0021022F" w:rsidRDefault="00571BBC" w14:paraId="1101C8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ED49A2">
              <w:rPr>
                <w:rFonts w:ascii="Garamond" w:hAnsi="Garamond" w:cs="Calibri"/>
                <w:color w:val="000000"/>
              </w:rPr>
              <w:t>Strong recommendation for the intervention</w:t>
            </w:r>
          </w:p>
        </w:tc>
      </w:tr>
      <w:tr w:rsidRPr="00ED49A2" w:rsidR="00571BBC" w:rsidTr="00571BBC" w14:paraId="70422D2A" w14:textId="77777777">
        <w:trPr>
          <w:divId w:val="1756708166"/>
        </w:trPr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571BBC" w:rsidP="0021022F" w:rsidRDefault="00571BBC" w14:paraId="2567C9F1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571BBC" w:rsidP="0021022F" w:rsidRDefault="00571BBC" w14:paraId="19BADF52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571BBC" w:rsidP="0021022F" w:rsidRDefault="00571BBC" w14:paraId="31160C2E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571BBC" w:rsidP="0021022F" w:rsidRDefault="00571BBC" w14:paraId="35DE0DD0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D49A2">
              <w:rPr>
                <w:rFonts w:ascii="Garamond" w:hAnsi="Garamond"/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Pr="00ED49A2" w:rsidR="00571BBC" w:rsidP="0021022F" w:rsidRDefault="00571BBC" w14:paraId="22C4BAE2" w14:textId="77777777">
            <w:pPr>
              <w:pStyle w:val="marker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ED49A2">
              <w:rPr>
                <w:rFonts w:ascii="Garamond" w:hAnsi="Garamond"/>
                <w:color w:val="000000"/>
              </w:rPr>
              <w:t xml:space="preserve">○ </w:t>
            </w:r>
          </w:p>
        </w:tc>
      </w:tr>
    </w:tbl>
    <w:p w:rsidRPr="00ED49A2" w:rsidR="005C5A27" w:rsidRDefault="005C5A27" w14:paraId="35CBA5E2" w14:textId="77777777">
      <w:pPr>
        <w:spacing w:line="140" w:lineRule="atLeast"/>
        <w:divId w:val="1756708166"/>
        <w:rPr>
          <w:rFonts w:eastAsia="Times New Roman"/>
          <w:color w:val="000000"/>
          <w:lang w:val="en"/>
        </w:rPr>
      </w:pPr>
    </w:p>
    <w:p w:rsidRPr="00ED49A2" w:rsidR="005C5A27" w:rsidRDefault="005C5A27" w14:paraId="60A7B23B" w14:textId="77777777">
      <w:pPr>
        <w:spacing w:line="140" w:lineRule="atLeast"/>
        <w:divId w:val="1756708166"/>
        <w:rPr>
          <w:rFonts w:eastAsia="Times New Roman"/>
          <w:color w:val="000000"/>
          <w:lang w:val="en"/>
        </w:rPr>
      </w:pPr>
    </w:p>
    <w:p w:rsidRPr="0021022F" w:rsidR="005C5A27" w:rsidRDefault="005C5A27" w14:paraId="3A1CB799" w14:textId="77777777">
      <w:pPr>
        <w:spacing w:line="140" w:lineRule="atLeast"/>
        <w:divId w:val="1756708166"/>
        <w:rPr>
          <w:rFonts w:eastAsia="Times New Roman"/>
          <w:color w:val="000000"/>
          <w:sz w:val="14"/>
          <w:szCs w:val="14"/>
          <w:lang w:val="en"/>
        </w:rPr>
      </w:pPr>
    </w:p>
    <w:sectPr w:rsidRPr="0021022F" w:rsidR="005C5A27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F1C" w:rsidP="007C79CC" w:rsidRDefault="00625F1C" w14:paraId="15B29637" w14:textId="77777777">
      <w:r>
        <w:separator/>
      </w:r>
    </w:p>
  </w:endnote>
  <w:endnote w:type="continuationSeparator" w:id="0">
    <w:p w:rsidR="00625F1C" w:rsidP="007C79CC" w:rsidRDefault="00625F1C" w14:paraId="5ACE9D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1354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C79CC" w:rsidP="001A0FAA" w:rsidRDefault="007C79CC" w14:paraId="35DBA4DF" w14:textId="2406D29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C79CC" w:rsidP="007C79CC" w:rsidRDefault="007C79CC" w14:paraId="5D482DB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4900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C79CC" w:rsidP="001A0FAA" w:rsidRDefault="007C79CC" w14:paraId="13538FCF" w14:textId="50F412B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C79CC" w:rsidP="007C79CC" w:rsidRDefault="007C79CC" w14:paraId="78AD28A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F1C" w:rsidP="007C79CC" w:rsidRDefault="00625F1C" w14:paraId="78EB0C28" w14:textId="77777777">
      <w:r>
        <w:separator/>
      </w:r>
    </w:p>
  </w:footnote>
  <w:footnote w:type="continuationSeparator" w:id="0">
    <w:p w:rsidR="00625F1C" w:rsidP="007C79CC" w:rsidRDefault="00625F1C" w14:paraId="2F738CB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480C"/>
    <w:multiLevelType w:val="hybridMultilevel"/>
    <w:tmpl w:val="DB000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72"/>
    <w:rsid w:val="000804CF"/>
    <w:rsid w:val="000D6438"/>
    <w:rsid w:val="0021022F"/>
    <w:rsid w:val="0031082D"/>
    <w:rsid w:val="00366158"/>
    <w:rsid w:val="00435D38"/>
    <w:rsid w:val="00450B4D"/>
    <w:rsid w:val="005335AD"/>
    <w:rsid w:val="00550A5A"/>
    <w:rsid w:val="00571BBC"/>
    <w:rsid w:val="005C5A27"/>
    <w:rsid w:val="00621606"/>
    <w:rsid w:val="00625F1C"/>
    <w:rsid w:val="007C79CC"/>
    <w:rsid w:val="007E761C"/>
    <w:rsid w:val="00876A35"/>
    <w:rsid w:val="00883F59"/>
    <w:rsid w:val="009372F5"/>
    <w:rsid w:val="009E0854"/>
    <w:rsid w:val="009F2F22"/>
    <w:rsid w:val="00A17DE1"/>
    <w:rsid w:val="00A44FE0"/>
    <w:rsid w:val="00A936D1"/>
    <w:rsid w:val="00AB40DB"/>
    <w:rsid w:val="00B43AA9"/>
    <w:rsid w:val="00BA7072"/>
    <w:rsid w:val="00BB0307"/>
    <w:rsid w:val="00C2299C"/>
    <w:rsid w:val="00C3091B"/>
    <w:rsid w:val="00D61FE9"/>
    <w:rsid w:val="00E876FA"/>
    <w:rsid w:val="00ED49A2"/>
    <w:rsid w:val="00FA7635"/>
    <w:rsid w:val="00FF2046"/>
    <w:rsid w:val="101D91E7"/>
    <w:rsid w:val="70248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E286"/>
  <w15:docId w15:val="{F6A48A0F-81E4-B34E-83A9-942A13CD6F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DE1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9CC"/>
    <w:pPr>
      <w:keepNext/>
      <w:keepLines/>
      <w:spacing w:before="240"/>
      <w:outlineLvl w:val="0"/>
    </w:pPr>
    <w:rPr>
      <w:rFonts w:cs="Times New Roman (Headings CS)" w:eastAsiaTheme="majorEastAsia"/>
      <w:b/>
      <w:small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9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character" w:styleId="label" w:customStyle="1">
    <w:name w:val="label"/>
    <w:basedOn w:val="DefaultParagraphFont"/>
  </w:style>
  <w:style w:type="character" w:styleId="cell-value" w:customStyle="1">
    <w:name w:val="cell-value"/>
    <w:basedOn w:val="DefaultParagraphFont"/>
  </w:style>
  <w:style w:type="character" w:styleId="cell" w:customStyle="1">
    <w:name w:val="cell"/>
    <w:basedOn w:val="DefaultParagraphFont"/>
  </w:style>
  <w:style w:type="character" w:styleId="block" w:customStyle="1">
    <w:name w:val="block"/>
    <w:basedOn w:val="DefaultParagraphFont"/>
  </w:style>
  <w:style w:type="character" w:styleId="quality-sign" w:customStyle="1">
    <w:name w:val="quality-sign"/>
    <w:basedOn w:val="DefaultParagraphFont"/>
  </w:style>
  <w:style w:type="character" w:styleId="quality-text" w:customStyle="1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7C79CC"/>
    <w:rPr>
      <w:rFonts w:ascii="Garamond" w:hAnsi="Garamond" w:cs="Times New Roman (Headings CS)" w:eastAsiaTheme="majorEastAsia"/>
      <w:b/>
      <w:smallCaps/>
      <w:color w:val="000000" w:themeColor="text1"/>
      <w:szCs w:val="32"/>
    </w:rPr>
  </w:style>
  <w:style w:type="paragraph" w:styleId="marker" w:customStyle="1">
    <w:name w:val="marker"/>
    <w:basedOn w:val="Normal"/>
    <w:rsid w:val="005335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a" w:customStyle="1">
    <w:name w:val="comma"/>
    <w:basedOn w:val="DefaultParagraphFont"/>
    <w:rsid w:val="00550A5A"/>
  </w:style>
  <w:style w:type="table" w:styleId="TableGrid">
    <w:name w:val="Table Grid"/>
    <w:basedOn w:val="TableNormal"/>
    <w:uiPriority w:val="39"/>
    <w:rsid w:val="002102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C79C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79CC"/>
  </w:style>
  <w:style w:type="paragraph" w:styleId="Footer">
    <w:name w:val="footer"/>
    <w:basedOn w:val="Normal"/>
    <w:link w:val="FooterChar"/>
    <w:uiPriority w:val="99"/>
    <w:unhideWhenUsed/>
    <w:rsid w:val="007C79C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79CC"/>
  </w:style>
  <w:style w:type="character" w:styleId="PageNumber">
    <w:name w:val="page number"/>
    <w:basedOn w:val="DefaultParagraphFont"/>
    <w:uiPriority w:val="99"/>
    <w:semiHidden/>
    <w:unhideWhenUsed/>
    <w:rsid w:val="007C79CC"/>
  </w:style>
  <w:style w:type="character" w:styleId="Heading2Char" w:customStyle="1">
    <w:name w:val="Heading 2 Char"/>
    <w:basedOn w:val="DefaultParagraphFont"/>
    <w:link w:val="Heading2"/>
    <w:uiPriority w:val="9"/>
    <w:rsid w:val="007C79CC"/>
    <w:rPr>
      <w:rFonts w:ascii="Garamond" w:hAnsi="Garamond" w:eastAsiaTheme="majorEastAsia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17DE1"/>
    <w:pPr>
      <w:spacing w:before="480" w:line="276" w:lineRule="auto"/>
      <w:outlineLvl w:val="9"/>
    </w:pPr>
    <w:rPr>
      <w:rFonts w:cstheme="majorBidi"/>
      <w:bCs/>
      <w:smallCaps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7DE1"/>
    <w:pPr>
      <w:spacing w:before="120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17DE1"/>
    <w:pPr>
      <w:ind w:left="238"/>
    </w:pPr>
    <w:rPr>
      <w:rFonts w:cstheme="minorHAnsi"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7DE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17DE1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17DE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17DE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17DE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17DE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17DE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17DE1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FE0"/>
    <w:pPr>
      <w:spacing w:after="200" w:line="276" w:lineRule="auto"/>
      <w:ind w:left="720"/>
      <w:contextualSpacing/>
    </w:pPr>
    <w:rPr>
      <w:rFonts w:asciiTheme="minorHAnsi" w:hAnsiTheme="minorHAnsi" w:eastAsiaTheme="minorHAnsi"/>
      <w:sz w:val="22"/>
      <w:szCs w:val="22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A44FE0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44FE0"/>
    <w:pPr>
      <w:spacing w:line="360" w:lineRule="auto"/>
    </w:pPr>
    <w:rPr>
      <w:rFonts w:eastAsia="Times New Roman" w:cs="Times New Roman"/>
      <w:sz w:val="22"/>
      <w:szCs w:val="20"/>
      <w:lang w:val="en-GB" w:eastAsia="en-GB"/>
    </w:rPr>
  </w:style>
  <w:style w:type="character" w:styleId="EndnoteTextChar" w:customStyle="1">
    <w:name w:val="Endnote Text Char"/>
    <w:basedOn w:val="DefaultParagraphFont"/>
    <w:link w:val="EndnoteText"/>
    <w:uiPriority w:val="99"/>
    <w:rsid w:val="00A44FE0"/>
    <w:rPr>
      <w:rFonts w:ascii="Garamond" w:hAnsi="Garamond" w:eastAsia="Times New Roman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84b8a0b789d647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664b-c33d-4f67-b67a-c293e9809b8f}"/>
      </w:docPartPr>
      <w:docPartBody>
        <w:p w14:paraId="7B2C0F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85162-927B-F343-A1D3-27BA11AF23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Sophie Tosta</lastModifiedBy>
  <revision>3</revision>
  <dcterms:created xsi:type="dcterms:W3CDTF">2021-08-16T19:56:00.0000000Z</dcterms:created>
  <dcterms:modified xsi:type="dcterms:W3CDTF">2021-09-15T20:05:43.1522989Z</dcterms:modified>
</coreProperties>
</file>