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F440B" w14:textId="5FFD7FE7" w:rsidR="0035270B" w:rsidRPr="0037416E" w:rsidRDefault="0037416E" w:rsidP="0037416E">
      <w:pPr>
        <w:spacing w:after="0" w:line="360" w:lineRule="auto"/>
        <w:jc w:val="center"/>
        <w:rPr>
          <w:rFonts w:ascii="Arial" w:eastAsia="Times New Roman" w:hAnsi="Arial" w:cs="Arial"/>
          <w:b/>
          <w:u w:val="single"/>
          <w:lang w:val="en-GB"/>
        </w:rPr>
      </w:pPr>
      <w:r>
        <w:rPr>
          <w:rFonts w:ascii="Arial" w:eastAsia="Times New Roman" w:hAnsi="Arial" w:cs="Arial"/>
          <w:b/>
          <w:u w:val="single"/>
          <w:lang w:val="en-GB"/>
        </w:rPr>
        <w:t>Supplemental information</w:t>
      </w:r>
    </w:p>
    <w:p w14:paraId="0F52448C" w14:textId="77777777" w:rsidR="0035270B" w:rsidRDefault="0035270B" w:rsidP="0035270B">
      <w:pPr>
        <w:spacing w:after="0" w:line="360" w:lineRule="auto"/>
        <w:jc w:val="both"/>
        <w:rPr>
          <w:rFonts w:ascii="Arial" w:eastAsia="Times New Roman" w:hAnsi="Arial" w:cs="Arial"/>
          <w:lang w:val="en-GB"/>
        </w:rPr>
      </w:pPr>
    </w:p>
    <w:p w14:paraId="501B48C3" w14:textId="41C34791" w:rsidR="00BA4F35" w:rsidRDefault="00BA4F35" w:rsidP="0035270B">
      <w:pPr>
        <w:spacing w:after="0" w:line="360" w:lineRule="auto"/>
        <w:jc w:val="both"/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i/>
          <w:u w:val="single"/>
          <w:lang w:val="en-GB"/>
        </w:rPr>
        <w:t>Contraindications to drainage:</w:t>
      </w:r>
    </w:p>
    <w:p w14:paraId="7B9D60A3" w14:textId="77777777" w:rsidR="00BA4F35" w:rsidRDefault="00BA4F35" w:rsidP="0035270B">
      <w:pPr>
        <w:spacing w:after="0" w:line="360" w:lineRule="auto"/>
        <w:jc w:val="both"/>
        <w:rPr>
          <w:rFonts w:ascii="Arial" w:eastAsia="Times New Roman" w:hAnsi="Arial" w:cs="Arial"/>
          <w:lang w:val="en-GB"/>
        </w:rPr>
      </w:pPr>
    </w:p>
    <w:p w14:paraId="618533F3" w14:textId="0FDF7E43" w:rsidR="00BA4F35" w:rsidRPr="004C32BE" w:rsidRDefault="008F7267" w:rsidP="00BA4F35">
      <w:pPr>
        <w:spacing w:after="0" w:line="360" w:lineRule="auto"/>
        <w:jc w:val="both"/>
        <w:rPr>
          <w:rFonts w:ascii="Arial" w:eastAsia="Times New Roman" w:hAnsi="Arial" w:cs="Arial"/>
          <w:b/>
          <w:lang w:val="en-GB"/>
        </w:rPr>
      </w:pPr>
      <w:r>
        <w:rPr>
          <w:rFonts w:ascii="Arial" w:eastAsia="Times New Roman" w:hAnsi="Arial" w:cs="Arial"/>
          <w:b/>
          <w:lang w:val="en-GB"/>
        </w:rPr>
        <w:t xml:space="preserve">Supplemental </w:t>
      </w:r>
      <w:r w:rsidR="00BA4F35">
        <w:rPr>
          <w:rFonts w:ascii="Arial" w:eastAsia="Times New Roman" w:hAnsi="Arial" w:cs="Arial"/>
          <w:b/>
          <w:lang w:val="en-GB"/>
        </w:rPr>
        <w:t>Table 1: 26 patients with c</w:t>
      </w:r>
      <w:r w:rsidR="00BA4F35" w:rsidRPr="00725717">
        <w:rPr>
          <w:rFonts w:ascii="Arial" w:eastAsia="Times New Roman" w:hAnsi="Arial" w:cs="Arial"/>
          <w:b/>
          <w:lang w:val="en-GB"/>
        </w:rPr>
        <w:t>ontraindications to drainage</w:t>
      </w:r>
      <w:r w:rsidR="00BA4F35">
        <w:rPr>
          <w:rFonts w:ascii="Arial" w:eastAsia="Times New Roman" w:hAnsi="Arial" w:cs="Arial"/>
          <w:b/>
          <w:lang w:val="en-GB"/>
        </w:rPr>
        <w:t xml:space="preserve"> had a total of 46 contraindications listed (eight of these patients underwent delayed drainage)</w:t>
      </w:r>
    </w:p>
    <w:p w14:paraId="5F913AAF" w14:textId="14083EC0" w:rsidR="00BA4F35" w:rsidRDefault="00BA4F35" w:rsidP="0035270B">
      <w:pPr>
        <w:spacing w:after="0" w:line="360" w:lineRule="auto"/>
        <w:jc w:val="both"/>
        <w:rPr>
          <w:rFonts w:ascii="Arial" w:eastAsia="Times New Roman" w:hAnsi="Arial" w:cs="Arial"/>
          <w:lang w:val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525"/>
        <w:gridCol w:w="4475"/>
      </w:tblGrid>
      <w:tr w:rsidR="00314726" w:rsidRPr="00680DA1" w14:paraId="765A8BD1" w14:textId="77777777" w:rsidTr="00314726">
        <w:trPr>
          <w:trHeight w:val="715"/>
        </w:trPr>
        <w:tc>
          <w:tcPr>
            <w:tcW w:w="2514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</w:tcPr>
          <w:p w14:paraId="5D64BA14" w14:textId="3D75191E" w:rsidR="00314726" w:rsidRPr="00680DA1" w:rsidRDefault="00314726" w:rsidP="0031472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725717">
              <w:rPr>
                <w:rFonts w:ascii="Arial" w:eastAsia="Times New Roman" w:hAnsi="Arial" w:cs="Arial"/>
                <w:b/>
                <w:lang w:val="en-GB"/>
              </w:rPr>
              <w:t>Contraindication to Drainage</w:t>
            </w:r>
          </w:p>
        </w:tc>
        <w:tc>
          <w:tcPr>
            <w:tcW w:w="2486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</w:tcPr>
          <w:p w14:paraId="5DE81938" w14:textId="5721EC4E" w:rsidR="00314726" w:rsidRPr="00680DA1" w:rsidRDefault="00314726" w:rsidP="0031472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725717">
              <w:rPr>
                <w:rFonts w:ascii="Arial" w:eastAsia="Times New Roman" w:hAnsi="Arial" w:cs="Arial"/>
                <w:b/>
                <w:lang w:val="en-GB"/>
              </w:rPr>
              <w:t>Number of Instances</w:t>
            </w:r>
          </w:p>
        </w:tc>
      </w:tr>
      <w:tr w:rsidR="00314726" w:rsidRPr="00680DA1" w14:paraId="61800367" w14:textId="77777777" w:rsidTr="00314726">
        <w:trPr>
          <w:trHeight w:val="654"/>
        </w:trPr>
        <w:tc>
          <w:tcPr>
            <w:tcW w:w="2514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</w:tcPr>
          <w:p w14:paraId="4184DB93" w14:textId="505166B2" w:rsidR="00314726" w:rsidRPr="00680DA1" w:rsidRDefault="00314726" w:rsidP="0031472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2A45F8">
              <w:rPr>
                <w:rFonts w:ascii="Arial" w:eastAsia="Times New Roman" w:hAnsi="Arial" w:cs="Arial"/>
                <w:lang w:val="en-GB"/>
              </w:rPr>
              <w:t>Non-</w:t>
            </w:r>
            <w:r>
              <w:rPr>
                <w:rFonts w:ascii="Arial" w:eastAsia="Times New Roman" w:hAnsi="Arial" w:cs="Arial"/>
                <w:lang w:val="en-GB"/>
              </w:rPr>
              <w:t>i</w:t>
            </w:r>
            <w:r w:rsidRPr="002A45F8">
              <w:rPr>
                <w:rFonts w:ascii="Arial" w:eastAsia="Times New Roman" w:hAnsi="Arial" w:cs="Arial"/>
                <w:lang w:val="en-GB"/>
              </w:rPr>
              <w:t xml:space="preserve">atrogenic </w:t>
            </w:r>
            <w:r>
              <w:rPr>
                <w:rFonts w:ascii="Arial" w:eastAsia="Times New Roman" w:hAnsi="Arial" w:cs="Arial"/>
                <w:lang w:val="en-GB"/>
              </w:rPr>
              <w:t>c</w:t>
            </w:r>
            <w:r w:rsidRPr="002A45F8">
              <w:rPr>
                <w:rFonts w:ascii="Arial" w:eastAsia="Times New Roman" w:hAnsi="Arial" w:cs="Arial"/>
                <w:lang w:val="en-GB"/>
              </w:rPr>
              <w:t>oagulopathy</w:t>
            </w:r>
          </w:p>
        </w:tc>
        <w:tc>
          <w:tcPr>
            <w:tcW w:w="2486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</w:tcPr>
          <w:p w14:paraId="57DACAC9" w14:textId="4B735B14" w:rsidR="00314726" w:rsidRPr="00680DA1" w:rsidRDefault="00314726" w:rsidP="00314726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val="en-GB"/>
              </w:rPr>
            </w:pPr>
            <w:r w:rsidRPr="00725717">
              <w:rPr>
                <w:rFonts w:ascii="Arial" w:eastAsia="Times New Roman" w:hAnsi="Arial" w:cs="Arial"/>
                <w:lang w:val="en-GB"/>
              </w:rPr>
              <w:t>21</w:t>
            </w:r>
          </w:p>
        </w:tc>
      </w:tr>
      <w:tr w:rsidR="00314726" w:rsidRPr="00680DA1" w14:paraId="6CCC773A" w14:textId="77777777" w:rsidTr="00314726">
        <w:trPr>
          <w:trHeight w:val="694"/>
        </w:trPr>
        <w:tc>
          <w:tcPr>
            <w:tcW w:w="25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11857C6C" w14:textId="5DDD897D" w:rsidR="00314726" w:rsidRPr="00680DA1" w:rsidRDefault="00314726" w:rsidP="0031472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2A45F8">
              <w:rPr>
                <w:rFonts w:ascii="Arial" w:eastAsia="Times New Roman" w:hAnsi="Arial" w:cs="Arial"/>
                <w:lang w:val="en-GB"/>
              </w:rPr>
              <w:t>Anticoagulation with high reversal risk</w:t>
            </w:r>
          </w:p>
        </w:tc>
        <w:tc>
          <w:tcPr>
            <w:tcW w:w="248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</w:tcPr>
          <w:p w14:paraId="13FD0AA8" w14:textId="2379F9F1" w:rsidR="00314726" w:rsidRPr="00680DA1" w:rsidRDefault="00314726" w:rsidP="00314726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val="en-GB"/>
              </w:rPr>
            </w:pPr>
            <w:r w:rsidRPr="00725717">
              <w:rPr>
                <w:rFonts w:ascii="Arial" w:eastAsia="Times New Roman" w:hAnsi="Arial" w:cs="Arial"/>
                <w:lang w:val="en-GB"/>
              </w:rPr>
              <w:t>20</w:t>
            </w:r>
          </w:p>
        </w:tc>
      </w:tr>
      <w:tr w:rsidR="00314726" w:rsidRPr="00680DA1" w14:paraId="545577E3" w14:textId="77777777" w:rsidTr="00314726">
        <w:trPr>
          <w:trHeight w:val="686"/>
        </w:trPr>
        <w:tc>
          <w:tcPr>
            <w:tcW w:w="25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</w:tcPr>
          <w:p w14:paraId="0FE0158D" w14:textId="16F05D8D" w:rsidR="00314726" w:rsidRPr="00680DA1" w:rsidRDefault="00314726" w:rsidP="0031472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2A45F8">
              <w:rPr>
                <w:rFonts w:ascii="Arial" w:eastAsia="Times New Roman" w:hAnsi="Arial" w:cs="Arial"/>
                <w:lang w:val="en-GB"/>
              </w:rPr>
              <w:t>Palliative/futile</w:t>
            </w:r>
          </w:p>
        </w:tc>
        <w:tc>
          <w:tcPr>
            <w:tcW w:w="248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</w:tcPr>
          <w:p w14:paraId="0EB8CC55" w14:textId="197646B4" w:rsidR="00314726" w:rsidRPr="00680DA1" w:rsidRDefault="00314726" w:rsidP="00314726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val="en-GB"/>
              </w:rPr>
            </w:pPr>
            <w:r w:rsidRPr="00725717">
              <w:rPr>
                <w:rFonts w:ascii="Arial" w:eastAsia="Times New Roman" w:hAnsi="Arial" w:cs="Arial"/>
                <w:lang w:val="en-GB"/>
              </w:rPr>
              <w:t>2</w:t>
            </w:r>
          </w:p>
        </w:tc>
      </w:tr>
      <w:tr w:rsidR="00314726" w:rsidRPr="00680DA1" w14:paraId="47FB096D" w14:textId="77777777" w:rsidTr="00314726">
        <w:trPr>
          <w:trHeight w:val="682"/>
        </w:trPr>
        <w:tc>
          <w:tcPr>
            <w:tcW w:w="25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</w:tcPr>
          <w:p w14:paraId="0FD948FE" w14:textId="1E41953C" w:rsidR="00314726" w:rsidRPr="00680DA1" w:rsidRDefault="00314726" w:rsidP="0031472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2A45F8">
              <w:rPr>
                <w:rFonts w:ascii="Arial" w:eastAsia="Times New Roman" w:hAnsi="Arial" w:cs="Arial"/>
                <w:lang w:val="en-GB"/>
              </w:rPr>
              <w:t>Unsafe for unspecified reason</w:t>
            </w:r>
          </w:p>
        </w:tc>
        <w:tc>
          <w:tcPr>
            <w:tcW w:w="248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</w:tcPr>
          <w:p w14:paraId="6E8C2F9F" w14:textId="69832B0C" w:rsidR="00314726" w:rsidRPr="00680DA1" w:rsidRDefault="00314726" w:rsidP="00314726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val="en-GB"/>
              </w:rPr>
            </w:pPr>
            <w:r w:rsidRPr="00725717">
              <w:rPr>
                <w:rFonts w:ascii="Arial" w:eastAsia="Times New Roman" w:hAnsi="Arial" w:cs="Arial"/>
                <w:lang w:val="en-GB"/>
              </w:rPr>
              <w:t>2</w:t>
            </w:r>
          </w:p>
        </w:tc>
      </w:tr>
      <w:tr w:rsidR="00314726" w:rsidRPr="00680DA1" w14:paraId="6D8749BD" w14:textId="77777777" w:rsidTr="00314726">
        <w:trPr>
          <w:trHeight w:val="564"/>
        </w:trPr>
        <w:tc>
          <w:tcPr>
            <w:tcW w:w="25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</w:tcPr>
          <w:p w14:paraId="1A1CED1D" w14:textId="5506DC50" w:rsidR="00314726" w:rsidRPr="00680DA1" w:rsidRDefault="00314726" w:rsidP="0031472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2A45F8">
              <w:rPr>
                <w:rFonts w:ascii="Arial" w:eastAsia="Times New Roman" w:hAnsi="Arial" w:cs="Arial"/>
                <w:lang w:val="en-GB"/>
              </w:rPr>
              <w:t>Consent refused</w:t>
            </w:r>
          </w:p>
        </w:tc>
        <w:tc>
          <w:tcPr>
            <w:tcW w:w="248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</w:tcPr>
          <w:p w14:paraId="47B7455C" w14:textId="68176C62" w:rsidR="00314726" w:rsidRPr="00680DA1" w:rsidRDefault="00314726" w:rsidP="00314726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val="en-GB"/>
              </w:rPr>
            </w:pPr>
            <w:r w:rsidRPr="00725717">
              <w:rPr>
                <w:rFonts w:ascii="Arial" w:eastAsia="Times New Roman" w:hAnsi="Arial" w:cs="Arial"/>
                <w:lang w:val="en-GB"/>
              </w:rPr>
              <w:t>1</w:t>
            </w:r>
          </w:p>
        </w:tc>
      </w:tr>
    </w:tbl>
    <w:p w14:paraId="1B5C0526" w14:textId="343E3B87" w:rsidR="00314726" w:rsidRDefault="00314726" w:rsidP="0035270B">
      <w:pPr>
        <w:spacing w:after="0" w:line="360" w:lineRule="auto"/>
        <w:jc w:val="both"/>
        <w:rPr>
          <w:rFonts w:ascii="Arial" w:eastAsia="Times New Roman" w:hAnsi="Arial" w:cs="Arial"/>
          <w:lang w:val="en-GB"/>
        </w:rPr>
      </w:pPr>
    </w:p>
    <w:p w14:paraId="527E70C6" w14:textId="77777777" w:rsidR="00314726" w:rsidRPr="00BA4F35" w:rsidRDefault="00314726" w:rsidP="0035270B">
      <w:pPr>
        <w:spacing w:after="0" w:line="360" w:lineRule="auto"/>
        <w:jc w:val="both"/>
        <w:rPr>
          <w:rFonts w:ascii="Arial" w:eastAsia="Times New Roman" w:hAnsi="Arial" w:cs="Arial"/>
          <w:lang w:val="en-GB"/>
        </w:rPr>
      </w:pPr>
    </w:p>
    <w:p w14:paraId="57075A2D" w14:textId="4E3BBD89" w:rsidR="00BA4F35" w:rsidRDefault="00314726" w:rsidP="00F81DDB">
      <w:pPr>
        <w:spacing w:after="0" w:line="360" w:lineRule="auto"/>
        <w:jc w:val="both"/>
        <w:rPr>
          <w:rFonts w:ascii="Arial" w:eastAsia="Times New Roman" w:hAnsi="Arial" w:cs="Arial"/>
          <w:i/>
          <w:u w:val="single"/>
          <w:lang w:val="en-GB"/>
        </w:rPr>
      </w:pPr>
      <w:r>
        <w:rPr>
          <w:rFonts w:ascii="Arial" w:eastAsia="Times New Roman" w:hAnsi="Arial" w:cs="Arial"/>
          <w:i/>
          <w:u w:val="single"/>
          <w:lang w:val="en-GB"/>
        </w:rPr>
        <w:t>Further oxygenation outcomes:</w:t>
      </w:r>
    </w:p>
    <w:p w14:paraId="64E3019D" w14:textId="4CC0520E" w:rsidR="00314726" w:rsidRDefault="00314726" w:rsidP="00F81DDB">
      <w:pPr>
        <w:spacing w:after="0" w:line="360" w:lineRule="auto"/>
        <w:jc w:val="both"/>
        <w:rPr>
          <w:rFonts w:ascii="Arial" w:eastAsia="Times New Roman" w:hAnsi="Arial" w:cs="Arial"/>
          <w:i/>
          <w:u w:val="single"/>
          <w:lang w:val="en-GB"/>
        </w:rPr>
      </w:pPr>
    </w:p>
    <w:p w14:paraId="17F76089" w14:textId="4C332CA1" w:rsidR="00314726" w:rsidRPr="005B5EF8" w:rsidRDefault="008F7267" w:rsidP="00314726">
      <w:pPr>
        <w:spacing w:after="0" w:line="360" w:lineRule="auto"/>
        <w:jc w:val="both"/>
        <w:rPr>
          <w:rFonts w:ascii="Arial" w:eastAsia="Times New Roman" w:hAnsi="Arial" w:cs="Arial"/>
          <w:b/>
          <w:u w:val="single"/>
          <w:lang w:val="en-GB"/>
        </w:rPr>
      </w:pPr>
      <w:r w:rsidRPr="008F7267">
        <w:rPr>
          <w:rFonts w:ascii="Arial" w:eastAsia="Times New Roman" w:hAnsi="Arial" w:cs="Arial"/>
          <w:b/>
          <w:u w:val="single"/>
          <w:lang w:val="en-GB"/>
        </w:rPr>
        <w:t xml:space="preserve">Supplemental </w:t>
      </w:r>
      <w:r w:rsidR="00314726">
        <w:rPr>
          <w:rFonts w:ascii="Arial" w:eastAsia="Times New Roman" w:hAnsi="Arial" w:cs="Arial"/>
          <w:b/>
          <w:u w:val="single"/>
          <w:lang w:val="en-GB"/>
        </w:rPr>
        <w:t>Table 2: Other oxygenation outcomes</w:t>
      </w: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501"/>
        <w:gridCol w:w="2389"/>
        <w:gridCol w:w="2110"/>
      </w:tblGrid>
      <w:tr w:rsidR="00314726" w:rsidRPr="00680DA1" w14:paraId="018448F6" w14:textId="77777777" w:rsidTr="00B9495A">
        <w:trPr>
          <w:trHeight w:val="739"/>
        </w:trPr>
        <w:tc>
          <w:tcPr>
            <w:tcW w:w="2501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83F29DC" w14:textId="77777777" w:rsidR="00314726" w:rsidRPr="00680DA1" w:rsidRDefault="00314726" w:rsidP="00B9495A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</w:rPr>
            </w:pPr>
            <w:r w:rsidRPr="00680DA1">
              <w:rPr>
                <w:rFonts w:ascii="Arial" w:eastAsia="Times New Roman" w:hAnsi="Arial" w:cs="Arial"/>
                <w:b/>
                <w:bCs/>
                <w:lang w:val="en-GB"/>
              </w:rPr>
              <w:t> </w:t>
            </w:r>
          </w:p>
        </w:tc>
        <w:tc>
          <w:tcPr>
            <w:tcW w:w="1327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A359856" w14:textId="77777777" w:rsidR="00314726" w:rsidRDefault="00314726" w:rsidP="00B9495A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680DA1">
              <w:rPr>
                <w:rFonts w:ascii="Arial" w:eastAsia="Times New Roman" w:hAnsi="Arial" w:cs="Arial"/>
                <w:b/>
                <w:bCs/>
                <w:lang w:val="en-GB"/>
              </w:rPr>
              <w:t>EDG</w:t>
            </w:r>
          </w:p>
          <w:p w14:paraId="75221D04" w14:textId="77777777" w:rsidR="00314726" w:rsidRPr="00666C68" w:rsidRDefault="00314726" w:rsidP="00B9495A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</w:rPr>
            </w:pPr>
            <w:r w:rsidRPr="00666C68">
              <w:rPr>
                <w:rFonts w:ascii="Arial" w:eastAsia="Times New Roman" w:hAnsi="Arial" w:cs="Arial"/>
                <w:b/>
                <w:lang w:val="en-GB"/>
              </w:rPr>
              <w:t>Median (IQR)</w:t>
            </w:r>
          </w:p>
        </w:tc>
        <w:tc>
          <w:tcPr>
            <w:tcW w:w="1172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8C0135F" w14:textId="77777777" w:rsidR="00314726" w:rsidRDefault="00314726" w:rsidP="00B9495A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680DA1">
              <w:rPr>
                <w:rFonts w:ascii="Arial" w:eastAsia="Times New Roman" w:hAnsi="Arial" w:cs="Arial"/>
                <w:b/>
                <w:bCs/>
                <w:lang w:val="en-GB"/>
              </w:rPr>
              <w:t>Controls</w:t>
            </w:r>
          </w:p>
          <w:p w14:paraId="3BB3F329" w14:textId="77777777" w:rsidR="00314726" w:rsidRPr="00666C68" w:rsidRDefault="00314726" w:rsidP="00B9495A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</w:rPr>
            </w:pPr>
            <w:r w:rsidRPr="00666C68">
              <w:rPr>
                <w:rFonts w:ascii="Arial" w:eastAsia="Times New Roman" w:hAnsi="Arial" w:cs="Arial"/>
                <w:b/>
                <w:lang w:val="en-GB"/>
              </w:rPr>
              <w:t>Median (IQR)</w:t>
            </w:r>
          </w:p>
        </w:tc>
      </w:tr>
      <w:tr w:rsidR="00314726" w:rsidRPr="00680DA1" w14:paraId="5711ACFA" w14:textId="77777777" w:rsidTr="00B9495A">
        <w:trPr>
          <w:trHeight w:val="1449"/>
        </w:trPr>
        <w:tc>
          <w:tcPr>
            <w:tcW w:w="2501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AEFA968" w14:textId="77777777" w:rsidR="00314726" w:rsidRDefault="00314726" w:rsidP="00B9495A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680DA1">
              <w:rPr>
                <w:rFonts w:ascii="Arial" w:eastAsia="Times New Roman" w:hAnsi="Arial" w:cs="Arial"/>
                <w:b/>
                <w:bCs/>
                <w:lang w:val="en-GB"/>
              </w:rPr>
              <w:t xml:space="preserve">P:F ratio at </w:t>
            </w:r>
            <w:proofErr w:type="gramStart"/>
            <w:r w:rsidRPr="00680DA1">
              <w:rPr>
                <w:rFonts w:ascii="Arial" w:eastAsia="Times New Roman" w:hAnsi="Arial" w:cs="Arial"/>
                <w:b/>
                <w:bCs/>
                <w:lang w:val="en-GB"/>
              </w:rPr>
              <w:t>1 hour</w:t>
            </w:r>
            <w:proofErr w:type="gramEnd"/>
            <w:r w:rsidRPr="00680DA1">
              <w:rPr>
                <w:rFonts w:ascii="Arial" w:eastAsia="Times New Roman" w:hAnsi="Arial" w:cs="Arial"/>
                <w:b/>
                <w:bCs/>
                <w:lang w:val="en-GB"/>
              </w:rPr>
              <w:t xml:space="preserve"> post-drainage compared to baseline</w:t>
            </w:r>
          </w:p>
          <w:p w14:paraId="6742E2C8" w14:textId="77777777" w:rsidR="00314726" w:rsidRPr="00F23BA7" w:rsidRDefault="00314726" w:rsidP="00B9495A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i/>
                <w:iCs/>
              </w:rPr>
            </w:pPr>
            <w:r>
              <w:rPr>
                <w:rFonts w:ascii="Arial" w:eastAsia="Times New Roman" w:hAnsi="Arial" w:cs="Arial"/>
                <w:b/>
              </w:rPr>
              <w:t xml:space="preserve">  </w:t>
            </w:r>
            <w:r>
              <w:rPr>
                <w:rFonts w:ascii="Arial" w:eastAsia="Times New Roman" w:hAnsi="Arial" w:cs="Arial"/>
                <w:b/>
                <w:i/>
                <w:iCs/>
              </w:rPr>
              <w:t>Increment</w:t>
            </w:r>
          </w:p>
        </w:tc>
        <w:tc>
          <w:tcPr>
            <w:tcW w:w="1327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C02FC75" w14:textId="77777777" w:rsidR="00314726" w:rsidRPr="00680DA1" w:rsidRDefault="00314726" w:rsidP="00B9495A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680DA1">
              <w:rPr>
                <w:rFonts w:ascii="Arial" w:eastAsia="Times New Roman" w:hAnsi="Arial" w:cs="Arial"/>
                <w:bCs/>
                <w:lang w:val="en-GB"/>
              </w:rPr>
              <w:t>221 (</w:t>
            </w:r>
            <w:r>
              <w:rPr>
                <w:rFonts w:ascii="Arial" w:eastAsia="Times New Roman" w:hAnsi="Arial" w:cs="Arial"/>
                <w:bCs/>
                <w:lang w:val="en-GB"/>
              </w:rPr>
              <w:t>162 to 306</w:t>
            </w:r>
            <w:r w:rsidRPr="00680DA1">
              <w:rPr>
                <w:rFonts w:ascii="Arial" w:eastAsia="Times New Roman" w:hAnsi="Arial" w:cs="Arial"/>
                <w:bCs/>
                <w:lang w:val="en-GB"/>
              </w:rPr>
              <w:t>)</w:t>
            </w:r>
          </w:p>
          <w:p w14:paraId="699BDA43" w14:textId="77777777" w:rsidR="00314726" w:rsidRPr="00680DA1" w:rsidRDefault="00314726" w:rsidP="00B9495A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680DA1">
              <w:rPr>
                <w:rFonts w:ascii="Arial" w:eastAsia="Times New Roman" w:hAnsi="Arial" w:cs="Arial"/>
                <w:bCs/>
                <w:i/>
                <w:iCs/>
                <w:lang w:val="en-GB"/>
              </w:rPr>
              <w:t>p=</w:t>
            </w:r>
            <w:r w:rsidRPr="00680DA1">
              <w:rPr>
                <w:rFonts w:ascii="Arial" w:eastAsia="Times New Roman" w:hAnsi="Arial" w:cs="Arial"/>
                <w:bCs/>
                <w:lang w:val="en-GB"/>
              </w:rPr>
              <w:t>0.06</w:t>
            </w:r>
          </w:p>
          <w:p w14:paraId="1B111A4D" w14:textId="77777777" w:rsidR="00314726" w:rsidRPr="00680DA1" w:rsidRDefault="00314726" w:rsidP="00B9495A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680DA1">
              <w:rPr>
                <w:rFonts w:ascii="Arial" w:eastAsia="Times New Roman" w:hAnsi="Arial" w:cs="Arial"/>
                <w:bCs/>
                <w:lang w:val="en-GB"/>
              </w:rPr>
              <w:t xml:space="preserve">+8.9% </w:t>
            </w:r>
          </w:p>
        </w:tc>
        <w:tc>
          <w:tcPr>
            <w:tcW w:w="1172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A2ACD44" w14:textId="77777777" w:rsidR="00314726" w:rsidRPr="00680DA1" w:rsidRDefault="00314726" w:rsidP="00B9495A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680DA1">
              <w:rPr>
                <w:rFonts w:ascii="Arial" w:eastAsia="Times New Roman" w:hAnsi="Arial" w:cs="Arial"/>
                <w:bCs/>
                <w:lang w:val="en-GB"/>
              </w:rPr>
              <w:t>N/A</w:t>
            </w:r>
          </w:p>
        </w:tc>
      </w:tr>
      <w:tr w:rsidR="00314726" w:rsidRPr="00680DA1" w14:paraId="5EBB14A6" w14:textId="77777777" w:rsidTr="00B9495A">
        <w:trPr>
          <w:trHeight w:val="1449"/>
        </w:trPr>
        <w:tc>
          <w:tcPr>
            <w:tcW w:w="250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C25D5A6" w14:textId="77777777" w:rsidR="00314726" w:rsidRDefault="00314726" w:rsidP="00B9495A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lang w:val="en-GB"/>
              </w:rPr>
            </w:pPr>
            <w:r w:rsidRPr="00680DA1">
              <w:rPr>
                <w:rFonts w:ascii="Arial" w:eastAsia="Times New Roman" w:hAnsi="Arial" w:cs="Arial"/>
                <w:b/>
                <w:bCs/>
                <w:lang w:val="en-GB"/>
              </w:rPr>
              <w:t>P:F ratio at 48 hours compared to baseline</w:t>
            </w:r>
          </w:p>
          <w:p w14:paraId="3282318C" w14:textId="77777777" w:rsidR="00314726" w:rsidRDefault="00314726" w:rsidP="00B9495A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</w:rPr>
            </w:pPr>
          </w:p>
          <w:p w14:paraId="47B3A572" w14:textId="77777777" w:rsidR="00314726" w:rsidRPr="00F23BA7" w:rsidRDefault="00314726" w:rsidP="00B9495A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i/>
                <w:iCs/>
              </w:rPr>
            </w:pPr>
            <w:r>
              <w:rPr>
                <w:rFonts w:ascii="Arial" w:eastAsia="Times New Roman" w:hAnsi="Arial" w:cs="Arial"/>
                <w:b/>
              </w:rPr>
              <w:t xml:space="preserve">  </w:t>
            </w:r>
            <w:r>
              <w:rPr>
                <w:rFonts w:ascii="Arial" w:eastAsia="Times New Roman" w:hAnsi="Arial" w:cs="Arial"/>
                <w:b/>
                <w:i/>
                <w:iCs/>
              </w:rPr>
              <w:t>Increment</w:t>
            </w:r>
          </w:p>
        </w:tc>
        <w:tc>
          <w:tcPr>
            <w:tcW w:w="132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1DEDB3B" w14:textId="77777777" w:rsidR="00314726" w:rsidRPr="00680DA1" w:rsidRDefault="00314726" w:rsidP="00B9495A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680DA1">
              <w:rPr>
                <w:rFonts w:ascii="Arial" w:eastAsia="Times New Roman" w:hAnsi="Arial" w:cs="Arial"/>
                <w:bCs/>
                <w:lang w:val="en-GB"/>
              </w:rPr>
              <w:t>265 (</w:t>
            </w:r>
            <w:r>
              <w:rPr>
                <w:rFonts w:ascii="Arial" w:eastAsia="Times New Roman" w:hAnsi="Arial" w:cs="Arial"/>
                <w:bCs/>
                <w:lang w:val="en-GB"/>
              </w:rPr>
              <w:t>219 to 305</w:t>
            </w:r>
            <w:r w:rsidRPr="00680DA1">
              <w:rPr>
                <w:rFonts w:ascii="Arial" w:eastAsia="Times New Roman" w:hAnsi="Arial" w:cs="Arial"/>
                <w:bCs/>
                <w:lang w:val="en-GB"/>
              </w:rPr>
              <w:t>)</w:t>
            </w:r>
          </w:p>
          <w:p w14:paraId="6D8D57F3" w14:textId="77777777" w:rsidR="00314726" w:rsidRPr="00680DA1" w:rsidRDefault="00314726" w:rsidP="00B9495A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680DA1">
              <w:rPr>
                <w:rFonts w:ascii="Arial" w:eastAsia="Times New Roman" w:hAnsi="Arial" w:cs="Arial"/>
                <w:bCs/>
                <w:i/>
                <w:iCs/>
                <w:lang w:val="en-GB"/>
              </w:rPr>
              <w:t>p</w:t>
            </w:r>
            <w:r w:rsidRPr="00680DA1">
              <w:rPr>
                <w:rFonts w:ascii="Arial" w:eastAsia="Times New Roman" w:hAnsi="Arial" w:cs="Arial"/>
                <w:bCs/>
                <w:lang w:val="en-GB"/>
              </w:rPr>
              <w:t>&lt;0.01</w:t>
            </w:r>
          </w:p>
          <w:p w14:paraId="6273E63C" w14:textId="77777777" w:rsidR="00314726" w:rsidRPr="00680DA1" w:rsidRDefault="00314726" w:rsidP="00B9495A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680DA1">
              <w:rPr>
                <w:rFonts w:ascii="Arial" w:eastAsia="Times New Roman" w:hAnsi="Arial" w:cs="Arial"/>
                <w:bCs/>
                <w:lang w:val="en-GB"/>
              </w:rPr>
              <w:t xml:space="preserve">+30.5% </w:t>
            </w:r>
          </w:p>
        </w:tc>
        <w:tc>
          <w:tcPr>
            <w:tcW w:w="117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3546770" w14:textId="77777777" w:rsidR="00314726" w:rsidRPr="00680DA1" w:rsidRDefault="00314726" w:rsidP="00B9495A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680DA1">
              <w:rPr>
                <w:rFonts w:ascii="Arial" w:eastAsia="Times New Roman" w:hAnsi="Arial" w:cs="Arial"/>
                <w:bCs/>
                <w:lang w:val="en-GB"/>
              </w:rPr>
              <w:t>251 (</w:t>
            </w:r>
            <w:r>
              <w:rPr>
                <w:rFonts w:ascii="Arial" w:eastAsia="Times New Roman" w:hAnsi="Arial" w:cs="Arial"/>
                <w:bCs/>
                <w:lang w:val="en-GB"/>
              </w:rPr>
              <w:t>189 to 310</w:t>
            </w:r>
            <w:r w:rsidRPr="00680DA1">
              <w:rPr>
                <w:rFonts w:ascii="Arial" w:eastAsia="Times New Roman" w:hAnsi="Arial" w:cs="Arial"/>
                <w:bCs/>
                <w:lang w:val="en-GB"/>
              </w:rPr>
              <w:t>)</w:t>
            </w:r>
          </w:p>
          <w:p w14:paraId="2810ECC9" w14:textId="77777777" w:rsidR="00314726" w:rsidRPr="00680DA1" w:rsidRDefault="00314726" w:rsidP="00B9495A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680DA1">
              <w:rPr>
                <w:rFonts w:ascii="Arial" w:eastAsia="Times New Roman" w:hAnsi="Arial" w:cs="Arial"/>
                <w:bCs/>
                <w:i/>
                <w:iCs/>
                <w:lang w:val="en-GB"/>
              </w:rPr>
              <w:t>p=</w:t>
            </w:r>
            <w:r w:rsidRPr="00680DA1">
              <w:rPr>
                <w:rFonts w:ascii="Arial" w:eastAsia="Times New Roman" w:hAnsi="Arial" w:cs="Arial"/>
                <w:bCs/>
                <w:lang w:val="en-GB"/>
              </w:rPr>
              <w:t>0.74</w:t>
            </w:r>
          </w:p>
          <w:p w14:paraId="2C589E3B" w14:textId="77777777" w:rsidR="00314726" w:rsidRPr="00680DA1" w:rsidRDefault="00314726" w:rsidP="00B9495A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680DA1">
              <w:rPr>
                <w:rFonts w:ascii="Arial" w:eastAsia="Times New Roman" w:hAnsi="Arial" w:cs="Arial"/>
                <w:bCs/>
                <w:lang w:val="en-GB"/>
              </w:rPr>
              <w:t xml:space="preserve">+0.4% </w:t>
            </w:r>
          </w:p>
        </w:tc>
      </w:tr>
      <w:tr w:rsidR="00314726" w:rsidRPr="00680DA1" w14:paraId="71320701" w14:textId="77777777" w:rsidTr="00B9495A">
        <w:trPr>
          <w:trHeight w:val="948"/>
        </w:trPr>
        <w:tc>
          <w:tcPr>
            <w:tcW w:w="250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A140EA1" w14:textId="77777777" w:rsidR="00314726" w:rsidRPr="00680DA1" w:rsidRDefault="00314726" w:rsidP="00B9495A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</w:rPr>
            </w:pPr>
            <w:r w:rsidRPr="00680DA1">
              <w:rPr>
                <w:rFonts w:ascii="Arial" w:eastAsia="Times New Roman" w:hAnsi="Arial" w:cs="Arial"/>
                <w:b/>
                <w:bCs/>
                <w:lang w:val="en-GB"/>
              </w:rPr>
              <w:t>Patients with a reduction in P:F ratio at 24 hours compared to baseline*</w:t>
            </w:r>
          </w:p>
        </w:tc>
        <w:tc>
          <w:tcPr>
            <w:tcW w:w="132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E8206A8" w14:textId="77777777" w:rsidR="00314726" w:rsidRPr="00680DA1" w:rsidRDefault="00314726" w:rsidP="00B9495A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680DA1">
              <w:rPr>
                <w:rFonts w:ascii="Arial" w:eastAsia="Times New Roman" w:hAnsi="Arial" w:cs="Arial"/>
                <w:bCs/>
                <w:lang w:val="en-GB"/>
              </w:rPr>
              <w:t>3 (3.9%)</w:t>
            </w:r>
          </w:p>
        </w:tc>
        <w:tc>
          <w:tcPr>
            <w:tcW w:w="117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D4668DE" w14:textId="77777777" w:rsidR="00314726" w:rsidRPr="00680DA1" w:rsidRDefault="00314726" w:rsidP="00B9495A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680DA1">
              <w:rPr>
                <w:rFonts w:ascii="Arial" w:eastAsia="Times New Roman" w:hAnsi="Arial" w:cs="Arial"/>
                <w:bCs/>
                <w:lang w:val="en-GB"/>
              </w:rPr>
              <w:t>26 (17.4%)</w:t>
            </w:r>
          </w:p>
        </w:tc>
      </w:tr>
    </w:tbl>
    <w:p w14:paraId="2743A2F5" w14:textId="77777777" w:rsidR="00314726" w:rsidRDefault="00314726" w:rsidP="00314726">
      <w:pPr>
        <w:spacing w:after="0" w:line="360" w:lineRule="auto"/>
        <w:jc w:val="both"/>
        <w:rPr>
          <w:rFonts w:ascii="Arial" w:eastAsia="Times New Roman" w:hAnsi="Arial" w:cs="Arial"/>
          <w:b/>
          <w:lang w:val="en-GB"/>
        </w:rPr>
      </w:pPr>
    </w:p>
    <w:p w14:paraId="68CF5290" w14:textId="77777777" w:rsidR="00314726" w:rsidRDefault="00314726" w:rsidP="00314726">
      <w:pPr>
        <w:spacing w:after="0" w:line="360" w:lineRule="auto"/>
        <w:jc w:val="both"/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lang w:val="en-GB"/>
        </w:rPr>
        <w:lastRenderedPageBreak/>
        <w:t>*</w:t>
      </w:r>
      <w:r w:rsidRPr="00725717">
        <w:rPr>
          <w:rFonts w:ascii="Arial" w:eastAsia="Times New Roman" w:hAnsi="Arial" w:cs="Arial"/>
          <w:lang w:val="en-GB"/>
        </w:rPr>
        <w:t>A greater number of patients undergoing ex</w:t>
      </w:r>
      <w:r>
        <w:rPr>
          <w:rFonts w:ascii="Arial" w:eastAsia="Times New Roman" w:hAnsi="Arial" w:cs="Arial"/>
          <w:lang w:val="en-GB"/>
        </w:rPr>
        <w:t>pectant management</w:t>
      </w:r>
      <w:r w:rsidRPr="00725717">
        <w:rPr>
          <w:rFonts w:ascii="Arial" w:eastAsia="Times New Roman" w:hAnsi="Arial" w:cs="Arial"/>
          <w:lang w:val="en-GB"/>
        </w:rPr>
        <w:t xml:space="preserve"> had a significant decrease in P:F ratio at 24 hours compared with the early drainage group (</w:t>
      </w:r>
      <w:r w:rsidRPr="00725717">
        <w:rPr>
          <w:rFonts w:ascii="Arial" w:eastAsia="Times New Roman" w:hAnsi="Arial" w:cs="Arial"/>
          <w:i/>
          <w:lang w:val="en-GB"/>
        </w:rPr>
        <w:t>p</w:t>
      </w:r>
      <w:r w:rsidRPr="00725717">
        <w:rPr>
          <w:rFonts w:ascii="Arial" w:eastAsia="Times New Roman" w:hAnsi="Arial" w:cs="Arial"/>
          <w:lang w:val="en-GB"/>
        </w:rPr>
        <w:t xml:space="preserve">&lt;0.01, RR 3.6 (1.4 to 10.6)). </w:t>
      </w:r>
    </w:p>
    <w:p w14:paraId="0918D02F" w14:textId="77777777" w:rsidR="00314726" w:rsidRDefault="00314726" w:rsidP="00F81DDB">
      <w:pPr>
        <w:spacing w:after="0" w:line="360" w:lineRule="auto"/>
        <w:jc w:val="both"/>
        <w:rPr>
          <w:rFonts w:ascii="Arial" w:eastAsia="Times New Roman" w:hAnsi="Arial" w:cs="Arial"/>
          <w:i/>
          <w:u w:val="single"/>
          <w:lang w:val="en-GB"/>
        </w:rPr>
      </w:pPr>
    </w:p>
    <w:p w14:paraId="704F6A7A" w14:textId="77777777" w:rsidR="00314726" w:rsidRDefault="00314726" w:rsidP="00F81DDB">
      <w:pPr>
        <w:spacing w:after="0" w:line="360" w:lineRule="auto"/>
        <w:jc w:val="both"/>
        <w:rPr>
          <w:rFonts w:ascii="Arial" w:eastAsia="Times New Roman" w:hAnsi="Arial" w:cs="Arial"/>
          <w:i/>
          <w:u w:val="single"/>
          <w:lang w:val="en-GB"/>
        </w:rPr>
      </w:pPr>
    </w:p>
    <w:p w14:paraId="46E75DA1" w14:textId="77777777" w:rsidR="006C6C78" w:rsidRPr="006C6C78" w:rsidRDefault="006C6C78" w:rsidP="00F81DDB">
      <w:pPr>
        <w:spacing w:after="0" w:line="360" w:lineRule="auto"/>
        <w:jc w:val="both"/>
        <w:rPr>
          <w:rFonts w:ascii="Arial" w:eastAsia="Times New Roman" w:hAnsi="Arial" w:cs="Arial"/>
          <w:i/>
          <w:u w:val="single"/>
          <w:lang w:val="en-GB"/>
        </w:rPr>
      </w:pPr>
      <w:r w:rsidRPr="006C6C78">
        <w:rPr>
          <w:rFonts w:ascii="Arial" w:eastAsia="Times New Roman" w:hAnsi="Arial" w:cs="Arial"/>
          <w:i/>
          <w:u w:val="single"/>
          <w:lang w:val="en-GB"/>
        </w:rPr>
        <w:t>Diagnostic Impacts of drainage:</w:t>
      </w:r>
    </w:p>
    <w:p w14:paraId="67381D80" w14:textId="77777777" w:rsidR="006C6C78" w:rsidRDefault="006C6C78" w:rsidP="00F81DDB">
      <w:pPr>
        <w:spacing w:after="0" w:line="360" w:lineRule="auto"/>
        <w:jc w:val="both"/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lang w:val="en-GB"/>
        </w:rPr>
        <w:t xml:space="preserve">62 drainage procedures resulted in a complete change of diagnosis. </w:t>
      </w:r>
      <w:r w:rsidRPr="00FA1389">
        <w:rPr>
          <w:rFonts w:ascii="Arial" w:eastAsia="Times New Roman" w:hAnsi="Arial" w:cs="Arial"/>
          <w:lang w:val="en-GB"/>
        </w:rPr>
        <w:t xml:space="preserve">40 (33.6%) drainages ruled out presumed pleural infection (n=37) and </w:t>
      </w:r>
      <w:r>
        <w:rPr>
          <w:rFonts w:ascii="Arial" w:eastAsia="Times New Roman" w:hAnsi="Arial" w:cs="Arial"/>
          <w:lang w:val="en-GB"/>
        </w:rPr>
        <w:t xml:space="preserve">metastatic </w:t>
      </w:r>
      <w:r w:rsidRPr="00FA1389">
        <w:rPr>
          <w:rFonts w:ascii="Arial" w:eastAsia="Times New Roman" w:hAnsi="Arial" w:cs="Arial"/>
          <w:lang w:val="en-GB"/>
        </w:rPr>
        <w:t xml:space="preserve">malignancy (n=3). 22 (18.5%) drainages revealed </w:t>
      </w:r>
      <w:r>
        <w:rPr>
          <w:rFonts w:ascii="Arial" w:eastAsia="Times New Roman" w:hAnsi="Arial" w:cs="Arial"/>
          <w:lang w:val="en-GB"/>
        </w:rPr>
        <w:t>previously</w:t>
      </w:r>
      <w:r w:rsidRPr="00FA1389">
        <w:rPr>
          <w:rFonts w:ascii="Arial" w:eastAsia="Times New Roman" w:hAnsi="Arial" w:cs="Arial"/>
          <w:lang w:val="en-GB"/>
        </w:rPr>
        <w:t xml:space="preserve"> unsuspected condition</w:t>
      </w:r>
      <w:r>
        <w:rPr>
          <w:rFonts w:ascii="Arial" w:eastAsia="Times New Roman" w:hAnsi="Arial" w:cs="Arial"/>
          <w:lang w:val="en-GB"/>
        </w:rPr>
        <w:t>s</w:t>
      </w:r>
      <w:r w:rsidRPr="00FA1389">
        <w:rPr>
          <w:rFonts w:ascii="Arial" w:eastAsia="Times New Roman" w:hAnsi="Arial" w:cs="Arial"/>
          <w:lang w:val="en-GB"/>
        </w:rPr>
        <w:t xml:space="preserve">: eight pleural infections; six </w:t>
      </w:r>
      <w:proofErr w:type="spellStart"/>
      <w:r w:rsidRPr="00FA1389">
        <w:rPr>
          <w:rFonts w:ascii="Arial" w:eastAsia="Times New Roman" w:hAnsi="Arial" w:cs="Arial"/>
          <w:lang w:val="en-GB"/>
        </w:rPr>
        <w:t>oesophagopleural</w:t>
      </w:r>
      <w:proofErr w:type="spellEnd"/>
      <w:r w:rsidRPr="00FA1389">
        <w:rPr>
          <w:rFonts w:ascii="Arial" w:eastAsia="Times New Roman" w:hAnsi="Arial" w:cs="Arial"/>
          <w:lang w:val="en-GB"/>
        </w:rPr>
        <w:t xml:space="preserve"> fistulae; five malignant pleural effusions; two </w:t>
      </w:r>
      <w:proofErr w:type="spellStart"/>
      <w:r w:rsidRPr="00FA1389">
        <w:rPr>
          <w:rFonts w:ascii="Arial" w:eastAsia="Times New Roman" w:hAnsi="Arial" w:cs="Arial"/>
          <w:lang w:val="en-GB"/>
        </w:rPr>
        <w:t>haemothoraces</w:t>
      </w:r>
      <w:proofErr w:type="spellEnd"/>
      <w:r w:rsidRPr="00FA1389">
        <w:rPr>
          <w:rFonts w:ascii="Arial" w:eastAsia="Times New Roman" w:hAnsi="Arial" w:cs="Arial"/>
          <w:lang w:val="en-GB"/>
        </w:rPr>
        <w:t xml:space="preserve">; two </w:t>
      </w:r>
      <w:proofErr w:type="spellStart"/>
      <w:r w:rsidRPr="00FA1389">
        <w:rPr>
          <w:rFonts w:ascii="Arial" w:eastAsia="Times New Roman" w:hAnsi="Arial" w:cs="Arial"/>
          <w:lang w:val="en-GB"/>
        </w:rPr>
        <w:t>chylothoraces</w:t>
      </w:r>
      <w:proofErr w:type="spellEnd"/>
      <w:r w:rsidRPr="00FA1389">
        <w:rPr>
          <w:rFonts w:ascii="Arial" w:eastAsia="Times New Roman" w:hAnsi="Arial" w:cs="Arial"/>
          <w:lang w:val="en-GB"/>
        </w:rPr>
        <w:t xml:space="preserve"> and one </w:t>
      </w:r>
      <w:proofErr w:type="spellStart"/>
      <w:r w:rsidRPr="00FA1389">
        <w:rPr>
          <w:rFonts w:ascii="Arial" w:eastAsia="Times New Roman" w:hAnsi="Arial" w:cs="Arial"/>
          <w:lang w:val="en-GB"/>
        </w:rPr>
        <w:t>pancreatopleural</w:t>
      </w:r>
      <w:proofErr w:type="spellEnd"/>
      <w:r w:rsidRPr="00FA1389">
        <w:rPr>
          <w:rFonts w:ascii="Arial" w:eastAsia="Times New Roman" w:hAnsi="Arial" w:cs="Arial"/>
          <w:lang w:val="en-GB"/>
        </w:rPr>
        <w:t xml:space="preserve"> fistula.</w:t>
      </w:r>
      <w:r>
        <w:rPr>
          <w:rFonts w:ascii="Arial" w:eastAsia="Times New Roman" w:hAnsi="Arial" w:cs="Arial"/>
          <w:lang w:val="en-GB"/>
        </w:rPr>
        <w:t xml:space="preserve"> </w:t>
      </w:r>
    </w:p>
    <w:p w14:paraId="57B9EAD9" w14:textId="77777777" w:rsidR="006C6C78" w:rsidRDefault="006C6C78" w:rsidP="00F81DDB">
      <w:pPr>
        <w:spacing w:after="0" w:line="360" w:lineRule="auto"/>
        <w:jc w:val="both"/>
        <w:rPr>
          <w:rFonts w:ascii="Arial" w:eastAsia="Times New Roman" w:hAnsi="Arial" w:cs="Arial"/>
          <w:lang w:val="en-GB"/>
        </w:rPr>
      </w:pPr>
    </w:p>
    <w:p w14:paraId="2997BD49" w14:textId="6ED0B4ED" w:rsidR="006C6C78" w:rsidRDefault="006C6C78" w:rsidP="00F81DDB">
      <w:pPr>
        <w:spacing w:after="0" w:line="360" w:lineRule="auto"/>
        <w:jc w:val="both"/>
        <w:rPr>
          <w:rFonts w:ascii="Arial" w:eastAsia="Times New Roman" w:hAnsi="Arial" w:cs="Arial"/>
          <w:lang w:val="en-GB"/>
        </w:rPr>
      </w:pPr>
      <w:r w:rsidRPr="00FA1389">
        <w:rPr>
          <w:rFonts w:ascii="Arial" w:eastAsia="Times New Roman" w:hAnsi="Arial" w:cs="Arial"/>
          <w:lang w:val="en-GB"/>
        </w:rPr>
        <w:t xml:space="preserve">A further 29 procedures narrowed the differential diagnoses, confirming one </w:t>
      </w:r>
      <w:r>
        <w:rPr>
          <w:rFonts w:ascii="Arial" w:eastAsia="Times New Roman" w:hAnsi="Arial" w:cs="Arial"/>
          <w:lang w:val="en-GB"/>
        </w:rPr>
        <w:t xml:space="preserve">of multiple previously </w:t>
      </w:r>
      <w:r w:rsidRPr="00FA1389">
        <w:rPr>
          <w:rFonts w:ascii="Arial" w:eastAsia="Times New Roman" w:hAnsi="Arial" w:cs="Arial"/>
          <w:lang w:val="en-GB"/>
        </w:rPr>
        <w:t>suspected cause</w:t>
      </w:r>
      <w:r>
        <w:rPr>
          <w:rFonts w:ascii="Arial" w:eastAsia="Times New Roman" w:hAnsi="Arial" w:cs="Arial"/>
          <w:lang w:val="en-GB"/>
        </w:rPr>
        <w:t>s</w:t>
      </w:r>
      <w:r w:rsidRPr="00FA1389">
        <w:rPr>
          <w:rFonts w:ascii="Arial" w:eastAsia="Times New Roman" w:hAnsi="Arial" w:cs="Arial"/>
          <w:lang w:val="en-GB"/>
        </w:rPr>
        <w:t xml:space="preserve">. 19 cases of pleural infection; two </w:t>
      </w:r>
      <w:proofErr w:type="spellStart"/>
      <w:r w:rsidRPr="00FA1389">
        <w:rPr>
          <w:rFonts w:ascii="Arial" w:eastAsia="Times New Roman" w:hAnsi="Arial" w:cs="Arial"/>
          <w:lang w:val="en-GB"/>
        </w:rPr>
        <w:t>oesophagopleural</w:t>
      </w:r>
      <w:proofErr w:type="spellEnd"/>
      <w:r w:rsidRPr="00FA1389">
        <w:rPr>
          <w:rFonts w:ascii="Arial" w:eastAsia="Times New Roman" w:hAnsi="Arial" w:cs="Arial"/>
          <w:lang w:val="en-GB"/>
        </w:rPr>
        <w:t xml:space="preserve"> fistulae; two cases of malignant pleural effusion; two traumatic </w:t>
      </w:r>
      <w:proofErr w:type="spellStart"/>
      <w:r w:rsidRPr="00FA1389">
        <w:rPr>
          <w:rFonts w:ascii="Arial" w:eastAsia="Times New Roman" w:hAnsi="Arial" w:cs="Arial"/>
          <w:lang w:val="en-GB"/>
        </w:rPr>
        <w:t>haemothoraces</w:t>
      </w:r>
      <w:proofErr w:type="spellEnd"/>
      <w:r w:rsidRPr="00FA1389">
        <w:rPr>
          <w:rFonts w:ascii="Arial" w:eastAsia="Times New Roman" w:hAnsi="Arial" w:cs="Arial"/>
          <w:lang w:val="en-GB"/>
        </w:rPr>
        <w:t xml:space="preserve">; one chylothorax and one hepatic hydrothorax were confirmed. </w:t>
      </w:r>
    </w:p>
    <w:p w14:paraId="44975914" w14:textId="77777777" w:rsidR="006C6C78" w:rsidRDefault="006C6C78" w:rsidP="00F81DDB">
      <w:pPr>
        <w:spacing w:after="0" w:line="360" w:lineRule="auto"/>
        <w:jc w:val="both"/>
        <w:rPr>
          <w:rFonts w:ascii="Arial" w:eastAsia="Times New Roman" w:hAnsi="Arial" w:cs="Arial"/>
          <w:lang w:val="en-GB"/>
        </w:rPr>
      </w:pPr>
    </w:p>
    <w:p w14:paraId="4AF3F810" w14:textId="77777777" w:rsidR="006C6C78" w:rsidRDefault="006C6C78" w:rsidP="006C6C78">
      <w:pPr>
        <w:spacing w:after="0" w:line="360" w:lineRule="auto"/>
        <w:jc w:val="both"/>
        <w:rPr>
          <w:rFonts w:ascii="Arial" w:eastAsia="Times New Roman" w:hAnsi="Arial" w:cs="Arial"/>
          <w:lang w:val="en-GB"/>
        </w:rPr>
      </w:pPr>
      <w:r w:rsidRPr="00FA1389">
        <w:rPr>
          <w:rFonts w:ascii="Arial" w:eastAsia="Times New Roman" w:hAnsi="Arial" w:cs="Arial"/>
          <w:lang w:val="en-GB"/>
        </w:rPr>
        <w:t>28 (23.5%) non-repetitive drainage procedures had no significant effect on diagnostic accuracy.</w:t>
      </w:r>
      <w:r>
        <w:rPr>
          <w:rFonts w:ascii="Arial" w:eastAsia="Times New Roman" w:hAnsi="Arial" w:cs="Arial"/>
          <w:lang w:val="en-GB"/>
        </w:rPr>
        <w:t xml:space="preserve"> 15 of these had no fluid specimens sent for routine biochemical nor microbiological analysis, possibly impairing their diagnostic potential.</w:t>
      </w:r>
    </w:p>
    <w:p w14:paraId="7D413DFC" w14:textId="77777777" w:rsidR="006C6C78" w:rsidRDefault="006C6C78" w:rsidP="00F81DDB">
      <w:pPr>
        <w:spacing w:after="0" w:line="360" w:lineRule="auto"/>
        <w:jc w:val="both"/>
        <w:rPr>
          <w:rFonts w:ascii="Arial" w:eastAsia="Times New Roman" w:hAnsi="Arial" w:cs="Arial"/>
          <w:lang w:val="en-GB"/>
        </w:rPr>
      </w:pPr>
    </w:p>
    <w:p w14:paraId="7B95DF71" w14:textId="779F83D6" w:rsidR="005F446B" w:rsidRDefault="005F446B" w:rsidP="00F81DDB">
      <w:pPr>
        <w:spacing w:after="0" w:line="360" w:lineRule="auto"/>
        <w:jc w:val="both"/>
        <w:rPr>
          <w:rFonts w:ascii="Arial" w:eastAsia="Times New Roman" w:hAnsi="Arial" w:cs="Arial"/>
          <w:i/>
          <w:u w:val="single"/>
          <w:lang w:val="en-GB"/>
        </w:rPr>
      </w:pPr>
      <w:r>
        <w:rPr>
          <w:rFonts w:ascii="Arial" w:eastAsia="Times New Roman" w:hAnsi="Arial" w:cs="Arial"/>
          <w:i/>
          <w:u w:val="single"/>
          <w:lang w:val="en-GB"/>
        </w:rPr>
        <w:t>Therapeutic impacts of drainage:</w:t>
      </w:r>
    </w:p>
    <w:p w14:paraId="3FA9FEC4" w14:textId="3D919264" w:rsidR="005F446B" w:rsidRPr="005F446B" w:rsidRDefault="005F446B" w:rsidP="00F81DDB">
      <w:pPr>
        <w:spacing w:after="0" w:line="360" w:lineRule="auto"/>
        <w:jc w:val="both"/>
        <w:rPr>
          <w:rFonts w:ascii="Arial" w:eastAsia="Times New Roman" w:hAnsi="Arial" w:cs="Arial"/>
          <w:i/>
          <w:u w:val="single"/>
          <w:lang w:val="en-GB"/>
        </w:rPr>
      </w:pPr>
      <w:r w:rsidRPr="00FA1389">
        <w:rPr>
          <w:rFonts w:ascii="Arial" w:eastAsia="Times New Roman" w:hAnsi="Arial" w:cs="Arial"/>
          <w:lang w:val="en-GB"/>
        </w:rPr>
        <w:t xml:space="preserve">The most important treatment changes for each case included: 31 cases where antibiotics were started, changed or ceased as a result of drainage; 20 drainages resulted in weaning from NIV or </w:t>
      </w:r>
      <w:proofErr w:type="spellStart"/>
      <w:r w:rsidRPr="00FA1389">
        <w:rPr>
          <w:rFonts w:ascii="Arial" w:eastAsia="Times New Roman" w:hAnsi="Arial" w:cs="Arial"/>
          <w:lang w:val="en-GB"/>
        </w:rPr>
        <w:t>extubation</w:t>
      </w:r>
      <w:proofErr w:type="spellEnd"/>
      <w:r w:rsidRPr="00FA1389">
        <w:rPr>
          <w:rFonts w:ascii="Arial" w:eastAsia="Times New Roman" w:hAnsi="Arial" w:cs="Arial"/>
          <w:lang w:val="en-GB"/>
        </w:rPr>
        <w:t xml:space="preserve">; eight drainages prompted and facilitated palliative care; seven drainages changed presumptive diagnosis, facilitating surgical management of non-pleural disease; six avoided planned thoracotomy for empyema (four with intrapleural </w:t>
      </w:r>
      <w:proofErr w:type="spellStart"/>
      <w:r w:rsidRPr="00FA1389">
        <w:rPr>
          <w:rFonts w:ascii="Arial" w:eastAsia="Times New Roman" w:hAnsi="Arial" w:cs="Arial"/>
          <w:lang w:val="en-GB"/>
        </w:rPr>
        <w:t>tPA</w:t>
      </w:r>
      <w:proofErr w:type="spellEnd"/>
      <w:r w:rsidRPr="00FA1389">
        <w:rPr>
          <w:rFonts w:ascii="Arial" w:eastAsia="Times New Roman" w:hAnsi="Arial" w:cs="Arial"/>
          <w:lang w:val="en-GB"/>
        </w:rPr>
        <w:t>/DNase); five resulted in optimised treatment for transudative causes; and three resulted in optimised treatment for unrecognised postoperative chylothorax.</w:t>
      </w:r>
    </w:p>
    <w:p w14:paraId="3D455F21" w14:textId="77777777" w:rsidR="006C6C78" w:rsidRDefault="006C6C78" w:rsidP="00F81DDB">
      <w:pPr>
        <w:spacing w:after="0" w:line="360" w:lineRule="auto"/>
        <w:jc w:val="both"/>
        <w:rPr>
          <w:rFonts w:ascii="Arial" w:eastAsia="Times New Roman" w:hAnsi="Arial" w:cs="Arial"/>
          <w:i/>
          <w:u w:val="single"/>
          <w:lang w:val="en-GB"/>
        </w:rPr>
      </w:pPr>
    </w:p>
    <w:p w14:paraId="612EDF2D" w14:textId="77777777" w:rsidR="008F7267" w:rsidRDefault="008F7267">
      <w:pPr>
        <w:spacing w:after="0" w:line="240" w:lineRule="auto"/>
        <w:rPr>
          <w:rFonts w:ascii="Arial" w:eastAsia="Times New Roman" w:hAnsi="Arial" w:cs="Arial"/>
          <w:i/>
          <w:u w:val="single"/>
          <w:lang w:val="en-GB"/>
        </w:rPr>
      </w:pPr>
      <w:r>
        <w:rPr>
          <w:rFonts w:ascii="Arial" w:eastAsia="Times New Roman" w:hAnsi="Arial" w:cs="Arial"/>
          <w:i/>
          <w:u w:val="single"/>
          <w:lang w:val="en-GB"/>
        </w:rPr>
        <w:br w:type="page"/>
      </w:r>
    </w:p>
    <w:p w14:paraId="6F47DE04" w14:textId="6686EC94" w:rsidR="006C6C78" w:rsidRPr="006C6C78" w:rsidRDefault="00F81DDB" w:rsidP="00F81DDB">
      <w:pPr>
        <w:spacing w:after="0" w:line="360" w:lineRule="auto"/>
        <w:jc w:val="both"/>
        <w:rPr>
          <w:rFonts w:ascii="Arial" w:eastAsia="Times New Roman" w:hAnsi="Arial" w:cs="Arial"/>
          <w:u w:val="single"/>
          <w:lang w:val="en-GB"/>
        </w:rPr>
      </w:pPr>
      <w:r w:rsidRPr="006C6C78">
        <w:rPr>
          <w:rFonts w:ascii="Arial" w:eastAsia="Times New Roman" w:hAnsi="Arial" w:cs="Arial"/>
          <w:i/>
          <w:u w:val="single"/>
          <w:lang w:val="en-GB"/>
        </w:rPr>
        <w:lastRenderedPageBreak/>
        <w:t>Adverse event rates:</w:t>
      </w:r>
      <w:r w:rsidRPr="006C6C78">
        <w:rPr>
          <w:rFonts w:ascii="Arial" w:eastAsia="Times New Roman" w:hAnsi="Arial" w:cs="Arial"/>
          <w:u w:val="single"/>
          <w:lang w:val="en-GB"/>
        </w:rPr>
        <w:t xml:space="preserve"> </w:t>
      </w:r>
    </w:p>
    <w:p w14:paraId="2BC914E5" w14:textId="1D5AF290" w:rsidR="00B27BB5" w:rsidRDefault="00B27BB5" w:rsidP="00F81DDB">
      <w:pPr>
        <w:spacing w:after="0" w:line="360" w:lineRule="auto"/>
        <w:jc w:val="both"/>
        <w:rPr>
          <w:rFonts w:ascii="Arial" w:eastAsia="Times New Roman" w:hAnsi="Arial" w:cs="Arial"/>
          <w:lang w:val="en-GB"/>
        </w:rPr>
      </w:pPr>
    </w:p>
    <w:p w14:paraId="4D5A571F" w14:textId="62440529" w:rsidR="00B27BB5" w:rsidRPr="00725717" w:rsidRDefault="008F7267" w:rsidP="00B27BB5">
      <w:pPr>
        <w:spacing w:after="0" w:line="360" w:lineRule="auto"/>
        <w:jc w:val="both"/>
        <w:rPr>
          <w:rFonts w:ascii="Arial" w:eastAsia="Times New Roman" w:hAnsi="Arial" w:cs="Arial"/>
          <w:b/>
          <w:lang w:val="en-GB"/>
        </w:rPr>
      </w:pPr>
      <w:r>
        <w:rPr>
          <w:rFonts w:ascii="Arial" w:eastAsia="Times New Roman" w:hAnsi="Arial" w:cs="Arial"/>
          <w:b/>
          <w:lang w:val="en-GB"/>
        </w:rPr>
        <w:t xml:space="preserve">Supplemental </w:t>
      </w:r>
      <w:bookmarkStart w:id="0" w:name="_GoBack"/>
      <w:r w:rsidR="00B27BB5">
        <w:rPr>
          <w:rFonts w:ascii="Arial" w:eastAsia="Times New Roman" w:hAnsi="Arial" w:cs="Arial"/>
          <w:b/>
          <w:lang w:val="en-GB"/>
        </w:rPr>
        <w:t>Table</w:t>
      </w:r>
      <w:bookmarkEnd w:id="0"/>
      <w:r w:rsidR="00B27BB5">
        <w:rPr>
          <w:rFonts w:ascii="Arial" w:eastAsia="Times New Roman" w:hAnsi="Arial" w:cs="Arial"/>
          <w:b/>
          <w:lang w:val="en-GB"/>
        </w:rPr>
        <w:t xml:space="preserve"> 3: </w:t>
      </w:r>
      <w:r w:rsidR="00B27BB5" w:rsidRPr="00725717">
        <w:rPr>
          <w:rFonts w:ascii="Arial" w:eastAsia="Times New Roman" w:hAnsi="Arial" w:cs="Arial"/>
          <w:b/>
          <w:lang w:val="en-GB"/>
        </w:rPr>
        <w:t xml:space="preserve">Number of patients in each group that developed at least one </w:t>
      </w:r>
      <w:r w:rsidR="00B27BB5">
        <w:rPr>
          <w:rFonts w:ascii="Arial" w:eastAsia="Times New Roman" w:hAnsi="Arial" w:cs="Arial"/>
          <w:b/>
          <w:lang w:val="en-GB"/>
        </w:rPr>
        <w:t xml:space="preserve">serious </w:t>
      </w:r>
      <w:r w:rsidR="00B27BB5" w:rsidRPr="00725717">
        <w:rPr>
          <w:rFonts w:ascii="Arial" w:eastAsia="Times New Roman" w:hAnsi="Arial" w:cs="Arial"/>
          <w:b/>
          <w:lang w:val="en-GB"/>
        </w:rPr>
        <w:t>adverse event</w:t>
      </w:r>
    </w:p>
    <w:p w14:paraId="1DCD238B" w14:textId="77777777" w:rsidR="00B27BB5" w:rsidRPr="00725717" w:rsidRDefault="00B27BB5" w:rsidP="00B27BB5">
      <w:pPr>
        <w:spacing w:after="0" w:line="360" w:lineRule="auto"/>
        <w:jc w:val="both"/>
        <w:rPr>
          <w:rFonts w:ascii="Arial" w:eastAsia="Times New Roman" w:hAnsi="Arial" w:cs="Arial"/>
          <w:lang w:val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51"/>
        <w:gridCol w:w="2696"/>
        <w:gridCol w:w="1424"/>
        <w:gridCol w:w="2354"/>
        <w:gridCol w:w="1075"/>
      </w:tblGrid>
      <w:tr w:rsidR="00B27BB5" w:rsidRPr="00D706A1" w14:paraId="42FDCC04" w14:textId="77777777" w:rsidTr="00B9495A">
        <w:trPr>
          <w:trHeight w:val="879"/>
        </w:trPr>
        <w:tc>
          <w:tcPr>
            <w:tcW w:w="806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1D958D2" w14:textId="77777777" w:rsidR="00B27BB5" w:rsidRPr="00D706A1" w:rsidRDefault="00B27BB5" w:rsidP="00B9495A">
            <w:pPr>
              <w:rPr>
                <w:rFonts w:ascii="Arial" w:eastAsia="Times New Roman" w:hAnsi="Arial" w:cs="Arial"/>
              </w:rPr>
            </w:pPr>
            <w:r w:rsidRPr="00D706A1">
              <w:rPr>
                <w:rFonts w:ascii="Arial" w:eastAsia="Times New Roman" w:hAnsi="Arial" w:cs="Arial"/>
                <w:b/>
                <w:bCs/>
                <w:lang w:val="en-GB"/>
              </w:rPr>
              <w:t> </w:t>
            </w:r>
          </w:p>
        </w:tc>
        <w:tc>
          <w:tcPr>
            <w:tcW w:w="1498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A315B82" w14:textId="77777777" w:rsidR="00B27BB5" w:rsidRPr="00D706A1" w:rsidRDefault="00B27BB5" w:rsidP="00B9495A">
            <w:pPr>
              <w:rPr>
                <w:rFonts w:ascii="Arial" w:eastAsia="Times New Roman" w:hAnsi="Arial" w:cs="Arial"/>
              </w:rPr>
            </w:pPr>
            <w:r w:rsidRPr="00D706A1">
              <w:rPr>
                <w:rFonts w:ascii="Arial" w:eastAsia="Times New Roman" w:hAnsi="Arial" w:cs="Arial"/>
                <w:b/>
                <w:bCs/>
                <w:lang w:val="en-GB"/>
              </w:rPr>
              <w:t>Early drainage (n=76)</w:t>
            </w:r>
          </w:p>
        </w:tc>
        <w:tc>
          <w:tcPr>
            <w:tcW w:w="791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29087A9" w14:textId="77777777" w:rsidR="00B27BB5" w:rsidRPr="00D706A1" w:rsidRDefault="00B27BB5" w:rsidP="00B9495A">
            <w:pPr>
              <w:rPr>
                <w:rFonts w:ascii="Arial" w:eastAsia="Times New Roman" w:hAnsi="Arial" w:cs="Arial"/>
              </w:rPr>
            </w:pPr>
            <w:r w:rsidRPr="00D706A1">
              <w:rPr>
                <w:rFonts w:ascii="Arial" w:eastAsia="Times New Roman" w:hAnsi="Arial" w:cs="Arial"/>
                <w:b/>
                <w:bCs/>
                <w:lang w:val="en-GB"/>
              </w:rPr>
              <w:t>Controls</w:t>
            </w:r>
          </w:p>
          <w:p w14:paraId="7DB1146A" w14:textId="77777777" w:rsidR="00B27BB5" w:rsidRPr="00D706A1" w:rsidRDefault="00B27BB5" w:rsidP="00B9495A">
            <w:pPr>
              <w:rPr>
                <w:rFonts w:ascii="Arial" w:eastAsia="Times New Roman" w:hAnsi="Arial" w:cs="Arial"/>
              </w:rPr>
            </w:pPr>
            <w:r w:rsidRPr="00D706A1">
              <w:rPr>
                <w:rFonts w:ascii="Arial" w:eastAsia="Times New Roman" w:hAnsi="Arial" w:cs="Arial"/>
                <w:b/>
                <w:bCs/>
                <w:lang w:val="en-GB"/>
              </w:rPr>
              <w:t>(n=150)</w:t>
            </w:r>
          </w:p>
        </w:tc>
        <w:tc>
          <w:tcPr>
            <w:tcW w:w="1308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D69254B" w14:textId="77777777" w:rsidR="00B27BB5" w:rsidRPr="00D706A1" w:rsidRDefault="00B27BB5" w:rsidP="00B9495A">
            <w:pPr>
              <w:rPr>
                <w:rFonts w:ascii="Arial" w:eastAsia="Times New Roman" w:hAnsi="Arial" w:cs="Arial"/>
              </w:rPr>
            </w:pPr>
            <w:r w:rsidRPr="00D706A1">
              <w:rPr>
                <w:rFonts w:ascii="Arial" w:eastAsia="Times New Roman" w:hAnsi="Arial" w:cs="Arial"/>
                <w:b/>
                <w:bCs/>
                <w:lang w:val="en-GB"/>
              </w:rPr>
              <w:t>RR (95% CI)</w:t>
            </w:r>
          </w:p>
        </w:tc>
        <w:tc>
          <w:tcPr>
            <w:tcW w:w="597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472C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5C85F54" w14:textId="77777777" w:rsidR="00B27BB5" w:rsidRPr="00D706A1" w:rsidRDefault="00B27BB5" w:rsidP="00B9495A">
            <w:pPr>
              <w:rPr>
                <w:rFonts w:ascii="Arial" w:eastAsia="Times New Roman" w:hAnsi="Arial" w:cs="Arial"/>
              </w:rPr>
            </w:pPr>
            <w:r w:rsidRPr="00D706A1">
              <w:rPr>
                <w:rFonts w:ascii="Arial" w:eastAsia="Times New Roman" w:hAnsi="Arial" w:cs="Arial"/>
                <w:b/>
                <w:bCs/>
                <w:i/>
                <w:iCs/>
                <w:lang w:val="en-GB"/>
              </w:rPr>
              <w:t xml:space="preserve">p </w:t>
            </w:r>
            <w:r w:rsidRPr="00D706A1">
              <w:rPr>
                <w:rFonts w:ascii="Arial" w:eastAsia="Times New Roman" w:hAnsi="Arial" w:cs="Arial"/>
                <w:b/>
                <w:bCs/>
                <w:lang w:val="en-GB"/>
              </w:rPr>
              <w:t>value</w:t>
            </w:r>
          </w:p>
        </w:tc>
      </w:tr>
      <w:tr w:rsidR="00B27BB5" w:rsidRPr="00D706A1" w14:paraId="1512AB0C" w14:textId="77777777" w:rsidTr="00B9495A">
        <w:trPr>
          <w:trHeight w:val="685"/>
        </w:trPr>
        <w:tc>
          <w:tcPr>
            <w:tcW w:w="806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D889FA1" w14:textId="77777777" w:rsidR="00B27BB5" w:rsidRPr="00D706A1" w:rsidRDefault="00B27BB5" w:rsidP="00B9495A">
            <w:pPr>
              <w:rPr>
                <w:rFonts w:ascii="Arial" w:eastAsia="Times New Roman" w:hAnsi="Arial" w:cs="Arial"/>
              </w:rPr>
            </w:pPr>
            <w:r w:rsidRPr="00D706A1">
              <w:rPr>
                <w:rFonts w:ascii="Arial" w:eastAsia="Times New Roman" w:hAnsi="Arial" w:cs="Arial"/>
                <w:b/>
                <w:bCs/>
                <w:lang w:val="en-GB"/>
              </w:rPr>
              <w:t>PERSAE</w:t>
            </w:r>
          </w:p>
        </w:tc>
        <w:tc>
          <w:tcPr>
            <w:tcW w:w="1498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D60A5BA" w14:textId="77777777" w:rsidR="00B27BB5" w:rsidRPr="00D706A1" w:rsidRDefault="00B27BB5" w:rsidP="00B9495A">
            <w:pPr>
              <w:rPr>
                <w:rFonts w:ascii="Arial" w:eastAsia="Times New Roman" w:hAnsi="Arial" w:cs="Arial"/>
              </w:rPr>
            </w:pPr>
            <w:r w:rsidRPr="00D706A1">
              <w:rPr>
                <w:rFonts w:ascii="Arial" w:eastAsia="Times New Roman" w:hAnsi="Arial" w:cs="Arial"/>
                <w:lang w:val="en-GB"/>
              </w:rPr>
              <w:t>8 (10.5%)</w:t>
            </w:r>
          </w:p>
        </w:tc>
        <w:tc>
          <w:tcPr>
            <w:tcW w:w="791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FC299ED" w14:textId="77777777" w:rsidR="00B27BB5" w:rsidRPr="00D706A1" w:rsidRDefault="00B27BB5" w:rsidP="00B9495A">
            <w:pPr>
              <w:rPr>
                <w:rFonts w:ascii="Arial" w:eastAsia="Times New Roman" w:hAnsi="Arial" w:cs="Arial"/>
              </w:rPr>
            </w:pPr>
            <w:r w:rsidRPr="00D706A1">
              <w:rPr>
                <w:rFonts w:ascii="Arial" w:eastAsia="Times New Roman" w:hAnsi="Arial" w:cs="Arial"/>
                <w:lang w:val="en-GB"/>
              </w:rPr>
              <w:t>24 (16.0%)</w:t>
            </w:r>
          </w:p>
        </w:tc>
        <w:tc>
          <w:tcPr>
            <w:tcW w:w="1308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797EC46" w14:textId="77777777" w:rsidR="00B27BB5" w:rsidRPr="00D706A1" w:rsidRDefault="00B27BB5" w:rsidP="00B9495A">
            <w:pPr>
              <w:rPr>
                <w:rFonts w:ascii="Arial" w:eastAsia="Times New Roman" w:hAnsi="Arial" w:cs="Arial"/>
              </w:rPr>
            </w:pPr>
            <w:r w:rsidRPr="00D706A1">
              <w:rPr>
                <w:rFonts w:ascii="Arial" w:eastAsia="Times New Roman" w:hAnsi="Arial" w:cs="Arial"/>
                <w:lang w:val="en-GB"/>
              </w:rPr>
              <w:t>1.52 (0.74 to 3.20)</w:t>
            </w:r>
          </w:p>
        </w:tc>
        <w:tc>
          <w:tcPr>
            <w:tcW w:w="597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A4FDE5E" w14:textId="77777777" w:rsidR="00B27BB5" w:rsidRPr="00D706A1" w:rsidRDefault="00B27BB5" w:rsidP="00B9495A">
            <w:pPr>
              <w:rPr>
                <w:rFonts w:ascii="Arial" w:eastAsia="Times New Roman" w:hAnsi="Arial" w:cs="Arial"/>
              </w:rPr>
            </w:pPr>
            <w:r w:rsidRPr="00D706A1">
              <w:rPr>
                <w:rFonts w:ascii="Arial" w:eastAsia="Times New Roman" w:hAnsi="Arial" w:cs="Arial"/>
                <w:lang w:val="en-GB"/>
              </w:rPr>
              <w:t>0.32</w:t>
            </w:r>
          </w:p>
        </w:tc>
      </w:tr>
      <w:tr w:rsidR="00B27BB5" w:rsidRPr="00D706A1" w14:paraId="64FF933E" w14:textId="77777777" w:rsidTr="00B9495A">
        <w:trPr>
          <w:trHeight w:val="685"/>
        </w:trPr>
        <w:tc>
          <w:tcPr>
            <w:tcW w:w="80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838983F" w14:textId="77777777" w:rsidR="00B27BB5" w:rsidRPr="00D706A1" w:rsidRDefault="00B27BB5" w:rsidP="00B9495A">
            <w:pPr>
              <w:rPr>
                <w:rFonts w:ascii="Arial" w:eastAsia="Times New Roman" w:hAnsi="Arial" w:cs="Arial"/>
              </w:rPr>
            </w:pPr>
            <w:proofErr w:type="gramStart"/>
            <w:r w:rsidRPr="00D706A1">
              <w:rPr>
                <w:rFonts w:ascii="Arial" w:eastAsia="Times New Roman" w:hAnsi="Arial" w:cs="Arial"/>
                <w:b/>
                <w:bCs/>
                <w:lang w:val="en-GB"/>
              </w:rPr>
              <w:t>Other</w:t>
            </w:r>
            <w:proofErr w:type="gramEnd"/>
            <w:r w:rsidRPr="00D706A1">
              <w:rPr>
                <w:rFonts w:ascii="Arial" w:eastAsia="Times New Roman" w:hAnsi="Arial" w:cs="Arial"/>
                <w:b/>
                <w:bCs/>
                <w:lang w:val="en-GB"/>
              </w:rPr>
              <w:t xml:space="preserve"> SAE</w:t>
            </w:r>
          </w:p>
        </w:tc>
        <w:tc>
          <w:tcPr>
            <w:tcW w:w="149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E3554CB" w14:textId="77777777" w:rsidR="00B27BB5" w:rsidRPr="00D706A1" w:rsidRDefault="00B27BB5" w:rsidP="00B9495A">
            <w:pPr>
              <w:rPr>
                <w:rFonts w:ascii="Arial" w:eastAsia="Times New Roman" w:hAnsi="Arial" w:cs="Arial"/>
              </w:rPr>
            </w:pPr>
            <w:r w:rsidRPr="00D706A1">
              <w:rPr>
                <w:rFonts w:ascii="Arial" w:eastAsia="Times New Roman" w:hAnsi="Arial" w:cs="Arial"/>
                <w:lang w:val="en-GB"/>
              </w:rPr>
              <w:t>1 (1.3%)</w:t>
            </w:r>
          </w:p>
        </w:tc>
        <w:tc>
          <w:tcPr>
            <w:tcW w:w="79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F02DA84" w14:textId="77777777" w:rsidR="00B27BB5" w:rsidRPr="00D706A1" w:rsidRDefault="00B27BB5" w:rsidP="00B9495A">
            <w:pPr>
              <w:rPr>
                <w:rFonts w:ascii="Arial" w:eastAsia="Times New Roman" w:hAnsi="Arial" w:cs="Arial"/>
              </w:rPr>
            </w:pPr>
            <w:r w:rsidRPr="00D706A1">
              <w:rPr>
                <w:rFonts w:ascii="Arial" w:eastAsia="Times New Roman" w:hAnsi="Arial" w:cs="Arial"/>
                <w:lang w:val="en-GB"/>
              </w:rPr>
              <w:t>11 (6.7%)</w:t>
            </w:r>
          </w:p>
        </w:tc>
        <w:tc>
          <w:tcPr>
            <w:tcW w:w="130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B85F404" w14:textId="77777777" w:rsidR="00B27BB5" w:rsidRPr="00D706A1" w:rsidRDefault="00B27BB5" w:rsidP="00B9495A">
            <w:pPr>
              <w:rPr>
                <w:rFonts w:ascii="Arial" w:eastAsia="Times New Roman" w:hAnsi="Arial" w:cs="Arial"/>
              </w:rPr>
            </w:pPr>
            <w:r w:rsidRPr="00D706A1">
              <w:rPr>
                <w:rFonts w:ascii="Arial" w:eastAsia="Times New Roman" w:hAnsi="Arial" w:cs="Arial"/>
                <w:lang w:val="en-GB"/>
              </w:rPr>
              <w:t>5.57 (0.96 to 33.37)</w:t>
            </w:r>
          </w:p>
        </w:tc>
        <w:tc>
          <w:tcPr>
            <w:tcW w:w="59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CEEECCF" w14:textId="77777777" w:rsidR="00B27BB5" w:rsidRPr="00D706A1" w:rsidRDefault="00B27BB5" w:rsidP="00B9495A">
            <w:pPr>
              <w:rPr>
                <w:rFonts w:ascii="Arial" w:eastAsia="Times New Roman" w:hAnsi="Arial" w:cs="Arial"/>
              </w:rPr>
            </w:pPr>
            <w:r w:rsidRPr="00D706A1">
              <w:rPr>
                <w:rFonts w:ascii="Arial" w:eastAsia="Times New Roman" w:hAnsi="Arial" w:cs="Arial"/>
                <w:lang w:val="en-GB"/>
              </w:rPr>
              <w:t>0.06</w:t>
            </w:r>
          </w:p>
        </w:tc>
      </w:tr>
      <w:tr w:rsidR="00B27BB5" w:rsidRPr="00D706A1" w14:paraId="3A853C29" w14:textId="77777777" w:rsidTr="00B9495A">
        <w:trPr>
          <w:trHeight w:val="685"/>
        </w:trPr>
        <w:tc>
          <w:tcPr>
            <w:tcW w:w="80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BC0ADC1" w14:textId="77777777" w:rsidR="00B27BB5" w:rsidRPr="00D706A1" w:rsidRDefault="00B27BB5" w:rsidP="00B9495A">
            <w:pPr>
              <w:rPr>
                <w:rFonts w:ascii="Arial" w:eastAsia="Times New Roman" w:hAnsi="Arial" w:cs="Arial"/>
              </w:rPr>
            </w:pPr>
            <w:r w:rsidRPr="00D706A1">
              <w:rPr>
                <w:rFonts w:ascii="Arial" w:eastAsia="Times New Roman" w:hAnsi="Arial" w:cs="Arial"/>
                <w:b/>
                <w:bCs/>
                <w:lang w:val="en-GB"/>
              </w:rPr>
              <w:t>Total SAE</w:t>
            </w:r>
          </w:p>
        </w:tc>
        <w:tc>
          <w:tcPr>
            <w:tcW w:w="149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9D6A518" w14:textId="77777777" w:rsidR="00B27BB5" w:rsidRPr="00D706A1" w:rsidRDefault="00B27BB5" w:rsidP="00B9495A">
            <w:pPr>
              <w:rPr>
                <w:rFonts w:ascii="Arial" w:eastAsia="Times New Roman" w:hAnsi="Arial" w:cs="Arial"/>
              </w:rPr>
            </w:pPr>
            <w:r w:rsidRPr="00D706A1">
              <w:rPr>
                <w:rFonts w:ascii="Arial" w:eastAsia="Times New Roman" w:hAnsi="Arial" w:cs="Arial"/>
                <w:lang w:val="en-GB"/>
              </w:rPr>
              <w:t>9 (11.8%)</w:t>
            </w:r>
          </w:p>
        </w:tc>
        <w:tc>
          <w:tcPr>
            <w:tcW w:w="79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A887DB5" w14:textId="77777777" w:rsidR="00B27BB5" w:rsidRPr="00D706A1" w:rsidRDefault="00B27BB5" w:rsidP="00B9495A">
            <w:pPr>
              <w:rPr>
                <w:rFonts w:ascii="Arial" w:eastAsia="Times New Roman" w:hAnsi="Arial" w:cs="Arial"/>
              </w:rPr>
            </w:pPr>
            <w:r w:rsidRPr="00D706A1">
              <w:rPr>
                <w:rFonts w:ascii="Arial" w:eastAsia="Times New Roman" w:hAnsi="Arial" w:cs="Arial"/>
                <w:lang w:val="en-GB"/>
              </w:rPr>
              <w:t>35 (23.3%)</w:t>
            </w:r>
          </w:p>
        </w:tc>
        <w:tc>
          <w:tcPr>
            <w:tcW w:w="130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14B697D" w14:textId="77777777" w:rsidR="00B27BB5" w:rsidRPr="00D706A1" w:rsidRDefault="00B27BB5" w:rsidP="00B9495A">
            <w:pPr>
              <w:rPr>
                <w:rFonts w:ascii="Arial" w:eastAsia="Times New Roman" w:hAnsi="Arial" w:cs="Arial"/>
              </w:rPr>
            </w:pPr>
            <w:r w:rsidRPr="00D706A1">
              <w:rPr>
                <w:rFonts w:ascii="Arial" w:eastAsia="Times New Roman" w:hAnsi="Arial" w:cs="Arial"/>
                <w:lang w:val="en-GB"/>
              </w:rPr>
              <w:t>1.97 (1.03 to 3.89)</w:t>
            </w:r>
          </w:p>
        </w:tc>
        <w:tc>
          <w:tcPr>
            <w:tcW w:w="59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51AA6FF" w14:textId="77777777" w:rsidR="00B27BB5" w:rsidRPr="00D706A1" w:rsidRDefault="00B27BB5" w:rsidP="00B9495A">
            <w:pPr>
              <w:rPr>
                <w:rFonts w:ascii="Arial" w:eastAsia="Times New Roman" w:hAnsi="Arial" w:cs="Arial"/>
              </w:rPr>
            </w:pPr>
            <w:r w:rsidRPr="00D706A1">
              <w:rPr>
                <w:rFonts w:ascii="Arial" w:eastAsia="Times New Roman" w:hAnsi="Arial" w:cs="Arial"/>
                <w:b/>
                <w:bCs/>
                <w:lang w:val="en-GB"/>
              </w:rPr>
              <w:t>&lt;0.05</w:t>
            </w:r>
          </w:p>
        </w:tc>
      </w:tr>
    </w:tbl>
    <w:p w14:paraId="2461BB3A" w14:textId="77777777" w:rsidR="00B27BB5" w:rsidRPr="00850F6D" w:rsidRDefault="00B27BB5" w:rsidP="00B27BB5">
      <w:pPr>
        <w:rPr>
          <w:rFonts w:ascii="Arial" w:eastAsia="Times New Roman" w:hAnsi="Arial" w:cs="Arial"/>
          <w:lang w:val="en-GB"/>
        </w:rPr>
      </w:pPr>
      <w:r w:rsidRPr="00802764">
        <w:rPr>
          <w:rFonts w:ascii="Arial" w:eastAsia="Times New Roman" w:hAnsi="Arial" w:cs="Arial"/>
          <w:lang w:val="en-GB"/>
        </w:rPr>
        <w:t>SAE, severe adverse events. PERSAE, pleural effusion related severe adverse events. RR, relative risk. CI, confidence interval.</w:t>
      </w:r>
    </w:p>
    <w:p w14:paraId="370A3333" w14:textId="77777777" w:rsidR="00B27BB5" w:rsidRDefault="00B27BB5" w:rsidP="00F81DDB">
      <w:pPr>
        <w:spacing w:after="0" w:line="360" w:lineRule="auto"/>
        <w:jc w:val="both"/>
        <w:rPr>
          <w:rFonts w:ascii="Arial" w:eastAsia="Times New Roman" w:hAnsi="Arial" w:cs="Arial"/>
          <w:lang w:val="en-GB"/>
        </w:rPr>
      </w:pPr>
    </w:p>
    <w:p w14:paraId="04602860" w14:textId="5C334C7D" w:rsidR="00F81DDB" w:rsidRPr="00725717" w:rsidRDefault="00F81DDB" w:rsidP="00F81DDB">
      <w:pPr>
        <w:spacing w:after="0" w:line="360" w:lineRule="auto"/>
        <w:jc w:val="both"/>
        <w:rPr>
          <w:rFonts w:ascii="Arial" w:eastAsia="Times New Roman" w:hAnsi="Arial" w:cs="Arial"/>
          <w:lang w:val="en-GB"/>
        </w:rPr>
      </w:pPr>
      <w:r w:rsidRPr="00725717">
        <w:rPr>
          <w:rFonts w:ascii="Arial" w:eastAsia="Times New Roman" w:hAnsi="Arial" w:cs="Arial"/>
          <w:lang w:val="en-GB"/>
        </w:rPr>
        <w:t xml:space="preserve">PERSAEs consisted of: 3 failed insertions, (1 requiring CT-guided drain, 2 resulting in </w:t>
      </w:r>
      <w:proofErr w:type="spellStart"/>
      <w:r w:rsidRPr="00725717">
        <w:rPr>
          <w:rFonts w:ascii="Arial" w:eastAsia="Times New Roman" w:hAnsi="Arial" w:cs="Arial"/>
          <w:lang w:val="en-GB"/>
        </w:rPr>
        <w:t>pneumothoraces</w:t>
      </w:r>
      <w:proofErr w:type="spellEnd"/>
      <w:r w:rsidRPr="00725717">
        <w:rPr>
          <w:rFonts w:ascii="Arial" w:eastAsia="Times New Roman" w:hAnsi="Arial" w:cs="Arial"/>
          <w:lang w:val="en-GB"/>
        </w:rPr>
        <w:t xml:space="preserve">); 1 haemothorax post-thrombolytics for empyema; 1 bronchopleural fistula </w:t>
      </w:r>
      <w:r>
        <w:rPr>
          <w:rFonts w:ascii="Arial" w:eastAsia="Times New Roman" w:hAnsi="Arial" w:cs="Arial"/>
          <w:lang w:val="en-GB"/>
        </w:rPr>
        <w:t>with</w:t>
      </w:r>
      <w:r w:rsidRPr="00725717">
        <w:rPr>
          <w:rFonts w:ascii="Arial" w:eastAsia="Times New Roman" w:hAnsi="Arial" w:cs="Arial"/>
          <w:lang w:val="en-GB"/>
        </w:rPr>
        <w:t xml:space="preserve"> subcutaneous emphysema resulting in </w:t>
      </w:r>
      <w:r>
        <w:rPr>
          <w:rFonts w:ascii="Arial" w:eastAsia="Times New Roman" w:hAnsi="Arial" w:cs="Arial"/>
          <w:lang w:val="en-GB"/>
        </w:rPr>
        <w:t xml:space="preserve">tube </w:t>
      </w:r>
      <w:r w:rsidRPr="00725717">
        <w:rPr>
          <w:rFonts w:ascii="Arial" w:eastAsia="Times New Roman" w:hAnsi="Arial" w:cs="Arial"/>
          <w:lang w:val="en-GB"/>
        </w:rPr>
        <w:t xml:space="preserve">dislodgement; 1 hypotension and hypoxia after rapid fluid drainage requiring new vasopressor infusion and increased PEEP for re-expansion pulmonary oedema; 1 recurrent hydropneumothorax after drain removal; 1 drain blocked resulting in pneumothorax and reinsertion. </w:t>
      </w:r>
    </w:p>
    <w:p w14:paraId="77F9AC49" w14:textId="77777777" w:rsidR="00F81DDB" w:rsidRPr="00725717" w:rsidRDefault="00F81DDB" w:rsidP="00F81DDB">
      <w:pPr>
        <w:spacing w:after="0" w:line="360" w:lineRule="auto"/>
        <w:jc w:val="both"/>
        <w:rPr>
          <w:rFonts w:ascii="Arial" w:eastAsia="Times New Roman" w:hAnsi="Arial" w:cs="Arial"/>
          <w:lang w:val="en-GB"/>
        </w:rPr>
      </w:pPr>
    </w:p>
    <w:p w14:paraId="40535C50" w14:textId="77777777" w:rsidR="00F81DDB" w:rsidRPr="00725717" w:rsidRDefault="00F81DDB" w:rsidP="00F81DDB">
      <w:pPr>
        <w:spacing w:after="0" w:line="360" w:lineRule="auto"/>
        <w:jc w:val="both"/>
        <w:rPr>
          <w:rFonts w:ascii="Arial" w:eastAsia="Times New Roman" w:hAnsi="Arial" w:cs="Arial"/>
          <w:lang w:val="en-GB"/>
        </w:rPr>
      </w:pPr>
      <w:r w:rsidRPr="00725717">
        <w:rPr>
          <w:rFonts w:ascii="Arial" w:eastAsia="Times New Roman" w:hAnsi="Arial" w:cs="Arial"/>
          <w:lang w:val="en-GB"/>
        </w:rPr>
        <w:t xml:space="preserve">One patient (1.3%) suffered a non-PERSAE serious adverse event (pericardial drain resulted in pneumothorax contralateral to pleural drain). A further </w:t>
      </w:r>
      <w:r>
        <w:rPr>
          <w:rFonts w:ascii="Arial" w:eastAsia="Times New Roman" w:hAnsi="Arial" w:cs="Arial"/>
          <w:lang w:val="en-GB"/>
        </w:rPr>
        <w:t>six</w:t>
      </w:r>
      <w:r w:rsidRPr="00725717">
        <w:rPr>
          <w:rFonts w:ascii="Arial" w:eastAsia="Times New Roman" w:hAnsi="Arial" w:cs="Arial"/>
          <w:lang w:val="en-GB"/>
        </w:rPr>
        <w:t xml:space="preserve"> patients suffered </w:t>
      </w:r>
      <w:r>
        <w:rPr>
          <w:rFonts w:ascii="Arial" w:eastAsia="Times New Roman" w:hAnsi="Arial" w:cs="Arial"/>
          <w:lang w:val="en-GB"/>
        </w:rPr>
        <w:t xml:space="preserve">seven </w:t>
      </w:r>
      <w:r w:rsidRPr="00725717">
        <w:rPr>
          <w:rFonts w:ascii="Arial" w:eastAsia="Times New Roman" w:hAnsi="Arial" w:cs="Arial"/>
          <w:lang w:val="en-GB"/>
        </w:rPr>
        <w:t>non-serious adverse events (7.</w:t>
      </w:r>
      <w:r>
        <w:rPr>
          <w:rFonts w:ascii="Arial" w:eastAsia="Times New Roman" w:hAnsi="Arial" w:cs="Arial"/>
          <w:lang w:val="en-GB"/>
        </w:rPr>
        <w:t>9</w:t>
      </w:r>
      <w:r w:rsidRPr="00725717">
        <w:rPr>
          <w:rFonts w:ascii="Arial" w:eastAsia="Times New Roman" w:hAnsi="Arial" w:cs="Arial"/>
          <w:lang w:val="en-GB"/>
        </w:rPr>
        <w:t xml:space="preserve">%): 2 drains dislodged after evacuation of fluid, not requiring any intervention or change of management; 4 small </w:t>
      </w:r>
      <w:proofErr w:type="spellStart"/>
      <w:r w:rsidRPr="00725717">
        <w:rPr>
          <w:rFonts w:ascii="Arial" w:eastAsia="Times New Roman" w:hAnsi="Arial" w:cs="Arial"/>
          <w:lang w:val="en-GB"/>
        </w:rPr>
        <w:t>pneumothoraces</w:t>
      </w:r>
      <w:proofErr w:type="spellEnd"/>
      <w:r w:rsidRPr="00725717">
        <w:rPr>
          <w:rFonts w:ascii="Arial" w:eastAsia="Times New Roman" w:hAnsi="Arial" w:cs="Arial"/>
          <w:lang w:val="en-GB"/>
        </w:rPr>
        <w:t xml:space="preserve"> not requiring intervention (ex vacuo</w:t>
      </w:r>
      <w:r>
        <w:rPr>
          <w:rFonts w:ascii="Arial" w:eastAsia="Times New Roman" w:hAnsi="Arial" w:cs="Arial"/>
          <w:lang w:val="en-GB"/>
        </w:rPr>
        <w:t xml:space="preserve"> related to trapped lung</w:t>
      </w:r>
      <w:r w:rsidRPr="00725717">
        <w:rPr>
          <w:rFonts w:ascii="Arial" w:eastAsia="Times New Roman" w:hAnsi="Arial" w:cs="Arial"/>
          <w:lang w:val="en-GB"/>
        </w:rPr>
        <w:t xml:space="preserve">); 1 had pain requiring increased opioid dose. </w:t>
      </w:r>
    </w:p>
    <w:p w14:paraId="59094333" w14:textId="77777777" w:rsidR="00F81DDB" w:rsidRPr="00725717" w:rsidRDefault="00F81DDB" w:rsidP="00F81DDB">
      <w:pPr>
        <w:spacing w:after="0" w:line="360" w:lineRule="auto"/>
        <w:jc w:val="both"/>
        <w:rPr>
          <w:rFonts w:ascii="Arial" w:eastAsia="Times New Roman" w:hAnsi="Arial" w:cs="Arial"/>
          <w:lang w:val="en-GB"/>
        </w:rPr>
      </w:pPr>
    </w:p>
    <w:p w14:paraId="5363E912" w14:textId="12E57230" w:rsidR="00F81DDB" w:rsidRPr="00725717" w:rsidRDefault="00F81DDB" w:rsidP="00F81DDB">
      <w:pPr>
        <w:spacing w:after="0" w:line="360" w:lineRule="auto"/>
        <w:jc w:val="both"/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i/>
          <w:lang w:val="en-GB"/>
        </w:rPr>
        <w:t>Controls</w:t>
      </w:r>
      <w:r w:rsidRPr="00725717">
        <w:rPr>
          <w:rFonts w:ascii="Arial" w:eastAsia="Times New Roman" w:hAnsi="Arial" w:cs="Arial"/>
          <w:i/>
          <w:lang w:val="en-GB"/>
        </w:rPr>
        <w:t>:</w:t>
      </w:r>
      <w:r w:rsidRPr="00725717">
        <w:rPr>
          <w:rFonts w:ascii="Arial" w:eastAsia="Times New Roman" w:hAnsi="Arial" w:cs="Arial"/>
          <w:lang w:val="en-GB"/>
        </w:rPr>
        <w:t xml:space="preserve"> 24/150 (16.0%) patients suffered 29</w:t>
      </w:r>
      <w:r>
        <w:rPr>
          <w:rFonts w:ascii="Arial" w:eastAsia="Times New Roman" w:hAnsi="Arial" w:cs="Arial"/>
          <w:lang w:val="en-GB"/>
        </w:rPr>
        <w:t xml:space="preserve"> PERSAEs</w:t>
      </w:r>
      <w:r w:rsidRPr="00725717">
        <w:rPr>
          <w:rFonts w:ascii="Arial" w:eastAsia="Times New Roman" w:hAnsi="Arial" w:cs="Arial"/>
          <w:lang w:val="en-GB"/>
        </w:rPr>
        <w:t xml:space="preserve">. 15 patients suffered worsening respiratory failure requiring either readmission to </w:t>
      </w:r>
      <w:r>
        <w:rPr>
          <w:rFonts w:ascii="Arial" w:eastAsia="Times New Roman" w:hAnsi="Arial" w:cs="Arial"/>
          <w:lang w:val="en-GB"/>
        </w:rPr>
        <w:t>ICU, medical emergency team</w:t>
      </w:r>
      <w:r w:rsidRPr="00725717">
        <w:rPr>
          <w:rFonts w:ascii="Arial" w:eastAsia="Times New Roman" w:hAnsi="Arial" w:cs="Arial"/>
          <w:lang w:val="en-GB"/>
        </w:rPr>
        <w:t xml:space="preserve"> activation, non-invasive ventilation, or reintubation together with specific treatment to manage pleural effusion, of whom five died with irreversible respiratory failure as a contributing cause of death; 8 patients had missed pleural infections diagnosed on subsequent drainages; 1 patient had a missed chylothorax; 1 had a missed lymphoma-related effusion. Delayed drainage complications included 2 drain dislodgements requiring reinsertion; one lung parenchymal placement and 1 bronchopleural fistula on delayed drainage of advanced empyema.</w:t>
      </w:r>
    </w:p>
    <w:p w14:paraId="3AF146CF" w14:textId="77777777" w:rsidR="00F81DDB" w:rsidRPr="00725717" w:rsidRDefault="00F81DDB" w:rsidP="00F81DDB">
      <w:pPr>
        <w:spacing w:after="0" w:line="360" w:lineRule="auto"/>
        <w:jc w:val="both"/>
        <w:rPr>
          <w:rFonts w:ascii="Arial" w:eastAsia="Times New Roman" w:hAnsi="Arial" w:cs="Arial"/>
          <w:lang w:val="en-GB"/>
        </w:rPr>
      </w:pPr>
    </w:p>
    <w:p w14:paraId="553642EC" w14:textId="77777777" w:rsidR="00F81DDB" w:rsidRPr="00725717" w:rsidRDefault="00F81DDB" w:rsidP="00F81DDB">
      <w:pPr>
        <w:spacing w:after="0" w:line="360" w:lineRule="auto"/>
        <w:jc w:val="both"/>
        <w:rPr>
          <w:rFonts w:ascii="Arial" w:eastAsia="Times New Roman" w:hAnsi="Arial" w:cs="Arial"/>
          <w:lang w:val="en-GB"/>
        </w:rPr>
      </w:pPr>
      <w:r w:rsidRPr="00725717">
        <w:rPr>
          <w:rFonts w:ascii="Arial" w:eastAsia="Times New Roman" w:hAnsi="Arial" w:cs="Arial"/>
          <w:lang w:val="en-GB"/>
        </w:rPr>
        <w:t>11 patients suffered 1</w:t>
      </w:r>
      <w:r>
        <w:rPr>
          <w:rFonts w:ascii="Arial" w:eastAsia="Times New Roman" w:hAnsi="Arial" w:cs="Arial"/>
          <w:lang w:val="en-GB"/>
        </w:rPr>
        <w:t>1</w:t>
      </w:r>
      <w:r w:rsidRPr="00725717">
        <w:rPr>
          <w:rFonts w:ascii="Arial" w:eastAsia="Times New Roman" w:hAnsi="Arial" w:cs="Arial"/>
          <w:lang w:val="en-GB"/>
        </w:rPr>
        <w:t xml:space="preserve"> non-PERSAE serious adverse events. </w:t>
      </w:r>
      <w:r>
        <w:rPr>
          <w:rFonts w:ascii="Arial" w:eastAsia="Times New Roman" w:hAnsi="Arial" w:cs="Arial"/>
          <w:lang w:val="en-GB"/>
        </w:rPr>
        <w:t>Eight</w:t>
      </w:r>
      <w:r w:rsidRPr="00725717">
        <w:rPr>
          <w:rFonts w:ascii="Arial" w:eastAsia="Times New Roman" w:hAnsi="Arial" w:cs="Arial"/>
          <w:lang w:val="en-GB"/>
        </w:rPr>
        <w:t xml:space="preserve"> patients developed worsening respiratory failure requiring reintubation deemed unrelated to pleural effusion; </w:t>
      </w:r>
      <w:r>
        <w:rPr>
          <w:rFonts w:ascii="Arial" w:eastAsia="Times New Roman" w:hAnsi="Arial" w:cs="Arial"/>
          <w:lang w:val="en-GB"/>
        </w:rPr>
        <w:t>two</w:t>
      </w:r>
      <w:r w:rsidRPr="00725717">
        <w:rPr>
          <w:rFonts w:ascii="Arial" w:eastAsia="Times New Roman" w:hAnsi="Arial" w:cs="Arial"/>
          <w:lang w:val="en-GB"/>
        </w:rPr>
        <w:t xml:space="preserve"> patient</w:t>
      </w:r>
      <w:r>
        <w:rPr>
          <w:rFonts w:ascii="Arial" w:eastAsia="Times New Roman" w:hAnsi="Arial" w:cs="Arial"/>
          <w:lang w:val="en-GB"/>
        </w:rPr>
        <w:t>s</w:t>
      </w:r>
      <w:r w:rsidRPr="00725717">
        <w:rPr>
          <w:rFonts w:ascii="Arial" w:eastAsia="Times New Roman" w:hAnsi="Arial" w:cs="Arial"/>
          <w:lang w:val="en-GB"/>
        </w:rPr>
        <w:t xml:space="preserve"> developed hospital acquired pneumonia resulting in </w:t>
      </w:r>
      <w:r>
        <w:rPr>
          <w:rFonts w:ascii="Arial" w:eastAsia="Times New Roman" w:hAnsi="Arial" w:cs="Arial"/>
          <w:lang w:val="en-GB"/>
        </w:rPr>
        <w:t xml:space="preserve">readmission or </w:t>
      </w:r>
      <w:r w:rsidRPr="00725717">
        <w:rPr>
          <w:rFonts w:ascii="Arial" w:eastAsia="Times New Roman" w:hAnsi="Arial" w:cs="Arial"/>
          <w:lang w:val="en-GB"/>
        </w:rPr>
        <w:t xml:space="preserve">death; </w:t>
      </w:r>
      <w:r>
        <w:rPr>
          <w:rFonts w:ascii="Arial" w:eastAsia="Times New Roman" w:hAnsi="Arial" w:cs="Arial"/>
          <w:lang w:val="en-GB"/>
        </w:rPr>
        <w:t>one</w:t>
      </w:r>
      <w:r w:rsidRPr="00725717">
        <w:rPr>
          <w:rFonts w:ascii="Arial" w:eastAsia="Times New Roman" w:hAnsi="Arial" w:cs="Arial"/>
          <w:lang w:val="en-GB"/>
        </w:rPr>
        <w:t xml:space="preserve"> developed pneumothora</w:t>
      </w:r>
      <w:r>
        <w:rPr>
          <w:rFonts w:ascii="Arial" w:eastAsia="Times New Roman" w:hAnsi="Arial" w:cs="Arial"/>
          <w:lang w:val="en-GB"/>
        </w:rPr>
        <w:t>x</w:t>
      </w:r>
      <w:r w:rsidRPr="00725717">
        <w:rPr>
          <w:rFonts w:ascii="Arial" w:eastAsia="Times New Roman" w:hAnsi="Arial" w:cs="Arial"/>
          <w:lang w:val="en-GB"/>
        </w:rPr>
        <w:t xml:space="preserve"> </w:t>
      </w:r>
      <w:r>
        <w:rPr>
          <w:rFonts w:ascii="Arial" w:eastAsia="Times New Roman" w:hAnsi="Arial" w:cs="Arial"/>
          <w:lang w:val="en-GB"/>
        </w:rPr>
        <w:t>related to pericardiocentesis</w:t>
      </w:r>
      <w:r w:rsidRPr="00725717">
        <w:rPr>
          <w:rFonts w:ascii="Arial" w:eastAsia="Times New Roman" w:hAnsi="Arial" w:cs="Arial"/>
          <w:lang w:val="en-GB"/>
        </w:rPr>
        <w:t xml:space="preserve">. </w:t>
      </w:r>
    </w:p>
    <w:p w14:paraId="1DB23BC4" w14:textId="77777777" w:rsidR="00F81DDB" w:rsidRPr="00725717" w:rsidRDefault="00F81DDB" w:rsidP="00F81DDB">
      <w:pPr>
        <w:spacing w:after="0" w:line="360" w:lineRule="auto"/>
        <w:jc w:val="both"/>
        <w:rPr>
          <w:rFonts w:ascii="Arial" w:eastAsia="Times New Roman" w:hAnsi="Arial" w:cs="Arial"/>
          <w:lang w:val="en-GB"/>
        </w:rPr>
      </w:pPr>
    </w:p>
    <w:p w14:paraId="59AB947C" w14:textId="77777777" w:rsidR="00F81DDB" w:rsidRPr="00725717" w:rsidRDefault="00F81DDB" w:rsidP="00F81DDB">
      <w:pPr>
        <w:spacing w:after="0" w:line="360" w:lineRule="auto"/>
        <w:jc w:val="both"/>
        <w:rPr>
          <w:rFonts w:ascii="Arial" w:eastAsia="Times New Roman" w:hAnsi="Arial" w:cs="Arial"/>
          <w:lang w:val="en-GB"/>
        </w:rPr>
      </w:pPr>
      <w:r w:rsidRPr="00725717">
        <w:rPr>
          <w:rFonts w:ascii="Arial" w:eastAsia="Times New Roman" w:hAnsi="Arial" w:cs="Arial"/>
          <w:lang w:val="en-GB"/>
        </w:rPr>
        <w:t>Two further patients had non</w:t>
      </w:r>
      <w:r>
        <w:rPr>
          <w:rFonts w:ascii="Arial" w:eastAsia="Times New Roman" w:hAnsi="Arial" w:cs="Arial"/>
          <w:lang w:val="en-GB"/>
        </w:rPr>
        <w:t>-</w:t>
      </w:r>
      <w:r w:rsidRPr="00725717">
        <w:rPr>
          <w:rFonts w:ascii="Arial" w:eastAsia="Times New Roman" w:hAnsi="Arial" w:cs="Arial"/>
          <w:lang w:val="en-GB"/>
        </w:rPr>
        <w:t xml:space="preserve">serious adverse events: one </w:t>
      </w:r>
      <w:r>
        <w:rPr>
          <w:rFonts w:ascii="Arial" w:eastAsia="Times New Roman" w:hAnsi="Arial" w:cs="Arial"/>
          <w:lang w:val="en-GB"/>
        </w:rPr>
        <w:t>with increased oxygen requirement</w:t>
      </w:r>
      <w:r w:rsidRPr="00725717">
        <w:rPr>
          <w:rFonts w:ascii="Arial" w:eastAsia="Times New Roman" w:hAnsi="Arial" w:cs="Arial"/>
          <w:lang w:val="en-GB"/>
        </w:rPr>
        <w:t xml:space="preserve"> </w:t>
      </w:r>
      <w:r>
        <w:rPr>
          <w:rFonts w:ascii="Arial" w:eastAsia="Times New Roman" w:hAnsi="Arial" w:cs="Arial"/>
          <w:lang w:val="en-GB"/>
        </w:rPr>
        <w:t xml:space="preserve">and increased </w:t>
      </w:r>
      <w:r w:rsidRPr="00725717">
        <w:rPr>
          <w:rFonts w:ascii="Arial" w:eastAsia="Times New Roman" w:hAnsi="Arial" w:cs="Arial"/>
          <w:lang w:val="en-GB"/>
        </w:rPr>
        <w:t>pleural effusion</w:t>
      </w:r>
      <w:r>
        <w:rPr>
          <w:rFonts w:ascii="Arial" w:eastAsia="Times New Roman" w:hAnsi="Arial" w:cs="Arial"/>
          <w:lang w:val="en-GB"/>
        </w:rPr>
        <w:t xml:space="preserve"> that was not drained prior to</w:t>
      </w:r>
      <w:r w:rsidRPr="00725717">
        <w:rPr>
          <w:rFonts w:ascii="Arial" w:eastAsia="Times New Roman" w:hAnsi="Arial" w:cs="Arial"/>
          <w:lang w:val="en-GB"/>
        </w:rPr>
        <w:t xml:space="preserve"> discharge from hospital; the other persisting </w:t>
      </w:r>
      <w:r>
        <w:rPr>
          <w:rFonts w:ascii="Arial" w:eastAsia="Times New Roman" w:hAnsi="Arial" w:cs="Arial"/>
          <w:lang w:val="en-GB"/>
        </w:rPr>
        <w:t xml:space="preserve">pleural effusion and dyspnoea at outpatient </w:t>
      </w:r>
      <w:r w:rsidRPr="00725717">
        <w:rPr>
          <w:rFonts w:ascii="Arial" w:eastAsia="Times New Roman" w:hAnsi="Arial" w:cs="Arial"/>
          <w:lang w:val="en-GB"/>
        </w:rPr>
        <w:t>follow up</w:t>
      </w:r>
      <w:r>
        <w:rPr>
          <w:rFonts w:ascii="Arial" w:eastAsia="Times New Roman" w:hAnsi="Arial" w:cs="Arial"/>
          <w:lang w:val="en-GB"/>
        </w:rPr>
        <w:t xml:space="preserve"> 10 weeks after hospital discharge</w:t>
      </w:r>
      <w:r w:rsidRPr="00725717">
        <w:rPr>
          <w:rFonts w:ascii="Arial" w:eastAsia="Times New Roman" w:hAnsi="Arial" w:cs="Arial"/>
          <w:lang w:val="en-GB"/>
        </w:rPr>
        <w:t>.</w:t>
      </w:r>
    </w:p>
    <w:p w14:paraId="5A62338A" w14:textId="77777777" w:rsidR="00F81DDB" w:rsidRDefault="00F81DDB" w:rsidP="0035270B">
      <w:pPr>
        <w:spacing w:after="0" w:line="360" w:lineRule="auto"/>
        <w:jc w:val="both"/>
        <w:rPr>
          <w:rFonts w:ascii="Arial" w:eastAsia="Times New Roman" w:hAnsi="Arial" w:cs="Arial"/>
          <w:lang w:val="en-GB"/>
        </w:rPr>
      </w:pPr>
    </w:p>
    <w:p w14:paraId="0325CCF5" w14:textId="77777777" w:rsidR="006C6C78" w:rsidRPr="006C6C78" w:rsidRDefault="00F81DDB" w:rsidP="0035270B">
      <w:pPr>
        <w:spacing w:after="0" w:line="360" w:lineRule="auto"/>
        <w:jc w:val="both"/>
        <w:rPr>
          <w:rFonts w:ascii="Arial" w:eastAsia="Times New Roman" w:hAnsi="Arial" w:cs="Arial"/>
          <w:u w:val="single"/>
          <w:lang w:val="en-GB"/>
        </w:rPr>
      </w:pPr>
      <w:r w:rsidRPr="006C6C78">
        <w:rPr>
          <w:rFonts w:ascii="Arial" w:eastAsia="Times New Roman" w:hAnsi="Arial" w:cs="Arial"/>
          <w:i/>
          <w:u w:val="single"/>
          <w:lang w:val="en-GB"/>
        </w:rPr>
        <w:t>Oxygenation effects in delayed drainage procedures:</w:t>
      </w:r>
      <w:r w:rsidRPr="006C6C78">
        <w:rPr>
          <w:rFonts w:ascii="Arial" w:eastAsia="Times New Roman" w:hAnsi="Arial" w:cs="Arial"/>
          <w:u w:val="single"/>
          <w:lang w:val="en-GB"/>
        </w:rPr>
        <w:t xml:space="preserve"> </w:t>
      </w:r>
    </w:p>
    <w:p w14:paraId="76B31F15" w14:textId="5C34934A" w:rsidR="00F81DDB" w:rsidRPr="00F81DDB" w:rsidRDefault="00F81DDB" w:rsidP="0035270B">
      <w:pPr>
        <w:spacing w:after="0" w:line="360" w:lineRule="auto"/>
        <w:jc w:val="both"/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lang w:val="en-GB"/>
        </w:rPr>
        <w:t>15/27 (55.6%) patients remained in the ICU and had complete P:F ratio data. M</w:t>
      </w:r>
      <w:r w:rsidRPr="00725717">
        <w:rPr>
          <w:rFonts w:ascii="Arial" w:eastAsia="Times New Roman" w:hAnsi="Arial" w:cs="Arial"/>
          <w:lang w:val="en-GB"/>
        </w:rPr>
        <w:t xml:space="preserve">ean P:F ratio pre-drainage was 197 (+/- 58.0) and this increased to 269.1 (+/- 65.8, </w:t>
      </w:r>
      <w:r w:rsidRPr="00725717">
        <w:rPr>
          <w:rFonts w:ascii="Arial" w:eastAsia="Times New Roman" w:hAnsi="Arial" w:cs="Arial"/>
          <w:i/>
          <w:lang w:val="en-GB"/>
        </w:rPr>
        <w:t>p</w:t>
      </w:r>
      <w:r w:rsidRPr="00725717">
        <w:rPr>
          <w:rFonts w:ascii="Arial" w:eastAsia="Times New Roman" w:hAnsi="Arial" w:cs="Arial"/>
          <w:lang w:val="en-GB"/>
        </w:rPr>
        <w:t xml:space="preserve">&lt;0.01, 35.1%) at 24 hours and 260.0 (+/- 80.6, </w:t>
      </w:r>
      <w:r w:rsidRPr="00725717">
        <w:rPr>
          <w:rFonts w:ascii="Arial" w:eastAsia="Times New Roman" w:hAnsi="Arial" w:cs="Arial"/>
          <w:i/>
          <w:lang w:val="en-GB"/>
        </w:rPr>
        <w:t>p</w:t>
      </w:r>
      <w:r w:rsidRPr="00725717">
        <w:rPr>
          <w:rFonts w:ascii="Arial" w:eastAsia="Times New Roman" w:hAnsi="Arial" w:cs="Arial"/>
          <w:lang w:val="en-GB"/>
        </w:rPr>
        <w:t>=0.05, 32.0%) at 48 hours after drainage. None of these patients had a significant decrease in P:F ratio.</w:t>
      </w:r>
    </w:p>
    <w:p w14:paraId="50BC592C" w14:textId="77777777" w:rsidR="00F81DDB" w:rsidRDefault="00F81DDB" w:rsidP="0035270B">
      <w:pPr>
        <w:spacing w:after="0" w:line="360" w:lineRule="auto"/>
        <w:jc w:val="both"/>
        <w:rPr>
          <w:rFonts w:ascii="Arial" w:eastAsia="Times New Roman" w:hAnsi="Arial" w:cs="Arial"/>
          <w:i/>
          <w:lang w:val="en-GB"/>
        </w:rPr>
      </w:pPr>
    </w:p>
    <w:p w14:paraId="65E09AD2" w14:textId="77777777" w:rsidR="006C6C78" w:rsidRDefault="0035270B" w:rsidP="0035270B">
      <w:pPr>
        <w:spacing w:after="0" w:line="360" w:lineRule="auto"/>
        <w:jc w:val="both"/>
        <w:rPr>
          <w:rFonts w:ascii="Arial" w:eastAsia="Times New Roman" w:hAnsi="Arial" w:cs="Arial"/>
          <w:lang w:val="en-GB"/>
        </w:rPr>
      </w:pPr>
      <w:r w:rsidRPr="006C6C78">
        <w:rPr>
          <w:rFonts w:ascii="Arial" w:eastAsia="Times New Roman" w:hAnsi="Arial" w:cs="Arial"/>
          <w:i/>
          <w:u w:val="single"/>
          <w:lang w:val="en-GB"/>
        </w:rPr>
        <w:t xml:space="preserve">Details of drainage </w:t>
      </w:r>
      <w:r w:rsidR="00F81DDB" w:rsidRPr="006C6C78">
        <w:rPr>
          <w:rFonts w:ascii="Arial" w:eastAsia="Times New Roman" w:hAnsi="Arial" w:cs="Arial"/>
          <w:i/>
          <w:u w:val="single"/>
          <w:lang w:val="en-GB"/>
        </w:rPr>
        <w:t xml:space="preserve">procedure </w:t>
      </w:r>
      <w:r w:rsidRPr="006C6C78">
        <w:rPr>
          <w:rFonts w:ascii="Arial" w:eastAsia="Times New Roman" w:hAnsi="Arial" w:cs="Arial"/>
          <w:i/>
          <w:u w:val="single"/>
          <w:lang w:val="en-GB"/>
        </w:rPr>
        <w:t>technique</w:t>
      </w:r>
      <w:r w:rsidR="00F81DDB" w:rsidRPr="006C6C78">
        <w:rPr>
          <w:rFonts w:ascii="Arial" w:eastAsia="Times New Roman" w:hAnsi="Arial" w:cs="Arial"/>
          <w:i/>
          <w:u w:val="single"/>
          <w:lang w:val="en-GB"/>
        </w:rPr>
        <w:t>s</w:t>
      </w:r>
      <w:r w:rsidRPr="006C6C78">
        <w:rPr>
          <w:rFonts w:ascii="Arial" w:eastAsia="Times New Roman" w:hAnsi="Arial" w:cs="Arial"/>
          <w:i/>
          <w:u w:val="single"/>
          <w:lang w:val="en-GB"/>
        </w:rPr>
        <w:t>:</w:t>
      </w:r>
      <w:r>
        <w:rPr>
          <w:rFonts w:ascii="Arial" w:eastAsia="Times New Roman" w:hAnsi="Arial" w:cs="Arial"/>
          <w:lang w:val="en-GB"/>
        </w:rPr>
        <w:t xml:space="preserve"> </w:t>
      </w:r>
    </w:p>
    <w:p w14:paraId="621C6DB9" w14:textId="74A05283" w:rsidR="0035270B" w:rsidRDefault="0035270B" w:rsidP="0035270B">
      <w:pPr>
        <w:spacing w:after="0" w:line="360" w:lineRule="auto"/>
        <w:jc w:val="both"/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lang w:val="en-GB"/>
        </w:rPr>
        <w:t xml:space="preserve">81/137 (59.1%) used “small bore” (&lt;16Fr) chest tubes, 50/137 (36.5%) “large bore” chest tubes and six were thoracenteses. All </w:t>
      </w:r>
      <w:proofErr w:type="gramStart"/>
      <w:r>
        <w:rPr>
          <w:rFonts w:ascii="Arial" w:eastAsia="Times New Roman" w:hAnsi="Arial" w:cs="Arial"/>
          <w:lang w:val="en-GB"/>
        </w:rPr>
        <w:t>small bore</w:t>
      </w:r>
      <w:proofErr w:type="gramEnd"/>
      <w:r>
        <w:rPr>
          <w:rFonts w:ascii="Arial" w:eastAsia="Times New Roman" w:hAnsi="Arial" w:cs="Arial"/>
          <w:lang w:val="en-GB"/>
        </w:rPr>
        <w:t xml:space="preserve"> tubes and 13 large bore tubes were inserted using a modified </w:t>
      </w:r>
      <w:proofErr w:type="spellStart"/>
      <w:r>
        <w:rPr>
          <w:rFonts w:ascii="Arial" w:eastAsia="Times New Roman" w:hAnsi="Arial" w:cs="Arial"/>
          <w:lang w:val="en-GB"/>
        </w:rPr>
        <w:t>Seldinger</w:t>
      </w:r>
      <w:proofErr w:type="spellEnd"/>
      <w:r>
        <w:rPr>
          <w:rFonts w:ascii="Arial" w:eastAsia="Times New Roman" w:hAnsi="Arial" w:cs="Arial"/>
          <w:lang w:val="en-GB"/>
        </w:rPr>
        <w:t xml:space="preserve"> technique. 30/137 (21.9%) of procedures were performed outside the ICU. Seven procedures were performed in the operating theatre</w:t>
      </w:r>
      <w:r w:rsidRPr="005D3065">
        <w:rPr>
          <w:rFonts w:ascii="Arial" w:eastAsia="Times New Roman" w:hAnsi="Arial" w:cs="Arial"/>
          <w:lang w:val="en-GB"/>
        </w:rPr>
        <w:t xml:space="preserve"> </w:t>
      </w:r>
      <w:r>
        <w:rPr>
          <w:rFonts w:ascii="Arial" w:eastAsia="Times New Roman" w:hAnsi="Arial" w:cs="Arial"/>
          <w:lang w:val="en-GB"/>
        </w:rPr>
        <w:t xml:space="preserve">and three in the radiology department whilst the patient remained under the care of the ICU and 20 on the ward after ICU discharge. </w:t>
      </w:r>
    </w:p>
    <w:p w14:paraId="77AA3B41" w14:textId="77777777" w:rsidR="0035270B" w:rsidRDefault="0035270B" w:rsidP="0035270B">
      <w:pPr>
        <w:spacing w:after="0" w:line="360" w:lineRule="auto"/>
        <w:jc w:val="both"/>
        <w:rPr>
          <w:rFonts w:ascii="Arial" w:eastAsia="Times New Roman" w:hAnsi="Arial" w:cs="Arial"/>
          <w:lang w:val="en-GB"/>
        </w:rPr>
      </w:pPr>
    </w:p>
    <w:p w14:paraId="458A5ED4" w14:textId="77777777" w:rsidR="006C6C78" w:rsidRDefault="0035270B" w:rsidP="0035270B">
      <w:pPr>
        <w:spacing w:after="0" w:line="360" w:lineRule="auto"/>
        <w:jc w:val="both"/>
        <w:rPr>
          <w:rFonts w:ascii="Arial" w:hAnsi="Arial" w:cs="Arial"/>
        </w:rPr>
      </w:pPr>
      <w:r w:rsidRPr="006C6C78">
        <w:rPr>
          <w:rFonts w:ascii="Arial" w:eastAsia="Times New Roman" w:hAnsi="Arial" w:cs="Arial"/>
          <w:i/>
          <w:u w:val="single"/>
          <w:lang w:val="en-GB"/>
        </w:rPr>
        <w:t>Successful drainage procedures:</w:t>
      </w:r>
      <w:r>
        <w:rPr>
          <w:rFonts w:ascii="Arial" w:eastAsia="Times New Roman" w:hAnsi="Arial" w:cs="Arial"/>
          <w:i/>
          <w:lang w:val="en-GB"/>
        </w:rPr>
        <w:t xml:space="preserve"> </w:t>
      </w:r>
    </w:p>
    <w:p w14:paraId="58B01FC7" w14:textId="6864D2F0" w:rsidR="0035270B" w:rsidRPr="00384D1C" w:rsidRDefault="0035270B" w:rsidP="0035270B">
      <w:pPr>
        <w:spacing w:after="0" w:line="360" w:lineRule="auto"/>
        <w:jc w:val="both"/>
        <w:rPr>
          <w:rFonts w:ascii="Arial" w:eastAsia="Times New Roman" w:hAnsi="Arial" w:cs="Arial"/>
          <w:i/>
          <w:lang w:val="en-GB"/>
        </w:rPr>
      </w:pPr>
      <w:r>
        <w:rPr>
          <w:rFonts w:ascii="Arial" w:hAnsi="Arial" w:cs="Arial"/>
        </w:rPr>
        <w:t>103 patients underwent drainage procedures at some time point. Beneficial determinants of successful drainage</w:t>
      </w:r>
      <w:r w:rsidRPr="00725717">
        <w:rPr>
          <w:rFonts w:ascii="Arial" w:hAnsi="Arial" w:cs="Arial"/>
        </w:rPr>
        <w:t xml:space="preserve"> included improved P:F ratio at 24 hours; ability to wean from NIV and/or extubate; change in </w:t>
      </w:r>
      <w:proofErr w:type="gramStart"/>
      <w:r w:rsidRPr="00725717">
        <w:rPr>
          <w:rFonts w:ascii="Arial" w:hAnsi="Arial" w:cs="Arial"/>
        </w:rPr>
        <w:t>clinicians</w:t>
      </w:r>
      <w:proofErr w:type="gramEnd"/>
      <w:r w:rsidRPr="00725717">
        <w:rPr>
          <w:rFonts w:ascii="Arial" w:hAnsi="Arial" w:cs="Arial"/>
        </w:rPr>
        <w:t xml:space="preserve"> diagnosis and change in clinicians treatment as a result of drainage.</w:t>
      </w:r>
      <w:r>
        <w:rPr>
          <w:rFonts w:ascii="Arial" w:hAnsi="Arial" w:cs="Arial"/>
        </w:rPr>
        <w:t xml:space="preserve"> </w:t>
      </w:r>
      <w:r w:rsidRPr="00725717">
        <w:rPr>
          <w:rFonts w:ascii="Arial" w:hAnsi="Arial" w:cs="Arial"/>
        </w:rPr>
        <w:t>90/103 (87.4%) of patients derived at least one benefit of drainage</w:t>
      </w:r>
      <w:r>
        <w:rPr>
          <w:rFonts w:ascii="Arial" w:hAnsi="Arial" w:cs="Arial"/>
        </w:rPr>
        <w:t>(s)</w:t>
      </w:r>
      <w:r w:rsidRPr="00725717">
        <w:rPr>
          <w:rFonts w:ascii="Arial" w:hAnsi="Arial" w:cs="Arial"/>
        </w:rPr>
        <w:t xml:space="preserve"> without any PERSAE’s and 79/103 (76.7%) had at least one benefit without any adverse event (complete success).</w:t>
      </w:r>
    </w:p>
    <w:p w14:paraId="77BFF62C" w14:textId="77777777" w:rsidR="0035270B" w:rsidRPr="00725717" w:rsidRDefault="0035270B" w:rsidP="0035270B">
      <w:pPr>
        <w:spacing w:after="0" w:line="360" w:lineRule="auto"/>
        <w:jc w:val="both"/>
        <w:rPr>
          <w:rFonts w:ascii="Arial" w:eastAsia="Times New Roman" w:hAnsi="Arial" w:cs="Arial"/>
          <w:lang w:val="en-GB"/>
        </w:rPr>
      </w:pPr>
    </w:p>
    <w:p w14:paraId="4786E2E3" w14:textId="77777777" w:rsidR="00257B88" w:rsidRDefault="008F7267"/>
    <w:p w14:paraId="1CBB03FF" w14:textId="77777777" w:rsidR="0035270B" w:rsidRDefault="0035270B"/>
    <w:sectPr w:rsidR="0035270B" w:rsidSect="006A137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70B"/>
    <w:rsid w:val="00000017"/>
    <w:rsid w:val="00002A2F"/>
    <w:rsid w:val="000078A0"/>
    <w:rsid w:val="0001636D"/>
    <w:rsid w:val="00061805"/>
    <w:rsid w:val="0007430F"/>
    <w:rsid w:val="00085B3C"/>
    <w:rsid w:val="00087306"/>
    <w:rsid w:val="000A699D"/>
    <w:rsid w:val="000B044A"/>
    <w:rsid w:val="000E7ACD"/>
    <w:rsid w:val="000F084B"/>
    <w:rsid w:val="000F5AC0"/>
    <w:rsid w:val="000F69F7"/>
    <w:rsid w:val="000F7C75"/>
    <w:rsid w:val="00100D6B"/>
    <w:rsid w:val="001058A5"/>
    <w:rsid w:val="001744ED"/>
    <w:rsid w:val="001A7FFC"/>
    <w:rsid w:val="001C3EAF"/>
    <w:rsid w:val="001F6B0D"/>
    <w:rsid w:val="00237DA9"/>
    <w:rsid w:val="00286215"/>
    <w:rsid w:val="0029476E"/>
    <w:rsid w:val="002D3F25"/>
    <w:rsid w:val="002E7C93"/>
    <w:rsid w:val="002F7E2B"/>
    <w:rsid w:val="00314726"/>
    <w:rsid w:val="00316F47"/>
    <w:rsid w:val="00332495"/>
    <w:rsid w:val="003341C9"/>
    <w:rsid w:val="00334F9A"/>
    <w:rsid w:val="00336617"/>
    <w:rsid w:val="00340D91"/>
    <w:rsid w:val="0035270B"/>
    <w:rsid w:val="00353F02"/>
    <w:rsid w:val="00362484"/>
    <w:rsid w:val="0037416E"/>
    <w:rsid w:val="003B010A"/>
    <w:rsid w:val="003C5DCA"/>
    <w:rsid w:val="003E0483"/>
    <w:rsid w:val="003F0F00"/>
    <w:rsid w:val="0040268E"/>
    <w:rsid w:val="004119C9"/>
    <w:rsid w:val="004333E8"/>
    <w:rsid w:val="00450E6D"/>
    <w:rsid w:val="00466959"/>
    <w:rsid w:val="00494312"/>
    <w:rsid w:val="00494BC1"/>
    <w:rsid w:val="005315E4"/>
    <w:rsid w:val="00544E73"/>
    <w:rsid w:val="00593732"/>
    <w:rsid w:val="005D43C8"/>
    <w:rsid w:val="005F446B"/>
    <w:rsid w:val="0060266A"/>
    <w:rsid w:val="00614289"/>
    <w:rsid w:val="00616B6A"/>
    <w:rsid w:val="006337AB"/>
    <w:rsid w:val="00691D69"/>
    <w:rsid w:val="00693F64"/>
    <w:rsid w:val="006A1370"/>
    <w:rsid w:val="006C4CF4"/>
    <w:rsid w:val="006C6C78"/>
    <w:rsid w:val="006D3813"/>
    <w:rsid w:val="006D3DC2"/>
    <w:rsid w:val="007368EE"/>
    <w:rsid w:val="0078096E"/>
    <w:rsid w:val="00790309"/>
    <w:rsid w:val="00793229"/>
    <w:rsid w:val="007973FF"/>
    <w:rsid w:val="007E0D26"/>
    <w:rsid w:val="007E12C9"/>
    <w:rsid w:val="007E2D91"/>
    <w:rsid w:val="00806F0D"/>
    <w:rsid w:val="0082643E"/>
    <w:rsid w:val="00846FF3"/>
    <w:rsid w:val="0088564B"/>
    <w:rsid w:val="008A1729"/>
    <w:rsid w:val="008D34DE"/>
    <w:rsid w:val="008E5361"/>
    <w:rsid w:val="008F7267"/>
    <w:rsid w:val="00911EE5"/>
    <w:rsid w:val="00933891"/>
    <w:rsid w:val="009452FE"/>
    <w:rsid w:val="009A535C"/>
    <w:rsid w:val="00A17708"/>
    <w:rsid w:val="00A41615"/>
    <w:rsid w:val="00A43DFC"/>
    <w:rsid w:val="00A95207"/>
    <w:rsid w:val="00AC5F75"/>
    <w:rsid w:val="00B1749A"/>
    <w:rsid w:val="00B27BB5"/>
    <w:rsid w:val="00B32A21"/>
    <w:rsid w:val="00B37220"/>
    <w:rsid w:val="00B37BD6"/>
    <w:rsid w:val="00B432BE"/>
    <w:rsid w:val="00B52539"/>
    <w:rsid w:val="00BA4F35"/>
    <w:rsid w:val="00BC7616"/>
    <w:rsid w:val="00BE28AC"/>
    <w:rsid w:val="00C041DC"/>
    <w:rsid w:val="00C158B6"/>
    <w:rsid w:val="00C17594"/>
    <w:rsid w:val="00C200E1"/>
    <w:rsid w:val="00C5464D"/>
    <w:rsid w:val="00CB0257"/>
    <w:rsid w:val="00CB53E3"/>
    <w:rsid w:val="00CB5AC3"/>
    <w:rsid w:val="00CB7C71"/>
    <w:rsid w:val="00D15746"/>
    <w:rsid w:val="00D15809"/>
    <w:rsid w:val="00D17CF0"/>
    <w:rsid w:val="00D821E6"/>
    <w:rsid w:val="00DA2214"/>
    <w:rsid w:val="00DD1BFB"/>
    <w:rsid w:val="00DF0B1C"/>
    <w:rsid w:val="00E11A39"/>
    <w:rsid w:val="00E76E9E"/>
    <w:rsid w:val="00EB5750"/>
    <w:rsid w:val="00ED2FEA"/>
    <w:rsid w:val="00ED367C"/>
    <w:rsid w:val="00EE60B7"/>
    <w:rsid w:val="00F50EDE"/>
    <w:rsid w:val="00F54ED7"/>
    <w:rsid w:val="00F65896"/>
    <w:rsid w:val="00F7625A"/>
    <w:rsid w:val="00F81DDB"/>
    <w:rsid w:val="00FB5B7B"/>
    <w:rsid w:val="00FF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7750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70B"/>
    <w:pPr>
      <w:spacing w:after="160" w:line="259" w:lineRule="auto"/>
    </w:pPr>
    <w:rPr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5270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270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270B"/>
    <w:rPr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DD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DDB"/>
    <w:rPr>
      <w:rFonts w:ascii="Times New Roman" w:hAnsi="Times New Roman" w:cs="Times New Roman"/>
      <w:sz w:val="18"/>
      <w:szCs w:val="18"/>
      <w:lang w:val="en-AU"/>
    </w:rPr>
  </w:style>
  <w:style w:type="table" w:styleId="TableGrid">
    <w:name w:val="Table Grid"/>
    <w:basedOn w:val="TableNormal"/>
    <w:uiPriority w:val="39"/>
    <w:rsid w:val="00BA4F35"/>
    <w:rPr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Fysh</dc:creator>
  <cp:keywords/>
  <dc:description/>
  <cp:lastModifiedBy>Baeuerlein, Christopher</cp:lastModifiedBy>
  <cp:revision>4</cp:revision>
  <dcterms:created xsi:type="dcterms:W3CDTF">2019-08-13T01:44:00Z</dcterms:created>
  <dcterms:modified xsi:type="dcterms:W3CDTF">2019-12-31T16:52:00Z</dcterms:modified>
</cp:coreProperties>
</file>