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0FE83" w14:textId="77777777" w:rsidR="00881CA4" w:rsidRDefault="00881CA4" w:rsidP="00881CA4">
      <w:pPr>
        <w:spacing w:line="360" w:lineRule="auto"/>
        <w:jc w:val="center"/>
        <w:rPr>
          <w:rFonts w:cs="Arial"/>
          <w:b/>
          <w:bCs/>
          <w:sz w:val="36"/>
          <w:szCs w:val="36"/>
          <w:lang w:val="en-US"/>
        </w:rPr>
      </w:pPr>
      <w:r w:rsidRPr="00551006">
        <w:rPr>
          <w:rFonts w:cs="Arial"/>
          <w:b/>
          <w:bCs/>
          <w:sz w:val="36"/>
          <w:szCs w:val="36"/>
          <w:lang w:val="en-US"/>
        </w:rPr>
        <w:t>Skeletal muscle composition predicts outcome in critically ill patients</w:t>
      </w:r>
    </w:p>
    <w:p w14:paraId="49409871" w14:textId="77777777" w:rsidR="00881CA4" w:rsidRPr="004E1342" w:rsidRDefault="00881CA4" w:rsidP="00881CA4">
      <w:pPr>
        <w:spacing w:line="240" w:lineRule="auto"/>
        <w:rPr>
          <w:rFonts w:cs="Arial"/>
          <w:b/>
          <w:bCs/>
          <w:sz w:val="32"/>
          <w:szCs w:val="32"/>
          <w:lang w:val="en-US"/>
        </w:rPr>
      </w:pPr>
    </w:p>
    <w:p w14:paraId="61A65992" w14:textId="77777777" w:rsidR="00931197" w:rsidRPr="004E1342" w:rsidRDefault="00931197" w:rsidP="00931197">
      <w:pPr>
        <w:rPr>
          <w:rFonts w:cs="Arial"/>
          <w:sz w:val="21"/>
          <w:szCs w:val="22"/>
          <w:vertAlign w:val="superscript"/>
          <w:lang w:val="en-US"/>
        </w:rPr>
      </w:pPr>
      <w:r w:rsidRPr="004E1342">
        <w:rPr>
          <w:rFonts w:cs="Arial"/>
          <w:sz w:val="21"/>
          <w:szCs w:val="22"/>
          <w:lang w:val="en-US"/>
        </w:rPr>
        <w:t>Sven H. Loosen</w:t>
      </w:r>
      <w:r w:rsidRPr="004E1342">
        <w:rPr>
          <w:rFonts w:cs="Arial"/>
          <w:sz w:val="21"/>
          <w:szCs w:val="22"/>
          <w:vertAlign w:val="superscript"/>
          <w:lang w:val="en-US"/>
        </w:rPr>
        <w:t>1</w:t>
      </w:r>
      <w:r>
        <w:rPr>
          <w:rFonts w:cs="Arial"/>
          <w:sz w:val="21"/>
          <w:szCs w:val="22"/>
          <w:vertAlign w:val="superscript"/>
          <w:lang w:val="en-US"/>
        </w:rPr>
        <w:t>,*</w:t>
      </w:r>
      <w:r w:rsidRPr="004E1342">
        <w:rPr>
          <w:rFonts w:cs="Arial"/>
          <w:sz w:val="21"/>
          <w:szCs w:val="22"/>
          <w:lang w:val="en-US"/>
        </w:rPr>
        <w:t xml:space="preserve">, </w:t>
      </w:r>
      <w:r>
        <w:rPr>
          <w:rFonts w:cs="Arial"/>
          <w:sz w:val="21"/>
          <w:szCs w:val="22"/>
          <w:lang w:val="en-US"/>
        </w:rPr>
        <w:t xml:space="preserve">MD; </w:t>
      </w:r>
      <w:r w:rsidRPr="004E1342">
        <w:rPr>
          <w:rFonts w:cs="Arial"/>
          <w:sz w:val="21"/>
          <w:szCs w:val="22"/>
          <w:lang w:val="en-US"/>
        </w:rPr>
        <w:t>Maximilian Schulze-Hagen</w:t>
      </w:r>
      <w:r w:rsidRPr="004E1342">
        <w:rPr>
          <w:rFonts w:cs="Arial"/>
          <w:sz w:val="21"/>
          <w:szCs w:val="22"/>
          <w:vertAlign w:val="superscript"/>
          <w:lang w:val="en-US"/>
        </w:rPr>
        <w:t>2</w:t>
      </w:r>
      <w:r>
        <w:rPr>
          <w:rFonts w:cs="Arial"/>
          <w:sz w:val="21"/>
          <w:szCs w:val="22"/>
          <w:vertAlign w:val="superscript"/>
          <w:lang w:val="en-US"/>
        </w:rPr>
        <w:t>,*</w:t>
      </w:r>
      <w:r w:rsidRPr="004E1342">
        <w:rPr>
          <w:rFonts w:cs="Arial"/>
          <w:sz w:val="21"/>
          <w:szCs w:val="22"/>
          <w:lang w:val="en-US"/>
        </w:rPr>
        <w:t xml:space="preserve">, </w:t>
      </w:r>
      <w:r>
        <w:rPr>
          <w:rFonts w:cs="Arial"/>
          <w:sz w:val="21"/>
          <w:szCs w:val="22"/>
          <w:lang w:val="en-US"/>
        </w:rPr>
        <w:t xml:space="preserve">MD; </w:t>
      </w:r>
      <w:r w:rsidRPr="004E1342">
        <w:rPr>
          <w:rFonts w:cs="Arial"/>
          <w:sz w:val="21"/>
          <w:szCs w:val="22"/>
          <w:lang w:val="en-US"/>
        </w:rPr>
        <w:t>Tobias Püngel</w:t>
      </w:r>
      <w:r w:rsidRPr="004E1342">
        <w:rPr>
          <w:rFonts w:cs="Arial"/>
          <w:sz w:val="21"/>
          <w:szCs w:val="22"/>
          <w:vertAlign w:val="superscript"/>
          <w:lang w:val="en-US"/>
        </w:rPr>
        <w:t>1</w:t>
      </w:r>
      <w:r>
        <w:rPr>
          <w:rFonts w:cs="Arial"/>
          <w:sz w:val="21"/>
          <w:szCs w:val="22"/>
          <w:vertAlign w:val="superscript"/>
          <w:lang w:val="en-US"/>
        </w:rPr>
        <w:t>,*</w:t>
      </w:r>
      <w:r w:rsidRPr="004E1342">
        <w:rPr>
          <w:rFonts w:cs="Arial"/>
          <w:sz w:val="21"/>
          <w:szCs w:val="22"/>
          <w:lang w:val="en-US"/>
        </w:rPr>
        <w:t xml:space="preserve">, </w:t>
      </w:r>
      <w:r>
        <w:rPr>
          <w:rFonts w:cs="Arial"/>
          <w:sz w:val="21"/>
          <w:szCs w:val="22"/>
          <w:lang w:val="en-US"/>
        </w:rPr>
        <w:t xml:space="preserve">MD; </w:t>
      </w:r>
      <w:r w:rsidRPr="004E1342">
        <w:rPr>
          <w:rFonts w:cs="Arial"/>
          <w:sz w:val="21"/>
          <w:szCs w:val="22"/>
          <w:lang w:val="en-US"/>
        </w:rPr>
        <w:t>Lukas Bündgens</w:t>
      </w:r>
      <w:r w:rsidRPr="004E1342">
        <w:rPr>
          <w:rFonts w:cs="Arial"/>
          <w:sz w:val="21"/>
          <w:szCs w:val="22"/>
          <w:vertAlign w:val="superscript"/>
          <w:lang w:val="en-US"/>
        </w:rPr>
        <w:t>1</w:t>
      </w:r>
      <w:r w:rsidRPr="004E1342">
        <w:rPr>
          <w:rFonts w:cs="Arial"/>
          <w:sz w:val="21"/>
          <w:szCs w:val="22"/>
          <w:lang w:val="en-US"/>
        </w:rPr>
        <w:t xml:space="preserve">, </w:t>
      </w:r>
      <w:r>
        <w:rPr>
          <w:rFonts w:cs="Arial"/>
          <w:sz w:val="21"/>
          <w:szCs w:val="22"/>
          <w:lang w:val="en-US"/>
        </w:rPr>
        <w:t xml:space="preserve">MD; </w:t>
      </w:r>
      <w:r w:rsidRPr="004E1342">
        <w:rPr>
          <w:rFonts w:cs="Arial"/>
          <w:sz w:val="21"/>
          <w:szCs w:val="22"/>
          <w:lang w:val="en-US"/>
        </w:rPr>
        <w:t>Theresa Wirtz</w:t>
      </w:r>
      <w:r w:rsidRPr="004E1342">
        <w:rPr>
          <w:rFonts w:cs="Arial"/>
          <w:sz w:val="21"/>
          <w:szCs w:val="22"/>
          <w:vertAlign w:val="superscript"/>
          <w:lang w:val="en-US"/>
        </w:rPr>
        <w:t>1</w:t>
      </w:r>
      <w:r w:rsidRPr="004E1342">
        <w:rPr>
          <w:rFonts w:cs="Arial"/>
          <w:sz w:val="21"/>
          <w:szCs w:val="22"/>
          <w:lang w:val="en-US"/>
        </w:rPr>
        <w:t xml:space="preserve">, </w:t>
      </w:r>
      <w:r>
        <w:rPr>
          <w:rFonts w:cs="Arial"/>
          <w:sz w:val="21"/>
          <w:szCs w:val="22"/>
          <w:lang w:val="en-US"/>
        </w:rPr>
        <w:t>MD; Jakob N. Kather</w:t>
      </w:r>
      <w:r w:rsidRPr="004E1342">
        <w:rPr>
          <w:rFonts w:cs="Arial"/>
          <w:sz w:val="21"/>
          <w:szCs w:val="22"/>
          <w:vertAlign w:val="superscript"/>
          <w:lang w:val="en-US"/>
        </w:rPr>
        <w:t>1</w:t>
      </w:r>
      <w:r>
        <w:rPr>
          <w:rFonts w:cs="Arial"/>
          <w:sz w:val="21"/>
          <w:szCs w:val="22"/>
          <w:lang w:val="en-US"/>
        </w:rPr>
        <w:t xml:space="preserve">, MD; </w:t>
      </w:r>
      <w:proofErr w:type="spellStart"/>
      <w:r w:rsidRPr="004E1342">
        <w:rPr>
          <w:rFonts w:cs="Arial"/>
          <w:sz w:val="21"/>
          <w:szCs w:val="22"/>
          <w:lang w:val="en-US"/>
        </w:rPr>
        <w:t>Mihael</w:t>
      </w:r>
      <w:proofErr w:type="spellEnd"/>
      <w:r w:rsidRPr="004E1342">
        <w:rPr>
          <w:rFonts w:cs="Arial"/>
          <w:sz w:val="21"/>
          <w:szCs w:val="22"/>
          <w:lang w:val="en-US"/>
        </w:rPr>
        <w:t xml:space="preserve"> Vucur</w:t>
      </w:r>
      <w:r w:rsidRPr="004E1342">
        <w:rPr>
          <w:rFonts w:cs="Arial"/>
          <w:sz w:val="21"/>
          <w:szCs w:val="22"/>
          <w:vertAlign w:val="superscript"/>
          <w:lang w:val="en-US"/>
        </w:rPr>
        <w:t>3</w:t>
      </w:r>
      <w:r w:rsidRPr="004E1342">
        <w:rPr>
          <w:rFonts w:cs="Arial"/>
          <w:sz w:val="21"/>
          <w:szCs w:val="22"/>
          <w:lang w:val="en-US"/>
        </w:rPr>
        <w:t xml:space="preserve">, </w:t>
      </w:r>
      <w:r>
        <w:rPr>
          <w:rFonts w:cs="Arial"/>
          <w:sz w:val="21"/>
          <w:szCs w:val="22"/>
          <w:lang w:val="en-US"/>
        </w:rPr>
        <w:t>PhD; Pia Paffenholz</w:t>
      </w:r>
      <w:r>
        <w:rPr>
          <w:rFonts w:cs="Arial"/>
          <w:sz w:val="21"/>
          <w:szCs w:val="22"/>
          <w:vertAlign w:val="superscript"/>
          <w:lang w:val="en-US"/>
        </w:rPr>
        <w:t>4</w:t>
      </w:r>
      <w:r>
        <w:rPr>
          <w:rFonts w:cs="Arial"/>
          <w:sz w:val="21"/>
          <w:szCs w:val="22"/>
          <w:lang w:val="en-US"/>
        </w:rPr>
        <w:t xml:space="preserve">, MD.; </w:t>
      </w:r>
      <w:proofErr w:type="spellStart"/>
      <w:r>
        <w:rPr>
          <w:rFonts w:cs="Arial"/>
          <w:sz w:val="21"/>
          <w:szCs w:val="22"/>
          <w:lang w:val="en-US"/>
        </w:rPr>
        <w:t>Münevver</w:t>
      </w:r>
      <w:proofErr w:type="spellEnd"/>
      <w:r>
        <w:rPr>
          <w:rFonts w:cs="Arial"/>
          <w:sz w:val="21"/>
          <w:szCs w:val="22"/>
          <w:lang w:val="en-US"/>
        </w:rPr>
        <w:t xml:space="preserve"> Demir</w:t>
      </w:r>
      <w:r>
        <w:rPr>
          <w:rFonts w:cs="Arial"/>
          <w:sz w:val="21"/>
          <w:szCs w:val="22"/>
          <w:vertAlign w:val="superscript"/>
          <w:lang w:val="en-US"/>
        </w:rPr>
        <w:t>5</w:t>
      </w:r>
      <w:r>
        <w:rPr>
          <w:rFonts w:cs="Arial"/>
          <w:sz w:val="21"/>
          <w:szCs w:val="22"/>
          <w:lang w:val="en-US"/>
        </w:rPr>
        <w:t>, MD.; Philipp Bruners</w:t>
      </w:r>
      <w:r w:rsidRPr="00DD2942">
        <w:rPr>
          <w:rFonts w:cs="Arial"/>
          <w:sz w:val="21"/>
          <w:szCs w:val="22"/>
          <w:vertAlign w:val="superscript"/>
          <w:lang w:val="en-US"/>
        </w:rPr>
        <w:t>2</w:t>
      </w:r>
      <w:r>
        <w:rPr>
          <w:rFonts w:cs="Arial"/>
          <w:sz w:val="21"/>
          <w:szCs w:val="22"/>
          <w:lang w:val="en-US"/>
        </w:rPr>
        <w:t>, MD.; Christiane Kuhl</w:t>
      </w:r>
      <w:r w:rsidRPr="00DD2942">
        <w:rPr>
          <w:rFonts w:cs="Arial"/>
          <w:sz w:val="21"/>
          <w:szCs w:val="22"/>
          <w:vertAlign w:val="superscript"/>
          <w:lang w:val="en-US"/>
        </w:rPr>
        <w:t>2</w:t>
      </w:r>
      <w:r>
        <w:rPr>
          <w:rFonts w:cs="Arial"/>
          <w:sz w:val="21"/>
          <w:szCs w:val="22"/>
          <w:lang w:val="en-US"/>
        </w:rPr>
        <w:t xml:space="preserve">, MD; </w:t>
      </w:r>
      <w:r w:rsidRPr="004E1342">
        <w:rPr>
          <w:rFonts w:cs="Arial"/>
          <w:sz w:val="21"/>
          <w:szCs w:val="22"/>
          <w:lang w:val="en-US"/>
        </w:rPr>
        <w:t>Christian Trautwein</w:t>
      </w:r>
      <w:r w:rsidRPr="004E1342">
        <w:rPr>
          <w:rFonts w:cs="Arial"/>
          <w:sz w:val="21"/>
          <w:szCs w:val="22"/>
          <w:vertAlign w:val="superscript"/>
          <w:lang w:val="en-US"/>
        </w:rPr>
        <w:t>1</w:t>
      </w:r>
      <w:r w:rsidRPr="004E1342">
        <w:rPr>
          <w:rFonts w:cs="Arial"/>
          <w:sz w:val="21"/>
          <w:szCs w:val="22"/>
          <w:lang w:val="en-US"/>
        </w:rPr>
        <w:t>,</w:t>
      </w:r>
      <w:r>
        <w:rPr>
          <w:rFonts w:cs="Arial"/>
          <w:sz w:val="21"/>
          <w:szCs w:val="22"/>
          <w:lang w:val="en-US"/>
        </w:rPr>
        <w:t xml:space="preserve"> MD; </w:t>
      </w:r>
      <w:r w:rsidRPr="004E1342">
        <w:rPr>
          <w:rFonts w:cs="Arial"/>
          <w:sz w:val="21"/>
          <w:szCs w:val="22"/>
          <w:lang w:val="en-US"/>
        </w:rPr>
        <w:t>Frank Tacke</w:t>
      </w:r>
      <w:r>
        <w:rPr>
          <w:rFonts w:cs="Arial"/>
          <w:sz w:val="21"/>
          <w:szCs w:val="22"/>
          <w:vertAlign w:val="superscript"/>
          <w:lang w:val="en-US"/>
        </w:rPr>
        <w:t>5,#</w:t>
      </w:r>
      <w:r w:rsidRPr="004E1342">
        <w:rPr>
          <w:rFonts w:cs="Arial"/>
          <w:sz w:val="21"/>
          <w:szCs w:val="22"/>
          <w:lang w:val="en-US"/>
        </w:rPr>
        <w:t xml:space="preserve">, </w:t>
      </w:r>
      <w:r>
        <w:rPr>
          <w:rFonts w:cs="Arial"/>
          <w:sz w:val="21"/>
          <w:szCs w:val="22"/>
          <w:lang w:val="en-US"/>
        </w:rPr>
        <w:t xml:space="preserve">MD, PhD; </w:t>
      </w:r>
      <w:r w:rsidRPr="004E1342">
        <w:rPr>
          <w:rFonts w:cs="Arial"/>
          <w:sz w:val="21"/>
          <w:szCs w:val="22"/>
          <w:lang w:val="en-US"/>
        </w:rPr>
        <w:t>Tom Luedde</w:t>
      </w:r>
      <w:r w:rsidRPr="004E1342">
        <w:rPr>
          <w:rFonts w:cs="Arial"/>
          <w:sz w:val="21"/>
          <w:szCs w:val="22"/>
          <w:vertAlign w:val="superscript"/>
          <w:lang w:val="en-US"/>
        </w:rPr>
        <w:t>3</w:t>
      </w:r>
      <w:r>
        <w:rPr>
          <w:rFonts w:cs="Arial"/>
          <w:sz w:val="21"/>
          <w:szCs w:val="22"/>
          <w:vertAlign w:val="superscript"/>
          <w:lang w:val="en-US"/>
        </w:rPr>
        <w:t>,#</w:t>
      </w:r>
      <w:r>
        <w:rPr>
          <w:rFonts w:cs="Arial"/>
          <w:sz w:val="21"/>
          <w:szCs w:val="22"/>
          <w:lang w:val="en-US"/>
        </w:rPr>
        <w:t xml:space="preserve">, MD;, PhD.; </w:t>
      </w:r>
      <w:r w:rsidRPr="004E1342">
        <w:rPr>
          <w:rFonts w:cs="Arial"/>
          <w:sz w:val="21"/>
          <w:szCs w:val="22"/>
          <w:lang w:val="en-US"/>
        </w:rPr>
        <w:t>Alexander Koch</w:t>
      </w:r>
      <w:r>
        <w:rPr>
          <w:rFonts w:cs="Arial"/>
          <w:sz w:val="21"/>
          <w:szCs w:val="22"/>
          <w:vertAlign w:val="superscript"/>
          <w:lang w:val="en-US"/>
        </w:rPr>
        <w:t>1,#</w:t>
      </w:r>
      <w:r w:rsidRPr="004E1342">
        <w:rPr>
          <w:rFonts w:cs="Arial"/>
          <w:sz w:val="21"/>
          <w:szCs w:val="22"/>
          <w:lang w:val="en-US"/>
        </w:rPr>
        <w:t xml:space="preserve">, </w:t>
      </w:r>
      <w:r>
        <w:rPr>
          <w:rFonts w:cs="Arial"/>
          <w:sz w:val="21"/>
          <w:szCs w:val="22"/>
          <w:lang w:val="en-US"/>
        </w:rPr>
        <w:t xml:space="preserve">MD; </w:t>
      </w:r>
      <w:r w:rsidRPr="004E1342">
        <w:rPr>
          <w:rFonts w:cs="Arial"/>
          <w:sz w:val="21"/>
          <w:szCs w:val="22"/>
          <w:lang w:val="en-US"/>
        </w:rPr>
        <w:t>Christoph Roderburg</w:t>
      </w:r>
      <w:r>
        <w:rPr>
          <w:rFonts w:cs="Arial"/>
          <w:sz w:val="21"/>
          <w:szCs w:val="22"/>
          <w:vertAlign w:val="superscript"/>
          <w:lang w:val="en-US"/>
        </w:rPr>
        <w:t>5,</w:t>
      </w:r>
      <w:r w:rsidRPr="004E1342">
        <w:rPr>
          <w:rFonts w:cs="Arial"/>
          <w:sz w:val="21"/>
          <w:szCs w:val="22"/>
          <w:vertAlign w:val="superscript"/>
          <w:lang w:val="en-US"/>
        </w:rPr>
        <w:t>#</w:t>
      </w:r>
      <w:r>
        <w:rPr>
          <w:rFonts w:cs="Arial"/>
          <w:sz w:val="21"/>
          <w:szCs w:val="22"/>
          <w:lang w:val="en-US"/>
        </w:rPr>
        <w:t>, MD</w:t>
      </w:r>
    </w:p>
    <w:p w14:paraId="45C72E73" w14:textId="77777777" w:rsidR="00931197" w:rsidRPr="004E1342" w:rsidRDefault="00931197" w:rsidP="00931197">
      <w:pPr>
        <w:spacing w:line="240" w:lineRule="auto"/>
        <w:rPr>
          <w:rFonts w:cs="Arial"/>
          <w:lang w:val="en-US"/>
        </w:rPr>
      </w:pPr>
    </w:p>
    <w:p w14:paraId="054DC7A6" w14:textId="77777777" w:rsidR="00931197" w:rsidRPr="003D02DC" w:rsidRDefault="00931197" w:rsidP="00931197">
      <w:pPr>
        <w:spacing w:line="360" w:lineRule="auto"/>
        <w:jc w:val="left"/>
        <w:rPr>
          <w:rFonts w:cs="Arial"/>
          <w:sz w:val="21"/>
          <w:szCs w:val="21"/>
          <w:lang w:val="en-US"/>
        </w:rPr>
      </w:pPr>
      <w:r w:rsidRPr="003D02DC">
        <w:rPr>
          <w:rFonts w:cs="Arial"/>
          <w:sz w:val="21"/>
          <w:szCs w:val="21"/>
          <w:vertAlign w:val="superscript"/>
          <w:lang w:val="en-US"/>
        </w:rPr>
        <w:t xml:space="preserve">1 </w:t>
      </w:r>
      <w:r w:rsidRPr="003D02DC">
        <w:rPr>
          <w:rFonts w:cs="Arial"/>
          <w:sz w:val="21"/>
          <w:szCs w:val="21"/>
          <w:lang w:val="en-US"/>
        </w:rPr>
        <w:t>Department of Medicine III, University Hospital RWTH Aachen, Pauwelsstrasse 30, 52074 Aachen, Germany</w:t>
      </w:r>
    </w:p>
    <w:p w14:paraId="13F0E4ED" w14:textId="77777777" w:rsidR="00931197" w:rsidRPr="003D02DC" w:rsidRDefault="00931197" w:rsidP="00931197">
      <w:pPr>
        <w:spacing w:line="360" w:lineRule="auto"/>
        <w:jc w:val="left"/>
        <w:rPr>
          <w:rFonts w:cs="Arial"/>
          <w:sz w:val="21"/>
          <w:szCs w:val="21"/>
          <w:lang w:val="en-GB"/>
        </w:rPr>
      </w:pPr>
      <w:r w:rsidRPr="003D02DC">
        <w:rPr>
          <w:rFonts w:cs="Arial"/>
          <w:sz w:val="21"/>
          <w:szCs w:val="21"/>
          <w:vertAlign w:val="superscript"/>
          <w:lang w:val="en-GB"/>
        </w:rPr>
        <w:t>2</w:t>
      </w:r>
      <w:r w:rsidRPr="003D02DC">
        <w:rPr>
          <w:rFonts w:cs="Arial"/>
          <w:sz w:val="21"/>
          <w:szCs w:val="21"/>
          <w:lang w:val="en-GB"/>
        </w:rPr>
        <w:t xml:space="preserve"> Department of Diagnostic and Interventional Radiology, University Hospital RWTH Aachen, </w:t>
      </w:r>
      <w:proofErr w:type="spellStart"/>
      <w:r w:rsidRPr="003D02DC">
        <w:rPr>
          <w:rFonts w:cs="Arial"/>
          <w:sz w:val="21"/>
          <w:szCs w:val="21"/>
          <w:lang w:val="en-GB"/>
        </w:rPr>
        <w:t>Pauwelsstraße</w:t>
      </w:r>
      <w:proofErr w:type="spellEnd"/>
      <w:r w:rsidRPr="003D02DC">
        <w:rPr>
          <w:rFonts w:cs="Arial"/>
          <w:sz w:val="21"/>
          <w:szCs w:val="21"/>
          <w:lang w:val="en-GB"/>
        </w:rPr>
        <w:t xml:space="preserve"> 30, 52074, Aachen, Germany</w:t>
      </w:r>
    </w:p>
    <w:p w14:paraId="1B8B25BA" w14:textId="77777777" w:rsidR="00931197" w:rsidRPr="003D02DC" w:rsidRDefault="00931197" w:rsidP="00931197">
      <w:pPr>
        <w:spacing w:line="360" w:lineRule="auto"/>
        <w:jc w:val="left"/>
        <w:rPr>
          <w:rFonts w:cs="Arial"/>
          <w:sz w:val="21"/>
          <w:szCs w:val="21"/>
          <w:lang w:val="en-US"/>
        </w:rPr>
      </w:pPr>
      <w:r w:rsidRPr="003D02DC">
        <w:rPr>
          <w:rFonts w:cs="Arial"/>
          <w:sz w:val="21"/>
          <w:szCs w:val="21"/>
          <w:vertAlign w:val="superscript"/>
          <w:lang w:val="en-US"/>
        </w:rPr>
        <w:t xml:space="preserve">3 </w:t>
      </w:r>
      <w:r w:rsidRPr="003D02DC">
        <w:rPr>
          <w:rFonts w:cs="Arial"/>
          <w:sz w:val="21"/>
          <w:szCs w:val="21"/>
          <w:lang w:val="en-US"/>
        </w:rPr>
        <w:t xml:space="preserve">Division of Gastroenterology, Hepatology and Hepatobiliary Oncology, University Hospital RWTH Aachen, Pauwelsstrasse 30, 52074 Aachen, Germany </w:t>
      </w:r>
    </w:p>
    <w:p w14:paraId="44330AF1" w14:textId="77777777" w:rsidR="00931197" w:rsidRPr="003D02DC" w:rsidRDefault="00931197" w:rsidP="00931197">
      <w:pPr>
        <w:spacing w:line="360" w:lineRule="auto"/>
        <w:jc w:val="left"/>
        <w:rPr>
          <w:rFonts w:cs="Arial"/>
          <w:sz w:val="21"/>
          <w:szCs w:val="21"/>
          <w:lang w:val="en-US"/>
        </w:rPr>
      </w:pPr>
      <w:r w:rsidRPr="003D02DC">
        <w:rPr>
          <w:rFonts w:cs="Arial"/>
          <w:sz w:val="21"/>
          <w:szCs w:val="21"/>
          <w:vertAlign w:val="superscript"/>
          <w:lang w:val="en-US"/>
        </w:rPr>
        <w:t xml:space="preserve">4 </w:t>
      </w:r>
      <w:r w:rsidRPr="003D02DC">
        <w:rPr>
          <w:rFonts w:cs="Arial"/>
          <w:sz w:val="21"/>
          <w:szCs w:val="21"/>
          <w:lang w:val="en-US"/>
        </w:rPr>
        <w:t xml:space="preserve">Department of Urology, University Hospital Cologne, </w:t>
      </w:r>
      <w:proofErr w:type="spellStart"/>
      <w:r w:rsidRPr="003D02DC">
        <w:rPr>
          <w:rFonts w:cs="Arial"/>
          <w:sz w:val="21"/>
          <w:szCs w:val="21"/>
          <w:lang w:val="en-US"/>
        </w:rPr>
        <w:t>Kerpener</w:t>
      </w:r>
      <w:proofErr w:type="spellEnd"/>
      <w:r w:rsidRPr="003D02DC">
        <w:rPr>
          <w:rFonts w:cs="Arial"/>
          <w:sz w:val="21"/>
          <w:szCs w:val="21"/>
          <w:lang w:val="en-US"/>
        </w:rPr>
        <w:t xml:space="preserve"> </w:t>
      </w:r>
      <w:proofErr w:type="spellStart"/>
      <w:r w:rsidRPr="003D02DC">
        <w:rPr>
          <w:rFonts w:cs="Arial"/>
          <w:sz w:val="21"/>
          <w:szCs w:val="21"/>
          <w:lang w:val="en-US"/>
        </w:rPr>
        <w:t>Straße</w:t>
      </w:r>
      <w:proofErr w:type="spellEnd"/>
      <w:r w:rsidRPr="003D02DC">
        <w:rPr>
          <w:rFonts w:cs="Arial"/>
          <w:sz w:val="21"/>
          <w:szCs w:val="21"/>
          <w:lang w:val="en-US"/>
        </w:rPr>
        <w:t xml:space="preserve"> 62, 50937 Cologne, Germany</w:t>
      </w:r>
    </w:p>
    <w:p w14:paraId="75378621" w14:textId="77777777" w:rsidR="00931197" w:rsidRDefault="00931197" w:rsidP="00931197">
      <w:pPr>
        <w:spacing w:line="360" w:lineRule="auto"/>
        <w:jc w:val="left"/>
        <w:rPr>
          <w:rFonts w:cs="Arial"/>
          <w:sz w:val="21"/>
          <w:szCs w:val="21"/>
          <w:lang w:val="en-GB"/>
        </w:rPr>
      </w:pPr>
      <w:r w:rsidRPr="003D02DC">
        <w:rPr>
          <w:rFonts w:cs="Arial"/>
          <w:sz w:val="21"/>
          <w:szCs w:val="21"/>
          <w:vertAlign w:val="superscript"/>
          <w:lang w:val="en-US"/>
        </w:rPr>
        <w:t>5</w:t>
      </w:r>
      <w:r w:rsidRPr="003D02DC">
        <w:rPr>
          <w:rFonts w:cs="Arial"/>
          <w:sz w:val="21"/>
          <w:szCs w:val="21"/>
          <w:lang w:val="en-US"/>
        </w:rPr>
        <w:t xml:space="preserve"> </w:t>
      </w:r>
      <w:r w:rsidRPr="003D02DC">
        <w:rPr>
          <w:rFonts w:cs="Arial"/>
          <w:sz w:val="21"/>
          <w:szCs w:val="21"/>
          <w:lang w:val="en-GB"/>
        </w:rPr>
        <w:t xml:space="preserve">Department of Hepatology and Gastroenterology, </w:t>
      </w:r>
      <w:proofErr w:type="spellStart"/>
      <w:r w:rsidRPr="003D02DC">
        <w:rPr>
          <w:rFonts w:cs="Arial"/>
          <w:sz w:val="21"/>
          <w:szCs w:val="21"/>
          <w:lang w:val="en-GB"/>
        </w:rPr>
        <w:t>Charité</w:t>
      </w:r>
      <w:proofErr w:type="spellEnd"/>
      <w:r w:rsidRPr="003D02DC">
        <w:rPr>
          <w:rFonts w:cs="Arial"/>
          <w:sz w:val="21"/>
          <w:szCs w:val="21"/>
          <w:lang w:val="en-GB"/>
        </w:rPr>
        <w:t xml:space="preserve"> University Medicine Berlin, </w:t>
      </w:r>
      <w:proofErr w:type="spellStart"/>
      <w:r w:rsidRPr="003D02DC">
        <w:rPr>
          <w:rFonts w:cs="Arial"/>
          <w:sz w:val="21"/>
          <w:szCs w:val="21"/>
          <w:lang w:val="en-GB"/>
        </w:rPr>
        <w:t>Augustenburger</w:t>
      </w:r>
      <w:proofErr w:type="spellEnd"/>
      <w:r w:rsidRPr="003D02DC">
        <w:rPr>
          <w:rFonts w:cs="Arial"/>
          <w:sz w:val="21"/>
          <w:szCs w:val="21"/>
          <w:lang w:val="en-GB"/>
        </w:rPr>
        <w:t xml:space="preserve"> Platz 1, </w:t>
      </w:r>
      <w:r w:rsidRPr="001C66C3">
        <w:rPr>
          <w:rFonts w:cs="Arial"/>
          <w:sz w:val="21"/>
          <w:szCs w:val="21"/>
          <w:lang w:val="en-GB"/>
        </w:rPr>
        <w:t xml:space="preserve">13353 </w:t>
      </w:r>
      <w:r w:rsidRPr="003D02DC">
        <w:rPr>
          <w:rFonts w:cs="Arial"/>
          <w:sz w:val="21"/>
          <w:szCs w:val="21"/>
          <w:lang w:val="en-GB"/>
        </w:rPr>
        <w:t>Berlin, Germany</w:t>
      </w:r>
    </w:p>
    <w:p w14:paraId="6E21A43C" w14:textId="77777777" w:rsidR="00931197" w:rsidRPr="003D02DC" w:rsidRDefault="00931197" w:rsidP="00931197">
      <w:pPr>
        <w:spacing w:line="360" w:lineRule="auto"/>
        <w:jc w:val="left"/>
        <w:rPr>
          <w:rFonts w:cs="Arial"/>
          <w:sz w:val="21"/>
          <w:szCs w:val="21"/>
          <w:lang w:val="en-GB"/>
        </w:rPr>
      </w:pPr>
    </w:p>
    <w:p w14:paraId="1BA68291" w14:textId="77777777" w:rsidR="00931197" w:rsidRPr="003D02DC" w:rsidRDefault="00931197" w:rsidP="00931197">
      <w:pPr>
        <w:spacing w:line="360" w:lineRule="auto"/>
        <w:jc w:val="left"/>
        <w:rPr>
          <w:rFonts w:cs="Arial"/>
          <w:sz w:val="21"/>
          <w:szCs w:val="21"/>
          <w:lang w:val="en-GB"/>
        </w:rPr>
      </w:pPr>
      <w:r w:rsidRPr="003D02DC">
        <w:rPr>
          <w:rFonts w:cs="Arial"/>
          <w:sz w:val="21"/>
          <w:szCs w:val="21"/>
          <w:vertAlign w:val="superscript"/>
          <w:lang w:val="en-GB"/>
        </w:rPr>
        <w:t xml:space="preserve">* </w:t>
      </w:r>
      <w:r w:rsidRPr="003D02DC">
        <w:rPr>
          <w:rFonts w:cs="Arial"/>
          <w:sz w:val="21"/>
          <w:szCs w:val="21"/>
          <w:lang w:val="en-GB"/>
        </w:rPr>
        <w:t>These authors share first authorship</w:t>
      </w:r>
    </w:p>
    <w:p w14:paraId="5DEBB663" w14:textId="77777777" w:rsidR="00931197" w:rsidRDefault="00931197" w:rsidP="00931197">
      <w:pPr>
        <w:spacing w:line="360" w:lineRule="auto"/>
        <w:jc w:val="left"/>
        <w:rPr>
          <w:rFonts w:cs="Arial"/>
          <w:sz w:val="21"/>
          <w:szCs w:val="21"/>
          <w:lang w:val="en-US"/>
        </w:rPr>
      </w:pPr>
      <w:r w:rsidRPr="003D02DC">
        <w:rPr>
          <w:rFonts w:cs="Arial"/>
          <w:sz w:val="21"/>
          <w:szCs w:val="21"/>
          <w:vertAlign w:val="superscript"/>
          <w:lang w:val="en-GB"/>
        </w:rPr>
        <w:t xml:space="preserve"># </w:t>
      </w:r>
      <w:r w:rsidRPr="003D02DC">
        <w:rPr>
          <w:rFonts w:cs="Arial"/>
          <w:sz w:val="21"/>
          <w:szCs w:val="21"/>
          <w:lang w:val="en-US"/>
        </w:rPr>
        <w:t>These authors share last authorship</w:t>
      </w:r>
    </w:p>
    <w:p w14:paraId="7F18600B" w14:textId="77777777" w:rsidR="00881CA4" w:rsidRPr="00931197" w:rsidRDefault="00881CA4" w:rsidP="00881CA4">
      <w:pPr>
        <w:rPr>
          <w:rFonts w:cs="Arial"/>
          <w:lang w:val="en-US"/>
        </w:rPr>
      </w:pPr>
    </w:p>
    <w:p w14:paraId="652993D5" w14:textId="77777777" w:rsidR="00881CA4" w:rsidRDefault="00881CA4" w:rsidP="00881CA4">
      <w:pPr>
        <w:rPr>
          <w:rFonts w:cs="Arial"/>
          <w:lang w:val="en-GB"/>
        </w:rPr>
      </w:pPr>
    </w:p>
    <w:p w14:paraId="1F5BF5B9" w14:textId="77777777" w:rsidR="00931197" w:rsidRDefault="00931197" w:rsidP="00881CA4">
      <w:pPr>
        <w:rPr>
          <w:rFonts w:cs="Arial"/>
          <w:b/>
          <w:sz w:val="28"/>
          <w:szCs w:val="28"/>
          <w:lang w:val="en-GB"/>
        </w:rPr>
      </w:pPr>
    </w:p>
    <w:p w14:paraId="4A201FA6" w14:textId="77777777" w:rsidR="00931197" w:rsidRDefault="00931197">
      <w:pPr>
        <w:spacing w:line="240" w:lineRule="auto"/>
        <w:jc w:val="left"/>
        <w:rPr>
          <w:rFonts w:cs="Arial"/>
          <w:b/>
          <w:sz w:val="28"/>
          <w:szCs w:val="28"/>
          <w:lang w:val="en-GB"/>
        </w:rPr>
      </w:pPr>
      <w:r>
        <w:rPr>
          <w:rFonts w:cs="Arial"/>
          <w:b/>
          <w:sz w:val="28"/>
          <w:szCs w:val="28"/>
          <w:lang w:val="en-GB"/>
        </w:rPr>
        <w:br w:type="page"/>
      </w:r>
    </w:p>
    <w:p w14:paraId="70A1B9E3" w14:textId="5048F2AB" w:rsidR="00881CA4" w:rsidRPr="00E41496" w:rsidRDefault="00881CA4" w:rsidP="00881CA4">
      <w:pPr>
        <w:rPr>
          <w:rFonts w:cs="Arial"/>
          <w:b/>
          <w:sz w:val="28"/>
          <w:szCs w:val="28"/>
          <w:lang w:val="en-GB"/>
        </w:rPr>
      </w:pPr>
      <w:r w:rsidRPr="00881CA4">
        <w:rPr>
          <w:rFonts w:cs="Arial"/>
          <w:b/>
          <w:sz w:val="28"/>
          <w:szCs w:val="28"/>
          <w:lang w:val="en-GB"/>
        </w:rPr>
        <w:lastRenderedPageBreak/>
        <w:t>Supplementa</w:t>
      </w:r>
      <w:r w:rsidR="003A254C">
        <w:rPr>
          <w:rFonts w:cs="Arial"/>
          <w:b/>
          <w:sz w:val="28"/>
          <w:szCs w:val="28"/>
          <w:lang w:val="en-GB"/>
        </w:rPr>
        <w:t>l</w:t>
      </w:r>
      <w:r w:rsidRPr="00881CA4">
        <w:rPr>
          <w:rFonts w:cs="Arial"/>
          <w:b/>
          <w:sz w:val="28"/>
          <w:szCs w:val="28"/>
          <w:lang w:val="en-GB"/>
        </w:rPr>
        <w:t xml:space="preserve"> </w:t>
      </w:r>
      <w:r w:rsidR="00E41496" w:rsidRPr="00E41496">
        <w:rPr>
          <w:rFonts w:cs="Arial"/>
          <w:b/>
          <w:sz w:val="28"/>
          <w:szCs w:val="28"/>
          <w:lang w:val="en-GB"/>
        </w:rPr>
        <w:t>Patient and Methods</w:t>
      </w:r>
    </w:p>
    <w:p w14:paraId="07652165" w14:textId="77777777" w:rsidR="00661BB6" w:rsidRPr="00723714" w:rsidRDefault="00661BB6" w:rsidP="00661BB6">
      <w:pPr>
        <w:pStyle w:val="Heading2"/>
        <w:rPr>
          <w:lang w:val="en-GB"/>
        </w:rPr>
      </w:pPr>
      <w:r w:rsidRPr="00723714">
        <w:rPr>
          <w:lang w:val="en-GB"/>
        </w:rPr>
        <w:t>Measurement laboratory parameters</w:t>
      </w:r>
    </w:p>
    <w:p w14:paraId="4DBED0C5" w14:textId="77777777" w:rsidR="00661BB6" w:rsidRDefault="00661BB6" w:rsidP="00661BB6">
      <w:pPr>
        <w:rPr>
          <w:rFonts w:cs="Arial"/>
          <w:lang w:val="en-GB"/>
        </w:rPr>
      </w:pPr>
      <w:r>
        <w:rPr>
          <w:rFonts w:cs="Arial"/>
          <w:lang w:val="en-GB"/>
        </w:rPr>
        <w:t>S</w:t>
      </w:r>
      <w:r w:rsidRPr="00723714">
        <w:rPr>
          <w:rFonts w:cs="Arial"/>
          <w:lang w:val="en-GB"/>
        </w:rPr>
        <w:t>tandard laboratory markers were measured in the laboratory centre for bloo</w:t>
      </w:r>
      <w:r>
        <w:rPr>
          <w:rFonts w:cs="Arial"/>
          <w:lang w:val="en-GB"/>
        </w:rPr>
        <w:t>d analyse</w:t>
      </w:r>
      <w:r w:rsidRPr="00723714">
        <w:rPr>
          <w:rFonts w:cs="Arial"/>
          <w:lang w:val="en-GB"/>
        </w:rPr>
        <w:t>s at U</w:t>
      </w:r>
      <w:r>
        <w:rPr>
          <w:rFonts w:cs="Arial"/>
          <w:lang w:val="en-GB"/>
        </w:rPr>
        <w:t xml:space="preserve">niversity Hospital RWTH Aachen. </w:t>
      </w:r>
      <w:r w:rsidRPr="00723714">
        <w:rPr>
          <w:rFonts w:cs="Arial"/>
          <w:lang w:val="en-GB"/>
        </w:rPr>
        <w:t xml:space="preserve">Standard haematological and clinical chemistry parameters were measured using the Sysmex XN9000 (Sysmex GmbH, Norderstedt, Germany) and the </w:t>
      </w:r>
      <w:proofErr w:type="spellStart"/>
      <w:r w:rsidRPr="00723714">
        <w:rPr>
          <w:rFonts w:cs="Arial"/>
          <w:lang w:val="en-GB"/>
        </w:rPr>
        <w:t>Cobas</w:t>
      </w:r>
      <w:proofErr w:type="spellEnd"/>
      <w:r w:rsidRPr="00723714">
        <w:rPr>
          <w:rFonts w:cs="Arial"/>
          <w:lang w:val="en-GB"/>
        </w:rPr>
        <w:t xml:space="preserve"> 8000 c701 (Hoffmann-La Roche AG, Basel, Switzerland).</w:t>
      </w:r>
    </w:p>
    <w:p w14:paraId="2C5BEE6F" w14:textId="77777777" w:rsidR="00661BB6" w:rsidRDefault="00661BB6" w:rsidP="00881CA4">
      <w:pPr>
        <w:rPr>
          <w:rFonts w:cs="Arial"/>
          <w:b/>
          <w:lang w:val="en-GB"/>
        </w:rPr>
      </w:pPr>
    </w:p>
    <w:p w14:paraId="5DD6DC22" w14:textId="77777777" w:rsidR="00881CA4" w:rsidRPr="00881CA4" w:rsidRDefault="00881CA4" w:rsidP="00881CA4">
      <w:pPr>
        <w:rPr>
          <w:rFonts w:cs="Arial"/>
          <w:b/>
          <w:lang w:val="en-GB"/>
        </w:rPr>
      </w:pPr>
      <w:r w:rsidRPr="00881CA4">
        <w:rPr>
          <w:rFonts w:cs="Arial"/>
          <w:b/>
          <w:lang w:val="en-GB"/>
        </w:rPr>
        <w:t>Statistics</w:t>
      </w:r>
    </w:p>
    <w:p w14:paraId="16C7ECF4" w14:textId="31E269D8" w:rsidR="00B774B1" w:rsidRDefault="00881CA4" w:rsidP="00881CA4">
      <w:pPr>
        <w:rPr>
          <w:rFonts w:cs="Arial"/>
          <w:lang w:val="en-GB"/>
        </w:rPr>
      </w:pPr>
      <w:r w:rsidRPr="00881CA4">
        <w:rPr>
          <w:rFonts w:cs="Arial"/>
          <w:lang w:val="en-GB"/>
        </w:rPr>
        <w:t xml:space="preserve">Shapiro-Wilk test was performed to test for normal distribution of data. Mann-Whitney-U-Test and Kruskal-Wallis-Test were used to compare non-parametric data between two and more groups, respectively. ROC curves were generated by plotting sensitivity against 1-specificity. </w:t>
      </w:r>
      <w:bookmarkStart w:id="0" w:name="_GoBack"/>
      <w:r w:rsidRPr="003A254C">
        <w:rPr>
          <w:rFonts w:cs="Arial"/>
          <w:lang w:val="en-GB"/>
        </w:rPr>
        <w:t xml:space="preserve">The predictive value of the L3SMI and the MMA with respect to 180-days- and 1-year-survival was further tested in binary logistic regression model. </w:t>
      </w:r>
      <w:r w:rsidR="00974122" w:rsidRPr="003A254C">
        <w:rPr>
          <w:rFonts w:cs="Arial"/>
          <w:lang w:val="en-GB"/>
        </w:rPr>
        <w:t xml:space="preserve">ICU mortality was defined as death on ICU; overall survival (OS) included death on the ICU or during the observation period (after discharge from ICU and hospital). </w:t>
      </w:r>
      <w:r w:rsidRPr="003A254C">
        <w:rPr>
          <w:rFonts w:cs="Arial"/>
          <w:lang w:val="en-GB"/>
        </w:rPr>
        <w:t xml:space="preserve">Kaplan-Meier curves were plotted to display the impact on </w:t>
      </w:r>
      <w:r w:rsidR="00974122" w:rsidRPr="003A254C">
        <w:rPr>
          <w:rFonts w:cs="Arial"/>
          <w:lang w:val="en-GB"/>
        </w:rPr>
        <w:t>OS</w:t>
      </w:r>
      <w:r w:rsidRPr="003A254C">
        <w:rPr>
          <w:rFonts w:cs="Arial"/>
          <w:lang w:val="en-GB"/>
        </w:rPr>
        <w:t>.</w:t>
      </w:r>
      <w:r w:rsidRPr="00881CA4">
        <w:rPr>
          <w:rFonts w:cs="Arial"/>
          <w:lang w:val="en-GB"/>
        </w:rPr>
        <w:t xml:space="preserve"> </w:t>
      </w:r>
      <w:bookmarkEnd w:id="0"/>
      <w:r w:rsidRPr="00881CA4">
        <w:rPr>
          <w:rFonts w:cs="Arial"/>
          <w:lang w:val="en-GB"/>
        </w:rPr>
        <w:t xml:space="preserve">The Log-rank test was performed to test for significance. The optimal cut-off value for the identification of patients with an impaired overall survival was established using a recently published biometric software </w:t>
      </w:r>
      <w:r w:rsidRPr="00881CA4">
        <w:rPr>
          <w:rFonts w:cs="Arial"/>
          <w:lang w:val="en-GB"/>
        </w:rPr>
        <w:fldChar w:fldCharType="begin" w:fldLock="1"/>
      </w:r>
      <w:r w:rsidR="00931197">
        <w:rPr>
          <w:rFonts w:cs="Arial"/>
          <w:lang w:val="en-GB"/>
        </w:rPr>
        <w:instrText>ADDIN CSL_CITATION {"citationItems":[{"id":"ITEM-1","itemData":{"DOI":"10.1371/journal.pone.0051862","ISSN":"1932-6203","PMID":"23251644","abstract":"Gene or protein expression data are usually represented by metric or at least ordinal variables. In order to translate a continuous variable into a clinical decision, it is necessary to determine a cutoff point and to stratify patients into two groups each requiring a different kind of treatment. Currently, there is no standard method or standard software for biomarker cutoff determination. Therefore, we developed Cutoff Finder, a bundle of optimization and visualization methods for cutoff determination that is accessible online. While one of the methods for cutoff optimization is based solely on the distribution of the marker under investigation, other methods optimize the correlation of the dichotomization with respect to an outcome or survival variable. We illustrate the functionality of Cutoff Finder by the analysis of the gene expression of estrogen receptor (ER) and progesterone receptor (PgR) in breast cancer tissues. This distribution of these important markers is analyzed and correlated with immunohistologically determined ER status and distant metastasis free survival. Cutoff Finder is expected to fill a relevant gap in the available biometric software repertoire and will enable faster optimization of new diagnostic biomarkers. The tool can be accessed at http://molpath.charite.de/cutoff.","author":[{"dropping-particle":"","family":"Budczies","given":"Jan","non-dropping-particle":"","parse-names":false,"suffix":""},{"dropping-particle":"","family":"Klauschen","given":"Frederick","non-dropping-particle":"","parse-names":false,"suffix":""},{"dropping-particle":"V","family":"Sinn","given":"Bruno","non-dropping-particle":"","parse-names":false,"suffix":""},{"dropping-particle":"","family":"Győrffy","given":"Balázs","non-dropping-particle":"","parse-names":false,"suffix":""},{"dropping-particle":"","family":"Schmitt","given":"Wolfgang D","non-dropping-particle":"","parse-names":false,"suffix":""},{"dropping-particle":"","family":"Darb-Esfahani","given":"Silvia","non-dropping-particle":"","parse-names":false,"suffix":""},{"dropping-particle":"","family":"Denkert","given":"Carsten","non-dropping-particle":"","parse-names":false,"suffix":""}],"container-title":"PloS one","editor":[{"dropping-particle":"","family":"Diest","given":"Paul","non-dropping-particle":"van","parse-names":false,"suffix":""}],"id":"ITEM-1","issue":"12","issued":{"date-parts":[["2012","12","14"]]},"page":"e51862","title":"Cutoff Finder: a comprehensive and straightforward Web application enabling rapid biomarker cutoff optimization.","type":"article-journal","volume":"7"},"uris":["http://www.mendeley.com/documents/?uuid=f3b124e5-6375-376e-8a37-6c6d8880a7b7"]}],"mendeley":{"formattedCitation":"[1]","plainTextFormattedCitation":"[1]","previouslyFormattedCitation":"(Budczies et al. 2012)"},"properties":{"noteIndex":0},"schema":"https://github.com/citation-style-language/schema/raw/master/csl-citation.json"}</w:instrText>
      </w:r>
      <w:r w:rsidRPr="00881CA4">
        <w:rPr>
          <w:rFonts w:cs="Arial"/>
          <w:lang w:val="en-GB"/>
        </w:rPr>
        <w:fldChar w:fldCharType="separate"/>
      </w:r>
      <w:r w:rsidR="00931197" w:rsidRPr="00931197">
        <w:rPr>
          <w:rFonts w:cs="Arial"/>
          <w:noProof/>
          <w:lang w:val="en-GB"/>
        </w:rPr>
        <w:t>[1]</w:t>
      </w:r>
      <w:r w:rsidRPr="00881CA4">
        <w:rPr>
          <w:rFonts w:cs="Arial"/>
          <w:lang w:val="en-GB"/>
        </w:rPr>
        <w:fldChar w:fldCharType="end"/>
      </w:r>
      <w:r w:rsidRPr="00881CA4">
        <w:rPr>
          <w:rFonts w:cs="Arial"/>
          <w:lang w:val="en-GB"/>
        </w:rPr>
        <w:t xml:space="preserve">. The prognostic value of variables was further tested by univariate and multivariate analysis in the Cox regression model. Parameters with p &lt; 0.25 in univariate analysis were included into multivariate testing. The hazard ratio (HR) and the 95% confidence interval are displayed. All statistical analyses were performed with SPSS 23 (SPSS, Chicago, IL, USA) </w:t>
      </w:r>
      <w:r w:rsidRPr="00881CA4">
        <w:rPr>
          <w:rFonts w:cs="Arial"/>
          <w:lang w:val="en-GB"/>
        </w:rPr>
        <w:fldChar w:fldCharType="begin" w:fldLock="1"/>
      </w:r>
      <w:r w:rsidR="00931197">
        <w:rPr>
          <w:rFonts w:cs="Arial"/>
          <w:lang w:val="en-GB"/>
        </w:rPr>
        <w:instrText>ADDIN CSL_CITATION {"citationItems":[{"id":"ITEM-1","itemData":{"DOI":"10.1186/cc10037","ISSN":"1466-609X","PMID":"21324198","abstract":"INTRODUCTION: suPAR is the soluble form of the urokinase plasminogen activator receptor (uPAR), which is expressed in various immunologically active cells. High suPAR serum concentrations are suggested to reflect the activation of the immune system in circumstances of inflammation and infection, and have been associated with increased mortality in different populations of non-intensive care patients. In this study we sequentially analyzed suPAR serum concentrations within the first week of intensive care in a large cohort of well characterized intensive care unit (ICU) patients, in order to investigate potential regulatory mechanisms and evaluate the prognostic significance in critically ill patients.\n\nMETHODS: A total of 273 patients (197 with sepsis, 76 without sepsis) were studied prospectively upon admission to the medical intensive care unit (ICU), on Day 3 and Day 7, and compared to 43 healthy controls. Clinical data, various laboratory parameters as well as investigational inflammatory cytokine profiles were assessed. Patients were followed for approximately one year.\n\nRESULTS: Upon admission to the ICU suPAR serum concentrations were elevated in critically ill patients as compared with healthy controls. In sepsis patients suPAR levels were higher than in non-sepsis patients (with or without systemic inflammatory response syndrome (SIRS)). During the first week after admission to the ICU serum suPAR concentrations remained stably elevated. suPAR serum concentrations measured upon admission were closely and independently correlated to various laboratory parameters, specifically biomarkers of inflammation (tumor necrosis factor (TNF), C-reactive protein (CRP)), hepatic and renal dysfunction. High suPAR levels at admission and at Day 3 were a strong independent predictor for both ICU and long-term mortality in critically ill patients.\n\nCONCLUSIONS: In sepsis and non-sepsis patients suPAR serum concentrations are increased upon admission to the ICU, likely reflecting the activation state of the immune system, and remain stably elevated in the initial course of treatment. Low suPAR levels are a positive predictor of ICU- and overall survival in critically ill patients, including sepsis and non-sepsis patients. Aside from its value as a promising new prognostic biomarker, both experimental and clinical studies are required in order to understand the specific effects and regulatory mechanisms of suPAR in SIRS and sepsis, and may reveal new therapeutic o…","author":[{"dropping-particle":"","family":"Koch","given":"Alexander","non-dropping-particle":"","parse-names":false,"suffix":""},{"dropping-particle":"","family":"Voigt","given":"Sebastian","non-dropping-particle":"","parse-names":false,"suffix":""},{"dropping-particle":"","family":"Kruschinski","given":"Carsten","non-dropping-particle":"","parse-names":false,"suffix":""},{"dropping-particle":"","family":"Sanson","given":"Edouard","non-dropping-particle":"","parse-names":false,"suffix":""},{"dropping-particle":"","family":"Dückers","given":"Hanna","non-dropping-particle":"","parse-names":false,"suffix":""},{"dropping-particle":"","family":"Horn","given":"Andreas","non-dropping-particle":"","parse-names":false,"suffix":""},{"dropping-particle":"","family":"Yagmur","given":"Eray","non-dropping-particle":"","parse-names":false,"suffix":""},{"dropping-particle":"","family":"Zimmermann","given":"Henning","non-dropping-particle":"","parse-names":false,"suffix":""},{"dropping-particle":"","family":"Trautwein","given":"Christian","non-dropping-particle":"","parse-names":false,"suffix":""},{"dropping-particle":"","family":"Tacke","given":"Frank","non-dropping-particle":"","parse-names":false,"suffix":""}],"container-title":"Critical care (London, England)","id":"ITEM-1","issue":"1","issued":{"date-parts":[["2011","1"]]},"page":"R63","title":"Circulating soluble urokinase plasminogen activator receptor is stably elevated during the first week of treatment in the intensive care unit and predicts mortality in critically ill patients.","type":"article-journal","volume":"15"},"uris":["http://www.mendeley.com/documents/?uuid=b83bd579-b07c-4474-93cc-7b175746a9c2"]}],"mendeley":{"formattedCitation":"[2]","plainTextFormattedCitation":"[2]","previouslyFormattedCitation":"(Koch et al. 2011)"},"properties":{"noteIndex":0},"schema":"https://github.com/citation-style-language/schema/raw/master/csl-citation.json"}</w:instrText>
      </w:r>
      <w:r w:rsidRPr="00881CA4">
        <w:rPr>
          <w:rFonts w:cs="Arial"/>
          <w:lang w:val="en-GB"/>
        </w:rPr>
        <w:fldChar w:fldCharType="separate"/>
      </w:r>
      <w:r w:rsidR="00931197" w:rsidRPr="00931197">
        <w:rPr>
          <w:rFonts w:cs="Arial"/>
          <w:noProof/>
          <w:lang w:val="en-GB"/>
        </w:rPr>
        <w:t>[2]</w:t>
      </w:r>
      <w:r w:rsidRPr="00881CA4">
        <w:rPr>
          <w:rFonts w:cs="Arial"/>
          <w:lang w:val="en-GB"/>
        </w:rPr>
        <w:fldChar w:fldCharType="end"/>
      </w:r>
      <w:r w:rsidRPr="00881CA4">
        <w:rPr>
          <w:rFonts w:cs="Arial"/>
          <w:lang w:val="en-GB"/>
        </w:rPr>
        <w:t>.</w:t>
      </w:r>
    </w:p>
    <w:p w14:paraId="1A1FC167" w14:textId="4F4B58FE" w:rsidR="00931197" w:rsidRDefault="00931197" w:rsidP="00881CA4">
      <w:pPr>
        <w:rPr>
          <w:rFonts w:cs="Arial"/>
          <w:lang w:val="en-GB"/>
        </w:rPr>
      </w:pPr>
    </w:p>
    <w:p w14:paraId="18A1FA8B" w14:textId="19155A0D" w:rsidR="00931197" w:rsidRDefault="00931197" w:rsidP="00881CA4">
      <w:pPr>
        <w:rPr>
          <w:rFonts w:cs="Arial"/>
          <w:lang w:val="en-GB"/>
        </w:rPr>
      </w:pPr>
    </w:p>
    <w:p w14:paraId="632C56FF" w14:textId="37127045" w:rsidR="00931197" w:rsidRDefault="00931197" w:rsidP="00881CA4">
      <w:pPr>
        <w:rPr>
          <w:rFonts w:cs="Arial"/>
          <w:lang w:val="en-GB"/>
        </w:rPr>
      </w:pPr>
    </w:p>
    <w:p w14:paraId="5969D5AA" w14:textId="4C36C95A" w:rsidR="00931197" w:rsidRDefault="00931197" w:rsidP="00881CA4">
      <w:pPr>
        <w:rPr>
          <w:rFonts w:cs="Arial"/>
          <w:lang w:val="en-GB"/>
        </w:rPr>
      </w:pPr>
    </w:p>
    <w:p w14:paraId="6CD75F6E" w14:textId="1D74E1B8" w:rsidR="00931197" w:rsidRDefault="00931197" w:rsidP="00881CA4">
      <w:pPr>
        <w:rPr>
          <w:rFonts w:cs="Arial"/>
          <w:lang w:val="en-GB"/>
        </w:rPr>
      </w:pPr>
    </w:p>
    <w:p w14:paraId="280412E8" w14:textId="3F561790" w:rsidR="00931197" w:rsidRDefault="00931197" w:rsidP="00881CA4">
      <w:pPr>
        <w:rPr>
          <w:rFonts w:cs="Arial"/>
          <w:lang w:val="en-GB"/>
        </w:rPr>
      </w:pPr>
    </w:p>
    <w:p w14:paraId="64D2BB83" w14:textId="03708662" w:rsidR="00931197" w:rsidRDefault="00931197" w:rsidP="00881CA4">
      <w:pPr>
        <w:rPr>
          <w:rFonts w:cs="Arial"/>
          <w:lang w:val="en-GB"/>
        </w:rPr>
      </w:pPr>
    </w:p>
    <w:p w14:paraId="27DC6993" w14:textId="77777777" w:rsidR="00E41496" w:rsidRDefault="00E41496" w:rsidP="00881CA4">
      <w:pPr>
        <w:rPr>
          <w:rFonts w:cs="Arial"/>
          <w:b/>
          <w:bCs/>
          <w:lang w:val="en-GB"/>
        </w:rPr>
      </w:pPr>
    </w:p>
    <w:p w14:paraId="0EDFFF66" w14:textId="7C2162E8" w:rsidR="00931197" w:rsidRDefault="00931197" w:rsidP="00881CA4">
      <w:pPr>
        <w:rPr>
          <w:rFonts w:cs="Arial"/>
          <w:b/>
          <w:bCs/>
          <w:lang w:val="en-GB"/>
        </w:rPr>
      </w:pPr>
      <w:r w:rsidRPr="00931197">
        <w:rPr>
          <w:rFonts w:cs="Arial"/>
          <w:b/>
          <w:bCs/>
          <w:lang w:val="en-GB"/>
        </w:rPr>
        <w:t>References</w:t>
      </w:r>
    </w:p>
    <w:p w14:paraId="1BBFCF4A" w14:textId="4681C297" w:rsidR="00931197" w:rsidRPr="00974122" w:rsidRDefault="00931197" w:rsidP="00931197">
      <w:pPr>
        <w:widowControl w:val="0"/>
        <w:autoSpaceDE w:val="0"/>
        <w:autoSpaceDN w:val="0"/>
        <w:adjustRightInd w:val="0"/>
        <w:ind w:left="640" w:hanging="640"/>
        <w:rPr>
          <w:rFonts w:cs="Arial"/>
          <w:noProof/>
          <w:lang w:val="en-US"/>
        </w:rPr>
      </w:pPr>
      <w:r>
        <w:rPr>
          <w:rFonts w:cs="Arial"/>
          <w:b/>
          <w:bCs/>
          <w:lang w:val="en-GB"/>
        </w:rPr>
        <w:fldChar w:fldCharType="begin" w:fldLock="1"/>
      </w:r>
      <w:r>
        <w:rPr>
          <w:rFonts w:cs="Arial"/>
          <w:b/>
          <w:bCs/>
          <w:lang w:val="en-GB"/>
        </w:rPr>
        <w:instrText xml:space="preserve">ADDIN Mendeley Bibliography CSL_BIBLIOGRAPHY </w:instrText>
      </w:r>
      <w:r>
        <w:rPr>
          <w:rFonts w:cs="Arial"/>
          <w:b/>
          <w:bCs/>
          <w:lang w:val="en-GB"/>
        </w:rPr>
        <w:fldChar w:fldCharType="separate"/>
      </w:r>
      <w:r w:rsidRPr="00974122">
        <w:rPr>
          <w:rFonts w:cs="Arial"/>
          <w:noProof/>
          <w:lang w:val="en-US"/>
        </w:rPr>
        <w:t xml:space="preserve">1. </w:t>
      </w:r>
      <w:r w:rsidRPr="00974122">
        <w:rPr>
          <w:rFonts w:cs="Arial"/>
          <w:noProof/>
          <w:lang w:val="en-US"/>
        </w:rPr>
        <w:tab/>
        <w:t>Budczies J, Klauschen F, Sinn B V, Győrffy B, Schmitt WD, Darb-Esfahani S, Denkert C (2012) Cutoff Finder: a comprehensive and straightforward Web application enabling rapid biomarker cutoff optimization. PLoS One 7:e51862</w:t>
      </w:r>
    </w:p>
    <w:p w14:paraId="288005F1" w14:textId="77777777" w:rsidR="00931197" w:rsidRPr="00931197" w:rsidRDefault="00931197" w:rsidP="00931197">
      <w:pPr>
        <w:widowControl w:val="0"/>
        <w:autoSpaceDE w:val="0"/>
        <w:autoSpaceDN w:val="0"/>
        <w:adjustRightInd w:val="0"/>
        <w:ind w:left="640" w:hanging="640"/>
        <w:rPr>
          <w:rFonts w:cs="Arial"/>
          <w:noProof/>
        </w:rPr>
      </w:pPr>
      <w:r w:rsidRPr="00974122">
        <w:rPr>
          <w:rFonts w:cs="Arial"/>
          <w:noProof/>
          <w:lang w:val="en-US"/>
        </w:rPr>
        <w:t xml:space="preserve">2. </w:t>
      </w:r>
      <w:r w:rsidRPr="00974122">
        <w:rPr>
          <w:rFonts w:cs="Arial"/>
          <w:noProof/>
          <w:lang w:val="en-US"/>
        </w:rPr>
        <w:tab/>
        <w:t xml:space="preserve">Koch A, Voigt S, Kruschinski C, Sanson E, Dückers H, Horn A, Yagmur E, Zimmermann H, Trautwein C, Tacke F (2011) Circulating soluble urokinase plasminogen activator receptor is stably elevated during the first week of treatment in the intensive care unit and predicts mortality in critically ill patients. </w:t>
      </w:r>
      <w:r w:rsidRPr="00931197">
        <w:rPr>
          <w:rFonts w:cs="Arial"/>
          <w:noProof/>
        </w:rPr>
        <w:t>Crit Care 15:R63</w:t>
      </w:r>
    </w:p>
    <w:p w14:paraId="53D013F2" w14:textId="5270A549" w:rsidR="00931197" w:rsidRPr="00931197" w:rsidRDefault="00931197" w:rsidP="00931197">
      <w:pPr>
        <w:widowControl w:val="0"/>
        <w:autoSpaceDE w:val="0"/>
        <w:autoSpaceDN w:val="0"/>
        <w:adjustRightInd w:val="0"/>
        <w:ind w:left="480" w:hanging="480"/>
        <w:rPr>
          <w:rFonts w:cs="Arial"/>
          <w:b/>
          <w:bCs/>
          <w:lang w:val="en-GB"/>
        </w:rPr>
      </w:pPr>
      <w:r>
        <w:rPr>
          <w:rFonts w:cs="Arial"/>
          <w:b/>
          <w:bCs/>
          <w:lang w:val="en-GB"/>
        </w:rPr>
        <w:fldChar w:fldCharType="end"/>
      </w:r>
    </w:p>
    <w:sectPr w:rsidR="00931197" w:rsidRPr="00931197" w:rsidSect="000A315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CA4"/>
    <w:rsid w:val="000A3152"/>
    <w:rsid w:val="003A254C"/>
    <w:rsid w:val="00661BB6"/>
    <w:rsid w:val="00881CA4"/>
    <w:rsid w:val="00931197"/>
    <w:rsid w:val="00974122"/>
    <w:rsid w:val="00B774B1"/>
    <w:rsid w:val="00E414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AAACE"/>
  <w14:defaultImageDpi w14:val="300"/>
  <w15:docId w15:val="{198F4611-6076-6A4C-9542-1F3FBCAC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CA4"/>
    <w:pPr>
      <w:spacing w:line="480" w:lineRule="auto"/>
      <w:jc w:val="both"/>
    </w:pPr>
    <w:rPr>
      <w:rFonts w:ascii="Arial" w:eastAsiaTheme="minorHAnsi" w:hAnsi="Arial"/>
      <w:sz w:val="22"/>
      <w:lang w:eastAsia="en-US"/>
    </w:rPr>
  </w:style>
  <w:style w:type="paragraph" w:styleId="Heading1">
    <w:name w:val="heading 1"/>
    <w:basedOn w:val="Normal"/>
    <w:next w:val="Normal"/>
    <w:link w:val="Heading1Char"/>
    <w:uiPriority w:val="9"/>
    <w:qFormat/>
    <w:rsid w:val="00E414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1BB6"/>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BB6"/>
    <w:rPr>
      <w:rFonts w:ascii="Arial" w:eastAsiaTheme="majorEastAsia" w:hAnsi="Arial" w:cstheme="majorBidi"/>
      <w:b/>
      <w:bCs/>
      <w:sz w:val="22"/>
      <w:szCs w:val="26"/>
      <w:lang w:eastAsia="en-US"/>
    </w:rPr>
  </w:style>
  <w:style w:type="character" w:customStyle="1" w:styleId="Heading1Char">
    <w:name w:val="Heading 1 Char"/>
    <w:basedOn w:val="DefaultParagraphFont"/>
    <w:link w:val="Heading1"/>
    <w:uiPriority w:val="9"/>
    <w:rsid w:val="00E4149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64893">
      <w:bodyDiv w:val="1"/>
      <w:marLeft w:val="0"/>
      <w:marRight w:val="0"/>
      <w:marTop w:val="0"/>
      <w:marBottom w:val="0"/>
      <w:divBdr>
        <w:top w:val="none" w:sz="0" w:space="0" w:color="auto"/>
        <w:left w:val="none" w:sz="0" w:space="0" w:color="auto"/>
        <w:bottom w:val="none" w:sz="0" w:space="0" w:color="auto"/>
        <w:right w:val="none" w:sz="0" w:space="0" w:color="auto"/>
      </w:divBdr>
    </w:div>
    <w:div w:id="1536428200">
      <w:bodyDiv w:val="1"/>
      <w:marLeft w:val="0"/>
      <w:marRight w:val="0"/>
      <w:marTop w:val="0"/>
      <w:marBottom w:val="0"/>
      <w:divBdr>
        <w:top w:val="none" w:sz="0" w:space="0" w:color="auto"/>
        <w:left w:val="none" w:sz="0" w:space="0" w:color="auto"/>
        <w:bottom w:val="none" w:sz="0" w:space="0" w:color="auto"/>
        <w:right w:val="none" w:sz="0" w:space="0" w:color="auto"/>
      </w:divBdr>
    </w:div>
    <w:div w:id="2061828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517B-E254-4DBF-88B3-51AAE8C4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Baeuerlein, Christopher</cp:lastModifiedBy>
  <cp:revision>6</cp:revision>
  <dcterms:created xsi:type="dcterms:W3CDTF">2020-04-13T17:32:00Z</dcterms:created>
  <dcterms:modified xsi:type="dcterms:W3CDTF">2020-07-17T09:42:00Z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551c7685-c142-3b47-9005-4a4a5c3a715b</vt:lpwstr>
  </property>
  <property fmtid="{D5CDD505-2E9C-101B-9397-08002B2CF9AE}" pid="4" name="Mendeley Citation Style_1">
    <vt:lpwstr>http://www.zotero.org/styles/springer-vancouver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http://www.zotero.org/styles/cancers</vt:lpwstr>
  </property>
  <property fmtid="{D5CDD505-2E9C-101B-9397-08002B2CF9AE}" pid="12" name="Mendeley Recent Style Name 3_1">
    <vt:lpwstr>Cancers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http://www.zotero.org/styles/springer-vancouver</vt:lpwstr>
  </property>
  <property fmtid="{D5CDD505-2E9C-101B-9397-08002B2CF9AE}" pid="24" name="Mendeley Recent Style Name 9_1">
    <vt:lpwstr>Springer - Vancouver</vt:lpwstr>
  </property>
</Properties>
</file>