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146F" w14:textId="77777777" w:rsidR="00A5617A" w:rsidRDefault="00A5617A" w:rsidP="00A5617A">
      <w:bookmarkStart w:id="0" w:name="_GoBack"/>
      <w:r>
        <w:rPr>
          <w:b/>
        </w:rPr>
        <w:t xml:space="preserve">Supplementary </w:t>
      </w:r>
      <w:r w:rsidRPr="00035BA3">
        <w:rPr>
          <w:b/>
        </w:rPr>
        <w:t xml:space="preserve">Table </w:t>
      </w:r>
      <w:r>
        <w:rPr>
          <w:b/>
        </w:rPr>
        <w:t xml:space="preserve">4 </w:t>
      </w:r>
      <w:r>
        <w:t xml:space="preserve">Reasoning for risk of bias assessment for mortality outcome </w:t>
      </w:r>
    </w:p>
    <w:bookmarkEnd w:id="0"/>
    <w:p w14:paraId="5869DA1E" w14:textId="77777777" w:rsidR="003A0405" w:rsidRDefault="003A0405" w:rsidP="003A040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5"/>
        <w:gridCol w:w="4505"/>
      </w:tblGrid>
      <w:tr w:rsidR="003A0405" w14:paraId="4906F3E1" w14:textId="77777777" w:rsidTr="006F1445">
        <w:tc>
          <w:tcPr>
            <w:tcW w:w="2500" w:type="pct"/>
          </w:tcPr>
          <w:p w14:paraId="6FE1A928" w14:textId="77777777" w:rsidR="003A0405" w:rsidRPr="00035BA3" w:rsidRDefault="003A0405" w:rsidP="006F1445">
            <w:pPr>
              <w:rPr>
                <w:b/>
              </w:rPr>
            </w:pPr>
            <w:r w:rsidRPr="00035BA3">
              <w:rPr>
                <w:b/>
              </w:rPr>
              <w:t>Type of Bias</w:t>
            </w:r>
          </w:p>
        </w:tc>
        <w:tc>
          <w:tcPr>
            <w:tcW w:w="2500" w:type="pct"/>
          </w:tcPr>
          <w:p w14:paraId="3F2351D3" w14:textId="77777777" w:rsidR="003A0405" w:rsidRPr="00035BA3" w:rsidRDefault="003A0405" w:rsidP="006F1445">
            <w:pPr>
              <w:rPr>
                <w:b/>
              </w:rPr>
            </w:pPr>
            <w:r w:rsidRPr="00035BA3">
              <w:rPr>
                <w:b/>
              </w:rPr>
              <w:t>Reason for classification</w:t>
            </w:r>
          </w:p>
        </w:tc>
      </w:tr>
      <w:tr w:rsidR="003A0405" w14:paraId="2EB04DFE" w14:textId="77777777" w:rsidTr="006F1445">
        <w:tc>
          <w:tcPr>
            <w:tcW w:w="2500" w:type="pct"/>
          </w:tcPr>
          <w:p w14:paraId="2AC6CB9E" w14:textId="77777777" w:rsidR="003A0405" w:rsidRDefault="003A0405" w:rsidP="006F1445">
            <w:r>
              <w:t>Bias due to confounding</w:t>
            </w:r>
          </w:p>
        </w:tc>
        <w:tc>
          <w:tcPr>
            <w:tcW w:w="2500" w:type="pct"/>
          </w:tcPr>
          <w:p w14:paraId="277E2DD0" w14:textId="77777777" w:rsidR="003A0405" w:rsidRDefault="003A0405" w:rsidP="006F1445">
            <w:r>
              <w:t xml:space="preserve">Potential confounding due to diabetes and chronic renal failure cannot be ruled out for all studies. </w:t>
            </w:r>
          </w:p>
        </w:tc>
      </w:tr>
      <w:tr w:rsidR="003A0405" w14:paraId="59FBEF34" w14:textId="77777777" w:rsidTr="006F1445">
        <w:tc>
          <w:tcPr>
            <w:tcW w:w="2500" w:type="pct"/>
          </w:tcPr>
          <w:p w14:paraId="3CACE36A" w14:textId="77777777" w:rsidR="003A0405" w:rsidRDefault="003A0405" w:rsidP="006F1445">
            <w:r>
              <w:t>Bias of selection of participants into the study</w:t>
            </w:r>
          </w:p>
        </w:tc>
        <w:tc>
          <w:tcPr>
            <w:tcW w:w="2500" w:type="pct"/>
          </w:tcPr>
          <w:p w14:paraId="4F9D20B0" w14:textId="77777777" w:rsidR="003A0405" w:rsidRDefault="003A0405" w:rsidP="006F1445">
            <w:r>
              <w:t xml:space="preserve">Scale et al., </w:t>
            </w:r>
            <w:proofErr w:type="spellStart"/>
            <w:r>
              <w:t>Hloch</w:t>
            </w:r>
            <w:proofErr w:type="spellEnd"/>
            <w:r>
              <w:t xml:space="preserve"> et al., and </w:t>
            </w:r>
            <w:proofErr w:type="spellStart"/>
            <w:r>
              <w:t>Doenyas</w:t>
            </w:r>
            <w:proofErr w:type="spellEnd"/>
            <w:r>
              <w:t xml:space="preserve">-Barak et al., included patients into the study using a predetermined cut off for initial plasma lactate levels. </w:t>
            </w:r>
            <w:proofErr w:type="spellStart"/>
            <w:r>
              <w:t>Jochmans</w:t>
            </w:r>
            <w:proofErr w:type="spellEnd"/>
            <w:r>
              <w:t xml:space="preserve"> et al., excluded patients without arterial blood gas within 4 hours of ICU admission.  </w:t>
            </w:r>
          </w:p>
        </w:tc>
      </w:tr>
      <w:tr w:rsidR="003A0405" w14:paraId="5C828E7A" w14:textId="77777777" w:rsidTr="006F1445">
        <w:tc>
          <w:tcPr>
            <w:tcW w:w="2500" w:type="pct"/>
          </w:tcPr>
          <w:p w14:paraId="311493FB" w14:textId="77777777" w:rsidR="003A0405" w:rsidRDefault="003A0405" w:rsidP="006F1445">
            <w:r>
              <w:t>Bias in classification of interventions</w:t>
            </w:r>
          </w:p>
        </w:tc>
        <w:tc>
          <w:tcPr>
            <w:tcW w:w="2500" w:type="pct"/>
          </w:tcPr>
          <w:p w14:paraId="7D7DC1D9" w14:textId="77777777" w:rsidR="003A0405" w:rsidRDefault="003A0405" w:rsidP="006F1445">
            <w:r>
              <w:t xml:space="preserve">For Scale et al., and </w:t>
            </w:r>
            <w:proofErr w:type="spellStart"/>
            <w:r>
              <w:t>Hloch</w:t>
            </w:r>
            <w:proofErr w:type="spellEnd"/>
            <w:r>
              <w:t xml:space="preserve"> et al., differential misclassification was present as the study population was not divided according to metformin use versus non-metformin use. Scale et al., divided patients according to Cohen and Woods classification of lactic acidosis, while </w:t>
            </w:r>
            <w:proofErr w:type="spellStart"/>
            <w:r>
              <w:t>Hloch</w:t>
            </w:r>
            <w:proofErr w:type="spellEnd"/>
            <w:r>
              <w:t xml:space="preserve"> et al., divided patients into known history of diabetes mellitus and metformin exposure. </w:t>
            </w:r>
          </w:p>
        </w:tc>
      </w:tr>
      <w:tr w:rsidR="003A0405" w14:paraId="2C7B7CA3" w14:textId="77777777" w:rsidTr="006F1445">
        <w:tc>
          <w:tcPr>
            <w:tcW w:w="2500" w:type="pct"/>
          </w:tcPr>
          <w:p w14:paraId="17A0C6D9" w14:textId="77777777" w:rsidR="003A0405" w:rsidRDefault="003A0405" w:rsidP="006F1445">
            <w:r>
              <w:t>Bias due to deviation from intended interventions</w:t>
            </w:r>
          </w:p>
        </w:tc>
        <w:tc>
          <w:tcPr>
            <w:tcW w:w="2500" w:type="pct"/>
          </w:tcPr>
          <w:p w14:paraId="0DF93539" w14:textId="77777777" w:rsidR="003A0405" w:rsidRDefault="003A0405" w:rsidP="006F1445">
            <w:r>
              <w:t xml:space="preserve">There were no systematic differences in care between the metformin and non-metformin groups in the included studies.  </w:t>
            </w:r>
          </w:p>
        </w:tc>
      </w:tr>
      <w:tr w:rsidR="003A0405" w14:paraId="478DC8A0" w14:textId="77777777" w:rsidTr="006F1445">
        <w:tc>
          <w:tcPr>
            <w:tcW w:w="2500" w:type="pct"/>
          </w:tcPr>
          <w:p w14:paraId="18694425" w14:textId="77777777" w:rsidR="003A0405" w:rsidRDefault="003A0405" w:rsidP="006F1445">
            <w:r>
              <w:t>Bias due to missing data</w:t>
            </w:r>
          </w:p>
        </w:tc>
        <w:tc>
          <w:tcPr>
            <w:tcW w:w="2500" w:type="pct"/>
          </w:tcPr>
          <w:p w14:paraId="19680B7F" w14:textId="77777777" w:rsidR="003A0405" w:rsidRDefault="003A0405" w:rsidP="006F1445">
            <w:r>
              <w:t xml:space="preserve">There was no loss to follow up in the included studies.  </w:t>
            </w:r>
          </w:p>
        </w:tc>
      </w:tr>
      <w:tr w:rsidR="003A0405" w14:paraId="09E21E96" w14:textId="77777777" w:rsidTr="006F1445">
        <w:tc>
          <w:tcPr>
            <w:tcW w:w="2500" w:type="pct"/>
          </w:tcPr>
          <w:p w14:paraId="25567286" w14:textId="77777777" w:rsidR="003A0405" w:rsidRDefault="003A0405" w:rsidP="006F1445">
            <w:r>
              <w:t>Bias in measurement of outcomes</w:t>
            </w:r>
          </w:p>
        </w:tc>
        <w:tc>
          <w:tcPr>
            <w:tcW w:w="2500" w:type="pct"/>
          </w:tcPr>
          <w:p w14:paraId="007454B4" w14:textId="77777777" w:rsidR="003A0405" w:rsidRDefault="003A0405" w:rsidP="006F1445">
            <w:r>
              <w:t xml:space="preserve">For </w:t>
            </w:r>
            <w:proofErr w:type="spellStart"/>
            <w:r>
              <w:t>Hloch</w:t>
            </w:r>
            <w:proofErr w:type="spellEnd"/>
            <w:r>
              <w:t xml:space="preserve"> et al., reporting of mortality was not entirely clear, requiring reclarification.  </w:t>
            </w:r>
          </w:p>
        </w:tc>
      </w:tr>
      <w:tr w:rsidR="003A0405" w14:paraId="49BC6AA6" w14:textId="77777777" w:rsidTr="006F1445">
        <w:tc>
          <w:tcPr>
            <w:tcW w:w="2500" w:type="pct"/>
          </w:tcPr>
          <w:p w14:paraId="42BC25E1" w14:textId="77777777" w:rsidR="003A0405" w:rsidRDefault="003A0405" w:rsidP="006F1445">
            <w:r>
              <w:t>Bias in selection of the reported result</w:t>
            </w:r>
          </w:p>
        </w:tc>
        <w:tc>
          <w:tcPr>
            <w:tcW w:w="2500" w:type="pct"/>
          </w:tcPr>
          <w:p w14:paraId="4705EF5C" w14:textId="77777777" w:rsidR="003A0405" w:rsidRDefault="003A0405" w:rsidP="006F1445">
            <w:r>
              <w:t xml:space="preserve">Due to the participant selection process, the studies conducted by Scale et al., </w:t>
            </w:r>
            <w:proofErr w:type="spellStart"/>
            <w:r>
              <w:t>Hloch</w:t>
            </w:r>
            <w:proofErr w:type="spellEnd"/>
            <w:r>
              <w:t xml:space="preserve"> et al., </w:t>
            </w:r>
            <w:proofErr w:type="spellStart"/>
            <w:r>
              <w:t>Doenyas</w:t>
            </w:r>
            <w:proofErr w:type="spellEnd"/>
            <w:r>
              <w:t xml:space="preserve">-Barak et al., and </w:t>
            </w:r>
            <w:proofErr w:type="spellStart"/>
            <w:r>
              <w:t>Jochmans</w:t>
            </w:r>
            <w:proofErr w:type="spellEnd"/>
            <w:r>
              <w:t xml:space="preserve"> et al. are all at risk of bias resulting from selecting a subgroup from a larger cohort. </w:t>
            </w:r>
          </w:p>
        </w:tc>
      </w:tr>
    </w:tbl>
    <w:p w14:paraId="2477C16E" w14:textId="77777777" w:rsidR="00C757BF" w:rsidRDefault="00A5617A"/>
    <w:sectPr w:rsidR="00C757BF" w:rsidSect="00B527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05"/>
    <w:rsid w:val="00107462"/>
    <w:rsid w:val="00123A5E"/>
    <w:rsid w:val="00132130"/>
    <w:rsid w:val="001818EF"/>
    <w:rsid w:val="00185DAD"/>
    <w:rsid w:val="002C33C6"/>
    <w:rsid w:val="002C3609"/>
    <w:rsid w:val="002E0C69"/>
    <w:rsid w:val="003044CF"/>
    <w:rsid w:val="0039401F"/>
    <w:rsid w:val="003A0405"/>
    <w:rsid w:val="003C1601"/>
    <w:rsid w:val="003E3187"/>
    <w:rsid w:val="003F3BD0"/>
    <w:rsid w:val="004D5854"/>
    <w:rsid w:val="004D705A"/>
    <w:rsid w:val="00511A40"/>
    <w:rsid w:val="00543BB7"/>
    <w:rsid w:val="005603B5"/>
    <w:rsid w:val="005A31C1"/>
    <w:rsid w:val="005B03E3"/>
    <w:rsid w:val="005C3815"/>
    <w:rsid w:val="005C635A"/>
    <w:rsid w:val="005E508C"/>
    <w:rsid w:val="005F36FE"/>
    <w:rsid w:val="00600798"/>
    <w:rsid w:val="00651CC2"/>
    <w:rsid w:val="00666013"/>
    <w:rsid w:val="006871E3"/>
    <w:rsid w:val="006B1DFA"/>
    <w:rsid w:val="006C0DA3"/>
    <w:rsid w:val="006E5142"/>
    <w:rsid w:val="00710AED"/>
    <w:rsid w:val="007125B8"/>
    <w:rsid w:val="00723F0F"/>
    <w:rsid w:val="00765552"/>
    <w:rsid w:val="00780A78"/>
    <w:rsid w:val="007A3F0C"/>
    <w:rsid w:val="007B6F56"/>
    <w:rsid w:val="00827310"/>
    <w:rsid w:val="008312C9"/>
    <w:rsid w:val="00855EB5"/>
    <w:rsid w:val="0087049E"/>
    <w:rsid w:val="008D1614"/>
    <w:rsid w:val="008D1C60"/>
    <w:rsid w:val="00904C0E"/>
    <w:rsid w:val="00913891"/>
    <w:rsid w:val="00A11EFF"/>
    <w:rsid w:val="00A5617A"/>
    <w:rsid w:val="00AA48EC"/>
    <w:rsid w:val="00B332E5"/>
    <w:rsid w:val="00B52762"/>
    <w:rsid w:val="00BA4F99"/>
    <w:rsid w:val="00BD7240"/>
    <w:rsid w:val="00C30E5F"/>
    <w:rsid w:val="00CD35D6"/>
    <w:rsid w:val="00D25A40"/>
    <w:rsid w:val="00D37470"/>
    <w:rsid w:val="00D4745B"/>
    <w:rsid w:val="00D60F51"/>
    <w:rsid w:val="00D67C02"/>
    <w:rsid w:val="00DA3E53"/>
    <w:rsid w:val="00E02219"/>
    <w:rsid w:val="00E266F6"/>
    <w:rsid w:val="00E34126"/>
    <w:rsid w:val="00E47B51"/>
    <w:rsid w:val="00E81D1E"/>
    <w:rsid w:val="00E90B8B"/>
    <w:rsid w:val="00EC33CE"/>
    <w:rsid w:val="00ED473D"/>
    <w:rsid w:val="00EF726A"/>
    <w:rsid w:val="00F67920"/>
    <w:rsid w:val="00F94099"/>
    <w:rsid w:val="00FA147F"/>
    <w:rsid w:val="00F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5D5D"/>
  <w14:defaultImageDpi w14:val="32767"/>
  <w15:chartTrackingRefBased/>
  <w15:docId w15:val="{D41BBFDA-0E48-E74A-A337-8EF495F0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405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405"/>
    <w:rPr>
      <w:rFonts w:ascii="Calibri" w:eastAsia="Calibri" w:hAnsi="Calibri" w:cs="Calibri"/>
      <w:sz w:val="20"/>
      <w:szCs w:val="20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Kaiquan Tan</dc:creator>
  <cp:keywords/>
  <dc:description/>
  <cp:lastModifiedBy>Baeuerlein, Christopher</cp:lastModifiedBy>
  <cp:revision>2</cp:revision>
  <dcterms:created xsi:type="dcterms:W3CDTF">2019-03-11T19:36:00Z</dcterms:created>
  <dcterms:modified xsi:type="dcterms:W3CDTF">2019-03-22T16:02:00Z</dcterms:modified>
</cp:coreProperties>
</file>