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A" w:rsidRPr="002E150A" w:rsidRDefault="00C21EFA" w:rsidP="00C21EFA">
      <w:pPr>
        <w:spacing w:line="480" w:lineRule="auto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8.</w:t>
      </w:r>
      <w:r w:rsidRPr="00BB49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Proportion and Duration of Second</w:t>
      </w:r>
      <w:r w:rsidRPr="00BB49F6">
        <w:rPr>
          <w:rFonts w:ascii="Arial" w:hAnsi="Arial" w:cs="Arial"/>
          <w:sz w:val="24"/>
          <w:szCs w:val="24"/>
        </w:rPr>
        <w:t xml:space="preserve">-Line Monotherapy by </w:t>
      </w:r>
      <w:r>
        <w:rPr>
          <w:rFonts w:ascii="Arial" w:hAnsi="Arial" w:cs="Arial"/>
          <w:sz w:val="24"/>
          <w:szCs w:val="24"/>
        </w:rPr>
        <w:t>M</w:t>
      </w:r>
      <w:r w:rsidRPr="00BB49F6">
        <w:rPr>
          <w:rFonts w:ascii="Arial" w:hAnsi="Arial" w:cs="Arial"/>
          <w:sz w:val="24"/>
          <w:szCs w:val="24"/>
        </w:rPr>
        <w:t>edication</w:t>
      </w:r>
      <w:r w:rsidDel="00430BC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1880"/>
        <w:gridCol w:w="1778"/>
        <w:gridCol w:w="1788"/>
        <w:gridCol w:w="1778"/>
      </w:tblGrid>
      <w:tr w:rsidR="00C21EFA" w:rsidRPr="001F7D71" w:rsidTr="000D332F">
        <w:tc>
          <w:tcPr>
            <w:tcW w:w="40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17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N=</w:t>
            </w:r>
            <w:r>
              <w:rPr>
                <w:rFonts w:ascii="Arial" w:hAnsi="Arial" w:cs="Arial"/>
                <w:b/>
                <w:sz w:val="24"/>
                <w:szCs w:val="24"/>
              </w:rPr>
              <w:t>1130</w:t>
            </w:r>
          </w:p>
        </w:tc>
        <w:tc>
          <w:tcPr>
            <w:tcW w:w="17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7D7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ommercial n=750</w:t>
            </w:r>
          </w:p>
        </w:tc>
        <w:tc>
          <w:tcPr>
            <w:tcW w:w="17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Medicare n=380</w:t>
            </w:r>
          </w:p>
        </w:tc>
      </w:tr>
      <w:tr w:rsidR="00C21EFA" w:rsidRPr="001F7D71" w:rsidTr="000D332F">
        <w:tc>
          <w:tcPr>
            <w:tcW w:w="4024" w:type="dxa"/>
            <w:gridSpan w:val="2"/>
            <w:tcBorders>
              <w:top w:val="single" w:sz="2" w:space="0" w:color="auto"/>
            </w:tcBorders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Carbamazepine,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tcBorders>
              <w:top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338 (29.9)</w:t>
            </w:r>
          </w:p>
        </w:tc>
        <w:tc>
          <w:tcPr>
            <w:tcW w:w="1788" w:type="dxa"/>
            <w:tcBorders>
              <w:top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(28.1)</w:t>
            </w:r>
          </w:p>
        </w:tc>
        <w:tc>
          <w:tcPr>
            <w:tcW w:w="1778" w:type="dxa"/>
            <w:tcBorders>
              <w:top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 (33.4)</w:t>
            </w:r>
          </w:p>
        </w:tc>
      </w:tr>
      <w:tr w:rsidR="00C21EFA" w:rsidRPr="001F7D71" w:rsidTr="000D332F"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269)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210)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 (35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371)</w:t>
            </w:r>
          </w:p>
        </w:tc>
      </w:tr>
      <w:tr w:rsidR="00C21EFA" w:rsidRPr="001F7D71" w:rsidTr="000D332F"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 (252)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 (230)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(279)</w:t>
            </w:r>
          </w:p>
        </w:tc>
      </w:tr>
      <w:tr w:rsidR="00C21EFA" w:rsidRPr="001F7D71" w:rsidTr="000D332F"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Gabapentin,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 (32.2)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 (30.8)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 (35)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(days</w:t>
            </w:r>
            <w:r w:rsidRPr="001F7D7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253)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198)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366)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 (255)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 (241)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 (272)</w:t>
            </w:r>
          </w:p>
        </w:tc>
      </w:tr>
      <w:tr w:rsidR="00C21EFA" w:rsidRPr="001F7D71" w:rsidTr="000D332F">
        <w:trPr>
          <w:trHeight w:val="58"/>
        </w:trPr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Oxcarbazepine,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9D55A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5A1">
              <w:rPr>
                <w:rFonts w:ascii="Arial" w:hAnsi="Arial" w:cs="Arial"/>
                <w:sz w:val="24"/>
                <w:szCs w:val="24"/>
              </w:rPr>
              <w:t>165 (14.6)</w:t>
            </w:r>
          </w:p>
        </w:tc>
        <w:tc>
          <w:tcPr>
            <w:tcW w:w="1788" w:type="dxa"/>
            <w:vAlign w:val="center"/>
          </w:tcPr>
          <w:p w:rsidR="00C21EFA" w:rsidRPr="0090322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221">
              <w:rPr>
                <w:rFonts w:ascii="Arial" w:hAnsi="Arial" w:cs="Arial"/>
                <w:sz w:val="24"/>
                <w:szCs w:val="24"/>
              </w:rPr>
              <w:t>110 (14.7)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(14.5)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370)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342)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(36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547)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 (305)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 (297)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(319)</w:t>
            </w:r>
          </w:p>
        </w:tc>
      </w:tr>
      <w:tr w:rsidR="00C21EFA" w:rsidRPr="001F7D71" w:rsidTr="000D332F">
        <w:trPr>
          <w:trHeight w:val="58"/>
        </w:trPr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Pregabalin,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(12.2)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(12.8)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(11.1)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344)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339)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 (79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388)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 (295)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 (290)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 (307)</w:t>
            </w:r>
          </w:p>
        </w:tc>
      </w:tr>
      <w:tr w:rsidR="00C21EFA" w:rsidRPr="001F7D71" w:rsidTr="000D332F">
        <w:trPr>
          <w:trHeight w:val="58"/>
        </w:trPr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Topiramate,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(4.2)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(5.7)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(1.1)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128)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130)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(186)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(192)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(8)</w:t>
            </w:r>
          </w:p>
        </w:tc>
      </w:tr>
      <w:tr w:rsidR="00C21EFA" w:rsidRPr="001F7D71" w:rsidTr="000D332F">
        <w:trPr>
          <w:trHeight w:val="58"/>
        </w:trPr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Duloxetine,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(3.6)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(4.3)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(2.4)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(47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403)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 (39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369)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 (104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540)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(339)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 (343)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 (340)</w:t>
            </w:r>
          </w:p>
        </w:tc>
      </w:tr>
      <w:tr w:rsidR="00C21EFA" w:rsidRPr="001F7D71" w:rsidTr="000D332F">
        <w:trPr>
          <w:trHeight w:val="58"/>
        </w:trPr>
        <w:tc>
          <w:tcPr>
            <w:tcW w:w="4024" w:type="dxa"/>
            <w:gridSpan w:val="2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Baclofen, second</w:t>
            </w:r>
            <w:r w:rsidRPr="001F7D71">
              <w:rPr>
                <w:rFonts w:ascii="Arial" w:hAnsi="Arial" w:cs="Arial"/>
                <w:sz w:val="24"/>
                <w:szCs w:val="24"/>
              </w:rPr>
              <w:t>-line monotherapy, n (%)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(3.3)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(3.6)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(2.6)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 w:val="restart"/>
            <w:vAlign w:val="center"/>
          </w:tcPr>
          <w:p w:rsidR="00C21EFA" w:rsidRPr="001F7D71" w:rsidRDefault="00C21EFA" w:rsidP="000D332F">
            <w:pPr>
              <w:spacing w:line="480" w:lineRule="auto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Duration (d</w:t>
            </w:r>
            <w:r>
              <w:rPr>
                <w:rFonts w:ascii="Arial" w:hAnsi="Arial" w:cs="Arial"/>
                <w:sz w:val="24"/>
                <w:szCs w:val="24"/>
              </w:rPr>
              <w:t>ays</w:t>
            </w:r>
            <w:r w:rsidRPr="001F7D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Median (IQR)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144)</w:t>
            </w:r>
          </w:p>
        </w:tc>
        <w:tc>
          <w:tcPr>
            <w:tcW w:w="1788" w:type="dxa"/>
            <w:vAlign w:val="center"/>
          </w:tcPr>
          <w:p w:rsidR="00C21EFA" w:rsidRPr="001F7D71" w:rsidRDefault="00C21EFA" w:rsidP="000D332F">
            <w:pPr>
              <w:spacing w:line="48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(25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153)</w:t>
            </w:r>
          </w:p>
        </w:tc>
        <w:tc>
          <w:tcPr>
            <w:tcW w:w="1778" w:type="dxa"/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(30</w:t>
            </w:r>
            <w:r w:rsidRPr="001F7D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90)</w:t>
            </w:r>
          </w:p>
        </w:tc>
      </w:tr>
      <w:tr w:rsidR="00C21EFA" w:rsidRPr="001F7D71" w:rsidTr="000D332F">
        <w:trPr>
          <w:trHeight w:val="58"/>
        </w:trPr>
        <w:tc>
          <w:tcPr>
            <w:tcW w:w="2144" w:type="dxa"/>
            <w:vMerge/>
            <w:tcBorders>
              <w:bottom w:val="single" w:sz="2" w:space="0" w:color="auto"/>
            </w:tcBorders>
          </w:tcPr>
          <w:p w:rsidR="00C21EFA" w:rsidRPr="001F7D71" w:rsidRDefault="00C21EFA" w:rsidP="000D332F">
            <w:pPr>
              <w:spacing w:line="48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2" w:space="0" w:color="auto"/>
            </w:tcBorders>
          </w:tcPr>
          <w:p w:rsidR="00C21EFA" w:rsidRPr="001F7D71" w:rsidRDefault="00C21EFA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F7D71">
              <w:rPr>
                <w:rFonts w:ascii="Arial" w:hAnsi="Arial" w:cs="Arial"/>
                <w:sz w:val="24"/>
                <w:szCs w:val="24"/>
              </w:rPr>
              <w:t>Mean (SD)</w:t>
            </w:r>
          </w:p>
        </w:tc>
        <w:tc>
          <w:tcPr>
            <w:tcW w:w="1778" w:type="dxa"/>
            <w:tcBorders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(238)</w:t>
            </w:r>
          </w:p>
        </w:tc>
        <w:tc>
          <w:tcPr>
            <w:tcW w:w="1788" w:type="dxa"/>
            <w:tcBorders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 (272)</w:t>
            </w:r>
          </w:p>
        </w:tc>
        <w:tc>
          <w:tcPr>
            <w:tcW w:w="1778" w:type="dxa"/>
            <w:tcBorders>
              <w:bottom w:val="single" w:sz="2" w:space="0" w:color="auto"/>
            </w:tcBorders>
            <w:vAlign w:val="center"/>
          </w:tcPr>
          <w:p w:rsidR="00C21EFA" w:rsidRPr="001F7D71" w:rsidRDefault="00C21EFA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(50)</w:t>
            </w:r>
          </w:p>
        </w:tc>
      </w:tr>
    </w:tbl>
    <w:p w:rsidR="00E86D75" w:rsidRDefault="00C21EFA" w:rsidP="00C21EFA">
      <w:pPr>
        <w:ind w:firstLine="720"/>
      </w:pPr>
      <w:r w:rsidRPr="001F7D71">
        <w:rPr>
          <w:rFonts w:ascii="Arial" w:hAnsi="Arial" w:cs="Arial"/>
          <w:sz w:val="24"/>
          <w:szCs w:val="24"/>
        </w:rPr>
        <w:t>IQR</w:t>
      </w:r>
      <w:r>
        <w:rPr>
          <w:rFonts w:ascii="Arial" w:hAnsi="Arial" w:cs="Arial"/>
          <w:sz w:val="24"/>
          <w:szCs w:val="24"/>
        </w:rPr>
        <w:t>,</w:t>
      </w:r>
      <w:r w:rsidRPr="001F7D71">
        <w:rPr>
          <w:rFonts w:ascii="Arial" w:hAnsi="Arial" w:cs="Arial"/>
          <w:sz w:val="24"/>
          <w:szCs w:val="24"/>
        </w:rPr>
        <w:t xml:space="preserve"> interquartile range</w:t>
      </w:r>
      <w:r>
        <w:rPr>
          <w:rFonts w:ascii="Arial" w:hAnsi="Arial" w:cs="Arial"/>
          <w:sz w:val="24"/>
          <w:szCs w:val="24"/>
        </w:rPr>
        <w:t>.</w:t>
      </w:r>
    </w:p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A"/>
    <w:rsid w:val="001A7615"/>
    <w:rsid w:val="00C21EFA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48900-314E-4B48-9121-13C9D594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2017-08-02T13:35:00Z</dcterms:created>
  <dcterms:modified xsi:type="dcterms:W3CDTF">2017-08-02T13:35:00Z</dcterms:modified>
</cp:coreProperties>
</file>